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819F2">
      <w:pPr>
        <w:ind w:firstLine="1620" w:firstLineChars="900"/>
        <w:rPr>
          <w:rFonts w:hint="eastAsia"/>
          <w:sz w:val="18"/>
          <w:szCs w:val="18"/>
        </w:rPr>
      </w:pPr>
      <w:r>
        <w:rPr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1774825</wp:posOffset>
            </wp:positionH>
            <wp:positionV relativeFrom="page">
              <wp:posOffset>1155700</wp:posOffset>
            </wp:positionV>
            <wp:extent cx="1710055" cy="1683385"/>
            <wp:effectExtent l="0" t="0" r="0" b="0"/>
            <wp:wrapNone/>
            <wp:docPr id="4" name="图片 3" descr="d5f9cf9c71c51c25ff3e214aa7320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5f9cf9c71c51c25ff3e214aa73206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8537F">
      <w:pPr>
        <w:ind w:firstLine="840" w:firstLineChars="300"/>
        <w:rPr>
          <w:rFonts w:hint="eastAsia"/>
          <w:sz w:val="28"/>
          <w:szCs w:val="28"/>
        </w:rPr>
      </w:pPr>
    </w:p>
    <w:p w14:paraId="56D80F45">
      <w:pPr>
        <w:ind w:firstLine="1440" w:firstLineChars="300"/>
        <w:rPr>
          <w:rFonts w:hint="eastAsia"/>
          <w:sz w:val="48"/>
          <w:szCs w:val="52"/>
        </w:rPr>
      </w:pPr>
    </w:p>
    <w:p w14:paraId="39CEA5A1">
      <w:pPr>
        <w:spacing w:line="100" w:lineRule="exact"/>
        <w:ind w:firstLine="360" w:firstLineChars="200"/>
        <w:rPr>
          <w:rFonts w:hint="eastAsia"/>
          <w:sz w:val="18"/>
          <w:szCs w:val="18"/>
          <w:u w:val="single"/>
        </w:rPr>
      </w:pPr>
    </w:p>
    <w:p w14:paraId="47B4E9FA">
      <w:pPr>
        <w:jc w:val="center"/>
        <w:rPr>
          <w:rFonts w:hint="eastAsia"/>
          <w:sz w:val="52"/>
          <w:szCs w:val="52"/>
        </w:rPr>
      </w:pPr>
    </w:p>
    <w:p w14:paraId="02810985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2</w:t>
      </w:r>
      <w:r>
        <w:rPr>
          <w:sz w:val="52"/>
          <w:szCs w:val="52"/>
        </w:rPr>
        <w:t>02</w:t>
      </w:r>
      <w:r>
        <w:rPr>
          <w:rFonts w:hint="eastAsia"/>
          <w:sz w:val="52"/>
          <w:szCs w:val="52"/>
        </w:rPr>
        <w:t>4-</w:t>
      </w:r>
      <w:r>
        <w:rPr>
          <w:sz w:val="52"/>
          <w:szCs w:val="52"/>
        </w:rPr>
        <w:t>202</w:t>
      </w:r>
      <w:r>
        <w:rPr>
          <w:rFonts w:hint="eastAsia"/>
          <w:sz w:val="52"/>
          <w:szCs w:val="52"/>
        </w:rPr>
        <w:t>5-</w:t>
      </w:r>
      <w:r>
        <w:rPr>
          <w:sz w:val="52"/>
          <w:szCs w:val="52"/>
        </w:rPr>
        <w:t>2</w:t>
      </w:r>
      <w:r>
        <w:rPr>
          <w:rFonts w:hint="eastAsia"/>
          <w:sz w:val="52"/>
          <w:szCs w:val="52"/>
        </w:rPr>
        <w:t>学期</w:t>
      </w:r>
    </w:p>
    <w:p w14:paraId="2B56E3CC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《研究生创新与生涯规划》</w:t>
      </w:r>
    </w:p>
    <w:p w14:paraId="3F6DD098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结课作业</w:t>
      </w:r>
    </w:p>
    <w:p w14:paraId="72E82CA2">
      <w:pPr>
        <w:jc w:val="center"/>
        <w:rPr>
          <w:rFonts w:hint="eastAsia"/>
          <w:sz w:val="48"/>
          <w:szCs w:val="52"/>
        </w:rPr>
      </w:pPr>
    </w:p>
    <w:p w14:paraId="500545C0">
      <w:pPr>
        <w:jc w:val="center"/>
        <w:rPr>
          <w:rFonts w:hint="eastAsia"/>
          <w:sz w:val="48"/>
          <w:szCs w:val="52"/>
        </w:rPr>
      </w:pPr>
    </w:p>
    <w:p w14:paraId="7551BD2D">
      <w:pPr>
        <w:spacing w:line="600" w:lineRule="auto"/>
        <w:ind w:firstLine="2403" w:firstLineChars="801"/>
        <w:rPr>
          <w:rFonts w:hint="eastAsia"/>
          <w:sz w:val="28"/>
          <w:szCs w:val="28"/>
        </w:rPr>
      </w:pPr>
      <w:r>
        <w:rPr>
          <w:rFonts w:hint="eastAsia"/>
          <w:sz w:val="30"/>
          <w:szCs w:val="30"/>
        </w:rPr>
        <w:t>专业：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>兵器科学与技术</w:t>
      </w:r>
      <w:r>
        <w:rPr>
          <w:rFonts w:hint="eastAsia"/>
          <w:sz w:val="30"/>
          <w:szCs w:val="30"/>
          <w:u w:val="single"/>
        </w:rPr>
        <w:t xml:space="preserve">     </w:t>
      </w:r>
      <w:bookmarkStart w:id="0" w:name="_GoBack"/>
      <w:bookmarkEnd w:id="0"/>
    </w:p>
    <w:p w14:paraId="5BD34CCD">
      <w:pPr>
        <w:spacing w:line="600" w:lineRule="auto"/>
        <w:ind w:firstLine="2403" w:firstLineChars="801"/>
        <w:rPr>
          <w:rFonts w:hint="eastAsia"/>
          <w:sz w:val="28"/>
          <w:szCs w:val="28"/>
        </w:rPr>
      </w:pPr>
      <w:r>
        <w:rPr>
          <w:rFonts w:hint="eastAsia"/>
          <w:sz w:val="30"/>
          <w:szCs w:val="30"/>
        </w:rPr>
        <w:t>学号：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S202501043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</w:p>
    <w:p w14:paraId="54362C36">
      <w:pPr>
        <w:spacing w:line="600" w:lineRule="auto"/>
        <w:ind w:firstLine="2400" w:firstLineChars="80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30"/>
          <w:szCs w:val="30"/>
        </w:rPr>
        <w:t>姓名：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>强秉旭</w:t>
      </w:r>
      <w:r>
        <w:rPr>
          <w:sz w:val="28"/>
          <w:szCs w:val="28"/>
          <w:u w:val="single"/>
        </w:rPr>
        <w:t xml:space="preserve">          </w:t>
      </w:r>
    </w:p>
    <w:p w14:paraId="3D4B085B">
      <w:pPr>
        <w:jc w:val="left"/>
        <w:rPr>
          <w:rFonts w:hint="eastAsia"/>
          <w:sz w:val="18"/>
          <w:szCs w:val="18"/>
          <w:u w:val="single"/>
        </w:rPr>
      </w:pPr>
    </w:p>
    <w:p w14:paraId="028C64C0">
      <w:pPr>
        <w:jc w:val="left"/>
        <w:rPr>
          <w:rFonts w:hint="eastAsia"/>
          <w:sz w:val="48"/>
          <w:szCs w:val="52"/>
          <w:u w:val="single"/>
        </w:rPr>
      </w:pPr>
    </w:p>
    <w:p w14:paraId="5F01DD7C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 xml:space="preserve">     2025年</w:t>
      </w:r>
      <w:r>
        <w:rPr>
          <w:rFonts w:hint="eastAsia"/>
          <w:sz w:val="32"/>
          <w:szCs w:val="36"/>
          <w:lang w:val="en-US" w:eastAsia="zh-CN"/>
        </w:rPr>
        <w:t>4</w:t>
      </w:r>
      <w:r>
        <w:rPr>
          <w:rFonts w:hint="eastAsia"/>
          <w:sz w:val="32"/>
          <w:szCs w:val="36"/>
        </w:rPr>
        <w:t>月</w:t>
      </w:r>
    </w:p>
    <w:p w14:paraId="659ABFAE">
      <w:pPr>
        <w:jc w:val="center"/>
        <w:rPr>
          <w:rFonts w:hint="eastAsia"/>
          <w:sz w:val="32"/>
          <w:szCs w:val="36"/>
        </w:rPr>
      </w:pPr>
    </w:p>
    <w:p w14:paraId="7CB85AB0">
      <w:pPr>
        <w:spacing w:line="360" w:lineRule="auto"/>
        <w:jc w:val="center"/>
        <w:rPr>
          <w:rFonts w:hint="eastAsia" w:ascii="黑体" w:hAnsi="黑体" w:eastAsia="黑体"/>
          <w:sz w:val="30"/>
          <w:szCs w:val="30"/>
        </w:rPr>
        <w:sectPr>
          <w:pgSz w:w="11906" w:h="16838"/>
          <w:pgMar w:top="1417" w:right="1531" w:bottom="1134" w:left="1587" w:header="851" w:footer="992" w:gutter="0"/>
          <w:cols w:space="0" w:num="1"/>
          <w:docGrid w:type="lines" w:linePitch="312" w:charSpace="0"/>
        </w:sectPr>
      </w:pPr>
    </w:p>
    <w:p>
      <w:pPr>
        <w:pStyle w:val="6"/>
        <w:spacing w:line="360" w:lineRule="auto" w:before="0" w:after="0"/>
        <w:ind w:firstLine="0"/>
        <w:jc w:val="center"/>
      </w:pPr>
      <w:r>
        <w:rPr>
          <w:rFonts w:ascii="Times New Roman" w:hAnsi="Times New Roman" w:eastAsia="黑体"/>
          <w:b w:val="0"/>
          <w:sz w:val="32"/>
        </w:rPr>
        <w:t>面向低空经济的模块化无人机商业模式研究——研究生创新能力培养与生涯规划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摘要：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低空经济进入政策、技术与需求共振阶段，无人机产业正在从单机硬件竞争转向“平台能力+行业解决方案”竞争。本文以“模块化无人机商业模式方案”为对象，结合研究生培养场景，围绕价值主张、客户分层、盈利结构、渠道策略、核心壁垒与风险控制进行系统分析，并据此提出一套“科研—产品—市场”联动的创新训练路径。文章进一步将商业模式分析转化为个人生涯规划框架，给出在校阶段、毕业后三到五年、五到十年的能力建设目标与实施指标。研究认为，研究生创新不应停留在论文与比赛层面，而应通过真实产业问题训练问题定义能力、系统集成能力和跨学科协同能力；在此基础上，形成可验证、可迭代、可落地的职业发展路线，才能在低空经济新赛道中建立长期竞争力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关键词：研究生创新；生涯规划；低空经济；模块化无人机；商业模式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一、问题缘起与个人定位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近年来，我国低空经济政策密集出台，空域管理逐步优化，应用需求从“能飞”转向“好用、可管、可规模化复制”。在这一背景下，传统一体化无人机在多行业场景中暴露出适配成本高、升级周期长、维护效率低的问题。模块化无人机通过“硬件可插拔、功能可定义、软件可扩展”的架构思路，为多场景复用和全生命周期服务提供了可能。对研究生而言，这不仅是一个技术课题，更是一个系统性创新课题：它同时要求技术理解、产业判断、商业建模和组织协同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结合个人专业背景（兵器科学与技术）和兴趣方向，我将“模块化无人机商业模式”确定为研究生阶段的主线研究对象。选择该方向有三点考虑。第一，方向具有明确的工程问题边界，便于形成可分解、可验证的研究任务。第二，方向天然跨学科，既涉及飞行平台与载荷系统，也涉及算法、软件架构、运维体系和市场策略，能够倒逼能力结构升级。第三，方向具有现实需求牵引，农业植保、工业巡检、安防应急和影视航拍等场景已有成熟需求，可以为研究成果提供真实验证环境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因此，本文的核心目标不是单纯写一份“商业计划说明”，而是通过商业模式分析反推研究生创新路径：我需要在研究生阶段完成哪些能力建设，如何把课程学习、科研训练和产业实践组织为一个闭环，如何在毕业后持续迭代并形成个人职业护城河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二、行业环境与机会窗口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从行业层面看，低空经济呈现“政策牵引、需求分化、技术下沉、生态重构”四个特征。政策层面，国家与地方正在推动低空基础设施建设、应用示范与产业集聚，政策红利从概念鼓励转向项目落地。需求层面，客户不再只购买飞行器本体，而是更关注交付结果，例如农业场景关注作业效率与药液利用率，工业场景关注故障识别准确率与巡检闭环，安防场景关注响应时延与联动能力。技术层面，传感器、边缘算力和视觉算法成本持续下降，使“平台化+模块化”成为可行路径。生态层面，行业从单点设备竞争走向“硬件、软件、数据、服务”协同竞争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机会窗口也十分明确。其一，存量无人机升级需求快速释放，大量用户并不希望频繁更换整机，而是希望通过模块扩展实现功能升级。其二，行业客户对标准化接口与稳定运维服务需求上升，愿意为长期服务订阅付费。其三，区域示范项目对可复制、可监管、可评估的解决方案更友好，这与模块化平台思路高度匹配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当然，窗口期并不意味着低门槛。行业同时存在三类约束：第一类是技术约束，多模块协同会引入兼容性、稳定性与实时性问题；第二类是组织约束，跨领域团队协同难度高，产品定义与研发节奏容易错位；第三类是合规约束，数据安全、空域审批和行业标准都会影响项目落地速度。对研究生而言，真正的创新价值并不在于“提出一个概念”，而在于识别约束并设计可执行的工程路径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三、模块化无人机商业模式设计</w:t>
      </w:r>
    </w:p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3.1 价值主张：从“卖设备”转向“交付能力”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模块化无人机商业模式的第一原则，是把价值单位从“整机参数”转为“场景任务完成度”。客户采购无人机的根本目的，不是拥有一台机器，而是稳定完成作业任务。基于这一逻辑，平台的核心价值可表述为三句话：第一，硬件可插拔，降低场景切换成本；第二，功能可定义，缩短需求到上线的周期；第三，数据可沉淀，提升长期运营效率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农业场景中，价值体现为“同一平台可快速切换喷洒、巡查、病虫害识别等能力”，减少季节性作业期间的设备闲置。在工业巡检场景中，价值体现为“通过统一平台接入不同检测模块，提升巡检标准化水平与故障定位速度”。在安防应急场景中，价值体现为“模块快速更换与系统联动”，提升突发事件响应效率。由此可见，模块化不是简单的结构拆分，而是以系统架构重塑交付方式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3.2 客户细分与需求洞察：分层服务而非同质供给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基于PPT方案中的客户分类，可将目标客户划分为三层。第一层是中小企业客户，核心诉求是高性价比和快速部署，预算敏感但决策链短。第二层是大型集团与公共机构客户，核心诉求是稳定、安全、合规和系统集成，采购流程长但合同规模大。第三层是创新研发团队与专业服务商，核心诉求是接口开放、迭代速度和定制能力，愿意参与共创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不同客户层决定不同产品包。对中小客户，应提供“标准化硬件模块+轻量化软件服务”的入门方案，降低试错成本。对大型客户，应提供“私有化部署+运维SLA+数据合规方案”的企业级包。对研发团队，应提供API、开发文档和测试沙箱，形成生态共建。若采用一套产品和一套价格覆盖全部客户，短期看似管理简单，长期会导致交付失焦、资源浪费和客户流失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客户洞察还应前移到“场景任务拆解”。例如农业客户口头上提出的是“提高效率”，实际可拆为航线规划效率、药液利用率、设备可用率、运维响应时长等指标。工业客户提出“识别准确”，实际要同时关注漏检率、误报率、模型更新周期和跨设备一致性。只有把抽象诉求转化为可度量指标，商业模式才具备持续优化基础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3.3 收入结构与成本结构：建立可持续现金流模型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该方案的收入结构应坚持“硬件收入打入口、软件服务做复利、运维服务稳现金流”的组合思路。第一部分收入来自定制化模块销售，包括视觉感知模块、特定作业模块和功能扩展组件。第二部分收入来自SaaS订阅服务，包括数据分析、巡检报告、任务编排和远程运维平台。第三部分收入来自运维服务，包括维修替换、年度保养、驻场支持和培训服务。第四部分可探索数据增值服务，例如行业报告、作业效率分析与风险预警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成本结构上，要重点控制三类成本：研发成本、交付成本和服务成本。研发成本不是越低越好，而是要提高“可复用率”，减少为单一客户重复开发。交付成本要通过模块标准化、安装流程规范化和测试自动化来下降。服务成本要通过远程诊断能力、备件体系和分级响应机制来优化。若仅关注销售规模而忽视服务成本，容易出现“收入增长但利润恶化”的陷阱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从财务稳健性角度，建议在研究阶段就建立关键指标：订阅收入占比、客户续约率、单客户生命周期价值（LTV）、客户获取成本（CAC）、服务毛利率、平均故障恢复时间（MTTR）。这些指标不是企业成熟后才需要，而是从产品定义阶段就应纳入验证框架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3.4 渠道与市场策略：线上线下协同与场景样板牵引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渠道策略应遵循“样板场景先行、行业口碑扩散、平台化运营放大”路径。在线下，可依托高校实验平台、行业合作伙伴和示范基地开展联合验证，优先选择可量化收益的场景做样板项目。样板项目的作用不只是卖出第一单，更重要的是形成标准交付模板和可复用案例库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线上，应构建面向不同客群的数字化触达体系。对中小客户，重点提供标准化方案展示、报价配置与运维工单系统，降低沟通成本。对大型客户，重点提供技术白皮书、合规说明和案例复盘材料，缩短评估周期。对研发客群，重点建设开发者社区和接口文档中心，形成生态传播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市场策略上，不建议在早期追求“全行业覆盖”。更有效的方法是先在两到三个高价值场景形成深度能力，例如农业植保+工业巡检+安防应急。每个场景形成“模块组合、数据闭环、服务标准”三件套后，再横向迁移。这样既能保证研发投入产出比，也有利于组织形成清晰的能力边界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3.5 核心资源、能力与竞争壁垒：构建长期优势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模块化无人机的竞争壁垒不在单个硬件参数，而在“系统化能力”。第一项核心能力是跨品牌兼容中间件能力，能够稳定管理不同设备、不同协议和不同模块。第二项核心能力是场景化AI模型库能力，模型不追求泛化到所有场景，而强调在目标场景中持续提升可用性和可靠性。第三项核心能力是模块化操作系统能力，实现即插即用、状态感知和任务编排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资源层面，需要同步建设专利布局、数据资产和交付方法论。专利不是数量竞赛，而是要围绕接口协议、模块通信、任务调度和关键算法形成组合保护。数据资产不仅是采集数据，更包括标注规范、数据治理和反馈闭环。交付方法论要沉淀为标准流程，确保人员扩张后服务质量不失控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此外，团队结构同样是壁垒。该方向需要“懂飞行平台的人、懂算法的人、懂行业流程的人、懂产品与运营的人”协同。研究生阶段如果能提前进入这种跨职能协作环境，将显著提升未来在复杂项目中的组织能力与决策能力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3.6 风险评估与应对：把不确定性前置管理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技术风险主要体现在模型准确性波动、模块兼容性不足和高并发场景稳定性下降。应对策略是建立“预研—测试—回归”机制：对高风险功能先小范围灰度，关键链路保留人工复核，形成数据反馈闭环。市场风险主要体现在行业竞争加剧与客户预算波动。应对策略是坚持差异化场景深耕，避免与头部厂商在同质化产品上正面竞争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政策与合规风险同样不可忽视，尤其是数据安全、空域管理和行业准入。应对策略应包括私有化部署选项、分级权限体系、敏感数据本地化存储和审计追踪机制。组织风险则常表现为需求变更频繁、团队协同效率下降。应通过里程碑管理、责任边界定义和复盘机制降低管理摩擦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风险管理的关键，不是写一份“风险清单”就结束，而是把风险指标嵌入日常运营：例如模型误报率阈值、系统可用性红线、项目交付延迟预警、合规检查频次等。只有把风险管理从“文档动作”变成“运营动作”，商业模式才具备可持续性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四、研究生阶段创新路径设计</w:t>
      </w:r>
    </w:p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4.1 研究问题定义：从需求出发，反推技术课题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研究生创新最常见的问题是“先有技术，再找场景”。在该方向中，应反过来：先从场景任务出发，再定义技术问题。以农业植保为例，可先定义“作业效率与覆盖质量提升”目标，再分解为路径规划、识别精度、能耗管理和运维响应等子问题。每个子问题都应有可测指标与验证数据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在选题方法上，我将采用“问题树+指标树”双树法。问题树用于识别根因与约束，指标树用于定义验收标准。这样可避免研究过程被“新技术名词”牵着走，确保每一步研究都能回到业务价值。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4.2 技术路线：平台化架构与实验闭环并重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技术路线分为三层。底层为硬件与通信层，目标是形成稳定可扩展的模块接口与通信协议。中层为算法与调度层，目标是提升识别能力、任务编排效率与资源利用率。上层为应用与运维层，目标是实现可视化管理、远程诊断和快速迭代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实验方法上，坚持“小步快跑、闭环验证”。每个功能模块都设置离线评估与在线验证两个阶段。离线评估关注模型指标与稳定性，在线验证关注真实场景表现与运维成本。通过这种双阶段机制，减少“实验室效果很好、现场表现不稳”的落差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4.3 产学协同：把课程、科研与项目连成一条线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课程学习不应与科研割裂。可将系统工程、控制理论、数据分析、技术管理等课程知识直接映射到项目任务。科研工作不应只面向论文发表，还应面向工程复现和产品可用性。项目实践不应只追求短期交付，还应反哺研究问题迭代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为实现协同，我计划建立“三账本”机制：学习账本记录理论工具，研究账本记录问题与实验，项目账本记录交付与反馈。每月进行一次交叉复盘，检查三者是否形成闭环。通过可追踪的过程管理，提高创新训练效率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4.4 阶段成果计划：用里程碑管理创新进度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第一阶段（0—6个月）：完成行业调研、需求拆解和技术可行性验证，输出需求说明书、系统架构草图和最小可行原型。第二阶段（6—18个月）：完成关键模块开发与场景试点，输出算法报告、性能评估与初步论文。第三阶段（18—30个月）：完成系统优化与规模化验证，输出可部署方案、知识产权成果和高质量论文。第四阶段（30个月以后）：沉淀方法论，形成可迁移的创新框架与职业转化成果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这种分阶段设计的意义在于，将“远目标”拆解为“可执行任务”，并通过阶段成果持续校正方向，避免研究生后期集中冲刺导致质量不稳。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五、生涯规划：从研究生到产业创新者</w:t>
      </w:r>
    </w:p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5.1 短期规划（在校阶段）：夯实方法论与工程能力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短期目标是完成“学术能力+工程能力+表达能力”三位一体建设。学术能力方面，重点提升问题定义、文献分析与实验设计能力。工程能力方面，重点提升系统集成、版本管理与测试验证能力。表达能力方面，重点提升技术写作、方案汇报和跨团队沟通能力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具体执行上，每学期至少完成一项可落地的小型场景项目；每半年形成一次结构化复盘，评估能力短板；每年完成一篇高质量论文或一项实用型成果，确保知识生产与应用实践同步推进。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5.2 中期规划（毕业后3—5年）：形成“技术+产品”复合型角色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中期目标不是单纯成为“会写代码的人”或“会做汇报的人”，而是成为能够在技术与业务之间建立连接的复合型人才。岗位路径可选择技术产品经理、算法工程负责人或行业解决方案负责人。核心任务是把技术能力转化为可交付价值，并在多项目协同中建立方法论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这一阶段的关键成长点包括：建立跨部门协同能力、形成指标驱动决策习惯、掌握成本与收益分析框架、提升组织影响力。只有把“技术正确”与“商业可行”统一起来，职业发展才具备持续上升空间。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>5.3 长期规划（5—10年）：成为低空经济领域的创新组织者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长期目标是成为能够主导复杂创新项目的组织者，具备方向判断、资源整合、团队建设和风险治理能力。理想状态下，应能独立推动一个从需求识别、技术方案、商业落地到规模化复制的完整项目周期。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长期能力建设中，我将重点关注三方面：第一，持续学习能力，保持对新技术与新政策的敏感性；第二，系统治理能力，能够在不确定环境下组织协同；第三，产业洞察能力，能够提前识别机会窗口并快速形成行动方案。最终目标不是追求头衔，而是在真实场景中持续创造可验证价值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六、实施计划与考核指标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为了保证规划可执行，本文给出可量化的指标体系。学习维度：每学期完成核心课程成绩目标与方法论笔记沉淀；研究维度：年度论文、专利或软件著作产出不少于既定阈值；工程维度：关键模块迭代周期、系统稳定性、故障恢复时间达到目标范围；项目维度：样板场景交付数量、客户反馈满意度和续约意向持续改善；职业维度：跨团队协作项目数量、公开汇报质量和行业影响力逐年提升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管理机制上，采用“月度检查—季度复盘—年度评估”三级节奏。月度检查关注执行进度，季度复盘关注方法有效性，年度评估关注目标达成与方向修正。若出现偏差，优先修正任务路径而非简单增加工作量，以避免低效内耗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此外，考虑到研究生阶段时间资源有限，应坚持“优先级管理”。优先做对长期能力建设贡献最大的任务，避免被短期事务切割。对每项任务都明确“为什么做、做到什么程度、如何评估结果”，用结构化方法替代经验化管理。</w:t>
      </w:r>
    </w:p>
    <w:p/>
    <w:p>
      <w:pPr>
        <w:pStyle w:val="6"/>
        <w:spacing w:line="360" w:lineRule="auto" w:before="0" w:after="0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>七、结语</w:t>
      </w:r>
    </w:p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“研究生创新与生涯规划”如果只停留在口号层面，最终很容易变成临时性的努力；只有把创新对象具体化、把能力路径结构化、把执行机制指标化，规划才会真正落地。模块化无人机商业模式之所以适合作为本课题的实践方向，在于它同时具备技术深度、产业价值和组织复杂度，能够全面训练研究生在真实世界中的创新能力。</w:t>
      </w:r>
    </w:p>
    <w:p/>
    <w:p>
      <w:pPr>
        <w:pStyle w:val="6"/>
        <w:spacing w:line="360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对我而言，这份作业不是阶段性总结，而是一份可持续迭代的行动蓝图。未来我将以低空经济场景为牵引，以模块化平台思维为方法，以“问题定义—方案构建—验证迭代—价值交付”为主线，持续推进个人能力升级与职业路径建设。只有把每一次学习、每一次实验、每一次项目交付都纳入同一条成长链路，才能在快速变化的产业环境中保持竞争力，并真正实现从“完成任务”到“创造价值”的转变。</w:t>
      </w:r>
    </w:p>
    <w:sectPr>
      <w:headerReference r:id="rId3" w:type="default"/>
      <w:pgSz w:w="11906" w:h="16838"/>
      <w:pgMar w:top="1383" w:right="1531" w:bottom="1440" w:left="1587" w:header="851" w:footer="992" w:gutter="0"/>
      <w:pgNumType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331BE">
    <w:pPr>
      <w:pStyle w:val="3"/>
      <w:rPr>
        <w:rFonts w:hint="eastAsia"/>
      </w:rPr>
    </w:pPr>
    <w:r>
      <w:rPr>
        <w:rFonts w:ascii="黑体" w:hAnsi="黑体" w:eastAsia="黑体"/>
        <w:sz w:val="21"/>
        <w:szCs w:val="21"/>
      </w:rPr>
      <w:t>中北大学</w:t>
    </w:r>
    <w:r>
      <w:rPr>
        <w:rFonts w:hint="eastAsia" w:ascii="黑体" w:hAnsi="黑体" w:eastAsia="黑体"/>
        <w:sz w:val="21"/>
        <w:szCs w:val="21"/>
      </w:rPr>
      <w:t>硕士研究生实践课程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4E946"/>
    <w:multiLevelType w:val="singleLevel"/>
    <w:tmpl w:val="3AA4E9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0YjA4M2Y5OTljNTQ4NzY4YzllOWJjZmYyYWExOTkifQ=="/>
  </w:docVars>
  <w:rsids>
    <w:rsidRoot w:val="00877284"/>
    <w:rsid w:val="00442B18"/>
    <w:rsid w:val="0079337A"/>
    <w:rsid w:val="0080293C"/>
    <w:rsid w:val="008147FC"/>
    <w:rsid w:val="00877284"/>
    <w:rsid w:val="008869F6"/>
    <w:rsid w:val="00DC61AC"/>
    <w:rsid w:val="01A3509B"/>
    <w:rsid w:val="04E23328"/>
    <w:rsid w:val="0568221A"/>
    <w:rsid w:val="08BB636A"/>
    <w:rsid w:val="0B21669B"/>
    <w:rsid w:val="0C430B50"/>
    <w:rsid w:val="12635AA8"/>
    <w:rsid w:val="1319260B"/>
    <w:rsid w:val="18B54B84"/>
    <w:rsid w:val="1F8B663F"/>
    <w:rsid w:val="20401B1F"/>
    <w:rsid w:val="204F1D62"/>
    <w:rsid w:val="21820D0A"/>
    <w:rsid w:val="2AD0584D"/>
    <w:rsid w:val="2DAD1E76"/>
    <w:rsid w:val="33552D94"/>
    <w:rsid w:val="37D26604"/>
    <w:rsid w:val="38F80D91"/>
    <w:rsid w:val="395F2E35"/>
    <w:rsid w:val="39D32C64"/>
    <w:rsid w:val="3A3E4582"/>
    <w:rsid w:val="3C4816E7"/>
    <w:rsid w:val="3D3B2031"/>
    <w:rsid w:val="3EDF3E59"/>
    <w:rsid w:val="41597EF3"/>
    <w:rsid w:val="45D9416D"/>
    <w:rsid w:val="4A372D9B"/>
    <w:rsid w:val="4C4C6FD2"/>
    <w:rsid w:val="4DBF5582"/>
    <w:rsid w:val="4EB90223"/>
    <w:rsid w:val="4FB37368"/>
    <w:rsid w:val="529F5982"/>
    <w:rsid w:val="591C1ADA"/>
    <w:rsid w:val="5CA442C0"/>
    <w:rsid w:val="5EB86749"/>
    <w:rsid w:val="60A04429"/>
    <w:rsid w:val="62722E14"/>
    <w:rsid w:val="65436640"/>
    <w:rsid w:val="690B6B6F"/>
    <w:rsid w:val="6DE309C1"/>
    <w:rsid w:val="6E684DEC"/>
    <w:rsid w:val="6FAC19B2"/>
    <w:rsid w:val="71DD7A81"/>
    <w:rsid w:val="73082DC5"/>
    <w:rsid w:val="734C3372"/>
    <w:rsid w:val="7416564C"/>
    <w:rsid w:val="74F77386"/>
    <w:rsid w:val="757029B3"/>
    <w:rsid w:val="77383B2B"/>
    <w:rsid w:val="79393B8B"/>
    <w:rsid w:val="7DCC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论文正文"/>
    <w:qFormat/>
    <w:uiPriority w:val="0"/>
    <w:pPr>
      <w:adjustRightInd w:val="0"/>
      <w:snapToGrid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color w:val="000000"/>
      <w:kern w:val="2"/>
      <w:sz w:val="24"/>
      <w:szCs w:val="24"/>
      <w:lang w:val="en-GB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277</Characters>
  <Lines>2</Lines>
  <Paragraphs>1</Paragraphs>
  <TotalTime>2</TotalTime>
  <ScaleCrop>false</ScaleCrop>
  <LinksUpToDate>false</LinksUpToDate>
  <CharactersWithSpaces>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2025-02-11T07:34:00Z</dcterms:created>
  <dc:creator>Administrator</dc:creator>
  <cp:lastModifiedBy>强秉旭</cp:lastModifiedBy>
  <dcterms:modified xsi:type="dcterms:W3CDTF">2026-04-08T07:09:38Z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6D62CF0C27EE472B9A402A31E77E3DD6</vt:lpwstr>
  </property>
  <property fmtid="{D5CDD505-2E9C-101B-9397-08002B2CF9AE}" pid="4" name="KSOTemplateDocerSaveRecord">
    <vt:lpwstr>eyJoZGlkIjoiYmJlMTM1OTQzNjc4MDU2M2Q4N2QwZWU0ZjYyZTMyZmIiLCJ1c2VySWQiOiIxNzg2NTMwOTA4In0=</vt:lpwstr>
  </property>
</Properties>
</file>