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DF9CB" w14:textId="2FA41C0D" w:rsidR="00041107" w:rsidRDefault="007C2CDC" w:rsidP="007C2CDC">
      <w:pPr>
        <w:spacing w:after="200" w:line="240" w:lineRule="atLeast"/>
        <w:jc w:val="center"/>
        <w:rPr>
          <w:rFonts w:ascii="黑体" w:eastAsia="黑体" w:hAnsi="黑体" w:hint="eastAsia"/>
          <w:b/>
          <w:sz w:val="44"/>
        </w:rPr>
      </w:pPr>
      <w:r>
        <w:rPr>
          <w:rFonts w:ascii="黑体" w:eastAsia="黑体" w:hAnsi="黑体" w:hint="eastAsia"/>
          <w:b/>
          <w:sz w:val="44"/>
        </w:rPr>
        <w:t>我国引信关键技术短板及国际比较研究</w:t>
      </w:r>
    </w:p>
    <w:p w14:paraId="127C4A16" w14:textId="4532F938" w:rsidR="007C2CDC" w:rsidRDefault="007C2CDC" w:rsidP="007C2CDC">
      <w:pPr>
        <w:spacing w:after="80" w:line="240" w:lineRule="atLeast"/>
        <w:jc w:val="center"/>
        <w:rPr>
          <w:rFonts w:ascii="黑体" w:eastAsia="黑体" w:hAnsi="黑体" w:hint="eastAsia"/>
          <w:sz w:val="28"/>
        </w:rPr>
      </w:pPr>
      <w:r>
        <w:rPr>
          <w:rFonts w:ascii="黑体" w:eastAsia="黑体" w:hAnsi="黑体" w:hint="eastAsia"/>
          <w:sz w:val="28"/>
        </w:rPr>
        <w:t>Dominate（4号黑体）</w:t>
      </w:r>
    </w:p>
    <w:p w14:paraId="58F64B6E" w14:textId="7BB8B338" w:rsidR="007C2CDC" w:rsidRDefault="007C2CDC" w:rsidP="007C2CDC">
      <w:pPr>
        <w:spacing w:after="160" w:line="240" w:lineRule="atLeast"/>
        <w:jc w:val="center"/>
        <w:rPr>
          <w:rFonts w:ascii="宋体" w:hAnsi="宋体" w:hint="eastAsia"/>
          <w:sz w:val="18"/>
        </w:rPr>
      </w:pPr>
      <w:r>
        <w:rPr>
          <w:rFonts w:ascii="宋体" w:hAnsi="宋体" w:hint="eastAsia"/>
          <w:sz w:val="18"/>
        </w:rPr>
        <w:t>（1. 作者单位，省市 邮编）</w:t>
      </w:r>
    </w:p>
    <w:p w14:paraId="293BAA71" w14:textId="654EC8D8" w:rsidR="007C2CDC" w:rsidRDefault="007C2CDC" w:rsidP="007C2CDC">
      <w:pPr>
        <w:spacing w:after="80" w:line="240" w:lineRule="atLeast"/>
        <w:ind w:firstLine="420"/>
        <w:jc w:val="left"/>
        <w:rPr>
          <w:rFonts w:ascii="宋体" w:hAnsi="宋体" w:hint="eastAsia"/>
          <w:sz w:val="18"/>
        </w:rPr>
      </w:pPr>
      <w:r>
        <w:rPr>
          <w:rFonts w:ascii="宋体" w:hAnsi="宋体" w:hint="eastAsia"/>
          <w:sz w:val="18"/>
        </w:rPr>
        <w:t>摘要：引信是弹药系统中连接安全保险、任务解保、起爆判定与毁伤控制的关键环节，其工程成熟度直接影响弹药效能、部队保障效率与体系作战稳定性。结合课程材料与公开信息，本文围绕两个问题展开：第一，我国引信当前最需要优先突破的关键技术是什么；第二，与国外先进体系比较，我国处于什么阶段。文章首先梳理了我国约340种引信、部队16类400余种弹药并行保障的现实背景，指出“型号持续迭代与老型号长期保障并存”是当前技术路线与管理模式必须面对的基本约束。在此基础上，本文围绕增程技术链、电磁发射适配、液体发射药条件下的引信鲁棒性、底排增程点火一致性与药柱燃烧规律、滑翔与增程发动机、复合增程协同、激光末制导、激光半主动制导、激光驾束制导、卫星/惯性复合引导、155弹道修正引信、可编程电子时引信、威力可控起爆、多束定向预制破片以及侦察—打击—评估一体化条件下的信息输入与装填等关键方向进行对比分析。研究认为，我国在电子化、可编程化和任务适配方面已形成可观进展，局部方向具备并跑基础，但在标准体系深度、跨型号复用比例、批量一致性、复杂电磁环境下抗干扰稳健性、全寿命周期验证闭环和数据驱动迭代能力方面仍存在阶段差距。面向后续建设，建议以统型化平台和火工品统型为抓手，建立“技术研发—试验验证—规模制造—在役回流”一体化机制，推动引信能力从“单项可用”向“体系稳定可用”跃迁。关键词：引信；统型化；增程技术；制导；弹道修正；可编程时引信；国际比较</w:t>
      </w:r>
    </w:p>
    <w:p w14:paraId="1F898F28" w14:textId="7B45A694" w:rsidR="007C2CDC" w:rsidRDefault="007C2CDC" w:rsidP="007C2CDC">
      <w:pPr>
        <w:spacing w:after="80" w:line="240" w:lineRule="atLeast"/>
        <w:jc w:val="left"/>
        <w:rPr>
          <w:rFonts w:ascii="宋体" w:hAnsi="宋体" w:hint="eastAsia"/>
          <w:sz w:val="18"/>
        </w:rPr>
      </w:pPr>
      <w:r>
        <w:rPr>
          <w:rFonts w:ascii="宋体" w:hAnsi="宋体" w:hint="eastAsia"/>
          <w:sz w:val="18"/>
        </w:rPr>
        <w:t>关键词：引信；统型化；增程技术；制导；弹道修正；可编程时引信；国际比较</w:t>
      </w:r>
    </w:p>
    <w:p w14:paraId="3C9A4539" w14:textId="055E78C6" w:rsidR="007C2CDC" w:rsidRDefault="007C2CDC" w:rsidP="007C2CDC">
      <w:pPr>
        <w:spacing w:after="120" w:line="240" w:lineRule="atLeast"/>
        <w:jc w:val="left"/>
        <w:rPr>
          <w:rFonts w:ascii="宋体" w:hAnsi="宋体" w:hint="eastAsia"/>
          <w:sz w:val="18"/>
        </w:rPr>
      </w:pPr>
      <w:r>
        <w:rPr>
          <w:rFonts w:ascii="宋体" w:hAnsi="宋体" w:hint="eastAsia"/>
          <w:sz w:val="18"/>
        </w:rPr>
        <w:t>中图分类号：TJ   文献标识码：A   文章编号：</w:t>
      </w:r>
    </w:p>
    <w:p w14:paraId="3F0EFD18" w14:textId="3D10600E" w:rsidR="007C2CDC" w:rsidRDefault="007C2CDC" w:rsidP="007C2CDC">
      <w:pPr>
        <w:spacing w:before="120" w:after="80" w:line="240" w:lineRule="atLeast"/>
        <w:jc w:val="center"/>
        <w:rPr>
          <w:b/>
          <w:sz w:val="24"/>
        </w:rPr>
      </w:pPr>
      <w:r>
        <w:rPr>
          <w:b/>
          <w:sz w:val="24"/>
        </w:rPr>
        <w:t>Key Technology Gaps of Chinese Fuzes and Comparative Positioning Against International Advanced Systems</w:t>
      </w:r>
    </w:p>
    <w:p w14:paraId="4E76D497" w14:textId="3FC6898F" w:rsidR="007C2CDC" w:rsidRDefault="007C2CDC" w:rsidP="007C2CDC">
      <w:pPr>
        <w:spacing w:after="40" w:line="240" w:lineRule="atLeast"/>
        <w:jc w:val="center"/>
      </w:pPr>
      <w:r>
        <w:t>Dominate</w:t>
      </w:r>
    </w:p>
    <w:p w14:paraId="6AE76AC7" w14:textId="4AF8327A" w:rsidR="007C2CDC" w:rsidRDefault="007C2CDC" w:rsidP="007C2CDC">
      <w:pPr>
        <w:spacing w:after="80" w:line="240" w:lineRule="atLeast"/>
        <w:jc w:val="center"/>
        <w:rPr>
          <w:sz w:val="18"/>
        </w:rPr>
      </w:pPr>
      <w:r>
        <w:rPr>
          <w:sz w:val="18"/>
        </w:rPr>
        <w:t>(1. Affiliation, City, Postal Code, China)</w:t>
      </w:r>
    </w:p>
    <w:p w14:paraId="7E14BD18" w14:textId="31FA1728" w:rsidR="007C2CDC" w:rsidRDefault="007C2CDC" w:rsidP="007C2CDC">
      <w:pPr>
        <w:spacing w:after="60" w:line="240" w:lineRule="atLeast"/>
        <w:jc w:val="left"/>
        <w:rPr>
          <w:sz w:val="18"/>
        </w:rPr>
      </w:pPr>
      <w:r>
        <w:rPr>
          <w:sz w:val="18"/>
        </w:rPr>
        <w:t xml:space="preserve">Abstract: Fuzes are no longer simple triggering components in modern ammunition systems. They function as integrated control nodes across safety, arming, timing, and terminal effects. Based on open materials and course notes, this paper addresses two questions: what key technologies should be prioritized in China’s fuze development, and where China </w:t>
      </w:r>
      <w:r>
        <w:rPr>
          <w:sz w:val="18"/>
        </w:rPr>
        <w:t>currently stands compared with internationally advanced systems. The study starts from a practical background in which around 340 fuze models coexist with 16 categories and over 400 types of ammunition in service, while rapid model updates and long-term support for legacy models must be handled simultaneously. On this basis, the paper analyzes a set of concrete technology topics, including extended-range technology chains, electromagnetic launch adaptation, liquid propellant environments, base-bleed ignition consistency and grain-burning laws, glide and range-extension engines, hybrid range-extension schemes, terminal laser guidance, semi-active laser guidance, laser beam-riding guidance, satellite/inertial integration, 155 mm trajectory-correction fuzes under high-overload and high-spin conditions, programmable electronic time fuzes, controllable lethality, and fuze information loading in reconnaissance-strike-assessment integrated operations. The analysis indicates that China has made visible progress in electrification and programmability, and has reached a near-parity basis in some domains. However, stage gaps remain in standard-system depth, cross-model reuse ratio, batch consistency, anti-jamming robustness in complex electromagnetic conditions, and full life-cycle verification loops. The paper suggests a development path centered on platform unification, modularization, reliability-first engineering, and closed-loop iteration driven by in-service data.</w:t>
      </w:r>
    </w:p>
    <w:p w14:paraId="44410D5E" w14:textId="28C3B0B8" w:rsidR="007C2CDC" w:rsidRDefault="007C2CDC" w:rsidP="007C2CDC">
      <w:pPr>
        <w:spacing w:after="60" w:line="240" w:lineRule="atLeast"/>
        <w:jc w:val="left"/>
        <w:rPr>
          <w:rFonts w:hint="eastAsia"/>
          <w:sz w:val="18"/>
        </w:rPr>
      </w:pPr>
      <w:r>
        <w:rPr>
          <w:rFonts w:hint="eastAsia"/>
          <w:sz w:val="18"/>
        </w:rPr>
        <w:t xml:space="preserve">Keywords: fuze; key technology; unification; range extension; guidance; reliability; comparative analysis ## 0 </w:t>
      </w:r>
      <w:r>
        <w:rPr>
          <w:rFonts w:hint="eastAsia"/>
          <w:sz w:val="18"/>
        </w:rPr>
        <w:t>引言</w:t>
      </w:r>
      <w:r>
        <w:rPr>
          <w:rFonts w:hint="eastAsia"/>
          <w:sz w:val="18"/>
        </w:rPr>
        <w:t xml:space="preserve"> </w:t>
      </w:r>
      <w:r>
        <w:rPr>
          <w:rFonts w:hint="eastAsia"/>
          <w:sz w:val="18"/>
        </w:rPr>
        <w:t>引信问题在很多讨论中容易被简化为“一个触发器件是否好用”，但工程上它更接近一个受约束的任务控制系统。它不仅决定弹药是否能在目标窗口内起作用，还决定这套体系在长期服役中的稳定性、可维护性和成本可控性。对于课程论文而言，真正有价值的问题不是“单项性能高低”，而是“复杂体系里哪些短板最影响整体效能”。</w:t>
      </w:r>
      <w:r>
        <w:rPr>
          <w:rFonts w:hint="eastAsia"/>
          <w:sz w:val="18"/>
        </w:rPr>
        <w:t xml:space="preserve"> </w:t>
      </w:r>
      <w:r>
        <w:rPr>
          <w:rFonts w:hint="eastAsia"/>
          <w:sz w:val="18"/>
        </w:rPr>
        <w:t>从已给材料看，当前现实状态非常清晰：引信型号多、弹药类别多、任务场景多，而且技术路线在快速演变。现有约</w:t>
      </w:r>
      <w:r>
        <w:rPr>
          <w:rFonts w:hint="eastAsia"/>
          <w:sz w:val="18"/>
        </w:rPr>
        <w:t>340</w:t>
      </w:r>
      <w:r>
        <w:rPr>
          <w:rFonts w:hint="eastAsia"/>
          <w:sz w:val="18"/>
        </w:rPr>
        <w:t>种引信与</w:t>
      </w:r>
      <w:r>
        <w:rPr>
          <w:rFonts w:hint="eastAsia"/>
          <w:sz w:val="18"/>
        </w:rPr>
        <w:t>16</w:t>
      </w:r>
      <w:r>
        <w:rPr>
          <w:rFonts w:hint="eastAsia"/>
          <w:sz w:val="18"/>
        </w:rPr>
        <w:t>类</w:t>
      </w:r>
      <w:r>
        <w:rPr>
          <w:rFonts w:hint="eastAsia"/>
          <w:sz w:val="18"/>
        </w:rPr>
        <w:t>400</w:t>
      </w:r>
      <w:r>
        <w:rPr>
          <w:rFonts w:hint="eastAsia"/>
          <w:sz w:val="18"/>
        </w:rPr>
        <w:t>余种弹药并行，使得研发、验证、生产、装填、保障、训练之间形成高耦合。若继续以一弹一引信模式扩展，体系复杂度会持续累积，边际收益反而下降。这是本文分析的出发点。</w:t>
      </w:r>
      <w:r>
        <w:rPr>
          <w:rFonts w:hint="eastAsia"/>
          <w:sz w:val="18"/>
        </w:rPr>
        <w:t xml:space="preserve"> </w:t>
      </w:r>
      <w:r>
        <w:rPr>
          <w:rFonts w:hint="eastAsia"/>
          <w:sz w:val="18"/>
        </w:rPr>
        <w:t>本文采用“现状约束—关键技术—国际对比—位置判断—发展路径”的结构。与常见综述不同，本文尽量把材料中提到的具体关键词放入分析，例如底排增程点火一致性、高原命中率波动、</w:t>
      </w:r>
      <w:r>
        <w:rPr>
          <w:rFonts w:hint="eastAsia"/>
          <w:sz w:val="18"/>
        </w:rPr>
        <w:t>CEP</w:t>
      </w:r>
      <w:r>
        <w:rPr>
          <w:rFonts w:hint="eastAsia"/>
          <w:sz w:val="18"/>
        </w:rPr>
        <w:t>约束、</w:t>
      </w:r>
      <w:r>
        <w:rPr>
          <w:rFonts w:hint="eastAsia"/>
          <w:sz w:val="18"/>
        </w:rPr>
        <w:t>155</w:t>
      </w:r>
      <w:r>
        <w:rPr>
          <w:rFonts w:hint="eastAsia"/>
          <w:sz w:val="18"/>
        </w:rPr>
        <w:t>弹道修正高过载高旋、可编程电子时引信可靠性等，避免仅给出抽象口号。</w:t>
      </w:r>
      <w:r>
        <w:rPr>
          <w:rFonts w:hint="eastAsia"/>
          <w:sz w:val="18"/>
        </w:rPr>
        <w:t xml:space="preserve"> ## 1 </w:t>
      </w:r>
      <w:r>
        <w:rPr>
          <w:rFonts w:hint="eastAsia"/>
          <w:sz w:val="18"/>
        </w:rPr>
        <w:t>现实约束与需求结构</w:t>
      </w:r>
      <w:r>
        <w:rPr>
          <w:rFonts w:hint="eastAsia"/>
          <w:sz w:val="18"/>
        </w:rPr>
        <w:t xml:space="preserve"> ### 1.1 </w:t>
      </w:r>
      <w:r>
        <w:rPr>
          <w:rFonts w:hint="eastAsia"/>
          <w:sz w:val="18"/>
        </w:rPr>
        <w:t>型号并存与保障压力</w:t>
      </w:r>
      <w:r>
        <w:rPr>
          <w:rFonts w:hint="eastAsia"/>
          <w:sz w:val="18"/>
        </w:rPr>
        <w:t xml:space="preserve"> </w:t>
      </w:r>
      <w:r>
        <w:rPr>
          <w:rFonts w:hint="eastAsia"/>
          <w:sz w:val="18"/>
        </w:rPr>
        <w:t>引信型谱扩张带来的第一个后果是保障链条拉长。型号越多，接口差异越大，测试规程和备件体系就越难统一。材料中提到</w:t>
      </w:r>
      <w:r>
        <w:rPr>
          <w:rFonts w:hint="eastAsia"/>
          <w:sz w:val="18"/>
        </w:rPr>
        <w:t>82</w:t>
      </w:r>
      <w:r>
        <w:rPr>
          <w:rFonts w:hint="eastAsia"/>
          <w:sz w:val="18"/>
        </w:rPr>
        <w:t>弹</w:t>
      </w:r>
      <w:r>
        <w:rPr>
          <w:rFonts w:hint="eastAsia"/>
          <w:sz w:val="18"/>
        </w:rPr>
        <w:t>19</w:t>
      </w:r>
      <w:r>
        <w:rPr>
          <w:rFonts w:hint="eastAsia"/>
          <w:sz w:val="18"/>
        </w:rPr>
        <w:t>个型号并持续更新，反映了典型矛盾：新技术必须进入装备体系，但老型号短期</w:t>
      </w:r>
      <w:r>
        <w:rPr>
          <w:rFonts w:hint="eastAsia"/>
          <w:sz w:val="18"/>
        </w:rPr>
        <w:lastRenderedPageBreak/>
        <w:t>又不能退出。若缺乏统一平台，更新一次就可能同步增加保障复杂度。</w:t>
      </w:r>
      <w:r>
        <w:rPr>
          <w:rFonts w:hint="eastAsia"/>
          <w:sz w:val="18"/>
        </w:rPr>
        <w:t xml:space="preserve"> </w:t>
      </w:r>
      <w:r>
        <w:rPr>
          <w:rFonts w:hint="eastAsia"/>
          <w:sz w:val="18"/>
        </w:rPr>
        <w:t>对部队使用层面而言，型谱复杂还会放大训练和操作负担。不同型号在参数输入、任务配置、状态检查方面若逻辑不一致，实际使用效率会被流程复杂度抵消。换句话说，技术先进性必须与使用一致性同时成立，才会形成可持续优势。</w:t>
      </w:r>
      <w:r>
        <w:rPr>
          <w:rFonts w:hint="eastAsia"/>
          <w:sz w:val="18"/>
        </w:rPr>
        <w:t xml:space="preserve"> ### 1.2 </w:t>
      </w:r>
      <w:r>
        <w:rPr>
          <w:rFonts w:hint="eastAsia"/>
          <w:sz w:val="18"/>
        </w:rPr>
        <w:t>任务从“可起爆”转向“可控作用”</w:t>
      </w:r>
      <w:r>
        <w:rPr>
          <w:rFonts w:hint="eastAsia"/>
          <w:sz w:val="18"/>
        </w:rPr>
        <w:t xml:space="preserve"> </w:t>
      </w:r>
      <w:r>
        <w:rPr>
          <w:rFonts w:hint="eastAsia"/>
          <w:sz w:val="18"/>
        </w:rPr>
        <w:t>早期引信强调安全保险和可靠起爆，而当前任务已经转向“作用窗口可控”。例如可编程电子时引信并不只是把时间设定电子化，而是让引信从固定触发规则转向按任务逻辑触发。材料中提到的威力可控、起爆点可控、多束定向预制破片等方向，都说明引信正在从“执行器”转为“任务控制节点”。</w:t>
      </w:r>
      <w:r>
        <w:rPr>
          <w:rFonts w:hint="eastAsia"/>
          <w:sz w:val="18"/>
        </w:rPr>
        <w:t xml:space="preserve"> ### 1.3 </w:t>
      </w:r>
      <w:r>
        <w:rPr>
          <w:rFonts w:hint="eastAsia"/>
          <w:sz w:val="18"/>
        </w:rPr>
        <w:t>复杂环境下稳健性要求提升</w:t>
      </w:r>
      <w:r>
        <w:rPr>
          <w:rFonts w:hint="eastAsia"/>
          <w:sz w:val="18"/>
        </w:rPr>
        <w:t xml:space="preserve"> </w:t>
      </w:r>
      <w:r>
        <w:rPr>
          <w:rFonts w:hint="eastAsia"/>
          <w:sz w:val="18"/>
        </w:rPr>
        <w:t>高过载、高旋转、高低温循环、强电磁干扰和复杂地形条件，都会让引信设计由“实验室可行”变成“工程可用”难题。材料中高原命中率波动、掉弹、抗干扰不足等现象，本质上都属于稳健性问题。稳健性不足时，单次最佳指标再高，也难以支撑体系稳定输出。</w:t>
      </w:r>
      <w:r>
        <w:rPr>
          <w:rFonts w:hint="eastAsia"/>
          <w:sz w:val="18"/>
        </w:rPr>
        <w:t xml:space="preserve"> ## 2 </w:t>
      </w:r>
      <w:r>
        <w:rPr>
          <w:rFonts w:hint="eastAsia"/>
          <w:sz w:val="18"/>
        </w:rPr>
        <w:t>关键技术短板与具体示例</w:t>
      </w:r>
      <w:r>
        <w:rPr>
          <w:rFonts w:hint="eastAsia"/>
          <w:sz w:val="18"/>
        </w:rPr>
        <w:t xml:space="preserve"> ### 2.1 </w:t>
      </w:r>
      <w:r>
        <w:rPr>
          <w:rFonts w:hint="eastAsia"/>
          <w:sz w:val="18"/>
        </w:rPr>
        <w:t>统型化与火工品统型</w:t>
      </w:r>
      <w:r>
        <w:rPr>
          <w:rFonts w:hint="eastAsia"/>
          <w:sz w:val="18"/>
        </w:rPr>
        <w:t xml:space="preserve"> </w:t>
      </w:r>
      <w:r>
        <w:rPr>
          <w:rFonts w:hint="eastAsia"/>
          <w:sz w:val="18"/>
        </w:rPr>
        <w:t>统型不是简单减少型号数量，而是把共性能力抽取出来，形成平台层标准。对于当前</w:t>
      </w:r>
      <w:r>
        <w:rPr>
          <w:rFonts w:hint="eastAsia"/>
          <w:sz w:val="18"/>
        </w:rPr>
        <w:t>16</w:t>
      </w:r>
      <w:r>
        <w:rPr>
          <w:rFonts w:hint="eastAsia"/>
          <w:sz w:val="18"/>
        </w:rPr>
        <w:t>类</w:t>
      </w:r>
      <w:r>
        <w:rPr>
          <w:rFonts w:hint="eastAsia"/>
          <w:sz w:val="18"/>
        </w:rPr>
        <w:t>400</w:t>
      </w:r>
      <w:r>
        <w:rPr>
          <w:rFonts w:hint="eastAsia"/>
          <w:sz w:val="18"/>
        </w:rPr>
        <w:t>余种弹药并行的现实，统型化至少应包含三层：结构接口统一、信息接口统一、安全逻辑统一。火工品统型则对应生产与保障端降复杂度，是“研发端平台化”向“制造端一致化”延伸。</w:t>
      </w:r>
      <w:r>
        <w:rPr>
          <w:rFonts w:hint="eastAsia"/>
          <w:sz w:val="18"/>
        </w:rPr>
        <w:t xml:space="preserve"> </w:t>
      </w:r>
      <w:r>
        <w:rPr>
          <w:rFonts w:hint="eastAsia"/>
          <w:sz w:val="18"/>
        </w:rPr>
        <w:t>如果没有统型化，后续可编程、抗干扰、数据回流这些能力都会被型号碎片化抵消。对我国而言，统型化是所有升级路线的前置条件，而不是可选项。</w:t>
      </w:r>
      <w:r>
        <w:rPr>
          <w:rFonts w:hint="eastAsia"/>
          <w:sz w:val="18"/>
        </w:rPr>
        <w:t xml:space="preserve"> ### 2.2 </w:t>
      </w:r>
      <w:r>
        <w:rPr>
          <w:rFonts w:hint="eastAsia"/>
          <w:sz w:val="18"/>
        </w:rPr>
        <w:t>增程技术链的协同问题</w:t>
      </w:r>
      <w:r>
        <w:rPr>
          <w:rFonts w:hint="eastAsia"/>
          <w:sz w:val="18"/>
        </w:rPr>
        <w:t xml:space="preserve"> </w:t>
      </w:r>
      <w:r>
        <w:rPr>
          <w:rFonts w:hint="eastAsia"/>
          <w:sz w:val="18"/>
        </w:rPr>
        <w:t>材料提到的人增程技术、电磁发射、液体发射药、底排增程、滑翔、增程发动机、复合增程，构成一条连续链路。链路的工程特征是“前段条件变化会传导到末段作用”，因此不能只在某个节点做局部优化。</w:t>
      </w:r>
      <w:r>
        <w:rPr>
          <w:rFonts w:hint="eastAsia"/>
          <w:sz w:val="18"/>
        </w:rPr>
        <w:t xml:space="preserve"> </w:t>
      </w:r>
      <w:r>
        <w:rPr>
          <w:rFonts w:hint="eastAsia"/>
          <w:sz w:val="18"/>
        </w:rPr>
        <w:t>以底排增程为例，点火一致性差会导致外弹道离散增大；若对药柱燃烧规律掌握不足，就会出现工况适配性不足与批量差异放大问题。对论文分析而言，这说明差距不在单个参数，而在“规律建模</w:t>
      </w:r>
      <w:r>
        <w:rPr>
          <w:rFonts w:hint="eastAsia"/>
          <w:sz w:val="18"/>
        </w:rPr>
        <w:t>+</w:t>
      </w:r>
      <w:r>
        <w:rPr>
          <w:rFonts w:hint="eastAsia"/>
          <w:sz w:val="18"/>
        </w:rPr>
        <w:t>工艺控制</w:t>
      </w:r>
      <w:r>
        <w:rPr>
          <w:rFonts w:hint="eastAsia"/>
          <w:sz w:val="18"/>
        </w:rPr>
        <w:t>+</w:t>
      </w:r>
      <w:r>
        <w:rPr>
          <w:rFonts w:hint="eastAsia"/>
          <w:sz w:val="18"/>
        </w:rPr>
        <w:t>验证体系”的系统能力。</w:t>
      </w:r>
      <w:r>
        <w:rPr>
          <w:rFonts w:hint="eastAsia"/>
          <w:sz w:val="18"/>
        </w:rPr>
        <w:t xml:space="preserve"> </w:t>
      </w:r>
      <w:r>
        <w:rPr>
          <w:rFonts w:hint="eastAsia"/>
          <w:sz w:val="18"/>
        </w:rPr>
        <w:t>电磁发射与液体发射药方向同样如此。发射条件变化会改变引信承受的冲击谱和时序边界，传统经验参数不能直接平移，必须重新建立鲁棒设计与试验映射关系。</w:t>
      </w:r>
      <w:r>
        <w:rPr>
          <w:rFonts w:hint="eastAsia"/>
          <w:sz w:val="18"/>
        </w:rPr>
        <w:t xml:space="preserve"> ### 2.3 </w:t>
      </w:r>
      <w:r>
        <w:rPr>
          <w:rFonts w:hint="eastAsia"/>
          <w:sz w:val="18"/>
        </w:rPr>
        <w:t>滑翔、增程发动机与复合增程</w:t>
      </w:r>
      <w:r>
        <w:rPr>
          <w:rFonts w:hint="eastAsia"/>
          <w:sz w:val="18"/>
        </w:rPr>
        <w:t xml:space="preserve"> </w:t>
      </w:r>
      <w:r>
        <w:rPr>
          <w:rFonts w:hint="eastAsia"/>
          <w:sz w:val="18"/>
        </w:rPr>
        <w:t>滑翔和增程发动机方向的价值在于提升射程覆盖与打击窗口，但其代价是引信任务状态机更复杂。复合增程模式下，引信需要处理更多状态切换和环境判据，若缺少统一参数模型与边界条件管理，容易出现“局部功能可用、整体一致性不足”的问题。</w:t>
      </w:r>
      <w:r>
        <w:rPr>
          <w:rFonts w:hint="eastAsia"/>
          <w:sz w:val="18"/>
        </w:rPr>
        <w:t xml:space="preserve"> </w:t>
      </w:r>
      <w:r>
        <w:rPr>
          <w:rFonts w:hint="eastAsia"/>
          <w:sz w:val="18"/>
        </w:rPr>
        <w:t>因此，增程路线要同时推进两类工作：一类是推进与飞行链路技术，另一类是引信状态管理与判据验证。两者缺一不可。</w:t>
      </w:r>
      <w:r>
        <w:rPr>
          <w:rFonts w:hint="eastAsia"/>
          <w:sz w:val="18"/>
        </w:rPr>
        <w:t xml:space="preserve"> ### 2.4 </w:t>
      </w:r>
      <w:r>
        <w:rPr>
          <w:rFonts w:hint="eastAsia"/>
          <w:sz w:val="18"/>
        </w:rPr>
        <w:t>激光末制导与激光半主动制导</w:t>
      </w:r>
      <w:r>
        <w:rPr>
          <w:rFonts w:hint="eastAsia"/>
          <w:sz w:val="18"/>
        </w:rPr>
        <w:t xml:space="preserve"> </w:t>
      </w:r>
      <w:r>
        <w:rPr>
          <w:rFonts w:hint="eastAsia"/>
          <w:sz w:val="18"/>
        </w:rPr>
        <w:t>材料明确指出激光末制导导弹存在掉弹和高原命中率低的问题。这类问题在工程上通常与解算速度、控制余度和环境适配有关。简单提升某个模块性能未必有效，必须从链路角度处理“探测—解算—控制—作用”全过程延迟与误差积累。</w:t>
      </w:r>
      <w:r>
        <w:rPr>
          <w:rFonts w:hint="eastAsia"/>
          <w:sz w:val="18"/>
        </w:rPr>
        <w:t xml:space="preserve"> </w:t>
      </w:r>
      <w:r>
        <w:rPr>
          <w:rFonts w:hint="eastAsia"/>
          <w:sz w:val="18"/>
        </w:rPr>
        <w:t>激光半主动制导方向的典型矛盾</w:t>
      </w:r>
      <w:r>
        <w:rPr>
          <w:rFonts w:hint="eastAsia"/>
          <w:sz w:val="18"/>
        </w:rPr>
        <w:t>是射程与稳定性平衡。射程拉长后，环境扰动和链路误差更难控制，若没有足够抗干扰和状态补偿机制，命中稳定性会下降。论文写作中应避免把这类问题写成单点故障，更准确的表述是“系统稳健性短板”。</w:t>
      </w:r>
      <w:r>
        <w:rPr>
          <w:rFonts w:hint="eastAsia"/>
          <w:sz w:val="18"/>
        </w:rPr>
        <w:t xml:space="preserve"> ### 2.5 </w:t>
      </w:r>
      <w:r>
        <w:rPr>
          <w:rFonts w:hint="eastAsia"/>
          <w:sz w:val="18"/>
        </w:rPr>
        <w:t>激光驾束制导与图像制导适配</w:t>
      </w:r>
      <w:r>
        <w:rPr>
          <w:rFonts w:hint="eastAsia"/>
          <w:sz w:val="18"/>
        </w:rPr>
        <w:t xml:space="preserve"> </w:t>
      </w:r>
      <w:r>
        <w:rPr>
          <w:rFonts w:hint="eastAsia"/>
          <w:sz w:val="18"/>
        </w:rPr>
        <w:t>激光驾束制导在特定场景下仍有优势，但其直瞄依赖意味着平台暴露风险增加。材料中提到“易反杀”等描述，本质是战术使用约束。图像制导方向则在复杂背景下对算力和抗干扰提出更高要求。对引信而言，关键是与制导链路的接口稳定，而不是单独追求功能堆叠。</w:t>
      </w:r>
      <w:r>
        <w:rPr>
          <w:rFonts w:hint="eastAsia"/>
          <w:sz w:val="18"/>
        </w:rPr>
        <w:t xml:space="preserve"> ### 2.6 </w:t>
      </w:r>
      <w:r>
        <w:rPr>
          <w:rFonts w:hint="eastAsia"/>
          <w:sz w:val="18"/>
        </w:rPr>
        <w:t>卫星</w:t>
      </w:r>
      <w:r>
        <w:rPr>
          <w:rFonts w:hint="eastAsia"/>
          <w:sz w:val="18"/>
        </w:rPr>
        <w:t>/</w:t>
      </w:r>
      <w:r>
        <w:rPr>
          <w:rFonts w:hint="eastAsia"/>
          <w:sz w:val="18"/>
        </w:rPr>
        <w:t>惯性复合与</w:t>
      </w:r>
      <w:r>
        <w:rPr>
          <w:rFonts w:hint="eastAsia"/>
          <w:sz w:val="18"/>
        </w:rPr>
        <w:t>CEP</w:t>
      </w:r>
      <w:r>
        <w:rPr>
          <w:rFonts w:hint="eastAsia"/>
          <w:sz w:val="18"/>
        </w:rPr>
        <w:t>约束</w:t>
      </w:r>
      <w:r>
        <w:rPr>
          <w:rFonts w:hint="eastAsia"/>
          <w:sz w:val="18"/>
        </w:rPr>
        <w:t xml:space="preserve"> </w:t>
      </w:r>
      <w:r>
        <w:rPr>
          <w:rFonts w:hint="eastAsia"/>
          <w:sz w:val="18"/>
        </w:rPr>
        <w:t>卫星</w:t>
      </w:r>
      <w:r>
        <w:rPr>
          <w:rFonts w:hint="eastAsia"/>
          <w:sz w:val="18"/>
        </w:rPr>
        <w:t>/</w:t>
      </w:r>
      <w:r>
        <w:rPr>
          <w:rFonts w:hint="eastAsia"/>
          <w:sz w:val="18"/>
        </w:rPr>
        <w:t>惯性复合是提升中远程精度的重要路径，但材料指出“受限大、不抗干扰”以及某型</w:t>
      </w:r>
      <w:r>
        <w:rPr>
          <w:rFonts w:hint="eastAsia"/>
          <w:sz w:val="18"/>
        </w:rPr>
        <w:t>CEP</w:t>
      </w:r>
      <w:r>
        <w:rPr>
          <w:rFonts w:hint="eastAsia"/>
          <w:sz w:val="18"/>
        </w:rPr>
        <w:t>约</w:t>
      </w:r>
      <w:r>
        <w:rPr>
          <w:rFonts w:hint="eastAsia"/>
          <w:sz w:val="18"/>
        </w:rPr>
        <w:t>50 m</w:t>
      </w:r>
      <w:r>
        <w:rPr>
          <w:rFonts w:hint="eastAsia"/>
          <w:sz w:val="18"/>
        </w:rPr>
        <w:t>未达标，说明该链路在干扰环境和最大射程下稳定性不足。这里的工程重点应放在误差传播控制、抗干扰策略和弹道修正协同，而不是只看静态定位精度。</w:t>
      </w:r>
      <w:r>
        <w:rPr>
          <w:rFonts w:hint="eastAsia"/>
          <w:sz w:val="18"/>
        </w:rPr>
        <w:t xml:space="preserve"> ### 2.7 155</w:t>
      </w:r>
      <w:r>
        <w:rPr>
          <w:rFonts w:hint="eastAsia"/>
          <w:sz w:val="18"/>
        </w:rPr>
        <w:t>弹道修正引信</w:t>
      </w:r>
      <w:r>
        <w:rPr>
          <w:rFonts w:hint="eastAsia"/>
          <w:sz w:val="18"/>
        </w:rPr>
        <w:t xml:space="preserve"> 155</w:t>
      </w:r>
      <w:r>
        <w:rPr>
          <w:rFonts w:hint="eastAsia"/>
          <w:sz w:val="18"/>
        </w:rPr>
        <w:t>弹道修正引信难点集中在高过载与高旋转双重工况。器件、封装、算法、供能和工艺必须协同设计，否则批量一致性难以保证。这个方向可以作为“工程化能力”的试金石：单项技术可演示不等于体系可稳定量产。</w:t>
      </w:r>
      <w:r>
        <w:rPr>
          <w:rFonts w:hint="eastAsia"/>
          <w:sz w:val="18"/>
        </w:rPr>
        <w:t xml:space="preserve"> ### 2.8 </w:t>
      </w:r>
      <w:r>
        <w:rPr>
          <w:rFonts w:hint="eastAsia"/>
          <w:sz w:val="18"/>
        </w:rPr>
        <w:t>可编程电子时引信与多束定向预制破片</w:t>
      </w:r>
      <w:r>
        <w:rPr>
          <w:rFonts w:hint="eastAsia"/>
          <w:sz w:val="18"/>
        </w:rPr>
        <w:t xml:space="preserve"> </w:t>
      </w:r>
      <w:r>
        <w:rPr>
          <w:rFonts w:hint="eastAsia"/>
          <w:sz w:val="18"/>
        </w:rPr>
        <w:t>该方向体现了由固定毁伤向按任务控制毁伤转变。材料显示时引精度已有基础，但可靠性仍不足。要把该能力稳定落地，需要三件事：标准化参数模型、可追溯装填流程、受控版本管理。否则“可编程”会变成新的不确定来源。</w:t>
      </w:r>
      <w:r>
        <w:rPr>
          <w:rFonts w:hint="eastAsia"/>
          <w:sz w:val="18"/>
        </w:rPr>
        <w:t xml:space="preserve"> ### 2.9 </w:t>
      </w:r>
      <w:r>
        <w:rPr>
          <w:rFonts w:hint="eastAsia"/>
          <w:sz w:val="18"/>
        </w:rPr>
        <w:t>信息输入、装填技术与自主判据</w:t>
      </w:r>
      <w:r>
        <w:rPr>
          <w:rFonts w:hint="eastAsia"/>
          <w:sz w:val="18"/>
        </w:rPr>
        <w:t xml:space="preserve"> </w:t>
      </w:r>
      <w:r>
        <w:rPr>
          <w:rFonts w:hint="eastAsia"/>
          <w:sz w:val="18"/>
        </w:rPr>
        <w:t>在侦察—打击—评估一体化、巡飞弹与蜂群化场景下，引信既要接收信息，也要做局部自主判据。信息输入和装填技术因此不再是后端流程，而是作战链路的一部分。若接口不统一、数据不可追踪，系统协同效率会显著下降。</w:t>
      </w:r>
      <w:r>
        <w:rPr>
          <w:rFonts w:hint="eastAsia"/>
          <w:sz w:val="18"/>
        </w:rPr>
        <w:t xml:space="preserve"> ### 2.10 </w:t>
      </w:r>
      <w:r>
        <w:rPr>
          <w:rFonts w:hint="eastAsia"/>
          <w:sz w:val="18"/>
        </w:rPr>
        <w:t>安全保险与新型能源方向</w:t>
      </w:r>
      <w:r>
        <w:rPr>
          <w:rFonts w:hint="eastAsia"/>
          <w:sz w:val="18"/>
        </w:rPr>
        <w:t xml:space="preserve"> </w:t>
      </w:r>
      <w:r>
        <w:rPr>
          <w:rFonts w:hint="eastAsia"/>
          <w:sz w:val="18"/>
        </w:rPr>
        <w:t>材料中提到安全保险机构和新能源电池、分布式嵌入引信方向。未来引信与装药结构结合更紧密时，安全边界定义将比传统模式更复杂。论文分析应强调“安全指标与性能指标并重”，避免出现性能推进与风险控制脱节。</w:t>
      </w:r>
      <w:r>
        <w:rPr>
          <w:rFonts w:hint="eastAsia"/>
          <w:sz w:val="18"/>
        </w:rPr>
        <w:t xml:space="preserve"> ## 3 </w:t>
      </w:r>
      <w:r>
        <w:rPr>
          <w:rFonts w:hint="eastAsia"/>
          <w:sz w:val="18"/>
        </w:rPr>
        <w:t>国际比较框架</w:t>
      </w:r>
      <w:r>
        <w:rPr>
          <w:rFonts w:hint="eastAsia"/>
          <w:sz w:val="18"/>
        </w:rPr>
        <w:t xml:space="preserve"> ### 3.1 </w:t>
      </w:r>
      <w:r>
        <w:rPr>
          <w:rFonts w:hint="eastAsia"/>
          <w:sz w:val="18"/>
        </w:rPr>
        <w:t>对比维度</w:t>
      </w:r>
      <w:r>
        <w:rPr>
          <w:rFonts w:hint="eastAsia"/>
          <w:sz w:val="18"/>
        </w:rPr>
        <w:t xml:space="preserve"> </w:t>
      </w:r>
      <w:r>
        <w:rPr>
          <w:rFonts w:hint="eastAsia"/>
          <w:sz w:val="18"/>
        </w:rPr>
        <w:t>为了避免“拿单一指标做结论”，本文采用四维比较框架：</w:t>
      </w:r>
      <w:r>
        <w:rPr>
          <w:rFonts w:hint="eastAsia"/>
          <w:sz w:val="18"/>
        </w:rPr>
        <w:t xml:space="preserve"> </w:t>
      </w:r>
      <w:r>
        <w:rPr>
          <w:rFonts w:hint="eastAsia"/>
          <w:sz w:val="18"/>
        </w:rPr>
        <w:t>（</w:t>
      </w:r>
      <w:r>
        <w:rPr>
          <w:rFonts w:hint="eastAsia"/>
          <w:sz w:val="18"/>
        </w:rPr>
        <w:t>1</w:t>
      </w:r>
      <w:r>
        <w:rPr>
          <w:rFonts w:hint="eastAsia"/>
          <w:sz w:val="18"/>
        </w:rPr>
        <w:t>）体系化程度：平台化、模块化、跨型号复用比例；</w:t>
      </w:r>
      <w:r>
        <w:rPr>
          <w:rFonts w:hint="eastAsia"/>
          <w:sz w:val="18"/>
        </w:rPr>
        <w:t xml:space="preserve"> </w:t>
      </w:r>
      <w:r>
        <w:rPr>
          <w:rFonts w:hint="eastAsia"/>
          <w:sz w:val="18"/>
        </w:rPr>
        <w:t>（</w:t>
      </w:r>
      <w:r>
        <w:rPr>
          <w:rFonts w:hint="eastAsia"/>
          <w:sz w:val="18"/>
        </w:rPr>
        <w:t>2</w:t>
      </w:r>
      <w:r>
        <w:rPr>
          <w:rFonts w:hint="eastAsia"/>
          <w:sz w:val="18"/>
        </w:rPr>
        <w:t>）工程成熟度：批量一致性、环境验证深度、在役稳定性；</w:t>
      </w:r>
      <w:r>
        <w:rPr>
          <w:rFonts w:hint="eastAsia"/>
          <w:sz w:val="18"/>
        </w:rPr>
        <w:t xml:space="preserve"> </w:t>
      </w:r>
      <w:r>
        <w:rPr>
          <w:rFonts w:hint="eastAsia"/>
          <w:sz w:val="18"/>
        </w:rPr>
        <w:t>（</w:t>
      </w:r>
      <w:r>
        <w:rPr>
          <w:rFonts w:hint="eastAsia"/>
          <w:sz w:val="18"/>
        </w:rPr>
        <w:t>3</w:t>
      </w:r>
      <w:r>
        <w:rPr>
          <w:rFonts w:hint="eastAsia"/>
          <w:sz w:val="18"/>
        </w:rPr>
        <w:t>）信息化程度：可编程、参数管理、装填规范、版本追溯；</w:t>
      </w:r>
      <w:r>
        <w:rPr>
          <w:rFonts w:hint="eastAsia"/>
          <w:sz w:val="18"/>
        </w:rPr>
        <w:t xml:space="preserve"> </w:t>
      </w:r>
      <w:r>
        <w:rPr>
          <w:rFonts w:hint="eastAsia"/>
          <w:sz w:val="18"/>
        </w:rPr>
        <w:t>（</w:t>
      </w:r>
      <w:r>
        <w:rPr>
          <w:rFonts w:hint="eastAsia"/>
          <w:sz w:val="18"/>
        </w:rPr>
        <w:t>4</w:t>
      </w:r>
      <w:r>
        <w:rPr>
          <w:rFonts w:hint="eastAsia"/>
          <w:sz w:val="18"/>
        </w:rPr>
        <w:t>）抗对抗能力：强干扰与复杂场景下的稳健性。</w:t>
      </w:r>
      <w:r>
        <w:rPr>
          <w:rFonts w:hint="eastAsia"/>
          <w:sz w:val="18"/>
        </w:rPr>
        <w:t xml:space="preserve"> ### 3.2 </w:t>
      </w:r>
      <w:r>
        <w:rPr>
          <w:rFonts w:hint="eastAsia"/>
          <w:sz w:val="18"/>
        </w:rPr>
        <w:t>国外先进体系的共性</w:t>
      </w:r>
      <w:r>
        <w:rPr>
          <w:rFonts w:hint="eastAsia"/>
          <w:sz w:val="18"/>
        </w:rPr>
        <w:t xml:space="preserve"> </w:t>
      </w:r>
      <w:r>
        <w:rPr>
          <w:rFonts w:hint="eastAsia"/>
          <w:sz w:val="18"/>
        </w:rPr>
        <w:t>公开资料显示，国外先进体系并非只靠“更高参数”，其核心优势在于工程组织能力：标准体系完整、平台化程度高、验证流程成熟、在役数据回流快。也就是说，其强项是“把技术做成长期可复制能力”。</w:t>
      </w:r>
      <w:r>
        <w:rPr>
          <w:rFonts w:hint="eastAsia"/>
          <w:sz w:val="18"/>
        </w:rPr>
        <w:t xml:space="preserve"> ### 3.3 </w:t>
      </w:r>
      <w:r>
        <w:rPr>
          <w:rFonts w:hint="eastAsia"/>
          <w:sz w:val="18"/>
        </w:rPr>
        <w:t>我国现实位置</w:t>
      </w:r>
      <w:r>
        <w:rPr>
          <w:rFonts w:hint="eastAsia"/>
          <w:sz w:val="18"/>
        </w:rPr>
        <w:t xml:space="preserve"> </w:t>
      </w:r>
      <w:r>
        <w:rPr>
          <w:rFonts w:hint="eastAsia"/>
          <w:sz w:val="18"/>
        </w:rPr>
        <w:t>我国在电子化、可编程化和部分任务适配方向已有明显进展，局部方向具备并跑基础。但仍存在阶段差距，主要表现为：标准化深度不足、跨型号复用比例偏低、批量一致性波动、复杂干扰条件下稳健性不足，以及数据回流闭环效率不高。</w:t>
      </w:r>
      <w:r>
        <w:rPr>
          <w:rFonts w:hint="eastAsia"/>
          <w:sz w:val="18"/>
        </w:rPr>
        <w:t xml:space="preserve"> </w:t>
      </w:r>
      <w:r>
        <w:rPr>
          <w:rFonts w:hint="eastAsia"/>
          <w:sz w:val="18"/>
        </w:rPr>
        <w:t>材料中“落后约</w:t>
      </w:r>
      <w:r>
        <w:rPr>
          <w:rFonts w:hint="eastAsia"/>
          <w:sz w:val="18"/>
        </w:rPr>
        <w:t>20</w:t>
      </w:r>
      <w:r>
        <w:rPr>
          <w:rFonts w:hint="eastAsia"/>
          <w:sz w:val="18"/>
        </w:rPr>
        <w:t>年”的判断可以视作风险提醒。学术表达上更稳妥的结论是：我国在若干关键链</w:t>
      </w:r>
      <w:r>
        <w:rPr>
          <w:rFonts w:hint="eastAsia"/>
          <w:sz w:val="18"/>
        </w:rPr>
        <w:lastRenderedPageBreak/>
        <w:t>条上仍有阶段差距，差距更多体现在工程化和体系化，而不是单点技术绝对空白。</w:t>
      </w:r>
      <w:r>
        <w:rPr>
          <w:rFonts w:hint="eastAsia"/>
          <w:sz w:val="18"/>
        </w:rPr>
        <w:t xml:space="preserve"> ## 4 </w:t>
      </w:r>
      <w:r>
        <w:rPr>
          <w:rFonts w:hint="eastAsia"/>
          <w:sz w:val="18"/>
        </w:rPr>
        <w:t>面向</w:t>
      </w:r>
      <w:r>
        <w:rPr>
          <w:rFonts w:hint="eastAsia"/>
          <w:sz w:val="18"/>
        </w:rPr>
        <w:t>6</w:t>
      </w:r>
      <w:r>
        <w:rPr>
          <w:rFonts w:hint="eastAsia"/>
          <w:sz w:val="18"/>
        </w:rPr>
        <w:t>—</w:t>
      </w:r>
      <w:r>
        <w:rPr>
          <w:rFonts w:hint="eastAsia"/>
          <w:sz w:val="18"/>
        </w:rPr>
        <w:t>8</w:t>
      </w:r>
      <w:r>
        <w:rPr>
          <w:rFonts w:hint="eastAsia"/>
          <w:sz w:val="18"/>
        </w:rPr>
        <w:t>年的发展路径建议</w:t>
      </w:r>
      <w:r>
        <w:rPr>
          <w:rFonts w:hint="eastAsia"/>
          <w:sz w:val="18"/>
        </w:rPr>
        <w:t xml:space="preserve"> ### 4.1 </w:t>
      </w:r>
      <w:r>
        <w:rPr>
          <w:rFonts w:hint="eastAsia"/>
          <w:sz w:val="18"/>
        </w:rPr>
        <w:t>近期目标（</w:t>
      </w:r>
      <w:r>
        <w:rPr>
          <w:rFonts w:hint="eastAsia"/>
          <w:sz w:val="18"/>
        </w:rPr>
        <w:t>1</w:t>
      </w:r>
      <w:r>
        <w:rPr>
          <w:rFonts w:hint="eastAsia"/>
          <w:sz w:val="18"/>
        </w:rPr>
        <w:t>—</w:t>
      </w:r>
      <w:r>
        <w:rPr>
          <w:rFonts w:hint="eastAsia"/>
          <w:sz w:val="18"/>
        </w:rPr>
        <w:t>2</w:t>
      </w:r>
      <w:r>
        <w:rPr>
          <w:rFonts w:hint="eastAsia"/>
          <w:sz w:val="18"/>
        </w:rPr>
        <w:t>年）</w:t>
      </w:r>
      <w:r>
        <w:rPr>
          <w:rFonts w:hint="eastAsia"/>
          <w:sz w:val="18"/>
        </w:rPr>
        <w:t xml:space="preserve"> </w:t>
      </w:r>
      <w:r>
        <w:rPr>
          <w:rFonts w:hint="eastAsia"/>
          <w:sz w:val="18"/>
        </w:rPr>
        <w:t>第一，完成引信平台层和接口层的统一框架定义，先解决“能互通、可复用”的底层问题。第二，围绕</w:t>
      </w:r>
      <w:r>
        <w:rPr>
          <w:rFonts w:hint="eastAsia"/>
          <w:sz w:val="18"/>
        </w:rPr>
        <w:t>155</w:t>
      </w:r>
      <w:r>
        <w:rPr>
          <w:rFonts w:hint="eastAsia"/>
          <w:sz w:val="18"/>
        </w:rPr>
        <w:t>弹道修正、可编程电子时引信、底排增程一致性等高优先级方向建立联合验证机制。第三，建立参数装填、版本管理、权限控制的统一规范。</w:t>
      </w:r>
      <w:r>
        <w:rPr>
          <w:rFonts w:hint="eastAsia"/>
          <w:sz w:val="18"/>
        </w:rPr>
        <w:t xml:space="preserve"> ### 4.2 </w:t>
      </w:r>
      <w:r>
        <w:rPr>
          <w:rFonts w:hint="eastAsia"/>
          <w:sz w:val="18"/>
        </w:rPr>
        <w:t>中期目标（</w:t>
      </w:r>
      <w:r>
        <w:rPr>
          <w:rFonts w:hint="eastAsia"/>
          <w:sz w:val="18"/>
        </w:rPr>
        <w:t>3</w:t>
      </w:r>
      <w:r>
        <w:rPr>
          <w:rFonts w:hint="eastAsia"/>
          <w:sz w:val="18"/>
        </w:rPr>
        <w:t>—</w:t>
      </w:r>
      <w:r>
        <w:rPr>
          <w:rFonts w:hint="eastAsia"/>
          <w:sz w:val="18"/>
        </w:rPr>
        <w:t>5</w:t>
      </w:r>
      <w:r>
        <w:rPr>
          <w:rFonts w:hint="eastAsia"/>
          <w:sz w:val="18"/>
        </w:rPr>
        <w:t>年）</w:t>
      </w:r>
      <w:r>
        <w:rPr>
          <w:rFonts w:hint="eastAsia"/>
          <w:sz w:val="18"/>
        </w:rPr>
        <w:t xml:space="preserve"> </w:t>
      </w:r>
      <w:r>
        <w:rPr>
          <w:rFonts w:hint="eastAsia"/>
          <w:sz w:val="18"/>
        </w:rPr>
        <w:t>在中期阶段，重点应转向批量一致性提升和在役回流闭环。建议建设跨型号测试数据资产，形成从问题发现、根因定位到设计修正的周期化流程。对于激光制导和卫星</w:t>
      </w:r>
      <w:r>
        <w:rPr>
          <w:rFonts w:hint="eastAsia"/>
          <w:sz w:val="18"/>
        </w:rPr>
        <w:t>/</w:t>
      </w:r>
      <w:r>
        <w:rPr>
          <w:rFonts w:hint="eastAsia"/>
          <w:sz w:val="18"/>
        </w:rPr>
        <w:t>惯性复合方向，应重点推进抗干扰与复杂环境稳健性评估体系。</w:t>
      </w:r>
      <w:r>
        <w:rPr>
          <w:rFonts w:hint="eastAsia"/>
          <w:sz w:val="18"/>
        </w:rPr>
        <w:t xml:space="preserve"> ### 4.3 </w:t>
      </w:r>
      <w:r>
        <w:rPr>
          <w:rFonts w:hint="eastAsia"/>
          <w:sz w:val="18"/>
        </w:rPr>
        <w:t>远期目标（</w:t>
      </w:r>
      <w:r>
        <w:rPr>
          <w:rFonts w:hint="eastAsia"/>
          <w:sz w:val="18"/>
        </w:rPr>
        <w:t>6</w:t>
      </w:r>
      <w:r>
        <w:rPr>
          <w:rFonts w:hint="eastAsia"/>
          <w:sz w:val="18"/>
        </w:rPr>
        <w:t>—</w:t>
      </w:r>
      <w:r>
        <w:rPr>
          <w:rFonts w:hint="eastAsia"/>
          <w:sz w:val="18"/>
        </w:rPr>
        <w:t>8</w:t>
      </w:r>
      <w:r>
        <w:rPr>
          <w:rFonts w:hint="eastAsia"/>
          <w:sz w:val="18"/>
        </w:rPr>
        <w:t>年）</w:t>
      </w:r>
      <w:r>
        <w:rPr>
          <w:rFonts w:hint="eastAsia"/>
          <w:sz w:val="18"/>
        </w:rPr>
        <w:t xml:space="preserve"> </w:t>
      </w:r>
      <w:r>
        <w:rPr>
          <w:rFonts w:hint="eastAsia"/>
          <w:sz w:val="18"/>
        </w:rPr>
        <w:t>远期目标是形成“平台化</w:t>
      </w:r>
      <w:r>
        <w:rPr>
          <w:rFonts w:hint="eastAsia"/>
          <w:sz w:val="18"/>
        </w:rPr>
        <w:t>+</w:t>
      </w:r>
      <w:r>
        <w:rPr>
          <w:rFonts w:hint="eastAsia"/>
          <w:sz w:val="18"/>
        </w:rPr>
        <w:t>模块化</w:t>
      </w:r>
      <w:r>
        <w:rPr>
          <w:rFonts w:hint="eastAsia"/>
          <w:sz w:val="18"/>
        </w:rPr>
        <w:t>+</w:t>
      </w:r>
      <w:r>
        <w:rPr>
          <w:rFonts w:hint="eastAsia"/>
          <w:sz w:val="18"/>
        </w:rPr>
        <w:t>数据闭环”的持续演进能力。通过统型化和火工品统型降低体系复杂度，以标准化装填与信息输入提高协同效率，以全寿命周期验证保障长期稳定性。最终目标不是某个单项技术领先，而是形成稳定、可复制、可扩展的工程能力体系。</w:t>
      </w:r>
      <w:r>
        <w:rPr>
          <w:rFonts w:hint="eastAsia"/>
          <w:sz w:val="18"/>
        </w:rPr>
        <w:t xml:space="preserve"> ## 5 </w:t>
      </w:r>
      <w:r>
        <w:rPr>
          <w:rFonts w:hint="eastAsia"/>
          <w:sz w:val="18"/>
        </w:rPr>
        <w:t>实施层面的组织建议</w:t>
      </w:r>
      <w:r>
        <w:rPr>
          <w:rFonts w:hint="eastAsia"/>
          <w:sz w:val="18"/>
        </w:rPr>
        <w:t xml:space="preserve"> ### 5.1 </w:t>
      </w:r>
      <w:r>
        <w:rPr>
          <w:rFonts w:hint="eastAsia"/>
          <w:sz w:val="18"/>
        </w:rPr>
        <w:t>技术、试验、制造、保障一体化</w:t>
      </w:r>
      <w:r>
        <w:rPr>
          <w:rFonts w:hint="eastAsia"/>
          <w:sz w:val="18"/>
        </w:rPr>
        <w:t xml:space="preserve"> </w:t>
      </w:r>
      <w:r>
        <w:rPr>
          <w:rFonts w:hint="eastAsia"/>
          <w:sz w:val="18"/>
        </w:rPr>
        <w:t>引信问题往往跨越研发、试验、制造和在役保障多个环节。若各环节割裂，问题会在后端集中暴露。建议建立项目级一体化组织机制，缩短问题反馈链条。</w:t>
      </w:r>
      <w:r>
        <w:rPr>
          <w:rFonts w:hint="eastAsia"/>
          <w:sz w:val="18"/>
        </w:rPr>
        <w:t xml:space="preserve"> ### 5.2 </w:t>
      </w:r>
      <w:r>
        <w:rPr>
          <w:rFonts w:hint="eastAsia"/>
          <w:sz w:val="18"/>
        </w:rPr>
        <w:t>指标体系从“单点指标”转向“链路指标”</w:t>
      </w:r>
      <w:r>
        <w:rPr>
          <w:rFonts w:hint="eastAsia"/>
          <w:sz w:val="18"/>
        </w:rPr>
        <w:t xml:space="preserve"> </w:t>
      </w:r>
      <w:r>
        <w:rPr>
          <w:rFonts w:hint="eastAsia"/>
          <w:sz w:val="18"/>
        </w:rPr>
        <w:t>建议将评价指标分为三组：功能指标、稳健性指标、保障指标。只有三组同时达标，才应判定为“工程可用”。特别是复杂场景下，应把抗干扰、批量一致性和在役稳定性作为核心门槛。</w:t>
      </w:r>
      <w:r>
        <w:rPr>
          <w:rFonts w:hint="eastAsia"/>
          <w:sz w:val="18"/>
        </w:rPr>
        <w:t xml:space="preserve"> ### 5.3 </w:t>
      </w:r>
      <w:r>
        <w:rPr>
          <w:rFonts w:hint="eastAsia"/>
          <w:sz w:val="18"/>
        </w:rPr>
        <w:t>人才与规范同步建设</w:t>
      </w:r>
      <w:r>
        <w:rPr>
          <w:rFonts w:hint="eastAsia"/>
          <w:sz w:val="18"/>
        </w:rPr>
        <w:t xml:space="preserve"> </w:t>
      </w:r>
      <w:r>
        <w:rPr>
          <w:rFonts w:hint="eastAsia"/>
          <w:sz w:val="18"/>
        </w:rPr>
        <w:t>统型化和标准化建设不仅是技术问题，也是规范和组织问题。建议在技术研发的同时推进标准编制、验证规范和人才结构优化，避免“技术有了、体系接不住”的情况。</w:t>
      </w:r>
      <w:r>
        <w:rPr>
          <w:rFonts w:hint="eastAsia"/>
          <w:sz w:val="18"/>
        </w:rPr>
        <w:t xml:space="preserve"> ## 6 </w:t>
      </w:r>
      <w:r>
        <w:rPr>
          <w:rFonts w:hint="eastAsia"/>
          <w:sz w:val="18"/>
        </w:rPr>
        <w:t>讨论：从“能做出来”到“长期可用”</w:t>
      </w:r>
      <w:r>
        <w:rPr>
          <w:rFonts w:hint="eastAsia"/>
          <w:sz w:val="18"/>
        </w:rPr>
        <w:t xml:space="preserve"> </w:t>
      </w:r>
      <w:r>
        <w:rPr>
          <w:rFonts w:hint="eastAsia"/>
          <w:sz w:val="18"/>
        </w:rPr>
        <w:t>从课程讨论角度看，引信领域最容易被忽视的区别是“可实现”与“可长期稳定使用”之间存在巨大工程鸿沟。很多技术在样机阶段表现良好，但在规模制造和长期服役阶段暴露出一致性、维护性和抗干扰问题。真正的竞争力来自后者。</w:t>
      </w:r>
      <w:r>
        <w:rPr>
          <w:rFonts w:hint="eastAsia"/>
          <w:sz w:val="18"/>
        </w:rPr>
        <w:t xml:space="preserve"> </w:t>
      </w:r>
      <w:r>
        <w:rPr>
          <w:rFonts w:hint="eastAsia"/>
          <w:sz w:val="18"/>
        </w:rPr>
        <w:t>因此，本文强调的主线不是扩大技术清单，而是优先补齐统型化、可靠性、标准化和闭环能力。只有这样，增程、制导、修正、可编程等方向才能在体系层面产生持续收益。</w:t>
      </w:r>
      <w:r>
        <w:rPr>
          <w:rFonts w:hint="eastAsia"/>
          <w:sz w:val="18"/>
        </w:rPr>
        <w:t xml:space="preserve"> ## 7 </w:t>
      </w:r>
      <w:r>
        <w:rPr>
          <w:rFonts w:hint="eastAsia"/>
          <w:sz w:val="18"/>
        </w:rPr>
        <w:t>结论</w:t>
      </w:r>
      <w:r>
        <w:rPr>
          <w:rFonts w:hint="eastAsia"/>
          <w:sz w:val="18"/>
        </w:rPr>
        <w:t xml:space="preserve"> </w:t>
      </w:r>
      <w:r>
        <w:rPr>
          <w:rFonts w:hint="eastAsia"/>
          <w:sz w:val="18"/>
        </w:rPr>
        <w:t>本文在既有材料基础上，围绕</w:t>
      </w:r>
      <w:r>
        <w:rPr>
          <w:rFonts w:hint="eastAsia"/>
          <w:sz w:val="18"/>
        </w:rPr>
        <w:t>340</w:t>
      </w:r>
      <w:r>
        <w:rPr>
          <w:rFonts w:hint="eastAsia"/>
          <w:sz w:val="18"/>
        </w:rPr>
        <w:t>种引信、</w:t>
      </w:r>
      <w:r>
        <w:rPr>
          <w:rFonts w:hint="eastAsia"/>
          <w:sz w:val="18"/>
        </w:rPr>
        <w:t>16</w:t>
      </w:r>
      <w:r>
        <w:rPr>
          <w:rFonts w:hint="eastAsia"/>
          <w:sz w:val="18"/>
        </w:rPr>
        <w:t>类</w:t>
      </w:r>
      <w:r>
        <w:rPr>
          <w:rFonts w:hint="eastAsia"/>
          <w:sz w:val="18"/>
        </w:rPr>
        <w:t>400</w:t>
      </w:r>
      <w:r>
        <w:rPr>
          <w:rFonts w:hint="eastAsia"/>
          <w:sz w:val="18"/>
        </w:rPr>
        <w:t>余种弹药并行保障的现实背景，对我国引信关键技术短板进行了系统分析。主要结论如下：</w:t>
      </w:r>
      <w:r>
        <w:rPr>
          <w:rFonts w:hint="eastAsia"/>
          <w:sz w:val="18"/>
        </w:rPr>
        <w:t xml:space="preserve"> </w:t>
      </w:r>
      <w:r>
        <w:rPr>
          <w:rFonts w:hint="eastAsia"/>
          <w:sz w:val="18"/>
        </w:rPr>
        <w:t>第一，我国已在电子化和可编程化方向形成良好基础，但当前最关键任务是统型化和工程化能力提升。</w:t>
      </w:r>
      <w:r>
        <w:rPr>
          <w:rFonts w:hint="eastAsia"/>
          <w:sz w:val="18"/>
        </w:rPr>
        <w:t xml:space="preserve">   </w:t>
      </w:r>
      <w:r>
        <w:rPr>
          <w:rFonts w:hint="eastAsia"/>
          <w:sz w:val="18"/>
        </w:rPr>
        <w:t>第二，增程技术链、激光制导链路、卫星</w:t>
      </w:r>
      <w:r>
        <w:rPr>
          <w:rFonts w:hint="eastAsia"/>
          <w:sz w:val="18"/>
        </w:rPr>
        <w:t>/</w:t>
      </w:r>
      <w:r>
        <w:rPr>
          <w:rFonts w:hint="eastAsia"/>
          <w:sz w:val="18"/>
        </w:rPr>
        <w:t>惯性复合、</w:t>
      </w:r>
      <w:r>
        <w:rPr>
          <w:rFonts w:hint="eastAsia"/>
          <w:sz w:val="18"/>
        </w:rPr>
        <w:t>155</w:t>
      </w:r>
      <w:r>
        <w:rPr>
          <w:rFonts w:hint="eastAsia"/>
          <w:sz w:val="18"/>
        </w:rPr>
        <w:t>弹道修正、可编程电子时引信等方向都存在“单点可行但链路稳健性不足”的共性问题。</w:t>
      </w:r>
      <w:r>
        <w:rPr>
          <w:rFonts w:hint="eastAsia"/>
          <w:sz w:val="18"/>
        </w:rPr>
        <w:t xml:space="preserve">   </w:t>
      </w:r>
      <w:r>
        <w:rPr>
          <w:rFonts w:hint="eastAsia"/>
          <w:sz w:val="18"/>
        </w:rPr>
        <w:t>第三，国际比较中真正差距主要体现为标准体系深度、批量一致性、抗干扰稳健性和全寿命周期闭环能力。</w:t>
      </w:r>
      <w:r>
        <w:rPr>
          <w:rFonts w:hint="eastAsia"/>
          <w:sz w:val="18"/>
        </w:rPr>
        <w:t xml:space="preserve">   </w:t>
      </w:r>
      <w:r>
        <w:rPr>
          <w:rFonts w:hint="eastAsia"/>
          <w:sz w:val="18"/>
        </w:rPr>
        <w:t>第四，后续应以平台化、模块化、标准化和数据闭环为主线，推动引信能力从单项突破走向体系稳定可用。</w:t>
      </w:r>
      <w:r>
        <w:rPr>
          <w:rFonts w:hint="eastAsia"/>
          <w:sz w:val="18"/>
        </w:rPr>
        <w:t xml:space="preserve"> </w:t>
      </w:r>
      <w:r>
        <w:rPr>
          <w:rFonts w:hint="eastAsia"/>
          <w:sz w:val="18"/>
        </w:rPr>
        <w:t>综上，我国引信发展已进入由追赶向并跑过渡的关键阶段。未来竞争力不取决于某一项“最先进”技术，而取</w:t>
      </w:r>
      <w:r>
        <w:rPr>
          <w:rFonts w:hint="eastAsia"/>
          <w:sz w:val="18"/>
        </w:rPr>
        <w:t>决于能否建立长期稳定、可复制、可扩展的工程体系。</w:t>
      </w:r>
      <w:r>
        <w:rPr>
          <w:rFonts w:hint="eastAsia"/>
          <w:sz w:val="18"/>
        </w:rPr>
        <w:t xml:space="preserve"> ## </w:t>
      </w:r>
      <w:r>
        <w:rPr>
          <w:rFonts w:hint="eastAsia"/>
          <w:sz w:val="18"/>
        </w:rPr>
        <w:t>参考文献</w:t>
      </w:r>
      <w:r>
        <w:rPr>
          <w:rFonts w:hint="eastAsia"/>
          <w:sz w:val="18"/>
        </w:rPr>
        <w:t xml:space="preserve"> [1] </w:t>
      </w:r>
      <w:r>
        <w:rPr>
          <w:rFonts w:hint="eastAsia"/>
          <w:sz w:val="18"/>
        </w:rPr>
        <w:t>国防科技工业相关公开年报与白皮书（公开版）</w:t>
      </w:r>
      <w:r>
        <w:rPr>
          <w:rFonts w:hint="eastAsia"/>
          <w:sz w:val="18"/>
        </w:rPr>
        <w:t xml:space="preserve">.   [2] </w:t>
      </w:r>
      <w:r>
        <w:rPr>
          <w:rFonts w:hint="eastAsia"/>
          <w:sz w:val="18"/>
        </w:rPr>
        <w:t>国内弹药与引信工程公开综述文献（待补具体条目）</w:t>
      </w:r>
      <w:r>
        <w:rPr>
          <w:rFonts w:hint="eastAsia"/>
          <w:sz w:val="18"/>
        </w:rPr>
        <w:t xml:space="preserve">.   [3] </w:t>
      </w:r>
      <w:r>
        <w:rPr>
          <w:rFonts w:hint="eastAsia"/>
          <w:sz w:val="18"/>
        </w:rPr>
        <w:t>国外公开防务技术报告与行业综述（待补具体条目）</w:t>
      </w:r>
      <w:r>
        <w:rPr>
          <w:rFonts w:hint="eastAsia"/>
          <w:sz w:val="18"/>
        </w:rPr>
        <w:t xml:space="preserve">.   [4] </w:t>
      </w:r>
      <w:r>
        <w:rPr>
          <w:rFonts w:hint="eastAsia"/>
          <w:sz w:val="18"/>
        </w:rPr>
        <w:t>引信可靠性工程与环境试验相关公开论文（待补具体条目）</w:t>
      </w:r>
      <w:r>
        <w:rPr>
          <w:rFonts w:hint="eastAsia"/>
          <w:sz w:val="18"/>
        </w:rPr>
        <w:t xml:space="preserve">.   [5] </w:t>
      </w:r>
      <w:r>
        <w:rPr>
          <w:rFonts w:hint="eastAsia"/>
          <w:sz w:val="18"/>
        </w:rPr>
        <w:t>增程与弹道修正方向公开技术资料（待补具体条目）</w:t>
      </w:r>
      <w:r>
        <w:rPr>
          <w:rFonts w:hint="eastAsia"/>
          <w:sz w:val="18"/>
        </w:rPr>
        <w:t xml:space="preserve">.   [6] </w:t>
      </w:r>
      <w:r>
        <w:rPr>
          <w:rFonts w:hint="eastAsia"/>
          <w:sz w:val="18"/>
        </w:rPr>
        <w:t>激光制导与复合引导公开文献（待补具体条目）</w:t>
      </w:r>
      <w:r>
        <w:rPr>
          <w:rFonts w:hint="eastAsia"/>
          <w:sz w:val="18"/>
        </w:rPr>
        <w:t xml:space="preserve">.   [7] </w:t>
      </w:r>
      <w:r>
        <w:rPr>
          <w:rFonts w:hint="eastAsia"/>
          <w:sz w:val="18"/>
        </w:rPr>
        <w:t>可编程时引信与装填标准公开资料（待补具体条目）</w:t>
      </w:r>
      <w:r>
        <w:rPr>
          <w:rFonts w:hint="eastAsia"/>
          <w:sz w:val="18"/>
        </w:rPr>
        <w:t xml:space="preserve">.   [8] </w:t>
      </w:r>
      <w:r>
        <w:rPr>
          <w:rFonts w:hint="eastAsia"/>
          <w:sz w:val="18"/>
        </w:rPr>
        <w:t>装备全寿命周期管理与在役数据回流公开研究（待补具体条目）</w:t>
      </w:r>
      <w:r>
        <w:rPr>
          <w:rFonts w:hint="eastAsia"/>
          <w:sz w:val="18"/>
        </w:rPr>
        <w:t>.</w:t>
      </w:r>
    </w:p>
    <w:p w14:paraId="0CC9FE7C" w14:textId="77777777" w:rsidR="007C2CDC" w:rsidRDefault="007C2CDC" w:rsidP="007C2CDC">
      <w:pPr>
        <w:spacing w:after="60" w:line="240" w:lineRule="atLeast"/>
        <w:jc w:val="left"/>
        <w:rPr>
          <w:sz w:val="18"/>
        </w:rPr>
        <w:sectPr w:rsidR="007C2CDC" w:rsidSect="007C2CDC">
          <w:headerReference w:type="even" r:id="rId12"/>
          <w:headerReference w:type="default" r:id="rId13"/>
          <w:footerReference w:type="even" r:id="rId14"/>
          <w:footerReference w:type="default" r:id="rId15"/>
          <w:headerReference w:type="first" r:id="rId16"/>
          <w:footerReference w:type="first" r:id="rId17"/>
          <w:type w:val="continuous"/>
          <w:pgSz w:w="11907" w:h="16839"/>
          <w:pgMar w:top="1247" w:right="1191" w:bottom="1247" w:left="1191" w:header="992" w:footer="851" w:gutter="0"/>
          <w:cols w:num="2" w:space="720" w:equalWidth="0">
            <w:col w:w="4563" w:space="425"/>
            <w:col w:w="4536"/>
          </w:cols>
          <w:docGrid w:type="lines" w:linePitch="289"/>
        </w:sectPr>
      </w:pPr>
    </w:p>
    <w:p w14:paraId="41B30B6C" w14:textId="3C34A321"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lastRenderedPageBreak/>
        <w:t>0 引言</w:t>
      </w:r>
    </w:p>
    <w:p w14:paraId="51EF2204" w14:textId="5DF8DBFA"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引信问题在很多讨论中容易被简化为“一个触发器件是否好用”，但工程上它更接近一个受约束的任务控制系统。它不仅决定弹药是否能在目标窗口内起作用，还决定这套体系在长期服役中的稳定性、可维护性和成本可控性。对于课程论文而言，真正有价值的问题不是“单项性能高低”，而是“复杂体系里哪些短板最影响整体效能”。</w:t>
      </w:r>
    </w:p>
    <w:p w14:paraId="5D9C2E54" w14:textId="4BAA3DCF"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从已给材料看，当前现实状态非常清晰：引信型号多、弹药类别多、任务场景多，而且技术路线在快速演变。现有约340种引信与16类400余种弹药并行，使得研发、验证、生产、装填、保障、训练之间形成高耦合。若继续以一弹一引信模式扩展，体系复杂度会持续累积，边际收益反而下降。这是本文分析的出发点。</w:t>
      </w:r>
    </w:p>
    <w:p w14:paraId="15BA511B" w14:textId="27C622D8"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本文采用“现状约束—关键技术—国际对比—位置判断—发展路径”的结构。与常见综述不同，本文尽量把材料中提到的具体关键词放入分析，例如底排增程点火一致性、高原命中率波动、CEP约束、155弹道修正高过载高旋、可编程电子时引信可靠性等，避免仅给出抽象口号。</w:t>
      </w:r>
    </w:p>
    <w:p w14:paraId="0FEE18F8" w14:textId="3C40A78E"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1 现实约束与需求结构</w:t>
      </w:r>
    </w:p>
    <w:p w14:paraId="26E80C45" w14:textId="2F2B681E"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1.1 型号并存与保障压力</w:t>
      </w:r>
    </w:p>
    <w:p w14:paraId="2E185EB7" w14:textId="77F66892"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引信型谱扩张带来的第一个后果是保障链条拉长。型号越多，接口差异越大，测试规程和备件体系就越难统一。材料中提到82弹19个型号并持续更新，反映了典型矛盾：新技术必须进入装备体系，但老型号短期又不能退出。若缺乏统一平台，更新一次就可能同步增加保障复杂度。</w:t>
      </w:r>
    </w:p>
    <w:p w14:paraId="55B574B9" w14:textId="2D4BBF11"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对部队使用层面而言，型谱复杂还会放大训练和操作负担。不同型号在参数输入、任务配置、状态检查方面若逻辑不一致，实际使用效率会被流程复杂度抵消。换句话说，技术先进性必须与使用一致性同时成立，才会形成可持续优势。</w:t>
      </w:r>
    </w:p>
    <w:p w14:paraId="31CD6399" w14:textId="2F72B488"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1.2 任务从“可起爆”转向“可控作用”</w:t>
      </w:r>
    </w:p>
    <w:p w14:paraId="1FC7321B" w14:textId="37D9F8F2"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早期引信强调安全保险和可靠起爆，而当前任务已经转向“作用窗口可控”。例如可编程电子时引信并不只是把时间设定电子化，而是让引信从固定触发规则转向按任务逻辑触发。材料中提到的威力可控、起爆点可控、多束定向预制破片等方向，都说明引信正在从“执行器”转为“任务控制节点”。</w:t>
      </w:r>
    </w:p>
    <w:p w14:paraId="131B0F58" w14:textId="10284C68"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1.3 复杂环境下稳健性要求提升</w:t>
      </w:r>
    </w:p>
    <w:p w14:paraId="4D852908" w14:textId="088400BC"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高过载、高旋转、高低温循环、强电磁干扰和复杂地形条件，都会让引信设计由“实验室可行”变成“工程可用”难题。材料中高原命中率波动、掉弹、抗干扰不足等现象，本质上都属于稳健性问题。稳健性不足时，单次最佳指标再高，也难以支撑体系稳定输出。</w:t>
      </w:r>
    </w:p>
    <w:p w14:paraId="2E6B18F9" w14:textId="5DA9D4E2"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2 关键技术短板与具体示例</w:t>
      </w:r>
    </w:p>
    <w:p w14:paraId="03C14C1F" w14:textId="2991F2CB"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2.1 统型化与火工品统型</w:t>
      </w:r>
    </w:p>
    <w:p w14:paraId="51F97D1C" w14:textId="6B418604"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统型不是简单减少型号数量，而是把共性能力抽取出来，形成平台层标准。对于当前16类400余种弹药并行的现实，统型化至少应包含三层：结构接口统一、信息接口统一、安全逻辑统一。火工品统型则对应生产与保障端降复杂度，是“研发端平台化”向“制造端一致化”延伸。</w:t>
      </w:r>
    </w:p>
    <w:p w14:paraId="0449887D" w14:textId="1405DA8F"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如果没有统型化，后续可编程、抗干扰、数据回流这些能力都会被型号碎片化抵消。对我国而言，统型化是所有升级路线的前置条件，而不是可选项。</w:t>
      </w:r>
    </w:p>
    <w:p w14:paraId="3BE720BF" w14:textId="2CE01FF9"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2.2 增程技术链的协同问题</w:t>
      </w:r>
    </w:p>
    <w:p w14:paraId="3D6F6793" w14:textId="75E53BFB"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材料提到的人增程技术、电磁发射、液体发射药、底排增程、滑翔、增程发动机、复合增程，构成一条连续链路。链路的工程特征是“前段条件变化会传导到末段作用”，因此不能只在某个节点做局部优化。</w:t>
      </w:r>
    </w:p>
    <w:p w14:paraId="4EB96D5B" w14:textId="3AA50CC2"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以底排增程为例，点火一致性差会导致外弹道离散增大；若对药柱燃烧规律掌握不足，就会出现工况适配性不足与批量差异放大问题。对论文分析而言，这说明差距不在单个参数，而在“规律建模+工艺控制+验证体系”的系统能力。</w:t>
      </w:r>
    </w:p>
    <w:p w14:paraId="09A915CD" w14:textId="36B6205B"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电磁发射与液体发射药方向同样如此。发射条件变化会改变引信承受的冲击谱和时序边界，传统经验参数不能直接平移，必须重新建立鲁棒设计与试验映射关系。</w:t>
      </w:r>
    </w:p>
    <w:p w14:paraId="2BDE405A" w14:textId="085778DE"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2.3 滑翔、增程发动机与复合增程</w:t>
      </w:r>
    </w:p>
    <w:p w14:paraId="750816BC" w14:textId="525D23FB"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滑翔和增程发动机方向的价值在于提升射程覆盖与打击窗口，但其代价是引信任务状态机更复杂。复合增程模式下，引信需要处理更多状态切换和环境判据，若缺少统一参数模型与边界条件管理，容易出现“局部功能可用、整体一致性不足”的问题。</w:t>
      </w:r>
    </w:p>
    <w:p w14:paraId="04ED6EE4" w14:textId="23C3CE76"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因此，增程路线要同时推进两类工作：一类是推进与飞行链路技术，另一类是引信状态管理与判据验证。两者缺一不可。</w:t>
      </w:r>
    </w:p>
    <w:p w14:paraId="511190A5" w14:textId="29E6E14F"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2.4 激光末制导与激光半主动制导</w:t>
      </w:r>
    </w:p>
    <w:p w14:paraId="556C6683" w14:textId="3AA597D1"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材料明确指出激光末制导导弹存在掉弹和高原命中率低的问题。这类问题在工程上通常与解算速度、控制余度和环境适配有关。简单提升某个模块性能未必有效，必须从链路角度处理“探测—解算—控制—作用”全过程延迟与误差积累。</w:t>
      </w:r>
    </w:p>
    <w:p w14:paraId="7C25153F" w14:textId="35AD01C1"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激光半主动制导方向的典型矛盾是射程与稳定性平衡。射程拉长后，环境扰动和链路误差更难控制，若没有足够抗干扰和状态补偿机制，命中稳定性会下降。论文写作中应避免把这类问题写成单点故障，更准确的表述是“系统稳健性短板”。</w:t>
      </w:r>
    </w:p>
    <w:p w14:paraId="4B486FA3" w14:textId="34EFABBD"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2.5 激光驾束制导与图像制导适配</w:t>
      </w:r>
    </w:p>
    <w:p w14:paraId="2A0C7610" w14:textId="3B1A1DBA"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激光驾束制导在特定场景下仍有优势，但其直瞄依赖</w:t>
      </w:r>
      <w:r>
        <w:rPr>
          <w:rFonts w:ascii="宋体" w:hAnsi="宋体" w:hint="eastAsia"/>
          <w:sz w:val="18"/>
        </w:rPr>
        <w:lastRenderedPageBreak/>
        <w:t>意味着平台暴露风险增加。材料中提到“易反杀”等描述，本质是战术使用约束。图像制导方向则在复杂背景下对算力和抗干扰提出更高要求。对引信而言，关键是与制导链路的接口稳定，而不是单独追求功能堆叠。</w:t>
      </w:r>
    </w:p>
    <w:p w14:paraId="561989E2" w14:textId="2CCB9837"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2.6 卫星/惯性复合与CEP约束</w:t>
      </w:r>
    </w:p>
    <w:p w14:paraId="75C5234B" w14:textId="26E7FE1E"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卫星/惯性复合是提升中远程精度的重要路径，但材料指出“受限大、不抗干扰”以及某型CEP约50 m未达标，说明该链路在干扰环境和最大射程下稳定性不足。这里的工程重点应放在误差传播控制、抗干扰策略和弹道修正协同，而不是只看静态定位精度。</w:t>
      </w:r>
    </w:p>
    <w:p w14:paraId="53B4BE10" w14:textId="57EC4401"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2.7 155弹道修正引信</w:t>
      </w:r>
    </w:p>
    <w:p w14:paraId="0E4F6E67" w14:textId="184B2B67"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155弹道修正引信难点集中在高过载与高旋转双重工况。器件、封装、算法、供能和工艺必须协同设计，否则批量一致性难以保证。这个方向可以作为“工程化能力”的试金石：单项技术可演示不等于体系可稳定量产。</w:t>
      </w:r>
    </w:p>
    <w:p w14:paraId="4BF754AB" w14:textId="6A780227"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2.8 可编程电子时引信与多束定向预制破片</w:t>
      </w:r>
    </w:p>
    <w:p w14:paraId="6C7ABAE6" w14:textId="3B60ECC3"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该方向体现了由固定毁伤向按任务控制毁伤转变。材料显示时引精度已有基础，但可靠性仍不足。要把该能力稳定落地，需要三件事：标准化参数模型、可追溯装填流程、受控版本管理。否则“可编程”会变成新的不确定来源。</w:t>
      </w:r>
    </w:p>
    <w:p w14:paraId="76855C81" w14:textId="753ABDEA"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2.9 信息输入、装填技术与自主判据</w:t>
      </w:r>
    </w:p>
    <w:p w14:paraId="0AA430C3" w14:textId="57EF6A2D"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在侦察—打击—评估一体化、巡飞弹与蜂群化场景下，引信既要接收信息，也要做局部自主判据。信息输入和装填技术因此不再是后端流程，而是作战链路的一部分。若接口不统一、数据不可追踪，系统协同效率会显著下降。</w:t>
      </w:r>
    </w:p>
    <w:p w14:paraId="3E3D5B3F" w14:textId="52E246B1"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2.10 安全保险与新型能源方向</w:t>
      </w:r>
    </w:p>
    <w:p w14:paraId="2FB441B0" w14:textId="3148B8BB"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材料中提到安全保险机构和新能源电池、分布式嵌入引信方向。未来引信与装药结构结合更紧密时，安全边界定义将比传统模式更复杂。论文分析应强调“安全指标与性能指标并重”，避免出现性能推进与风险控制脱节。</w:t>
      </w:r>
    </w:p>
    <w:p w14:paraId="33C33BF7" w14:textId="63E0442D"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3 国际比较框架</w:t>
      </w:r>
    </w:p>
    <w:p w14:paraId="159821C1" w14:textId="0853B3BF"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3.1 对比维度</w:t>
      </w:r>
    </w:p>
    <w:p w14:paraId="7CBCCAA5" w14:textId="71B71134"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为了避免“拿单一指标做结论”，本文采用四维比较框架：</w:t>
      </w:r>
    </w:p>
    <w:p w14:paraId="22D672D6" w14:textId="18003C7C"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（1）体系化程度：平台化、模块化、跨型号复用比例；</w:t>
      </w:r>
    </w:p>
    <w:p w14:paraId="624D2E7D" w14:textId="45FD5B95"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（2）工程成熟度：批量一致性、环境验证深度、在役稳定性；</w:t>
      </w:r>
    </w:p>
    <w:p w14:paraId="16F90E4B" w14:textId="6BA6000D"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（3）信息化程度：可编程、参数管理、装填规范、版本追溯；</w:t>
      </w:r>
    </w:p>
    <w:p w14:paraId="38B298EF" w14:textId="36A1E30A"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（4）抗对抗能力：强干扰与复杂场景下的稳健性。</w:t>
      </w:r>
    </w:p>
    <w:p w14:paraId="557D17CE" w14:textId="3B070A16"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3.2 国外先进体系的共性</w:t>
      </w:r>
    </w:p>
    <w:p w14:paraId="53C7C6B3" w14:textId="321EAC07"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公开资料显示，国外先进体系并非只靠“更高参数”，</w:t>
      </w:r>
      <w:r>
        <w:rPr>
          <w:rFonts w:ascii="宋体" w:hAnsi="宋体" w:hint="eastAsia"/>
          <w:sz w:val="18"/>
        </w:rPr>
        <w:t>其核心优势在于工程组织能力：标准体系完整、平台化程度高、验证流程成熟、在役数据回流快。也就是说，其强项是“把技术做成长期可复制能力”。</w:t>
      </w:r>
    </w:p>
    <w:p w14:paraId="4ED0C424" w14:textId="3A01705F"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3.3 我国现实位置</w:t>
      </w:r>
    </w:p>
    <w:p w14:paraId="21CA361B" w14:textId="658A6B4B"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我国在电子化、可编程化和部分任务适配方向已有明显进展，局部方向具备并跑基础。但仍存在阶段差距，主要表现为：标准化深度不足、跨型号复用比例偏低、批量一致性波动、复杂干扰条件下稳健性不足，以及数据回流闭环效率不高。</w:t>
      </w:r>
    </w:p>
    <w:p w14:paraId="4A3D09BE" w14:textId="22ABABF2"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材料中“落后约20年”的判断可以视作风险提醒。学术表达上更稳妥的结论是：我国在若干关键链条上仍有阶段差距，差距更多体现在工程化和体系化，而不是单点技术绝对空白。</w:t>
      </w:r>
    </w:p>
    <w:p w14:paraId="4E46CD17" w14:textId="0D36D143"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4 面向6—8年的发展路径建议</w:t>
      </w:r>
    </w:p>
    <w:p w14:paraId="1A01E388" w14:textId="55829639"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4.1 近期目标（1—2年）</w:t>
      </w:r>
    </w:p>
    <w:p w14:paraId="142D503C" w14:textId="296BC2FF"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第一，完成引信平台层和接口层的统一框架定义，先解决“能互通、可复用”的底层问题。第二，围绕155弹道修正、可编程电子时引信、底排增程一致性等高优先级方向建立联合验证机制。第三，建立参数装填、版本管理、权限控制的统一规范。</w:t>
      </w:r>
    </w:p>
    <w:p w14:paraId="62AD7E51" w14:textId="34D3E6A2"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4.2 中期目标（3—5年）</w:t>
      </w:r>
    </w:p>
    <w:p w14:paraId="7CD14DA7" w14:textId="049D0BA3"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在中期阶段，重点应转向批量一致性提升和在役回流闭环。建议建设跨型号测试数据资产，形成从问题发现、根因定位到设计修正的周期化流程。对于激光制导和卫星/惯性复合方向，应重点推进抗干扰与复杂环境稳健性评估体系。</w:t>
      </w:r>
    </w:p>
    <w:p w14:paraId="419106CC" w14:textId="73BEA2C9"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4.3 远期目标（6—8年）</w:t>
      </w:r>
    </w:p>
    <w:p w14:paraId="5DE5A2C3" w14:textId="4DA20D59"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远期目标是形成“平台化+模块化+数据闭环”的持续演进能力。通过统型化和火工品统型降低体系复杂度，以标准化装填与信息输入提高协同效率，以全寿命周期验证保障长期稳定性。最终目标不是某个单项技术领先，而是形成稳定、可复制、可扩展的工程能力体系。</w:t>
      </w:r>
    </w:p>
    <w:p w14:paraId="21722FD3" w14:textId="34A16368"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5 实施层面的组织建议</w:t>
      </w:r>
    </w:p>
    <w:p w14:paraId="0081CD4E" w14:textId="0EADC896"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5.1 技术、试验、制造、保障一体化</w:t>
      </w:r>
    </w:p>
    <w:p w14:paraId="3948D936" w14:textId="3AC1B11A"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引信问题往往跨越研发、试验、制造和在役保障多个环节。若各环节割裂，问题会在后端集中暴露。建议建立项目级一体化组织机制，缩短问题反馈链条。</w:t>
      </w:r>
    </w:p>
    <w:p w14:paraId="1D64DCE7" w14:textId="417B3A19"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t>5.2 指标体系从“单点指标”转向“链路指标”</w:t>
      </w:r>
    </w:p>
    <w:p w14:paraId="0F2C1EFD" w14:textId="2AAD8DA7"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建议将评价指标分为三组：功能指标、稳健性指标、保障指标。只有三组同时达标，才应判定为“工程可用”。特别是复杂场景下，应把抗干扰、批量一致性和在役稳定性作为核心门槛。</w:t>
      </w:r>
    </w:p>
    <w:p w14:paraId="6B9C779F" w14:textId="6CA6104F" w:rsidR="007C2CDC" w:rsidRDefault="007C2CDC" w:rsidP="007C2CDC">
      <w:pPr>
        <w:spacing w:before="120" w:after="40" w:line="240" w:lineRule="atLeast"/>
        <w:jc w:val="left"/>
        <w:rPr>
          <w:rFonts w:ascii="黑体" w:eastAsia="黑体" w:hAnsi="黑体" w:hint="eastAsia"/>
          <w:b/>
          <w:sz w:val="18"/>
        </w:rPr>
      </w:pPr>
      <w:r>
        <w:rPr>
          <w:rFonts w:ascii="黑体" w:eastAsia="黑体" w:hAnsi="黑体" w:hint="eastAsia"/>
          <w:b/>
          <w:sz w:val="18"/>
        </w:rPr>
        <w:lastRenderedPageBreak/>
        <w:t>5.3 人才与规范同步建设</w:t>
      </w:r>
    </w:p>
    <w:p w14:paraId="7B81F9C8" w14:textId="44586BD6"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统型化和标准化建设不仅是技术问题，也是规范和组织问题。建议在技术研发的同时推进标准编制、验证规范和人才结构优化，避免“技术有了、体系接不住”的情况。</w:t>
      </w:r>
    </w:p>
    <w:p w14:paraId="6A150F8F" w14:textId="4502CB6C"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6 讨论：从“能做出来”到“长期可用”</w:t>
      </w:r>
    </w:p>
    <w:p w14:paraId="78A62B33" w14:textId="19D43E90"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从课程讨论角度看，引信领域最容易被忽视的区别是“可实现”与“可长期稳定使用”之间存在巨大工程鸿沟。很多技术在样机阶段表现良好，但在规模制造和长期服役阶段暴露出一致性、维护性和抗干扰问题。真正的竞争力来自后者。</w:t>
      </w:r>
    </w:p>
    <w:p w14:paraId="4A0EFEFC" w14:textId="3C58DC31"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因此，本文强调的主线不是扩大技术清单，而是优先补齐统型化、可靠性、标准化和闭环能力。只有这样，增程、制导、修正、可编程等方向才能在体系层面产生持续收益。</w:t>
      </w:r>
    </w:p>
    <w:p w14:paraId="12F4771B" w14:textId="4789F111" w:rsidR="007C2CDC" w:rsidRDefault="007C2CDC" w:rsidP="007C2CDC">
      <w:pPr>
        <w:spacing w:before="160" w:after="60" w:line="240" w:lineRule="atLeast"/>
        <w:jc w:val="left"/>
        <w:rPr>
          <w:rFonts w:ascii="黑体" w:eastAsia="黑体" w:hAnsi="黑体" w:hint="eastAsia"/>
          <w:b/>
          <w:sz w:val="24"/>
        </w:rPr>
      </w:pPr>
      <w:r>
        <w:rPr>
          <w:rFonts w:ascii="黑体" w:eastAsia="黑体" w:hAnsi="黑体" w:hint="eastAsia"/>
          <w:b/>
          <w:sz w:val="24"/>
        </w:rPr>
        <w:t>7 结论</w:t>
      </w:r>
    </w:p>
    <w:p w14:paraId="0C9414A4" w14:textId="27E89E16"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本文在既有材料基础上，围绕340种引信、16类400余种弹药并行保障的现实背景，对我国引信关键技术短板进行了系统分析。主要结论如下：</w:t>
      </w:r>
    </w:p>
    <w:p w14:paraId="49622118" w14:textId="549C7660"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第一，我国已在电子化和可编程化方向形成良好基础，但当前最关键任务是统型化和工程化能力提升。</w:t>
      </w:r>
    </w:p>
    <w:p w14:paraId="7CBD5B33" w14:textId="0760A3D9"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第二，增程技术链、激光制导链路、卫星/惯性复合、155弹道修正、可编程电子时引信等方向都存在“单点可行但链路稳健性不足”的共性问题。</w:t>
      </w:r>
    </w:p>
    <w:p w14:paraId="72AAE8BF" w14:textId="21AFD529"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第三，国际比较中真正差距主要体现为标准体系深度、批量一致性、抗干扰稳健性和全寿命周期闭环能力。</w:t>
      </w:r>
    </w:p>
    <w:p w14:paraId="6BEDFC33" w14:textId="23F11190"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第四，后续应以平台化、模块化、标准化和数据闭环为主线，推动引信能力从单项突破走向体系稳定可用。</w:t>
      </w:r>
    </w:p>
    <w:p w14:paraId="6F49AC0D" w14:textId="785A5CF0" w:rsidR="007C2CDC" w:rsidRDefault="007C2CDC" w:rsidP="007C2CDC">
      <w:pPr>
        <w:spacing w:after="40" w:line="240" w:lineRule="atLeast"/>
        <w:ind w:firstLine="420"/>
        <w:jc w:val="left"/>
        <w:rPr>
          <w:rFonts w:ascii="宋体" w:hAnsi="宋体" w:hint="eastAsia"/>
          <w:sz w:val="18"/>
        </w:rPr>
      </w:pPr>
      <w:r>
        <w:rPr>
          <w:rFonts w:ascii="宋体" w:hAnsi="宋体" w:hint="eastAsia"/>
          <w:sz w:val="18"/>
        </w:rPr>
        <w:t>综上，我国引信发展已进入由追赶向并跑过渡的关键阶段。未来竞争力不取决于某一项“最先进”技术，而取决于能否建立长期稳定、可复制、可扩展的工程体系。</w:t>
      </w:r>
    </w:p>
    <w:p w14:paraId="1A8D3825" w14:textId="36AFA754" w:rsidR="007C2CDC" w:rsidRDefault="007C2CDC" w:rsidP="007C2CDC">
      <w:pPr>
        <w:spacing w:before="160" w:after="60" w:line="240" w:lineRule="atLeast"/>
        <w:jc w:val="left"/>
        <w:rPr>
          <w:rFonts w:ascii="黑体" w:eastAsia="黑体" w:hAnsi="黑体" w:hint="eastAsia"/>
          <w:b/>
        </w:rPr>
      </w:pPr>
      <w:r>
        <w:rPr>
          <w:rFonts w:ascii="黑体" w:eastAsia="黑体" w:hAnsi="黑体" w:hint="eastAsia"/>
          <w:b/>
        </w:rPr>
        <w:t>参考文献</w:t>
      </w:r>
    </w:p>
    <w:p w14:paraId="6EAF2070" w14:textId="4F7C6298" w:rsidR="007C2CDC" w:rsidRDefault="007C2CDC" w:rsidP="007C2CDC">
      <w:pPr>
        <w:spacing w:after="20" w:line="240" w:lineRule="atLeast"/>
        <w:jc w:val="left"/>
        <w:rPr>
          <w:rFonts w:ascii="宋体" w:hAnsi="宋体" w:hint="eastAsia"/>
          <w:sz w:val="18"/>
        </w:rPr>
      </w:pPr>
      <w:r>
        <w:rPr>
          <w:rFonts w:ascii="宋体" w:hAnsi="宋体" w:hint="eastAsia"/>
          <w:sz w:val="18"/>
        </w:rPr>
        <w:t>[1] 国防科技工业相关公开年报与白皮书（公开版）.</w:t>
      </w:r>
    </w:p>
    <w:p w14:paraId="1EF75CF2" w14:textId="12B58111" w:rsidR="007C2CDC" w:rsidRDefault="007C2CDC" w:rsidP="007C2CDC">
      <w:pPr>
        <w:spacing w:after="20" w:line="240" w:lineRule="atLeast"/>
        <w:jc w:val="left"/>
        <w:rPr>
          <w:rFonts w:ascii="宋体" w:hAnsi="宋体" w:hint="eastAsia"/>
          <w:sz w:val="18"/>
        </w:rPr>
      </w:pPr>
      <w:r>
        <w:rPr>
          <w:rFonts w:ascii="宋体" w:hAnsi="宋体" w:hint="eastAsia"/>
          <w:sz w:val="18"/>
        </w:rPr>
        <w:t>[2] 国内弹药与引信工程公开综述文献（待补具体条目）.</w:t>
      </w:r>
    </w:p>
    <w:p w14:paraId="21283718" w14:textId="1ED65CDA" w:rsidR="007C2CDC" w:rsidRDefault="007C2CDC" w:rsidP="007C2CDC">
      <w:pPr>
        <w:spacing w:after="20" w:line="240" w:lineRule="atLeast"/>
        <w:jc w:val="left"/>
        <w:rPr>
          <w:rFonts w:ascii="宋体" w:hAnsi="宋体" w:hint="eastAsia"/>
          <w:sz w:val="18"/>
        </w:rPr>
      </w:pPr>
      <w:r>
        <w:rPr>
          <w:rFonts w:ascii="宋体" w:hAnsi="宋体" w:hint="eastAsia"/>
          <w:sz w:val="18"/>
        </w:rPr>
        <w:t>[3] 国外公开防务技术报告与行业综述（待补具体条目）.</w:t>
      </w:r>
    </w:p>
    <w:p w14:paraId="546DE788" w14:textId="17583A2E" w:rsidR="007C2CDC" w:rsidRDefault="007C2CDC" w:rsidP="007C2CDC">
      <w:pPr>
        <w:spacing w:after="20" w:line="240" w:lineRule="atLeast"/>
        <w:jc w:val="left"/>
        <w:rPr>
          <w:rFonts w:ascii="宋体" w:hAnsi="宋体" w:hint="eastAsia"/>
          <w:sz w:val="18"/>
        </w:rPr>
      </w:pPr>
      <w:r>
        <w:rPr>
          <w:rFonts w:ascii="宋体" w:hAnsi="宋体" w:hint="eastAsia"/>
          <w:sz w:val="18"/>
        </w:rPr>
        <w:t>[4] 引信可靠性工程与环境试验相关公开论文（待补具体条目）.</w:t>
      </w:r>
    </w:p>
    <w:p w14:paraId="17721E42" w14:textId="0FFF88C5" w:rsidR="007C2CDC" w:rsidRDefault="007C2CDC" w:rsidP="007C2CDC">
      <w:pPr>
        <w:spacing w:after="20" w:line="240" w:lineRule="atLeast"/>
        <w:jc w:val="left"/>
        <w:rPr>
          <w:rFonts w:ascii="宋体" w:hAnsi="宋体" w:hint="eastAsia"/>
          <w:sz w:val="18"/>
        </w:rPr>
      </w:pPr>
      <w:r>
        <w:rPr>
          <w:rFonts w:ascii="宋体" w:hAnsi="宋体" w:hint="eastAsia"/>
          <w:sz w:val="18"/>
        </w:rPr>
        <w:t>[5] 增程与弹道修正方向公开技术资料（待补具体条目）.</w:t>
      </w:r>
    </w:p>
    <w:p w14:paraId="6E212671" w14:textId="08CC9D7D" w:rsidR="007C2CDC" w:rsidRDefault="007C2CDC" w:rsidP="007C2CDC">
      <w:pPr>
        <w:spacing w:after="20" w:line="240" w:lineRule="atLeast"/>
        <w:jc w:val="left"/>
        <w:rPr>
          <w:rFonts w:ascii="宋体" w:hAnsi="宋体" w:hint="eastAsia"/>
          <w:sz w:val="18"/>
        </w:rPr>
      </w:pPr>
      <w:r>
        <w:rPr>
          <w:rFonts w:ascii="宋体" w:hAnsi="宋体" w:hint="eastAsia"/>
          <w:sz w:val="18"/>
        </w:rPr>
        <w:t>[6] 激光制导与复合引导公开文献（待补具体条目）.</w:t>
      </w:r>
    </w:p>
    <w:p w14:paraId="3A30A024" w14:textId="767C49C9" w:rsidR="007C2CDC" w:rsidRDefault="007C2CDC" w:rsidP="007C2CDC">
      <w:pPr>
        <w:spacing w:after="20" w:line="240" w:lineRule="atLeast"/>
        <w:jc w:val="left"/>
        <w:rPr>
          <w:rFonts w:ascii="宋体" w:hAnsi="宋体" w:hint="eastAsia"/>
          <w:sz w:val="18"/>
        </w:rPr>
      </w:pPr>
      <w:r>
        <w:rPr>
          <w:rFonts w:ascii="宋体" w:hAnsi="宋体" w:hint="eastAsia"/>
          <w:sz w:val="18"/>
        </w:rPr>
        <w:t>[7] 可编程时引信与装填标准公开资料（待补具体条目）.</w:t>
      </w:r>
    </w:p>
    <w:p w14:paraId="1E52ED39" w14:textId="6E635502" w:rsidR="007C2CDC" w:rsidRDefault="007C2CDC" w:rsidP="007C2CDC">
      <w:pPr>
        <w:spacing w:after="20" w:line="240" w:lineRule="atLeast"/>
        <w:jc w:val="left"/>
        <w:rPr>
          <w:rFonts w:ascii="宋体" w:hAnsi="宋体" w:hint="eastAsia"/>
          <w:sz w:val="18"/>
        </w:rPr>
      </w:pPr>
      <w:r>
        <w:rPr>
          <w:rFonts w:ascii="宋体" w:hAnsi="宋体" w:hint="eastAsia"/>
          <w:sz w:val="18"/>
        </w:rPr>
        <w:t>[8] 装备全寿命周期管理与在役数据回流公开研究（待补具体条目）.</w:t>
      </w:r>
    </w:p>
    <w:p w14:paraId="5248B505" w14:textId="77777777" w:rsidR="007C2CDC" w:rsidRPr="007C2CDC" w:rsidRDefault="007C2CDC" w:rsidP="007C2CDC">
      <w:pPr>
        <w:spacing w:after="20" w:line="240" w:lineRule="atLeast"/>
        <w:jc w:val="left"/>
        <w:rPr>
          <w:rFonts w:ascii="宋体" w:hAnsi="宋体" w:hint="eastAsia"/>
          <w:sz w:val="18"/>
        </w:rPr>
      </w:pPr>
    </w:p>
    <w:sectPr w:rsidR="007C2CDC" w:rsidRPr="007C2CDC" w:rsidSect="007C2CDC">
      <w:pgSz w:w="11907" w:h="16839"/>
      <w:pgMar w:top="1247" w:right="1191" w:bottom="1247" w:left="1191" w:header="992" w:footer="851" w:gutter="0"/>
      <w:cols w:num="2" w:space="720" w:equalWidth="0">
        <w:col w:w="4563" w:space="425"/>
        <w:col w:w="4536"/>
      </w:cols>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DB5B6" w14:textId="77777777" w:rsidR="00041107" w:rsidRDefault="00041107">
      <w:r>
        <w:separator/>
      </w:r>
    </w:p>
  </w:endnote>
  <w:endnote w:type="continuationSeparator" w:id="0">
    <w:p w14:paraId="2CCCF92D" w14:textId="77777777" w:rsidR="00041107" w:rsidRDefault="00041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5FBA7" w14:textId="77777777" w:rsidR="007C2CDC" w:rsidRDefault="007C2CDC">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697DA" w14:textId="2F25F4A6" w:rsidR="00324C98" w:rsidRPr="007C2CDC" w:rsidRDefault="007C2CDC" w:rsidP="007C2CDC">
    <w:pPr>
      <w:tabs>
        <w:tab w:val="center" w:pos="4153"/>
        <w:tab w:val="right" w:pos="8306"/>
      </w:tabs>
      <w:jc w:val="center"/>
      <w:rPr>
        <w:rFonts w:ascii="宋体" w:hAnsi="宋体"/>
        <w:sz w:val="18"/>
      </w:rPr>
    </w:pPr>
    <w:r>
      <w:rPr>
        <w:rFonts w:ascii="宋体" w:hAnsi="宋体" w:hint="eastAsia"/>
        <w:sz w:val="18"/>
      </w:rPr>
      <w:t xml:space="preserve">第 </w:t>
    </w:r>
    <w:r>
      <w:rPr>
        <w:rFonts w:ascii="宋体" w:hAnsi="宋体" w:hint="eastAsia"/>
        <w:sz w:val="18"/>
      </w:rPr>
      <w:fldChar w:fldCharType="begin"/>
    </w:r>
    <w:r>
      <w:rPr>
        <w:rFonts w:ascii="宋体" w:hAnsi="宋体" w:hint="eastAsia"/>
        <w:sz w:val="18"/>
      </w:rPr>
      <w:instrText xml:space="preserve"> </w:instrText>
    </w:r>
    <w:r>
      <w:rPr>
        <w:rFonts w:ascii="宋体" w:hAnsi="宋体"/>
        <w:sz w:val="18"/>
      </w:rPr>
      <w:instrText xml:space="preserve"> \* MERGEFORMAT</w:instrText>
    </w:r>
    <w:r>
      <w:rPr>
        <w:rFonts w:ascii="宋体" w:hAnsi="宋体" w:hint="eastAsia"/>
        <w:sz w:val="18"/>
      </w:rPr>
      <w:instrText xml:space="preserve"> </w:instrText>
    </w:r>
    <w:r>
      <w:rPr>
        <w:rFonts w:ascii="宋体" w:hAnsi="宋体" w:hint="eastAsia"/>
        <w:sz w:val="18"/>
      </w:rPr>
      <w:fldChar w:fldCharType="end"/>
    </w:r>
    <w:r>
      <w:rPr>
        <w:rFonts w:ascii="宋体" w:hAnsi="宋体" w:hint="eastAsia"/>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EC672" w14:textId="77777777" w:rsidR="007C2CDC" w:rsidRDefault="007C2C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37E82" w14:textId="77777777" w:rsidR="00041107" w:rsidRDefault="00041107">
      <w:r>
        <w:separator/>
      </w:r>
    </w:p>
  </w:footnote>
  <w:footnote w:type="continuationSeparator" w:id="0">
    <w:p w14:paraId="5C180389" w14:textId="77777777" w:rsidR="00041107" w:rsidRDefault="00041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4921" w14:textId="77777777" w:rsidR="007C2CDC" w:rsidRDefault="007C2CD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1EEF" w14:textId="77777777" w:rsidR="007C2CDC" w:rsidRDefault="007C2CD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203B" w14:textId="77777777" w:rsidR="007C2CDC" w:rsidRDefault="007C2CDC">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89"/>
  <w:displayHorizontalDrawingGridEvery w:val="2"/>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887"/>
    <w:rsid w:val="00007C48"/>
    <w:rsid w:val="000105A2"/>
    <w:rsid w:val="00024C89"/>
    <w:rsid w:val="00026F5D"/>
    <w:rsid w:val="00041107"/>
    <w:rsid w:val="00045AB0"/>
    <w:rsid w:val="00053B71"/>
    <w:rsid w:val="00057214"/>
    <w:rsid w:val="00095564"/>
    <w:rsid w:val="000976C5"/>
    <w:rsid w:val="000A36FF"/>
    <w:rsid w:val="000D6C12"/>
    <w:rsid w:val="000E21C7"/>
    <w:rsid w:val="00121D2A"/>
    <w:rsid w:val="00125AE8"/>
    <w:rsid w:val="00132688"/>
    <w:rsid w:val="00133F70"/>
    <w:rsid w:val="0013715B"/>
    <w:rsid w:val="00137509"/>
    <w:rsid w:val="00137D84"/>
    <w:rsid w:val="00153726"/>
    <w:rsid w:val="00172A27"/>
    <w:rsid w:val="00172A7A"/>
    <w:rsid w:val="001778B3"/>
    <w:rsid w:val="00181925"/>
    <w:rsid w:val="00183729"/>
    <w:rsid w:val="00190C65"/>
    <w:rsid w:val="00195A21"/>
    <w:rsid w:val="001A7D96"/>
    <w:rsid w:val="001B0C57"/>
    <w:rsid w:val="001D2A87"/>
    <w:rsid w:val="001D3435"/>
    <w:rsid w:val="001D6CB1"/>
    <w:rsid w:val="001E7716"/>
    <w:rsid w:val="001F50C1"/>
    <w:rsid w:val="001F60EF"/>
    <w:rsid w:val="001F7308"/>
    <w:rsid w:val="00203556"/>
    <w:rsid w:val="00225768"/>
    <w:rsid w:val="00247DA1"/>
    <w:rsid w:val="002725A0"/>
    <w:rsid w:val="002917BB"/>
    <w:rsid w:val="002929CA"/>
    <w:rsid w:val="002C1B3D"/>
    <w:rsid w:val="002C711B"/>
    <w:rsid w:val="002D104A"/>
    <w:rsid w:val="00316528"/>
    <w:rsid w:val="0031774D"/>
    <w:rsid w:val="00324C98"/>
    <w:rsid w:val="003276C3"/>
    <w:rsid w:val="00327BDC"/>
    <w:rsid w:val="00332A91"/>
    <w:rsid w:val="00336A1C"/>
    <w:rsid w:val="003463E7"/>
    <w:rsid w:val="00354F6C"/>
    <w:rsid w:val="00355F11"/>
    <w:rsid w:val="00362BAA"/>
    <w:rsid w:val="003630C4"/>
    <w:rsid w:val="00365452"/>
    <w:rsid w:val="003B1854"/>
    <w:rsid w:val="003D4960"/>
    <w:rsid w:val="003E783C"/>
    <w:rsid w:val="003F7DEC"/>
    <w:rsid w:val="0042457E"/>
    <w:rsid w:val="00425203"/>
    <w:rsid w:val="0043185B"/>
    <w:rsid w:val="00435BE4"/>
    <w:rsid w:val="004406BD"/>
    <w:rsid w:val="004573DA"/>
    <w:rsid w:val="00460F91"/>
    <w:rsid w:val="004A6B19"/>
    <w:rsid w:val="004B1695"/>
    <w:rsid w:val="004B3BFB"/>
    <w:rsid w:val="004C2431"/>
    <w:rsid w:val="004C2968"/>
    <w:rsid w:val="004D64B1"/>
    <w:rsid w:val="00500677"/>
    <w:rsid w:val="00502D27"/>
    <w:rsid w:val="005039C2"/>
    <w:rsid w:val="005057B6"/>
    <w:rsid w:val="00513F72"/>
    <w:rsid w:val="00514734"/>
    <w:rsid w:val="00521803"/>
    <w:rsid w:val="005220C0"/>
    <w:rsid w:val="00532C3A"/>
    <w:rsid w:val="005352D9"/>
    <w:rsid w:val="00535F86"/>
    <w:rsid w:val="00543AFE"/>
    <w:rsid w:val="005453E1"/>
    <w:rsid w:val="005572DC"/>
    <w:rsid w:val="00565EA4"/>
    <w:rsid w:val="00567B9E"/>
    <w:rsid w:val="00567F00"/>
    <w:rsid w:val="005803C7"/>
    <w:rsid w:val="005809F1"/>
    <w:rsid w:val="00587B20"/>
    <w:rsid w:val="005D1E56"/>
    <w:rsid w:val="005E0DE8"/>
    <w:rsid w:val="005E7122"/>
    <w:rsid w:val="005F5E14"/>
    <w:rsid w:val="00600273"/>
    <w:rsid w:val="00600B4C"/>
    <w:rsid w:val="00607DB8"/>
    <w:rsid w:val="00611351"/>
    <w:rsid w:val="00611482"/>
    <w:rsid w:val="006259E9"/>
    <w:rsid w:val="00647DE1"/>
    <w:rsid w:val="00651D8B"/>
    <w:rsid w:val="006664FE"/>
    <w:rsid w:val="00674581"/>
    <w:rsid w:val="00680798"/>
    <w:rsid w:val="00680F7D"/>
    <w:rsid w:val="006833CB"/>
    <w:rsid w:val="00683E45"/>
    <w:rsid w:val="006857BD"/>
    <w:rsid w:val="0069397C"/>
    <w:rsid w:val="006A7D9E"/>
    <w:rsid w:val="006B43F6"/>
    <w:rsid w:val="006B768F"/>
    <w:rsid w:val="006C3EC9"/>
    <w:rsid w:val="006D70DB"/>
    <w:rsid w:val="00704BB9"/>
    <w:rsid w:val="00712014"/>
    <w:rsid w:val="00715410"/>
    <w:rsid w:val="00722FE5"/>
    <w:rsid w:val="00723A37"/>
    <w:rsid w:val="00733EB5"/>
    <w:rsid w:val="00753894"/>
    <w:rsid w:val="00762AF8"/>
    <w:rsid w:val="007721E0"/>
    <w:rsid w:val="0077317B"/>
    <w:rsid w:val="007756D4"/>
    <w:rsid w:val="00784239"/>
    <w:rsid w:val="00784468"/>
    <w:rsid w:val="0079168E"/>
    <w:rsid w:val="00792A5B"/>
    <w:rsid w:val="00793BB1"/>
    <w:rsid w:val="00795059"/>
    <w:rsid w:val="007B60E0"/>
    <w:rsid w:val="007C2CDC"/>
    <w:rsid w:val="007C4C2A"/>
    <w:rsid w:val="007D1153"/>
    <w:rsid w:val="007E0872"/>
    <w:rsid w:val="007E0DEF"/>
    <w:rsid w:val="007E4177"/>
    <w:rsid w:val="008016F3"/>
    <w:rsid w:val="00803C33"/>
    <w:rsid w:val="008065CD"/>
    <w:rsid w:val="00811DE3"/>
    <w:rsid w:val="00817016"/>
    <w:rsid w:val="008308C5"/>
    <w:rsid w:val="00837EA5"/>
    <w:rsid w:val="00843601"/>
    <w:rsid w:val="0084580C"/>
    <w:rsid w:val="00855582"/>
    <w:rsid w:val="00872841"/>
    <w:rsid w:val="008864ED"/>
    <w:rsid w:val="00895AF5"/>
    <w:rsid w:val="00896723"/>
    <w:rsid w:val="008B52BC"/>
    <w:rsid w:val="008D15E8"/>
    <w:rsid w:val="008D2930"/>
    <w:rsid w:val="008D7F74"/>
    <w:rsid w:val="008E0F57"/>
    <w:rsid w:val="008E5405"/>
    <w:rsid w:val="008F2665"/>
    <w:rsid w:val="0090003D"/>
    <w:rsid w:val="00903142"/>
    <w:rsid w:val="00914BA9"/>
    <w:rsid w:val="00914D0A"/>
    <w:rsid w:val="009252D2"/>
    <w:rsid w:val="00942E1B"/>
    <w:rsid w:val="009527C5"/>
    <w:rsid w:val="009652D8"/>
    <w:rsid w:val="00972DDB"/>
    <w:rsid w:val="009761C0"/>
    <w:rsid w:val="00980ED5"/>
    <w:rsid w:val="00982710"/>
    <w:rsid w:val="009902E9"/>
    <w:rsid w:val="009A6A4B"/>
    <w:rsid w:val="009B0649"/>
    <w:rsid w:val="009B1530"/>
    <w:rsid w:val="009B2F5A"/>
    <w:rsid w:val="009B3C99"/>
    <w:rsid w:val="009B4A80"/>
    <w:rsid w:val="009D58A4"/>
    <w:rsid w:val="009D5D5B"/>
    <w:rsid w:val="009D6BC7"/>
    <w:rsid w:val="009E7D6D"/>
    <w:rsid w:val="009F6408"/>
    <w:rsid w:val="00A1104E"/>
    <w:rsid w:val="00A33B67"/>
    <w:rsid w:val="00A4029E"/>
    <w:rsid w:val="00A505DF"/>
    <w:rsid w:val="00A636A7"/>
    <w:rsid w:val="00A66F34"/>
    <w:rsid w:val="00A856EF"/>
    <w:rsid w:val="00A859AC"/>
    <w:rsid w:val="00A94415"/>
    <w:rsid w:val="00AD4AF5"/>
    <w:rsid w:val="00AD6F3F"/>
    <w:rsid w:val="00AF304A"/>
    <w:rsid w:val="00AF4B4D"/>
    <w:rsid w:val="00B062F4"/>
    <w:rsid w:val="00B15DB8"/>
    <w:rsid w:val="00B30560"/>
    <w:rsid w:val="00B41FD1"/>
    <w:rsid w:val="00B464EA"/>
    <w:rsid w:val="00B61686"/>
    <w:rsid w:val="00B679C8"/>
    <w:rsid w:val="00B7320D"/>
    <w:rsid w:val="00B90A4B"/>
    <w:rsid w:val="00B94281"/>
    <w:rsid w:val="00B96FF0"/>
    <w:rsid w:val="00BA427E"/>
    <w:rsid w:val="00BA588F"/>
    <w:rsid w:val="00BA7029"/>
    <w:rsid w:val="00BB01F0"/>
    <w:rsid w:val="00BB6854"/>
    <w:rsid w:val="00BB7432"/>
    <w:rsid w:val="00BB7880"/>
    <w:rsid w:val="00BC1DFF"/>
    <w:rsid w:val="00BC5E6B"/>
    <w:rsid w:val="00BD24F7"/>
    <w:rsid w:val="00BE0841"/>
    <w:rsid w:val="00BE4BCC"/>
    <w:rsid w:val="00BE5E30"/>
    <w:rsid w:val="00BE6E40"/>
    <w:rsid w:val="00BF6F46"/>
    <w:rsid w:val="00C04B2B"/>
    <w:rsid w:val="00C05A70"/>
    <w:rsid w:val="00C11BCD"/>
    <w:rsid w:val="00C159FC"/>
    <w:rsid w:val="00C171C9"/>
    <w:rsid w:val="00C23959"/>
    <w:rsid w:val="00C33DBC"/>
    <w:rsid w:val="00C4251C"/>
    <w:rsid w:val="00C42FF1"/>
    <w:rsid w:val="00C44EFA"/>
    <w:rsid w:val="00C50832"/>
    <w:rsid w:val="00C6022D"/>
    <w:rsid w:val="00C6038F"/>
    <w:rsid w:val="00C64F6B"/>
    <w:rsid w:val="00C76EE6"/>
    <w:rsid w:val="00C80B2A"/>
    <w:rsid w:val="00C94CC2"/>
    <w:rsid w:val="00C97377"/>
    <w:rsid w:val="00CA7166"/>
    <w:rsid w:val="00CD3FD8"/>
    <w:rsid w:val="00CF3F85"/>
    <w:rsid w:val="00CF53A3"/>
    <w:rsid w:val="00D1299C"/>
    <w:rsid w:val="00D206F9"/>
    <w:rsid w:val="00D22F99"/>
    <w:rsid w:val="00D23A78"/>
    <w:rsid w:val="00D246E6"/>
    <w:rsid w:val="00D24FAF"/>
    <w:rsid w:val="00D26072"/>
    <w:rsid w:val="00D45772"/>
    <w:rsid w:val="00D45849"/>
    <w:rsid w:val="00D51966"/>
    <w:rsid w:val="00D52419"/>
    <w:rsid w:val="00D54343"/>
    <w:rsid w:val="00D5463E"/>
    <w:rsid w:val="00D640F1"/>
    <w:rsid w:val="00D7464D"/>
    <w:rsid w:val="00D76CE9"/>
    <w:rsid w:val="00DA276D"/>
    <w:rsid w:val="00DA6560"/>
    <w:rsid w:val="00DB17A7"/>
    <w:rsid w:val="00DC1889"/>
    <w:rsid w:val="00DC2959"/>
    <w:rsid w:val="00DD545C"/>
    <w:rsid w:val="00DE6E56"/>
    <w:rsid w:val="00DF178C"/>
    <w:rsid w:val="00E0015B"/>
    <w:rsid w:val="00E00856"/>
    <w:rsid w:val="00E10E1B"/>
    <w:rsid w:val="00E2137A"/>
    <w:rsid w:val="00E26E2E"/>
    <w:rsid w:val="00E3685A"/>
    <w:rsid w:val="00E36986"/>
    <w:rsid w:val="00E42087"/>
    <w:rsid w:val="00E55475"/>
    <w:rsid w:val="00E55907"/>
    <w:rsid w:val="00E63B1A"/>
    <w:rsid w:val="00E674EE"/>
    <w:rsid w:val="00E75647"/>
    <w:rsid w:val="00E83D3C"/>
    <w:rsid w:val="00E96BF9"/>
    <w:rsid w:val="00EA27A9"/>
    <w:rsid w:val="00EA678A"/>
    <w:rsid w:val="00EB2E1E"/>
    <w:rsid w:val="00EB3321"/>
    <w:rsid w:val="00EB4E0D"/>
    <w:rsid w:val="00ED02B5"/>
    <w:rsid w:val="00ED0933"/>
    <w:rsid w:val="00ED4DBB"/>
    <w:rsid w:val="00EE35EC"/>
    <w:rsid w:val="00F01858"/>
    <w:rsid w:val="00F05363"/>
    <w:rsid w:val="00F1472F"/>
    <w:rsid w:val="00F2168C"/>
    <w:rsid w:val="00F31F8C"/>
    <w:rsid w:val="00F3580D"/>
    <w:rsid w:val="00F44AC0"/>
    <w:rsid w:val="00F54756"/>
    <w:rsid w:val="00F625F4"/>
    <w:rsid w:val="00F67A32"/>
    <w:rsid w:val="00F716BF"/>
    <w:rsid w:val="00F74FD1"/>
    <w:rsid w:val="00F81921"/>
    <w:rsid w:val="00F854F4"/>
    <w:rsid w:val="00F85C17"/>
    <w:rsid w:val="00F85CF3"/>
    <w:rsid w:val="00FA4095"/>
    <w:rsid w:val="00FB78D7"/>
    <w:rsid w:val="00FC461D"/>
    <w:rsid w:val="00FD2B60"/>
    <w:rsid w:val="00FD7332"/>
    <w:rsid w:val="00FE3F98"/>
    <w:rsid w:val="00FE5DA2"/>
    <w:rsid w:val="04FF6EA8"/>
    <w:rsid w:val="05880184"/>
    <w:rsid w:val="05AE076C"/>
    <w:rsid w:val="061C29DE"/>
    <w:rsid w:val="09AB0B98"/>
    <w:rsid w:val="0BD55A7C"/>
    <w:rsid w:val="0C24193F"/>
    <w:rsid w:val="0D7C1357"/>
    <w:rsid w:val="0F865DBA"/>
    <w:rsid w:val="108E0820"/>
    <w:rsid w:val="12040D60"/>
    <w:rsid w:val="134345E5"/>
    <w:rsid w:val="143908B5"/>
    <w:rsid w:val="14396358"/>
    <w:rsid w:val="16A77E4C"/>
    <w:rsid w:val="18807181"/>
    <w:rsid w:val="194E66ED"/>
    <w:rsid w:val="1C571807"/>
    <w:rsid w:val="1D0233AB"/>
    <w:rsid w:val="1E6452A6"/>
    <w:rsid w:val="203E0CA8"/>
    <w:rsid w:val="2053411C"/>
    <w:rsid w:val="22B665D5"/>
    <w:rsid w:val="22E2109B"/>
    <w:rsid w:val="241B5E5A"/>
    <w:rsid w:val="25576133"/>
    <w:rsid w:val="25C779D9"/>
    <w:rsid w:val="27B40BF1"/>
    <w:rsid w:val="286C6892"/>
    <w:rsid w:val="2C6E1FBA"/>
    <w:rsid w:val="2CC766B6"/>
    <w:rsid w:val="2CF97511"/>
    <w:rsid w:val="2DA337FB"/>
    <w:rsid w:val="2E466CDA"/>
    <w:rsid w:val="31457405"/>
    <w:rsid w:val="316E0D1E"/>
    <w:rsid w:val="31C375B7"/>
    <w:rsid w:val="35343C21"/>
    <w:rsid w:val="36A11111"/>
    <w:rsid w:val="3B693EEB"/>
    <w:rsid w:val="3C4B2BBE"/>
    <w:rsid w:val="3E692AE0"/>
    <w:rsid w:val="3E7F579F"/>
    <w:rsid w:val="3F425C1F"/>
    <w:rsid w:val="43DD3F62"/>
    <w:rsid w:val="44CD30F9"/>
    <w:rsid w:val="455F6315"/>
    <w:rsid w:val="46F85795"/>
    <w:rsid w:val="479402F1"/>
    <w:rsid w:val="4B136B55"/>
    <w:rsid w:val="4E1C2477"/>
    <w:rsid w:val="4E5C2FAC"/>
    <w:rsid w:val="510A6DD1"/>
    <w:rsid w:val="511F7A89"/>
    <w:rsid w:val="52790937"/>
    <w:rsid w:val="5CE85378"/>
    <w:rsid w:val="5DA17644"/>
    <w:rsid w:val="5F501785"/>
    <w:rsid w:val="60EB3522"/>
    <w:rsid w:val="64460E63"/>
    <w:rsid w:val="6A805779"/>
    <w:rsid w:val="6AF9735B"/>
    <w:rsid w:val="6BEE703F"/>
    <w:rsid w:val="6DAF64F9"/>
    <w:rsid w:val="72C204E9"/>
    <w:rsid w:val="74EB087B"/>
    <w:rsid w:val="75140588"/>
    <w:rsid w:val="794540D0"/>
    <w:rsid w:val="79FE7D11"/>
    <w:rsid w:val="7A0E3CA0"/>
    <w:rsid w:val="7B5431DC"/>
    <w:rsid w:val="7BD02437"/>
    <w:rsid w:val="7CA0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055B7D56"/>
  <w15:docId w15:val="{4E539D8D-D52D-464A-85C5-BB392567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annotation text"/>
    <w:basedOn w:val="a"/>
    <w:link w:val="a5"/>
    <w:semiHidden/>
    <w:unhideWhenUsed/>
    <w:qFormat/>
    <w:pPr>
      <w:jc w:val="left"/>
    </w:pPr>
  </w:style>
  <w:style w:type="paragraph" w:styleId="3">
    <w:name w:val="Body Text 3"/>
    <w:basedOn w:val="a"/>
    <w:qFormat/>
    <w:pPr>
      <w:spacing w:line="400" w:lineRule="exact"/>
    </w:pPr>
    <w:rPr>
      <w:color w:val="FF0000"/>
      <w:sz w:val="28"/>
    </w:rPr>
  </w:style>
  <w:style w:type="paragraph" w:styleId="a6">
    <w:name w:val="Body Text"/>
    <w:basedOn w:val="a"/>
    <w:qFormat/>
    <w:pPr>
      <w:spacing w:line="200" w:lineRule="exact"/>
    </w:pPr>
    <w:rPr>
      <w:color w:val="FF0000"/>
      <w:sz w:val="15"/>
    </w:rPr>
  </w:style>
  <w:style w:type="paragraph" w:styleId="a7">
    <w:name w:val="Body Text Indent"/>
    <w:basedOn w:val="a"/>
    <w:qFormat/>
    <w:pPr>
      <w:spacing w:line="300" w:lineRule="exact"/>
      <w:ind w:firstLine="360"/>
    </w:pPr>
    <w:rPr>
      <w:sz w:val="18"/>
    </w:rPr>
  </w:style>
  <w:style w:type="paragraph" w:styleId="a8">
    <w:name w:val="Balloon Text"/>
    <w:basedOn w:val="a"/>
    <w:link w:val="a9"/>
    <w:qFormat/>
    <w:rPr>
      <w:sz w:val="18"/>
      <w:szCs w:val="18"/>
    </w:rPr>
  </w:style>
  <w:style w:type="paragraph" w:styleId="aa">
    <w:name w:val="footer"/>
    <w:basedOn w:val="a"/>
    <w:link w:val="ab"/>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ad">
    <w:name w:val="footnote text"/>
    <w:basedOn w:val="a"/>
    <w:qFormat/>
    <w:pPr>
      <w:snapToGrid w:val="0"/>
      <w:jc w:val="left"/>
    </w:pPr>
    <w:rPr>
      <w:sz w:val="18"/>
    </w:rPr>
  </w:style>
  <w:style w:type="paragraph" w:styleId="ae">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f">
    <w:name w:val="Strong"/>
    <w:qFormat/>
    <w:rPr>
      <w:b/>
    </w:rPr>
  </w:style>
  <w:style w:type="character" w:styleId="af0">
    <w:name w:val="page number"/>
    <w:basedOn w:val="a0"/>
    <w:qFormat/>
  </w:style>
  <w:style w:type="character" w:styleId="af1">
    <w:name w:val="FollowedHyperlink"/>
    <w:qFormat/>
    <w:rPr>
      <w:color w:val="333333"/>
      <w:u w:val="none"/>
    </w:rPr>
  </w:style>
  <w:style w:type="character" w:styleId="af2">
    <w:name w:val="Hyperlink"/>
    <w:qFormat/>
    <w:rPr>
      <w:color w:val="333333"/>
      <w:u w:val="none"/>
    </w:rPr>
  </w:style>
  <w:style w:type="character" w:styleId="af3">
    <w:name w:val="footnote reference"/>
    <w:qFormat/>
    <w:rPr>
      <w:vertAlign w:val="superscript"/>
    </w:rPr>
  </w:style>
  <w:style w:type="character" w:customStyle="1" w:styleId="ab">
    <w:name w:val="页脚 字符"/>
    <w:link w:val="aa"/>
    <w:qFormat/>
    <w:rPr>
      <w:kern w:val="2"/>
      <w:sz w:val="18"/>
      <w:szCs w:val="18"/>
    </w:rPr>
  </w:style>
  <w:style w:type="paragraph" w:styleId="af4">
    <w:name w:val="List Paragraph"/>
    <w:basedOn w:val="a"/>
    <w:uiPriority w:val="99"/>
    <w:qFormat/>
    <w:pPr>
      <w:ind w:firstLineChars="200" w:firstLine="420"/>
    </w:pPr>
  </w:style>
  <w:style w:type="character" w:customStyle="1" w:styleId="text">
    <w:name w:val="text"/>
    <w:basedOn w:val="a0"/>
    <w:qFormat/>
  </w:style>
  <w:style w:type="character" w:customStyle="1" w:styleId="a9">
    <w:name w:val="批注框文本 字符"/>
    <w:basedOn w:val="a0"/>
    <w:link w:val="a8"/>
    <w:qFormat/>
    <w:rPr>
      <w:kern w:val="2"/>
      <w:sz w:val="18"/>
      <w:szCs w:val="18"/>
    </w:rPr>
  </w:style>
  <w:style w:type="character" w:customStyle="1" w:styleId="1">
    <w:name w:val="未处理的提及1"/>
    <w:basedOn w:val="a0"/>
    <w:uiPriority w:val="99"/>
    <w:semiHidden/>
    <w:unhideWhenUsed/>
    <w:qFormat/>
    <w:rPr>
      <w:color w:val="605E5C"/>
      <w:shd w:val="clear" w:color="auto" w:fill="E1DFDD"/>
    </w:rPr>
  </w:style>
  <w:style w:type="character" w:customStyle="1" w:styleId="2">
    <w:name w:val="未处理的提及2"/>
    <w:basedOn w:val="a0"/>
    <w:uiPriority w:val="99"/>
    <w:semiHidden/>
    <w:unhideWhenUsed/>
    <w:qFormat/>
    <w:rPr>
      <w:color w:val="605E5C"/>
      <w:shd w:val="clear" w:color="auto" w:fill="E1DFDD"/>
    </w:rPr>
  </w:style>
  <w:style w:type="character" w:customStyle="1" w:styleId="a5">
    <w:name w:val="批注文字 字符"/>
    <w:basedOn w:val="a0"/>
    <w:link w:val="a4"/>
    <w:semiHidden/>
    <w:qFormat/>
    <w:rPr>
      <w:kern w:val="2"/>
      <w:sz w:val="21"/>
      <w:szCs w:val="24"/>
    </w:rPr>
  </w:style>
  <w:style w:type="character" w:styleId="af5">
    <w:name w:val="Placeholder Text"/>
    <w:basedOn w:val="a0"/>
    <w:uiPriority w:val="99"/>
    <w:unhideWhenUs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oot xmlns="http://www.founder.com/ProofFile">
  <Root proofFileId="3e33c047-8f92-40de-a5d9-a5a858c99721" proofVersionId="7"/>
</Root>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ReviewRoot xmlns="http://www.founder.com/review">
  <Review inspectType="多余空格" inspectCategory="可疑" errorCategory="4" operate="1" amend="1" amendTime="2026-02-26 16:45:50" amendContent=".投" amendColor="16740864" joinJudianRef="" inspectTypeEn="errorspace" keywordsUrl="" rule="" lookup=".投" content=". 投" source="疑似存在多余的空格" errorType="16" AllIndex="0" context="3. 投稿时，文章需提供第一作者及通信作者简介，用于稿件遴选。" id="170205" bkName="bkReivew170205" note="0" index="1" originColor="reviewtag"/>
</ReviewRoot>
</file>

<file path=customXml/item4.xml><?xml version="1.0" encoding="utf-8"?>
<ReviewRoot xmlns="http://www.founder.com/duplicateLink">
  <DuplicateChecking Path="C:\Users\HP\AppData\Local\Temp\90bf1336-9636-4aee-af58-1275dbf167a8.xml"/>
</ReviewRoot>
</file>

<file path=customXml/item5.xml><?xml version="1.0" encoding="utf-8"?>
<ReviewRoot xmlns="http://www.founder.com/style">
  <Review xmlPath="C:\Users\HP\Documents\方正审校\Temp\Space\20260226\wordStyle\e357dac7-8624-42c3-88a7-bdee8aa3c780.xml" httpUrl="http://gateway.book.founderss.cn/book-review-api/api/doc/048e98f3-9775-4f68-b2bd-6fdb4e2fc3b1/docx"/>
</ReviewRoot>
</file>

<file path=customXml/item6.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A8C91E7F-E9FE-4FAB-8B71-A52F5B8E0A39}">
  <ds:schemaRefs/>
</ds:datastoreItem>
</file>

<file path=customXml/itemProps2.xml><?xml version="1.0" encoding="utf-8"?>
<ds:datastoreItem xmlns:ds="http://schemas.openxmlformats.org/officeDocument/2006/customXml" ds:itemID="{F073402A-9F19-48F7-A6D0-A2B19DF9DA58}">
  <ds:schemaRefs/>
</ds:datastoreItem>
</file>

<file path=customXml/itemProps3.xml><?xml version="1.0" encoding="utf-8"?>
<ds:datastoreItem xmlns:ds="http://schemas.openxmlformats.org/officeDocument/2006/customXml" ds:itemID="{7FAD470D-9E04-4795-B80C-3F1C1451FAD1}">
  <ds:schemaRefs/>
</ds:datastoreItem>
</file>

<file path=customXml/itemProps4.xml><?xml version="1.0" encoding="utf-8"?>
<ds:datastoreItem xmlns:ds="http://schemas.openxmlformats.org/officeDocument/2006/customXml" ds:itemID="{26A1A314-20B8-4E73-9C5F-882C3B1B407A}">
  <ds:schemaRefs/>
</ds:datastoreItem>
</file>

<file path=customXml/itemProps5.xml><?xml version="1.0" encoding="utf-8"?>
<ds:datastoreItem xmlns:ds="http://schemas.openxmlformats.org/officeDocument/2006/customXml" ds:itemID="{65472394-8A87-47D4-94D0-E7B9FC1809A4}">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9666</Words>
  <Characters>11529</Characters>
  <Application>Microsoft Office Word</Application>
  <DocSecurity>0</DocSecurity>
  <Lines>464</Lines>
  <Paragraphs>94</Paragraphs>
  <ScaleCrop>false</ScaleCrop>
  <Company>China</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编辑周</dc:creator>
  <cp:lastModifiedBy>秉旭 强</cp:lastModifiedBy>
  <cp:revision>2</cp:revision>
  <cp:lastPrinted>2019-07-23T01:25:00Z</cp:lastPrinted>
  <dcterms:created xsi:type="dcterms:W3CDTF">2026-04-07T09:54:00Z</dcterms:created>
  <dcterms:modified xsi:type="dcterms:W3CDTF">2026-04-07T09:54:00Z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eyJoZGlkIjoiYmJlMTM1OTQzNjc4MDU2M2Q4N2QwZWU0ZjYyZTMyZmIiLCJ1c2VySWQiOiIxNzg2NTMwOTA4In0=</vt:lpwstr>
  </property>
  <property fmtid="{D5CDD505-2E9C-101B-9397-08002B2CF9AE}" pid="4" name="ICV">
    <vt:lpwstr>4AE184665DD8463EAF6B83617307F4E6_12</vt:lpwstr>
  </property>
</Properties>
</file>