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85F6D2" wp14:paraId="33FA4E78" wp14:textId="47B99EAF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C85F6D2" wp14:paraId="2A380374" wp14:textId="5B99E90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DNS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match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DNS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exactly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d012a2f70f045fb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A records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except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ee2233028f204d3d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domain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's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instead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C85F6D2" wp14:paraId="5AC13E0D" wp14:textId="5C8663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latest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version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b7092ec86a414fc8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Internet Protocol (IP)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One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important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longer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Internet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running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just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possible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phone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given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area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code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offer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exponentially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permutations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thus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possible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94aeb29091024013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addresses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C85F6D2" wp14:paraId="4149314D" wp14:textId="445236D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As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offers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b1d14d046e1b4f9f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public DNS resolver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anyone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setting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device's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1.1.1.1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1.0.0.1.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2606:4700:4700::1111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2606:4700:4700::1001.</w:t>
      </w:r>
    </w:p>
    <w:p xmlns:wp14="http://schemas.microsoft.com/office/word/2010/wordml" w:rsidP="4C85F6D2" wp14:paraId="7E5388C1" wp14:textId="67071DA7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DNS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</w:p>
    <w:p xmlns:wp14="http://schemas.microsoft.com/office/word/2010/wordml" w:rsidP="4C85F6D2" wp14:paraId="273D8CE7" wp14:textId="6DB25CF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C85F6D2" w:rsidTr="4C85F6D2" w14:paraId="747529E9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12D1585C" w14:textId="51D0F3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example.com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3545FC73" w14:textId="25964C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record</w:t>
            </w: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 xml:space="preserve"> </w:t>
            </w: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type</w:t>
            </w: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: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305991D1" w14:textId="0011C3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value</w:t>
            </w: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: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3DCA09B9" w14:textId="2DD689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1"/>
                <w:bCs w:val="1"/>
                <w:color w:val="222222"/>
                <w:sz w:val="28"/>
                <w:szCs w:val="28"/>
              </w:rPr>
              <w:t>TTL</w:t>
            </w:r>
          </w:p>
        </w:tc>
      </w:tr>
      <w:tr w:rsidR="4C85F6D2" w:rsidTr="4C85F6D2" w14:paraId="1D208C0A">
        <w:trPr>
          <w:trHeight w:val="300"/>
        </w:trPr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2ACE0A47" w14:textId="2C3FF4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@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1E82890B" w14:textId="126877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AAAA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7FEA802E" w14:textId="25FAF5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2001:0db8:85a3:0000:</w:t>
            </w:r>
            <w:r>
              <w:br/>
            </w:r>
            <w:r w:rsidRPr="4C85F6D2" w:rsidR="4C85F6D2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0000:8a2</w:t>
            </w:r>
            <w:r w:rsidRPr="4C85F6D2" w:rsidR="4C85F6D2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e:0370:7334</w:t>
            </w:r>
          </w:p>
        </w:tc>
        <w:tc>
          <w:tcPr>
            <w:tcW w:w="225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5F6D2" w:rsidP="4C85F6D2" w:rsidRDefault="4C85F6D2" w14:paraId="27852171" w14:textId="108ACF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</w:pPr>
            <w:r w:rsidRPr="4C85F6D2" w:rsidR="4C85F6D2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8"/>
                <w:szCs w:val="28"/>
              </w:rPr>
              <w:t>14400</w:t>
            </w:r>
          </w:p>
        </w:tc>
      </w:tr>
    </w:tbl>
    <w:p xmlns:wp14="http://schemas.microsoft.com/office/word/2010/wordml" w:rsidP="4C85F6D2" wp14:paraId="153318E1" wp14:textId="0662F59F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AAAA 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4C85F6D2" w:rsidR="4C85F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xmlns:wp14="http://schemas.microsoft.com/office/word/2010/wordml" w:rsidP="4C85F6D2" wp14:paraId="559EC699" wp14:textId="1BDF410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enable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connect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C85F6D2" wp14:paraId="2D856ED3" wp14:textId="7BE728B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question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configured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IPv6.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accompanying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configured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IPv6.</w:t>
      </w:r>
    </w:p>
    <w:p xmlns:wp14="http://schemas.microsoft.com/office/word/2010/wordml" w:rsidP="4C85F6D2" wp14:paraId="66DB3E1A" wp14:textId="7B2F15B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However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growing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adoption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likely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continue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case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because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number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available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rapidly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diminishing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often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forcing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To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combat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began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turning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customers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e05319110c9843ee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in 2016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C85F6D2" wp14:paraId="48455043" wp14:textId="21E2897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It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probable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future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AAAA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C85F6D2" wp14:paraId="4EB8FBA4" wp14:textId="760AC64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Read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65fafb52432b4d77">
        <w:r w:rsidRPr="4C85F6D2" w:rsidR="4C85F6D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records</w:t>
        </w:r>
      </w:hyperlink>
      <w:r w:rsidRPr="4C85F6D2" w:rsidR="4C85F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C85F6D2" wp14:paraId="501817AE" wp14:textId="7ACABB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44ECA"/>
    <w:rsid w:val="1D844ECA"/>
    <w:rsid w:val="4C85F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4ECA"/>
  <w15:chartTrackingRefBased/>
  <w15:docId w15:val="{11AF74CD-86A0-4E05-B6CF-8098C23CF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dns-records/dns-a-record/" TargetMode="External" Id="Rfd012a2f70f045fb" /><Relationship Type="http://schemas.openxmlformats.org/officeDocument/2006/relationships/hyperlink" Target="https://www.cloudflare.com/learning/dns/glossary/what-is-a-domain-name/" TargetMode="External" Id="Ree2233028f204d3d" /><Relationship Type="http://schemas.openxmlformats.org/officeDocument/2006/relationships/hyperlink" Target="https://www.cloudflare.com/learning/network-layer/internet-protocol/" TargetMode="External" Id="Rb7092ec86a414fc8" /><Relationship Type="http://schemas.openxmlformats.org/officeDocument/2006/relationships/hyperlink" Target="https://www.cloudflare.com/learning/dns/glossary/what-is-my-ip-address/" TargetMode="External" Id="R94aeb29091024013" /><Relationship Type="http://schemas.openxmlformats.org/officeDocument/2006/relationships/hyperlink" Target="https://www.cloudflare.com/learning/dns/what-is-1.1.1.1/" TargetMode="External" Id="Rb1d14d046e1b4f9f" /><Relationship Type="http://schemas.openxmlformats.org/officeDocument/2006/relationships/hyperlink" Target="https://blog.cloudflare.com/98-percent-ipv6/" TargetMode="External" Id="Re05319110c9843ee" /><Relationship Type="http://schemas.openxmlformats.org/officeDocument/2006/relationships/hyperlink" Target="https://www.cloudflare.com/learning/dns/dns-records/" TargetMode="External" Id="R65fafb52432b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2023-10-24T18:08:25.9521149Z</dcterms:created>
  <dcterms:modified xsi:type="dcterms:W3CDTF">2023-10-24T18:15:25.2217751Z</dcterms:modified>
  <dc:creator>Новиков Никита</dc:creator>
  <lastModifiedBy>Новиков Никита</lastModifiedBy>
</coreProperties>
</file>