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348B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BAC5F3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ECE571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CF0D6F7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739D11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45D7F20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1E2C252" w14:textId="2AB76B03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459983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1EE246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BDB6D4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FCF399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19F925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977BBA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16622BA" w14:textId="6FAF6139" w:rsidR="00A708FA" w:rsidRP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9E0000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</w:t>
      </w:r>
    </w:p>
    <w:p w14:paraId="064F0121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FEB1460" w14:textId="618E7BA7" w:rsidR="00A708FA" w:rsidRPr="009E0000" w:rsidRDefault="00A708FA" w:rsidP="009E0000">
      <w:pPr>
        <w:pStyle w:val="1"/>
        <w:spacing w:before="0" w:beforeAutospacing="0" w:after="0" w:afterAutospacing="0"/>
        <w:jc w:val="center"/>
        <w:rPr>
          <w:caps/>
          <w:color w:val="000000"/>
          <w:sz w:val="28"/>
          <w:szCs w:val="28"/>
        </w:rPr>
      </w:pPr>
      <w:r w:rsidRPr="00E661C1">
        <w:rPr>
          <w:caps/>
          <w:kern w:val="0"/>
          <w:sz w:val="28"/>
        </w:rPr>
        <w:t>«</w:t>
      </w:r>
      <w:r w:rsidR="009E0000" w:rsidRPr="009E0000">
        <w:rPr>
          <w:caps/>
          <w:color w:val="000000"/>
          <w:sz w:val="28"/>
          <w:szCs w:val="28"/>
        </w:rPr>
        <w:t>ПРОГРАММИРОВАНИЕ АРИФМЕТИЧЕСКОГО СОПРОЦЕССОРА</w:t>
      </w:r>
      <w:r w:rsidRPr="00E661C1">
        <w:rPr>
          <w:caps/>
          <w:kern w:val="0"/>
          <w:sz w:val="28"/>
        </w:rPr>
        <w:t>»</w:t>
      </w:r>
    </w:p>
    <w:p w14:paraId="187961FF" w14:textId="77777777" w:rsidR="00A708FA" w:rsidRPr="003F0A44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Pr="0063084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03B1332E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05206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708FA" w:rsidRPr="00E661C1" w14:paraId="3FF95AC8" w14:textId="77777777" w:rsidTr="002D5A06">
        <w:trPr>
          <w:trHeight w:val="644"/>
        </w:trPr>
        <w:tc>
          <w:tcPr>
            <w:tcW w:w="4678" w:type="dxa"/>
          </w:tcPr>
          <w:p w14:paraId="1FB8440B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Выполнил студент группы 253504</w:t>
            </w:r>
          </w:p>
          <w:p w14:paraId="7B1717CF" w14:textId="628E6138" w:rsidR="00A708FA" w:rsidRPr="00884550" w:rsidRDefault="00EE402A" w:rsidP="002D5A0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Новиков Валерий Андреевич</w:t>
            </w:r>
          </w:p>
        </w:tc>
      </w:tr>
      <w:tr w:rsidR="00A708FA" w:rsidRPr="00E661C1" w14:paraId="4E0542F2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1C8ACA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27F65B1D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AE61668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708FA" w:rsidRPr="00E661C1" w14:paraId="430D359F" w14:textId="77777777" w:rsidTr="002D5A06">
        <w:trPr>
          <w:trHeight w:val="644"/>
        </w:trPr>
        <w:tc>
          <w:tcPr>
            <w:tcW w:w="4678" w:type="dxa"/>
          </w:tcPr>
          <w:p w14:paraId="31123E61" w14:textId="77777777" w:rsidR="00A708FA" w:rsidRPr="00037CF2" w:rsidRDefault="00A708FA" w:rsidP="002D5A06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Проверил ассистент кафедры информатики</w:t>
            </w:r>
          </w:p>
          <w:p w14:paraId="23EFD6B9" w14:textId="6F6E6194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Калиновская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Анастасия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Александровна</w:t>
            </w:r>
          </w:p>
        </w:tc>
      </w:tr>
      <w:tr w:rsidR="00A708FA" w:rsidRPr="00E661C1" w14:paraId="5B67A750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CCEFA5D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075E4451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28A86B3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66F8F3F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D74A17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E4224E8" w14:textId="058D7048" w:rsid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2D08DBD4" w14:textId="5F8C1501" w:rsidR="00A708FA" w:rsidRPr="00584193" w:rsidRDefault="009E0000" w:rsidP="009E000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br w:type="page"/>
      </w:r>
    </w:p>
    <w:p w14:paraId="52861043" w14:textId="2D95D2D5" w:rsidR="005C0C74" w:rsidRDefault="00A708FA" w:rsidP="00A619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</w:t>
      </w:r>
      <w:r w:rsidR="004262AD"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  <w:r w:rsidRPr="00D2135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F44D34" w14:textId="56954326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2CCC56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Сопроцессорные конфигурации</w:t>
      </w:r>
    </w:p>
    <w:p w14:paraId="50A7A70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Использование сопроцессора  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14:paraId="4ABFA2B1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Синхронизация по командам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Когда  центральный процессор выбирает для выполнения команду FPU, последний может быть занят выполнением предыдущей команды. Поэтому перед каждой командой сопроцессора в программе должна стоять специальная команда (wait), которая только проверяет текущее состояние FPU и, если он занят, переводит центральный процессор в состояние ожидания. Соответствующую команду в программу может вводить либо ассемблер, либо компилятор языка без указаний программиста.</w:t>
      </w:r>
    </w:p>
    <w:p w14:paraId="34D13066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Синхронизация по данным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Если выполняемая в  FPU команда записывает операнд в память перед последующей командой СРU, которая обращается к этой ячейке памяти, требуется команда проверки состояния FPU. Если данные еще не были записаны, СPU должен переходить в состояние ожидания. Автоматически учесть такие ситуации довольно сложно, поэтому вводить команды, которые проверяют состояние сопроцессора и при необходимости заставляют центральный процессор ожидать, должен программист.</w:t>
      </w:r>
    </w:p>
    <w:p w14:paraId="583A9990" w14:textId="77777777" w:rsidR="009E0000" w:rsidRPr="009E0000" w:rsidRDefault="009E0000" w:rsidP="009E000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 w:bidi="ar-SA"/>
        </w:rPr>
        <w:br w:type="textWrapping" w:clear="all"/>
      </w:r>
    </w:p>
    <w:p w14:paraId="5B22015A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bookmarkStart w:id="0" w:name="_Toc11022278"/>
      <w:bookmarkStart w:id="1" w:name="_Toc11022041"/>
      <w:bookmarkStart w:id="2" w:name="_Toc11022020"/>
      <w:bookmarkStart w:id="3" w:name="_Toc11021606"/>
      <w:bookmarkStart w:id="4" w:name="_Toc11021565"/>
      <w:bookmarkStart w:id="5" w:name="_Toc11021473"/>
      <w:bookmarkStart w:id="6" w:name="_Toc11021438"/>
      <w:bookmarkStart w:id="7" w:name="_Toc11021053"/>
      <w:bookmarkStart w:id="8" w:name="_Toc10911334"/>
      <w:bookmarkStart w:id="9" w:name="_Toc11482737"/>
      <w:bookmarkStart w:id="10" w:name="_Toc11482227"/>
      <w:bookmarkStart w:id="11" w:name="_Toc11170596"/>
      <w:bookmarkStart w:id="12" w:name="_Toc11023639"/>
      <w:bookmarkStart w:id="13" w:name="_Toc1102339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Программная модель сопроцессора</w:t>
      </w:r>
      <w:bookmarkEnd w:id="13"/>
    </w:p>
    <w:p w14:paraId="429AC3F2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программную модель  любого процессора включаются только те регистры, которые доступны программисту на уровне машинных команд. Основу программной модели FPU образует регистровый стек из восьми 80-битных регистров R0-R7. В них хранятся числа в вещественном формате. В любой момент времени 3-битное поле ST  в слове состояния определяет регистр, являющийся текущей вершиной стека и обозначаемый ST(0). При занесении в стек (push) осуществляется декремент поля  ST и загружаются данные в новую вершину стека. При извлечении из стека (pop) в получатель, 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которым чаще всего является память, передается содержимое вершины стека, а затем инкрементируется поле  ST .</w:t>
      </w:r>
    </w:p>
    <w:p w14:paraId="465BE41E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организации регистрового стека FPU есть отличия от классического стека.</w:t>
      </w:r>
    </w:p>
    <w:p w14:paraId="4E4B3E7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  Стек имеет кольцевую структуру. Контроль за использованием стека должен осуществлять программист. Максимальное число занесений без промежуточных извлечений равно 8.</w:t>
      </w:r>
    </w:p>
    <w:p w14:paraId="37A961A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    В командах FPU допускается явное или неявное обращение к регистрам с модификацией или без поля  ST. Например, команда fsqrt  замещает число из вершины стека значением корня из него. В бинарных операциях допускается явное указание регистров. Адресация осуществляется относительно текущей вершины стека и обозначение ST (i)  0&lt;i&lt;7 , считая от вершины.                  </w:t>
      </w:r>
    </w:p>
    <w:p w14:paraId="78153E5A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 3. Не все стековые команды автоматически модифицируют указатель вершины стека.</w:t>
      </w:r>
    </w:p>
    <w:p w14:paraId="62060358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 каждым регистром стека ассоциируется 2-битный тег (признак), совокупность которых образует слово тегов. Тег регистра R0 находиться в младших битах, R7 – в старших. Тег фиксирует наличие в регистре действительного числа (код 00), истинного нуля (код 01), ненормализованного или бесконечности (код 10) и отсутствие данных (код 11).  Наличие тегов позволяет  FPU быстрее обнаруживать особые случаи (попытка загрузить в непустой регистр, попытка извлечь из пустого) и обрабатывать данные.</w:t>
      </w:r>
    </w:p>
    <w:p w14:paraId="1BBB428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Остальными регистрами FPU являются регистр управления, регистр состояния, два регистра состояния команды и два регистра указателя данных. Длина их всех 16 бит.</w:t>
      </w:r>
    </w:p>
    <w:p w14:paraId="79F3FCAC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0314534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bookmarkStart w:id="14" w:name="_Toc11022279"/>
      <w:bookmarkStart w:id="15" w:name="_Toc11022042"/>
      <w:bookmarkStart w:id="16" w:name="_Toc11022021"/>
      <w:bookmarkStart w:id="17" w:name="_Toc11021607"/>
      <w:bookmarkStart w:id="18" w:name="_Toc11021566"/>
      <w:bookmarkStart w:id="19" w:name="_Toc11021474"/>
      <w:bookmarkStart w:id="20" w:name="_Toc11021439"/>
      <w:bookmarkStart w:id="21" w:name="_Toc11021054"/>
      <w:bookmarkStart w:id="22" w:name="_Toc10911335"/>
      <w:bookmarkStart w:id="23" w:name="_Toc11482738"/>
      <w:bookmarkStart w:id="24" w:name="_Toc11482228"/>
      <w:bookmarkStart w:id="25" w:name="_Toc11170597"/>
      <w:bookmarkStart w:id="26" w:name="_Toc11023640"/>
      <w:bookmarkStart w:id="27" w:name="_Toc1102339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Форматы численных данных</w:t>
      </w:r>
      <w:bookmarkEnd w:id="27"/>
    </w:p>
    <w:p w14:paraId="1D3892F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Арифметический FPU К1810ВМ87 оперирует с семью форматами численных данных, образующих три класса: двоичные целые, упакованные десятичные целые и вещественные числа. Во всех форматах старший (левый) бит отведен для знака.</w:t>
      </w:r>
    </w:p>
    <w:p w14:paraId="1E6AD49D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Форматы различаются  длиной, следовательно, диапазоном допустимых чисел, способом представления (упакованный и неупакованный формат), способом кодировки(прямой и дополнительный код).</w:t>
      </w:r>
    </w:p>
    <w:p w14:paraId="036B5E6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Двоичные целые числа. 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Три формата целых двоичных (целое слово (16 бит), короткое целое (32 бита), длинное целое (64 бита)) отличаются длиной, следовательно, диапазоном чисел. Только в этих форматах применяется стандартный дополнительный код. 0 имеет единственное кодирование. Наибольшее положительное число кодируеться как 011…1, а  Наибольшее по модулю отрицательное как 100..0.</w:t>
      </w:r>
    </w:p>
    <w:p w14:paraId="4912822B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bookmarkStart w:id="28" w:name="_Toc11021055"/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Упакованные десятичные целые.</w:t>
      </w:r>
      <w:bookmarkEnd w:id="28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Числа представлены в прямом коде и упакованном формате, т.е. в байте содержится две десятичные цифры в коде 8421. Старший бит левого байта – знак, остальные игнорируются, но при записи в них помещаются нули.  Но надо учитывать, что при наличии в 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тетраде запрещающих комбинаций 1010 – 1111 результат операции не определен. Т.е. сопроцессор не контролирует правильность результата.</w:t>
      </w:r>
    </w:p>
    <w:p w14:paraId="7B7F6C35" w14:textId="77777777" w:rsid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Вещественные числа.  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Различают короткие вещественные (КВ)(мантиса – 24 бита, порядок – 8 бит), длинные вещественные (ДВ) (мантиса – 53 бита, порядок – 11 бит) и временные вещественные (ВВ) (мантиса – 64 бита, порядок – 15 бит). Для них применяется формат с плавающей точкой. Значащие цифры находятся в поле мантисы, порядок показывает фактическое положение двоичной точки в разрядах мантисы, бит знака S определяет знак числа.</w:t>
      </w:r>
    </w:p>
    <w:p w14:paraId="2D27BDBB" w14:textId="77777777" w:rsidR="009E0000" w:rsidRDefault="009E000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34F0C35B" w14:textId="17C243E5" w:rsidR="009E0000" w:rsidRPr="009E0000" w:rsidRDefault="00B572A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A72D0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72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000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144D" w:rsidRPr="003530EF">
        <w:rPr>
          <w:rFonts w:ascii="Times New Roman" w:hAnsi="Times New Roman" w:cs="Times New Roman"/>
          <w:sz w:val="28"/>
          <w:szCs w:val="28"/>
        </w:rPr>
        <w:t>19</w:t>
      </w:r>
      <w:r w:rsidR="00A72D02">
        <w:rPr>
          <w:rFonts w:ascii="Times New Roman" w:hAnsi="Times New Roman" w:cs="Times New Roman"/>
          <w:sz w:val="28"/>
          <w:szCs w:val="28"/>
        </w:rPr>
        <w:t xml:space="preserve">. </w:t>
      </w:r>
      <w:r w:rsidR="009E0000">
        <w:rPr>
          <w:rFonts w:ascii="Times New Roman" w:hAnsi="Times New Roman" w:cs="Times New Roman"/>
          <w:sz w:val="28"/>
          <w:szCs w:val="28"/>
        </w:rPr>
        <w:t>З</w:t>
      </w:r>
      <w:r w:rsidR="009E0000">
        <w:rPr>
          <w:color w:val="000000"/>
          <w:sz w:val="28"/>
          <w:szCs w:val="28"/>
        </w:rPr>
        <w:t>начение аргумента </w:t>
      </w:r>
      <w:r w:rsidR="009E0000">
        <w:rPr>
          <w:b/>
          <w:bCs/>
          <w:color w:val="000000"/>
          <w:sz w:val="28"/>
          <w:szCs w:val="28"/>
        </w:rPr>
        <w:t>x</w:t>
      </w:r>
      <w:r w:rsidR="009E0000">
        <w:rPr>
          <w:color w:val="000000"/>
          <w:sz w:val="28"/>
          <w:szCs w:val="28"/>
        </w:rPr>
        <w:t> изменяется от </w:t>
      </w:r>
      <w:r w:rsidR="009E0000">
        <w:rPr>
          <w:b/>
          <w:bCs/>
          <w:i/>
          <w:iCs/>
          <w:color w:val="000000"/>
          <w:sz w:val="28"/>
          <w:szCs w:val="28"/>
        </w:rPr>
        <w:t>a</w:t>
      </w:r>
      <w:r w:rsidR="009E0000">
        <w:rPr>
          <w:color w:val="000000"/>
          <w:sz w:val="28"/>
          <w:szCs w:val="28"/>
        </w:rPr>
        <w:t> до </w:t>
      </w:r>
      <w:r w:rsidR="009E0000">
        <w:rPr>
          <w:b/>
          <w:bCs/>
          <w:i/>
          <w:iCs/>
          <w:color w:val="000000"/>
          <w:sz w:val="28"/>
          <w:szCs w:val="28"/>
        </w:rPr>
        <w:t>b</w:t>
      </w:r>
      <w:r w:rsidR="009E0000">
        <w:rPr>
          <w:color w:val="000000"/>
          <w:sz w:val="28"/>
          <w:szCs w:val="28"/>
        </w:rPr>
        <w:t> с шагом </w:t>
      </w:r>
      <w:r w:rsidR="009E0000">
        <w:rPr>
          <w:b/>
          <w:bCs/>
          <w:i/>
          <w:iCs/>
          <w:color w:val="000000"/>
          <w:sz w:val="28"/>
          <w:szCs w:val="28"/>
        </w:rPr>
        <w:t>h</w:t>
      </w:r>
      <w:r w:rsidR="009E0000">
        <w:rPr>
          <w:color w:val="000000"/>
          <w:sz w:val="28"/>
          <w:szCs w:val="28"/>
        </w:rPr>
        <w:t>. Для каждого </w:t>
      </w:r>
      <w:r w:rsidR="009E0000">
        <w:rPr>
          <w:b/>
          <w:bCs/>
          <w:i/>
          <w:iCs/>
          <w:color w:val="000000"/>
          <w:sz w:val="28"/>
          <w:szCs w:val="28"/>
        </w:rPr>
        <w:t>x</w:t>
      </w:r>
      <w:r w:rsidR="009E0000">
        <w:rPr>
          <w:color w:val="000000"/>
          <w:sz w:val="28"/>
          <w:szCs w:val="28"/>
        </w:rPr>
        <w:t> найти значения функции Y(x), суммы S(x) и число итераций </w:t>
      </w:r>
      <w:r w:rsidR="009E0000">
        <w:rPr>
          <w:color w:val="000000"/>
          <w:sz w:val="28"/>
          <w:szCs w:val="28"/>
          <w:lang w:val="en-US"/>
        </w:rPr>
        <w:t>n</w:t>
      </w:r>
      <w:r w:rsidR="009E0000">
        <w:rPr>
          <w:color w:val="000000"/>
          <w:sz w:val="28"/>
          <w:szCs w:val="28"/>
        </w:rPr>
        <w:t>, при котором достигается требуемая точность ε = |Y(x)-S(x)|. Результат вывести в виде таблицы. Значения </w:t>
      </w:r>
      <w:r w:rsidR="009E0000">
        <w:rPr>
          <w:b/>
          <w:bCs/>
          <w:i/>
          <w:iCs/>
          <w:color w:val="000000"/>
          <w:sz w:val="28"/>
          <w:szCs w:val="28"/>
        </w:rPr>
        <w:t>a</w:t>
      </w:r>
      <w:r w:rsidR="009E0000">
        <w:rPr>
          <w:i/>
          <w:iCs/>
          <w:color w:val="000000"/>
          <w:sz w:val="28"/>
          <w:szCs w:val="28"/>
        </w:rPr>
        <w:t>, </w:t>
      </w:r>
      <w:r w:rsidR="009E0000">
        <w:rPr>
          <w:b/>
          <w:bCs/>
          <w:i/>
          <w:iCs/>
          <w:color w:val="000000"/>
          <w:sz w:val="28"/>
          <w:szCs w:val="28"/>
        </w:rPr>
        <w:t>b</w:t>
      </w:r>
      <w:r w:rsidR="009E0000">
        <w:rPr>
          <w:i/>
          <w:iCs/>
          <w:color w:val="000000"/>
          <w:sz w:val="28"/>
          <w:szCs w:val="28"/>
        </w:rPr>
        <w:t>, </w:t>
      </w:r>
      <w:r w:rsidR="009E0000">
        <w:rPr>
          <w:b/>
          <w:bCs/>
          <w:i/>
          <w:iCs/>
          <w:color w:val="000000"/>
          <w:sz w:val="28"/>
          <w:szCs w:val="28"/>
        </w:rPr>
        <w:t>h</w:t>
      </w:r>
      <w:r w:rsidR="009E0000">
        <w:rPr>
          <w:color w:val="000000"/>
          <w:sz w:val="28"/>
          <w:szCs w:val="28"/>
        </w:rPr>
        <w:t> и </w:t>
      </w:r>
      <w:r w:rsidR="009E0000">
        <w:rPr>
          <w:b/>
          <w:bCs/>
          <w:i/>
          <w:iCs/>
          <w:color w:val="000000"/>
          <w:sz w:val="28"/>
          <w:szCs w:val="28"/>
        </w:rPr>
        <w:t>ε</w:t>
      </w:r>
      <w:r w:rsidR="009E0000">
        <w:rPr>
          <w:color w:val="000000"/>
          <w:sz w:val="28"/>
          <w:szCs w:val="28"/>
        </w:rPr>
        <w:t> вводятся с клавиатуры.</w:t>
      </w:r>
      <w:r w:rsidR="00A72D02">
        <w:rPr>
          <w:rFonts w:ascii="Times New Roman" w:hAnsi="Times New Roman" w:cs="Times New Roman"/>
          <w:sz w:val="28"/>
          <w:szCs w:val="28"/>
        </w:rPr>
        <w:tab/>
      </w:r>
      <w:r w:rsidR="002B144D" w:rsidRPr="002B14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36B41" wp14:editId="082665E6">
            <wp:extent cx="4143953" cy="600159"/>
            <wp:effectExtent l="0" t="0" r="0" b="9525"/>
            <wp:docPr id="57065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5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A16" w14:textId="0809A501" w:rsidR="00C83C73" w:rsidRPr="00E00F40" w:rsidRDefault="009E0000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83C73"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C83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C73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E00F40">
        <w:rPr>
          <w:rFonts w:ascii="Times New Roman" w:hAnsi="Times New Roman" w:cs="Times New Roman"/>
          <w:sz w:val="28"/>
          <w:szCs w:val="28"/>
        </w:rPr>
        <w:t xml:space="preserve">представлен график зависимости времени выполнения от количества членов ряда с включенной функцией </w:t>
      </w:r>
      <w:r w:rsidR="00E00F40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E00F40">
        <w:rPr>
          <w:rFonts w:ascii="Times New Roman" w:hAnsi="Times New Roman" w:cs="Times New Roman"/>
          <w:sz w:val="28"/>
          <w:szCs w:val="28"/>
        </w:rPr>
        <w:t xml:space="preserve">, на рисунке </w:t>
      </w:r>
      <w:r w:rsidR="004D0D8B">
        <w:rPr>
          <w:rFonts w:ascii="Times New Roman" w:hAnsi="Times New Roman" w:cs="Times New Roman"/>
          <w:sz w:val="28"/>
          <w:szCs w:val="28"/>
        </w:rPr>
        <w:t xml:space="preserve">2 </w:t>
      </w:r>
      <w:r w:rsidR="00E00F40">
        <w:rPr>
          <w:rFonts w:ascii="Times New Roman" w:hAnsi="Times New Roman" w:cs="Times New Roman"/>
          <w:sz w:val="28"/>
          <w:szCs w:val="28"/>
        </w:rPr>
        <w:t xml:space="preserve">представлен график зависимости времени выполнения от количества членов ряда с выключенной функцией </w:t>
      </w:r>
      <w:r w:rsidR="00E00F40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E00F40">
        <w:rPr>
          <w:rFonts w:ascii="Times New Roman" w:hAnsi="Times New Roman" w:cs="Times New Roman"/>
          <w:sz w:val="28"/>
          <w:szCs w:val="28"/>
        </w:rPr>
        <w:t>.</w:t>
      </w:r>
    </w:p>
    <w:p w14:paraId="2EEA759B" w14:textId="77777777" w:rsidR="00E00F40" w:rsidRPr="004D0D8B" w:rsidRDefault="00E00F40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C2A0E73" w14:textId="0CCE28E8" w:rsidR="00C83C73" w:rsidRPr="004262AD" w:rsidRDefault="00C83C73" w:rsidP="00C83C7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 w:rsidR="000A70B2">
        <w:rPr>
          <w:rFonts w:ascii="Times New Roman" w:hAnsi="Times New Roman" w:cs="Times New Roman"/>
          <w:sz w:val="28"/>
          <w:szCs w:val="28"/>
        </w:rPr>
        <w:t>Метод, вычисляющий сумму ряда</w:t>
      </w:r>
    </w:p>
    <w:p w14:paraId="08EDF704" w14:textId="77777777" w:rsidR="00C83C73" w:rsidRPr="00C83C73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026DE28" w14:textId="77777777" w:rsidR="00EE402A" w:rsidRPr="003530EF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>double</w:t>
      </w:r>
      <w:r w:rsidRPr="003530EF">
        <w:rPr>
          <w:rFonts w:ascii="Courier New" w:hAnsi="Courier New" w:cs="Courier New"/>
          <w:sz w:val="28"/>
          <w:szCs w:val="28"/>
        </w:rPr>
        <w:t xml:space="preserve"> </w:t>
      </w:r>
      <w:r w:rsidRPr="00EE402A">
        <w:rPr>
          <w:rFonts w:ascii="Courier New" w:hAnsi="Courier New" w:cs="Courier New"/>
          <w:sz w:val="28"/>
          <w:szCs w:val="28"/>
          <w:lang w:val="en-US"/>
        </w:rPr>
        <w:t>calculateX</w:t>
      </w:r>
      <w:r w:rsidRPr="003530EF">
        <w:rPr>
          <w:rFonts w:ascii="Courier New" w:hAnsi="Courier New" w:cs="Courier New"/>
          <w:sz w:val="28"/>
          <w:szCs w:val="28"/>
        </w:rPr>
        <w:t>(</w:t>
      </w:r>
      <w:r w:rsidRPr="00EE402A">
        <w:rPr>
          <w:rFonts w:ascii="Courier New" w:hAnsi="Courier New" w:cs="Courier New"/>
          <w:sz w:val="28"/>
          <w:szCs w:val="28"/>
          <w:lang w:val="en-US"/>
        </w:rPr>
        <w:t>double</w:t>
      </w:r>
      <w:r w:rsidRPr="003530EF">
        <w:rPr>
          <w:rFonts w:ascii="Courier New" w:hAnsi="Courier New" w:cs="Courier New"/>
          <w:sz w:val="28"/>
          <w:szCs w:val="28"/>
        </w:rPr>
        <w:t xml:space="preserve"> </w:t>
      </w:r>
      <w:r w:rsidRPr="00EE402A">
        <w:rPr>
          <w:rFonts w:ascii="Courier New" w:hAnsi="Courier New" w:cs="Courier New"/>
          <w:sz w:val="28"/>
          <w:szCs w:val="28"/>
          <w:lang w:val="en-US"/>
        </w:rPr>
        <w:t>x</w:t>
      </w:r>
      <w:r w:rsidRPr="003530EF">
        <w:rPr>
          <w:rFonts w:ascii="Courier New" w:hAnsi="Courier New" w:cs="Courier New"/>
          <w:sz w:val="28"/>
          <w:szCs w:val="28"/>
        </w:rPr>
        <w:t xml:space="preserve">, </w:t>
      </w:r>
      <w:r w:rsidRPr="00EE402A">
        <w:rPr>
          <w:rFonts w:ascii="Courier New" w:hAnsi="Courier New" w:cs="Courier New"/>
          <w:sz w:val="28"/>
          <w:szCs w:val="28"/>
          <w:lang w:val="en-US"/>
        </w:rPr>
        <w:t>int</w:t>
      </w:r>
      <w:r w:rsidRPr="003530EF">
        <w:rPr>
          <w:rFonts w:ascii="Courier New" w:hAnsi="Courier New" w:cs="Courier New"/>
          <w:sz w:val="28"/>
          <w:szCs w:val="28"/>
        </w:rPr>
        <w:t xml:space="preserve"> </w:t>
      </w:r>
      <w:r w:rsidRPr="00EE402A">
        <w:rPr>
          <w:rFonts w:ascii="Courier New" w:hAnsi="Courier New" w:cs="Courier New"/>
          <w:sz w:val="28"/>
          <w:szCs w:val="28"/>
          <w:lang w:val="en-US"/>
        </w:rPr>
        <w:t>n</w:t>
      </w:r>
      <w:r w:rsidRPr="003530EF">
        <w:rPr>
          <w:rFonts w:ascii="Courier New" w:hAnsi="Courier New" w:cs="Courier New"/>
          <w:sz w:val="28"/>
          <w:szCs w:val="28"/>
        </w:rPr>
        <w:t>) {</w:t>
      </w:r>
    </w:p>
    <w:p w14:paraId="0E2560ED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3530EF">
        <w:rPr>
          <w:rFonts w:ascii="Courier New" w:hAnsi="Courier New" w:cs="Courier New"/>
          <w:sz w:val="28"/>
          <w:szCs w:val="28"/>
        </w:rPr>
        <w:t xml:space="preserve">    </w:t>
      </w:r>
      <w:r w:rsidRPr="00EE402A">
        <w:rPr>
          <w:rFonts w:ascii="Courier New" w:hAnsi="Courier New" w:cs="Courier New"/>
          <w:sz w:val="28"/>
          <w:szCs w:val="28"/>
          <w:lang w:val="en-US"/>
        </w:rPr>
        <w:t>double result = 0;</w:t>
      </w:r>
    </w:p>
    <w:p w14:paraId="4B042702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double two = 2;</w:t>
      </w:r>
    </w:p>
    <w:p w14:paraId="7959596E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double one = 1;</w:t>
      </w:r>
    </w:p>
    <w:p w14:paraId="73C8CBC4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double temp = 0;</w:t>
      </w:r>
    </w:p>
    <w:p w14:paraId="5AF2DCA8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__asm {</w:t>
      </w:r>
    </w:p>
    <w:p w14:paraId="3207FF62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finit</w:t>
      </w:r>
    </w:p>
    <w:p w14:paraId="77DD3115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fild n</w:t>
      </w:r>
    </w:p>
    <w:p w14:paraId="7BB0F4B3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fmul two</w:t>
      </w:r>
    </w:p>
    <w:p w14:paraId="4EA883D1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fsub one</w:t>
      </w:r>
    </w:p>
    <w:p w14:paraId="31D5CE74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fst temp</w:t>
      </w:r>
    </w:p>
    <w:p w14:paraId="725E16B3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5BB4A25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__asm {</w:t>
      </w:r>
    </w:p>
    <w:p w14:paraId="2D1863C1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fmul x</w:t>
      </w:r>
    </w:p>
    <w:p w14:paraId="1BB7B5C3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fcos</w:t>
      </w:r>
    </w:p>
    <w:p w14:paraId="233C56F3" w14:textId="369236B3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CE078F9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__asm {</w:t>
      </w:r>
    </w:p>
    <w:p w14:paraId="2A8DDA5A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fld temp</w:t>
      </w:r>
    </w:p>
    <w:p w14:paraId="1EFE65C5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fmul temp</w:t>
      </w:r>
    </w:p>
    <w:p w14:paraId="2092FD73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12A8A56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__asm {</w:t>
      </w:r>
    </w:p>
    <w:p w14:paraId="5809B33F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fdivr st, st(1)</w:t>
      </w:r>
    </w:p>
    <w:p w14:paraId="072E65F6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74A849C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__asm {</w:t>
      </w:r>
    </w:p>
    <w:p w14:paraId="20CE0441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    fstp result</w:t>
      </w:r>
    </w:p>
    <w:p w14:paraId="1A85F234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FA97E66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462C9CC" w14:textId="77777777" w:rsidR="00EE402A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E402A">
        <w:rPr>
          <w:rFonts w:ascii="Courier New" w:hAnsi="Courier New" w:cs="Courier New"/>
          <w:sz w:val="28"/>
          <w:szCs w:val="28"/>
          <w:lang w:val="en-US"/>
        </w:rPr>
        <w:t xml:space="preserve">    return result;</w:t>
      </w:r>
    </w:p>
    <w:p w14:paraId="535FFF77" w14:textId="1CE48089" w:rsidR="004D0D8B" w:rsidRPr="00EE402A" w:rsidRDefault="00EE402A" w:rsidP="00EE402A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EE402A">
        <w:rPr>
          <w:rFonts w:ascii="Courier New" w:hAnsi="Courier New" w:cs="Courier New"/>
          <w:sz w:val="28"/>
          <w:szCs w:val="28"/>
        </w:rPr>
        <w:t>}</w:t>
      </w:r>
    </w:p>
    <w:p w14:paraId="67A0F36C" w14:textId="77777777" w:rsidR="003530EF" w:rsidRDefault="003530EF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530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A9941C" wp14:editId="717A510A">
            <wp:extent cx="4343400" cy="3303021"/>
            <wp:effectExtent l="0" t="0" r="0" b="0"/>
            <wp:docPr id="117072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26" cy="3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3352" w14:textId="7C83CEC9" w:rsidR="004D0D8B" w:rsidRPr="00E00F40" w:rsidRDefault="00E00F40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Выходные данные с включенной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</w:p>
    <w:p w14:paraId="73014B74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192B29" w14:textId="77777777" w:rsidR="00E00F40" w:rsidRDefault="00E00F40" w:rsidP="004D0D8B">
      <w:pPr>
        <w:tabs>
          <w:tab w:val="left" w:pos="0"/>
        </w:tabs>
        <w:jc w:val="center"/>
        <w:rPr>
          <w:noProof/>
          <w:lang w:eastAsia="ru-RU" w:bidi="ar-SA"/>
          <w14:ligatures w14:val="standardContextual"/>
        </w:rPr>
      </w:pPr>
    </w:p>
    <w:p w14:paraId="10D9A151" w14:textId="45163E0C" w:rsidR="00EE402A" w:rsidRDefault="003530EF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F8A">
        <w:rPr>
          <w:noProof/>
        </w:rPr>
        <w:drawing>
          <wp:inline distT="0" distB="0" distL="0" distR="0" wp14:anchorId="3E1645E9" wp14:editId="0157344B">
            <wp:extent cx="4343440" cy="3381375"/>
            <wp:effectExtent l="0" t="0" r="0" b="0"/>
            <wp:docPr id="190477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2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36" cy="33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FEF7" w14:textId="74F5B2CF" w:rsidR="00400602" w:rsidRPr="003530EF" w:rsidRDefault="002A2EB4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00F40">
        <w:rPr>
          <w:rFonts w:ascii="Times New Roman" w:hAnsi="Times New Roman" w:cs="Times New Roman"/>
          <w:sz w:val="28"/>
          <w:szCs w:val="28"/>
        </w:rPr>
        <w:t xml:space="preserve"> – Выходные данные с выключенной </w:t>
      </w:r>
      <w:r w:rsidR="00E00F40">
        <w:rPr>
          <w:rFonts w:ascii="Times New Roman" w:hAnsi="Times New Roman" w:cs="Times New Roman"/>
          <w:sz w:val="28"/>
          <w:szCs w:val="28"/>
          <w:lang w:val="en-US"/>
        </w:rPr>
        <w:t>SMT</w:t>
      </w:r>
    </w:p>
    <w:p w14:paraId="2C646C2C" w14:textId="77777777" w:rsidR="00EE402A" w:rsidRPr="003530EF" w:rsidRDefault="00EE402A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2D199E" w14:textId="77777777" w:rsidR="00EE402A" w:rsidRDefault="00EE402A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84512C" w14:textId="071BB3AB" w:rsidR="00F0358D" w:rsidRPr="002A2EB4" w:rsidRDefault="00F0358D" w:rsidP="00F0358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 w:rsidR="002A2EB4">
        <w:rPr>
          <w:rFonts w:ascii="Times New Roman" w:hAnsi="Times New Roman" w:cs="Times New Roman"/>
          <w:sz w:val="28"/>
          <w:szCs w:val="28"/>
        </w:rPr>
        <w:t xml:space="preserve">было выявлено, что в случае выполнения однопоточных вычислений при помощи математического сопроцессора процессорное время с включенной функцией </w:t>
      </w:r>
      <w:r w:rsidR="002A2EB4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2A2EB4" w:rsidRPr="002A2EB4">
        <w:rPr>
          <w:rFonts w:ascii="Times New Roman" w:hAnsi="Times New Roman" w:cs="Times New Roman"/>
          <w:sz w:val="28"/>
          <w:szCs w:val="28"/>
        </w:rPr>
        <w:t xml:space="preserve"> </w:t>
      </w:r>
      <w:r w:rsidR="003530EF">
        <w:rPr>
          <w:rFonts w:ascii="Times New Roman" w:hAnsi="Times New Roman" w:cs="Times New Roman"/>
          <w:sz w:val="28"/>
          <w:szCs w:val="28"/>
        </w:rPr>
        <w:t>и</w:t>
      </w:r>
      <w:r w:rsidR="002A2EB4">
        <w:rPr>
          <w:rFonts w:ascii="Times New Roman" w:hAnsi="Times New Roman" w:cs="Times New Roman"/>
          <w:sz w:val="28"/>
          <w:szCs w:val="28"/>
        </w:rPr>
        <w:t xml:space="preserve"> с выключенной функцией </w:t>
      </w:r>
      <w:r w:rsidR="002A2EB4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3530EF">
        <w:rPr>
          <w:rFonts w:ascii="Times New Roman" w:hAnsi="Times New Roman" w:cs="Times New Roman"/>
          <w:sz w:val="28"/>
          <w:szCs w:val="28"/>
        </w:rPr>
        <w:t xml:space="preserve"> не имеют значительных отличий</w:t>
      </w:r>
      <w:r w:rsidR="002A2EB4">
        <w:rPr>
          <w:rFonts w:ascii="Times New Roman" w:hAnsi="Times New Roman" w:cs="Times New Roman"/>
          <w:sz w:val="28"/>
          <w:szCs w:val="28"/>
        </w:rPr>
        <w:t>.</w:t>
      </w:r>
    </w:p>
    <w:sectPr w:rsidR="00F0358D" w:rsidRPr="002A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F5"/>
    <w:rsid w:val="0008204F"/>
    <w:rsid w:val="000A70B2"/>
    <w:rsid w:val="001D1F17"/>
    <w:rsid w:val="00290DF5"/>
    <w:rsid w:val="002A2EB4"/>
    <w:rsid w:val="002B144D"/>
    <w:rsid w:val="002D171F"/>
    <w:rsid w:val="00321149"/>
    <w:rsid w:val="003530EF"/>
    <w:rsid w:val="00400602"/>
    <w:rsid w:val="004262AD"/>
    <w:rsid w:val="00432C91"/>
    <w:rsid w:val="004D0D8B"/>
    <w:rsid w:val="005104B0"/>
    <w:rsid w:val="005335D8"/>
    <w:rsid w:val="005C0C74"/>
    <w:rsid w:val="005F000C"/>
    <w:rsid w:val="00672CB7"/>
    <w:rsid w:val="00695D3E"/>
    <w:rsid w:val="006F5AC4"/>
    <w:rsid w:val="007D014B"/>
    <w:rsid w:val="008523DD"/>
    <w:rsid w:val="00884550"/>
    <w:rsid w:val="009E0000"/>
    <w:rsid w:val="00A61972"/>
    <w:rsid w:val="00A708FA"/>
    <w:rsid w:val="00A72D02"/>
    <w:rsid w:val="00A8603C"/>
    <w:rsid w:val="00B572AD"/>
    <w:rsid w:val="00C83C73"/>
    <w:rsid w:val="00E00F40"/>
    <w:rsid w:val="00E044A1"/>
    <w:rsid w:val="00E33B81"/>
    <w:rsid w:val="00EE402A"/>
    <w:rsid w:val="00F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99C"/>
  <w15:chartTrackingRefBased/>
  <w15:docId w15:val="{75C3EF8D-2A60-4B4E-BBC8-454C15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FA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link w:val="10"/>
    <w:uiPriority w:val="9"/>
    <w:qFormat/>
    <w:rsid w:val="009E0000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00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A708FA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7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qFormat/>
    <w:rsid w:val="00C83C73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00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E000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1066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Валера Новиков</cp:lastModifiedBy>
  <cp:revision>3</cp:revision>
  <dcterms:created xsi:type="dcterms:W3CDTF">2024-04-08T07:04:00Z</dcterms:created>
  <dcterms:modified xsi:type="dcterms:W3CDTF">2024-04-08T08:48:00Z</dcterms:modified>
</cp:coreProperties>
</file>