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a1d21" w:val="clear"/>
        <w:spacing w:after="0" w:before="0" w:line="352.0032" w:lineRule="auto"/>
        <w:ind w:left="-240" w:right="-120" w:firstLine="0"/>
        <w:rPr>
          <w:b w:val="1"/>
          <w:color w:val="d1d2d3"/>
          <w:sz w:val="23"/>
          <w:szCs w:val="23"/>
        </w:rPr>
      </w:pPr>
      <w:r w:rsidDel="00000000" w:rsidR="00000000" w:rsidRPr="00000000">
        <w:rPr>
          <w:b w:val="1"/>
          <w:color w:val="d1d2d3"/>
          <w:sz w:val="23"/>
          <w:szCs w:val="23"/>
          <w:rtl w:val="0"/>
        </w:rPr>
        <w:t xml:space="preserve">Описание данных: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'status' - статус продажи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'private pool’ и 'PrivatePool' - наличие частного бассейна,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'propertyType' - тип недвижимости, поместья, свойства,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'street' - адрес дома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'baths' - количество ванных комнат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'homeFacts' - сведения о строении дома, содержит несколько отдельных данных, имеющих влияние на оценку недвижимости, дома, квартиры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'fireplace' - сведения о наличии камина (ов) в доме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'city' - город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'schools' - сведения о школах в районе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'sqft' - площадь дома в футах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'zipcode' - почтовый индекс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'beds' - количество спален в доме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'state' - государство/штаты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'stories' - этажность недвижимости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'mls-id' и 'MlsId' - идентификатор MLS (Multiple Listing Service - Служба множественного листинга)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'target' - целевой признак, который необходимо спрогнозировать - цена недвижимости</w:t>
      </w:r>
    </w:p>
    <w:p w:rsidR="00000000" w:rsidDel="00000000" w:rsidP="00000000" w:rsidRDefault="00000000" w:rsidRPr="00000000" w14:paraId="00000012">
      <w:pPr>
        <w:shd w:fill="1a1d21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4:07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a1d21" w:val="clear"/>
        <w:spacing w:after="0" w:before="0" w:line="352.0032" w:lineRule="auto"/>
        <w:ind w:left="-240" w:right="-120" w:firstLine="0"/>
        <w:rPr>
          <w:b w:val="1"/>
          <w:color w:val="d1d2d3"/>
          <w:sz w:val="23"/>
          <w:szCs w:val="23"/>
        </w:rPr>
      </w:pPr>
      <w:r w:rsidDel="00000000" w:rsidR="00000000" w:rsidRPr="00000000">
        <w:rPr>
          <w:b w:val="1"/>
          <w:color w:val="d1d2d3"/>
          <w:sz w:val="23"/>
          <w:szCs w:val="23"/>
          <w:rtl w:val="0"/>
        </w:rPr>
        <w:t xml:space="preserve">Важные примечания о данных:</w:t>
      </w:r>
    </w:p>
    <w:p w:rsidR="00000000" w:rsidDel="00000000" w:rsidP="00000000" w:rsidRDefault="00000000" w:rsidRPr="00000000" w14:paraId="00000014">
      <w:pPr>
        <w:shd w:fill="1a1d21" w:val="clear"/>
        <w:spacing w:after="0" w:before="0" w:line="352.0032" w:lineRule="auto"/>
        <w:ind w:left="-240" w:right="-120" w:firstLine="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Признаки 'homeFacts' и 'schools' представляют собой словари и содержат несколько отдельных сведений. Необходимо десериализовать содержимое этих признаков. Если имеются полезные данные, то необходимо из них создать новые признаки.</w:t>
      </w:r>
    </w:p>
    <w:p w:rsidR="00000000" w:rsidDel="00000000" w:rsidP="00000000" w:rsidRDefault="00000000" w:rsidRPr="00000000" w14:paraId="00000015">
      <w:pPr>
        <w:shd w:fill="1a1d21" w:val="clear"/>
        <w:spacing w:after="0" w:before="0" w:line="352.0032" w:lineRule="auto"/>
        <w:ind w:left="-240" w:right="-120" w:firstLine="0"/>
        <w:rPr>
          <w:color w:val="d1d2d3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Типы домов, жилищ, и их основные характеристики</w:t>
        </w:r>
      </w:hyperlink>
      <w:r w:rsidDel="00000000" w:rsidR="00000000" w:rsidRPr="00000000">
        <w:rPr>
          <w:color w:val="d1d2d3"/>
          <w:sz w:val="23"/>
          <w:szCs w:val="23"/>
          <w:rtl w:val="0"/>
        </w:rPr>
        <w:t xml:space="preserve"> (может пригодиться при обработке признаки propertyType)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Apartment - апартаменты (в них нельзя прописаться)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Condo - квартира (кондоминиум)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Co-Op - совместная (кооперативная квартира)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Single-Family (Detached, Tiny Home) - односемейный (маленький, отдельный)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Townhome, Townhouse - таунхауз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Cape Cod - черепица, деревянный сайдинг, центральная дверь с окнами по бокам, 1-2 этаж.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Colonial home - два этажа с лишним, симметричный, центральная лестница, формальный вид.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Contemporary - основные характеристики: Чистые, простые линии; нейтральные цвета; натуральные текстуры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Cottage - уютная, небольшая веранда; небольшие жилые помещения; индивидуальный характер.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Craftsman - "ремесленник" элементы ручной работы из дерева, выступающие балки, большие колонны.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Greek Revival - большие белые колонны, украшения в греческом стиле, парадный вход.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Farmhouse - деревенское, прямоугольное, большое крыльцо, крыши в стиле сарая и особенности.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French Country - влияние прованса, каменный внешний вид, состаренный вид.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Mediterranean - белая штукатурка, теплое дерево и камень, черепичные крыши, есть элементы испанских и итальянских вилл.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Midcentury Modern - сочетание органики и геометрии, гладкий, лаконичный, большие окна.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Ranch - один этаж, низкая крыша, открытые жилые помещения, задний двор.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Split-Level - жилые помещения разделены короткими лестничными пролетами.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Tudor - деревянный каркас, каменная кладка, ассимметричные, крутые двускатные крыши.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Victorian (Queen Anne Houses) - два-три этажа, богато украшенные крутые двускатные крыши, небольшие башни, яркие фасады.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Europian Houses style - часто используют кирпич или камень и включают в себя высокие крутые крыши, высокие окна, часто со ставнями, и традиционные декоративные детали, такие как фронтоны и замковые камни.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log home - деревянный дом</w:t>
      </w:r>
    </w:p>
    <w:p w:rsidR="00000000" w:rsidDel="00000000" w:rsidP="00000000" w:rsidRDefault="00000000" w:rsidRPr="00000000" w14:paraId="0000002B">
      <w:pPr>
        <w:shd w:fill="1a1d21" w:val="clear"/>
        <w:spacing w:after="0" w:before="0" w:line="352.0032" w:lineRule="auto"/>
        <w:ind w:left="-240" w:right="-120" w:firstLine="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Некоторые жаргонные сокращения, для исправления дублирования (может пригодиться при обработке признака propertyType):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'manufactured home (house)' = 'mobile' = 'prefab' = 'modular'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'mobile' = 'mo2 le' = 'mo2le'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'cabin' = 'ca2 n' = 'ca2n'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midcentury = mid century = mid-century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single family = single-family home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Некоторые термины, используемые в сфере продажи-покупки недвижимости: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status - статус, состояние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estate - недвижимость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'foreclosed' ('foreclosure') - 'исключено', 'лишен права выкупа' — это процесс, когда ваша недвижимость переходит к кредитору из-за неуплаты Вами ипотечных выплат. Продажа foreclosure недвижимости отличается от традиционных продаж. Переход недвижимости в собственность залогодержателя если, по какой-либо причине, вы не можете выплачивать ваш mortgage Mortgage - ссуда в банке на недвижимость (Ипотека).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'pre foreclosure' ('pre foreclosure auction') - «до выкупа» - «аукцион до выкупа»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'under contract showing' ('under contract show', 'under contract', 'active under contract') - 'по договору', - «действующий по контракту»,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'under contract backups' - резервное копирование по контракту, 'active backup' - «активное резервное копирование» 'backup contract' - «резервный контракт»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'contingency' - непредвиденные обстоятельства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'contingency contract' - «контракт на случай непредвиденных обстоятельств», 'active contingency' - 'активное непредвиденное обстоятельство', 'insp inspection contingency' - 'непредвиденные обстоятельства инспектирования'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'pending escape clause' - 'ожидающая оговорка об освобождении'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'pending backup wanted' - «требуется резервное копирование в ожидании» 'pending take backups' - «ожидание создания резервных копий»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'pending continue show financing' - 'в ожидании продолжения шоу финансирования' 'pending continue show' - 'ожидание продолжения шоу'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'pending insp finance' ('pending inspection') - "в ожидании финансовой проверки"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'due diligence period' - «период должной осмотрительности»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'activated' - активирован (active)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'active with contract' - 'активен с контрактом' 'active option' = = active with contract = = 'active option contract' = = contingency period = = due diligence period «активный вариант» - «активный опционный контракт», In some states, the active option contract is referred to as a contingency period or due diligence period.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'active with offer' - 'активен с предложением'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'active auction', 'auction active', 'auction'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contingency, contingencies - случайность, непредвиденные обстоятельства contingent - условный. В сфере недвижимости, когда дом указан как условный, это означает, что предложение было сделано и принято, но до завершения сделки должны быть выполнены некоторые дополнительные критерии. В сфере недвижимости, когда дом указан как условный, это означает, что предложение было сделано и принято, но до завершения сделки должны быть выполнены некоторые дополнительные критерии.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900" w:right="-1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cooling-off period - период обдумывание (период охлаждения) conditional offers - условные предложения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fexpertsworkspace.slack.com/archives/D0262L20CN7/p1679317639078489" TargetMode="External"/><Relationship Id="rId7" Type="http://schemas.openxmlformats.org/officeDocument/2006/relationships/hyperlink" Target="https://www.rocketmortgage.com/learn/types-of-ho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