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3261E" w:sz="2"/>
          <w:bottom w:val="single" w:color="B3261E" w:sz="2"/>
          <w:left w:val="single" w:color="B3261E" w:sz="2"/>
          <w:right w:val="single" w:color="B3261E" w:sz="2"/>
        </w:pBdr>
        <w:shd w:fill="B3261E" w:color="auto" w:val="clear"/>
        <w:spacing w:after="200"/>
        <w:jc w:val="center"/>
      </w:pPr>
      <w:r>
        <w:rPr>
          <w:b/>
          <w:bCs/>
          <w:color w:val="FFFFFF"/>
          <w:sz w:val="21"/>
          <w:szCs w:val="21"/>
        </w:rPr>
        <w:t xml:space="preserve">SAMPLE REPORT — ILLUSTRATIVE DATA. This document uses a hypothetical facility to demonstrate Novo Accessibility's report format and methodology. It does not represent a completed engagement.</w:t>
      </w:r>
    </w:p>
    <w:p>
      <w:pPr>
        <w:spacing w:after="40" w:before="200"/>
      </w:pPr>
      <w:r>
        <w:rPr>
          <w:rFonts w:ascii="Georgia" w:cs="Georgia" w:eastAsia="Georgia" w:hAnsi="Georgia"/>
          <w:b/>
          <w:bCs/>
          <w:color w:val="101B2D"/>
          <w:sz w:val="24"/>
          <w:szCs w:val="24"/>
        </w:rPr>
        <w:t xml:space="preserve">NOVO ACCESSIBILITY</w:t>
      </w:r>
    </w:p>
    <w:p>
      <w:pPr>
        <w:spacing w:after="360"/>
      </w:pPr>
      <w:r>
        <w:rPr>
          <w:color w:val="5B5A52"/>
          <w:sz w:val="21"/>
          <w:szCs w:val="21"/>
        </w:rPr>
        <w:t xml:space="preserve">novoaccessibility.com  |  carl@novoaccessibility.com  |  587-355-4677</w:t>
      </w:r>
    </w:p>
    <w:p>
      <w:pPr>
        <w:spacing w:after="80"/>
      </w:pPr>
      <w:r>
        <w:rPr>
          <w:rFonts w:ascii="Georgia" w:cs="Georgia" w:eastAsia="Georgia" w:hAnsi="Georgia"/>
          <w:b/>
          <w:bCs/>
          <w:color w:val="101B2D"/>
          <w:sz w:val="38"/>
          <w:szCs w:val="38"/>
        </w:rPr>
        <w:t xml:space="preserve">Accessibility Capital Planning Assessment</w:t>
      </w:r>
    </w:p>
    <w:p>
      <w:pPr>
        <w:spacing w:after="280"/>
      </w:pPr>
      <w:r>
        <w:rPr>
          <w:i/>
          <w:iCs/>
          <w:color w:val="6B4F1F"/>
          <w:sz w:val="24"/>
          <w:szCs w:val="24"/>
        </w:rPr>
        <w:t xml:space="preserve">RHFAC Methodology  |  v4.0 Rating Survey  |  CSA/ASC B651:23</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480"/>
        <w:gridCol w:w="4320"/>
      </w:tblGrid>
      <w:tr>
        <w:tc>
          <w:tcPr>
            <w:tcW w:type="dxa" w:w="6480"/>
            <w:tcBorders>
              <w:top w:val="single" w:color="101B2D" w:sz="2"/>
              <w:left w:val="single" w:color="101B2D" w:sz="2"/>
              <w:bottom w:val="single" w:color="101B2D" w:sz="2"/>
              <w:right w:val="single" w:color="101B2D" w:sz="2"/>
            </w:tcBorders>
            <w:tcMar>
              <w:top w:type="dxa" w:w="200"/>
              <w:left w:type="dxa" w:w="220"/>
              <w:bottom w:type="dxa" w:w="200"/>
              <w:right w:type="dxa" w:w="220"/>
            </w:tcMar>
          </w:tcPr>
          <w:p>
            <w:r>
              <w:rPr>
                <w:b/>
                <w:bCs/>
                <w:color w:val="6B4F1F"/>
                <w:sz w:val="18"/>
                <w:szCs w:val="18"/>
              </w:rPr>
              <w:t xml:space="preserve">FACILITY</w:t>
            </w:r>
          </w:p>
          <w:p>
            <w:pPr>
              <w:spacing w:before="100"/>
            </w:pPr>
            <w:r>
              <w:rPr>
                <w:rFonts w:ascii="Georgia" w:cs="Georgia" w:eastAsia="Georgia" w:hAnsi="Georgia"/>
                <w:b/>
                <w:bCs/>
                <w:color w:val="101B2D"/>
                <w:sz w:val="23"/>
                <w:szCs w:val="23"/>
              </w:rPr>
              <w:t xml:space="preserve">Clearwater Public Library</w:t>
            </w:r>
          </w:p>
          <w:p>
            <w:pPr>
              <w:spacing w:before="80"/>
            </w:pPr>
            <w:r>
              <w:rPr>
                <w:sz w:val="21"/>
                <w:szCs w:val="21"/>
              </w:rPr>
              <w:t xml:space="preserve">Town of Clearwater, Alberta</w:t>
            </w:r>
          </w:p>
          <w:p>
            <w:r>
              <w:rPr>
                <w:sz w:val="21"/>
                <w:szCs w:val="21"/>
              </w:rPr>
              <w:t xml:space="preserve">1204 Main Street, Clearwater AB T0M 0M0</w:t>
            </w:r>
          </w:p>
          <w:p>
            <w:r>
              <w:rPr>
                <w:sz w:val="21"/>
                <w:szCs w:val="21"/>
              </w:rPr>
              <w:t xml:space="preserve">Public Library | Two Levels | 7,000 sq ft</w:t>
            </w:r>
          </w:p>
          <w:p>
            <w:r>
              <w:rPr>
                <w:sz w:val="21"/>
                <w:szCs w:val="21"/>
              </w:rPr>
              <w:t xml:space="preserve">Built 1997 | Partial renovation 2009</w:t>
            </w:r>
          </w:p>
        </w:tc>
        <w:tc>
          <w:tcPr>
            <w:tcW w:type="dxa" w:w="4320"/>
            <w:tcBorders>
              <w:top w:val="single" w:color="101B2D" w:sz="2"/>
              <w:left w:val="single" w:color="101B2D" w:sz="2"/>
              <w:bottom w:val="single" w:color="101B2D" w:sz="2"/>
              <w:right w:val="single" w:color="101B2D" w:sz="2"/>
            </w:tcBorders>
            <w:shd w:fill="F5F1E8" w:color="auto" w:val="clear"/>
            <w:tcMar>
              <w:top w:type="dxa" w:w="200"/>
              <w:left w:type="dxa" w:w="220"/>
              <w:bottom w:type="dxa" w:w="200"/>
              <w:right w:type="dxa" w:w="220"/>
            </w:tcMar>
          </w:tcPr>
          <w:p>
            <w:r>
              <w:rPr>
                <w:b/>
                <w:bCs/>
                <w:color w:val="6B4F1F"/>
                <w:sz w:val="18"/>
                <w:szCs w:val="18"/>
              </w:rPr>
              <w:t xml:space="preserve">NAI SCORE</w:t>
            </w:r>
          </w:p>
          <w:p>
            <w:pPr>
              <w:spacing w:before="60"/>
            </w:pPr>
            <w:r>
              <w:rPr>
                <w:rFonts w:ascii="Georgia" w:cs="Georgia" w:eastAsia="Georgia" w:hAnsi="Georgia"/>
                <w:b/>
                <w:bCs/>
                <w:color w:val="B3261E"/>
                <w:sz w:val="44"/>
                <w:szCs w:val="44"/>
              </w:rPr>
              <w:t xml:space="preserve">56%</w:t>
            </w:r>
          </w:p>
          <w:p>
            <w:pPr>
              <w:spacing w:before="60"/>
            </w:pPr>
            <w:r>
              <w:rPr>
                <w:sz w:val="21"/>
                <w:szCs w:val="21"/>
              </w:rPr>
              <w:t xml:space="preserve">709 / 1,259 applicable points</w:t>
            </w:r>
          </w:p>
          <w:p>
            <w:pPr>
              <w:spacing w:before="60"/>
            </w:pPr>
            <w:r>
              <w:rPr>
                <w:b/>
                <w:bCs/>
                <w:sz w:val="21"/>
                <w:szCs w:val="21"/>
              </w:rPr>
              <w:t xml:space="preserve">Moderate Compliance — Remediation recommended</w:t>
            </w:r>
          </w:p>
          <w:p>
            <w:pPr>
              <w:spacing w:before="100"/>
            </w:pPr>
            <w:r>
              <w:rPr>
                <w:color w:val="5B5A52"/>
                <w:sz w:val="18"/>
                <w:szCs w:val="18"/>
              </w:rPr>
              <w:t xml:space="preserve">Certified threshold: 60% (751 pts) | Gap: 42 pts</w:t>
            </w:r>
          </w:p>
          <w:p>
            <w:r>
              <w:rPr>
                <w:color w:val="5B5A52"/>
                <w:sz w:val="18"/>
                <w:szCs w:val="18"/>
              </w:rPr>
              <w:t xml:space="preserve">Gold threshold: 80% (1,007 pts)</w:t>
            </w:r>
          </w:p>
        </w:tc>
      </w:tr>
    </w:tbl>
    <w:p>
      <w:pPr>
        <w:spacing w:after="220" w:before="220"/>
      </w:pPr>
      <w:r>
        <w:rPr>
          <w:sz w:val="2"/>
          <w:szCs w:val="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gridCol w:w="2160"/>
      </w:tblGrid>
      <w:tr>
        <w:tc>
          <w:tcPr>
            <w:tcW w:type="dxa" w:w="2160"/>
            <w:shd w:fill="101B2D" w:color="auto" w:val="clear"/>
            <w:tcMar>
              <w:top w:type="dxa" w:w="90"/>
              <w:left w:type="dxa" w:w="100"/>
              <w:bottom w:type="dxa" w:w="90"/>
              <w:right w:type="dxa" w:w="100"/>
            </w:tcMar>
            <w:vAlign w:val="center"/>
          </w:tcPr>
          <w:p>
            <w:r>
              <w:rPr>
                <w:b/>
                <w:bCs/>
                <w:color w:val="FFFFFF"/>
                <w:sz w:val="20"/>
                <w:szCs w:val="20"/>
              </w:rPr>
              <w:t xml:space="preserve">Assessment Date</w:t>
            </w:r>
          </w:p>
        </w:tc>
        <w:tc>
          <w:tcPr>
            <w:tcW w:type="dxa" w:w="2160"/>
            <w:shd w:fill="101B2D" w:color="auto" w:val="clear"/>
            <w:tcMar>
              <w:top w:type="dxa" w:w="90"/>
              <w:left w:type="dxa" w:w="100"/>
              <w:bottom w:type="dxa" w:w="90"/>
              <w:right w:type="dxa" w:w="100"/>
            </w:tcMar>
            <w:vAlign w:val="center"/>
          </w:tcPr>
          <w:p>
            <w:r>
              <w:rPr>
                <w:b/>
                <w:bCs/>
                <w:color w:val="FFFFFF"/>
                <w:sz w:val="20"/>
                <w:szCs w:val="20"/>
              </w:rPr>
              <w:t xml:space="preserve">Assessor</w:t>
            </w:r>
          </w:p>
        </w:tc>
        <w:tc>
          <w:tcPr>
            <w:tcW w:type="dxa" w:w="2160"/>
            <w:shd w:fill="101B2D" w:color="auto" w:val="clear"/>
            <w:tcMar>
              <w:top w:type="dxa" w:w="90"/>
              <w:left w:type="dxa" w:w="100"/>
              <w:bottom w:type="dxa" w:w="90"/>
              <w:right w:type="dxa" w:w="100"/>
            </w:tcMar>
            <w:vAlign w:val="center"/>
          </w:tcPr>
          <w:p>
            <w:r>
              <w:rPr>
                <w:b/>
                <w:bCs/>
                <w:color w:val="FFFFFF"/>
                <w:sz w:val="20"/>
                <w:szCs w:val="20"/>
              </w:rPr>
              <w:t xml:space="preserve">Credentials</w:t>
            </w:r>
          </w:p>
        </w:tc>
        <w:tc>
          <w:tcPr>
            <w:tcW w:type="dxa" w:w="2160"/>
            <w:shd w:fill="101B2D" w:color="auto" w:val="clear"/>
            <w:tcMar>
              <w:top w:type="dxa" w:w="90"/>
              <w:left w:type="dxa" w:w="100"/>
              <w:bottom w:type="dxa" w:w="90"/>
              <w:right w:type="dxa" w:w="100"/>
            </w:tcMar>
            <w:vAlign w:val="center"/>
          </w:tcPr>
          <w:p>
            <w:r>
              <w:rPr>
                <w:b/>
                <w:bCs/>
                <w:color w:val="FFFFFF"/>
                <w:sz w:val="20"/>
                <w:szCs w:val="20"/>
              </w:rPr>
              <w:t xml:space="preserve">Survey Version</w:t>
            </w:r>
          </w:p>
        </w:tc>
        <w:tc>
          <w:tcPr>
            <w:tcW w:type="dxa" w:w="2160"/>
            <w:shd w:fill="101B2D" w:color="auto" w:val="clear"/>
            <w:tcMar>
              <w:top w:type="dxa" w:w="90"/>
              <w:left w:type="dxa" w:w="100"/>
              <w:bottom w:type="dxa" w:w="90"/>
              <w:right w:type="dxa" w:w="100"/>
            </w:tcMar>
            <w:vAlign w:val="center"/>
          </w:tcPr>
          <w:p>
            <w:r>
              <w:rPr>
                <w:b/>
                <w:bCs/>
                <w:color w:val="FFFFFF"/>
                <w:sz w:val="20"/>
                <w:szCs w:val="20"/>
              </w:rPr>
              <w:t xml:space="preserve">Equipment</w:t>
            </w:r>
          </w:p>
        </w:tc>
      </w:tr>
      <w:tr>
        <w:tc>
          <w:tcPr>
            <w:tcW w:type="dxa" w:w="2160"/>
            <w:tcMar>
              <w:top w:type="dxa" w:w="80"/>
              <w:left w:type="dxa" w:w="100"/>
              <w:bottom w:type="dxa" w:w="80"/>
              <w:right w:type="dxa" w:w="100"/>
            </w:tcMar>
            <w:vAlign w:val="center"/>
          </w:tcPr>
          <w:p>
            <w:r>
              <w:rPr>
                <w:b w:val="false"/>
                <w:bCs w:val="false"/>
                <w:color w:val="1B1F27"/>
                <w:sz w:val="21"/>
                <w:szCs w:val="21"/>
              </w:rPr>
              <w:t xml:space="preserve">April 14, 2026</w:t>
            </w:r>
          </w:p>
        </w:tc>
        <w:tc>
          <w:tcPr>
            <w:tcW w:type="dxa" w:w="2160"/>
            <w:tcMar>
              <w:top w:type="dxa" w:w="80"/>
              <w:left w:type="dxa" w:w="100"/>
              <w:bottom w:type="dxa" w:w="80"/>
              <w:right w:type="dxa" w:w="100"/>
            </w:tcMar>
            <w:vAlign w:val="center"/>
          </w:tcPr>
          <w:p>
            <w:r>
              <w:rPr>
                <w:b w:val="false"/>
                <w:bCs w:val="false"/>
                <w:color w:val="1B1F27"/>
                <w:sz w:val="21"/>
                <w:szCs w:val="21"/>
              </w:rPr>
              <w:t xml:space="preserve">Carl Christie</w:t>
            </w:r>
          </w:p>
        </w:tc>
        <w:tc>
          <w:tcPr>
            <w:tcW w:type="dxa" w:w="2160"/>
            <w:tcMar>
              <w:top w:type="dxa" w:w="80"/>
              <w:left w:type="dxa" w:w="100"/>
              <w:bottom w:type="dxa" w:w="80"/>
              <w:right w:type="dxa" w:w="100"/>
            </w:tcMar>
            <w:vAlign w:val="center"/>
          </w:tcPr>
          <w:p>
            <w:r>
              <w:rPr>
                <w:b/>
                <w:bCs/>
                <w:color w:val="101B2D"/>
                <w:sz w:val="21"/>
                <w:szCs w:val="21"/>
              </w:rPr>
              <w:t xml:space="preserve">RHFAC Professional</w:t>
            </w:r>
          </w:p>
        </w:tc>
        <w:tc>
          <w:tcPr>
            <w:tcW w:type="dxa" w:w="2160"/>
            <w:tcMar>
              <w:top w:type="dxa" w:w="80"/>
              <w:left w:type="dxa" w:w="100"/>
              <w:bottom w:type="dxa" w:w="80"/>
              <w:right w:type="dxa" w:w="100"/>
            </w:tcMar>
            <w:vAlign w:val="center"/>
          </w:tcPr>
          <w:p>
            <w:r>
              <w:rPr>
                <w:b w:val="false"/>
                <w:bCs w:val="false"/>
                <w:color w:val="1B1F27"/>
                <w:sz w:val="21"/>
                <w:szCs w:val="21"/>
              </w:rPr>
              <w:t xml:space="preserve">RHFAC v4.0 (Sept 2024)</w:t>
            </w:r>
          </w:p>
        </w:tc>
        <w:tc>
          <w:tcPr>
            <w:tcW w:type="dxa" w:w="2160"/>
            <w:tcMar>
              <w:top w:type="dxa" w:w="80"/>
              <w:left w:type="dxa" w:w="100"/>
              <w:bottom w:type="dxa" w:w="80"/>
              <w:right w:type="dxa" w:w="100"/>
            </w:tcMar>
            <w:vAlign w:val="center"/>
          </w:tcPr>
          <w:p>
            <w:r>
              <w:rPr>
                <w:b w:val="false"/>
                <w:bCs w:val="false"/>
                <w:color w:val="1B1F27"/>
                <w:sz w:val="21"/>
                <w:szCs w:val="21"/>
              </w:rPr>
              <w:t xml:space="preserve">Leica DISTO D2, inclinometer, dynamometer</w:t>
            </w:r>
          </w:p>
        </w:tc>
      </w:tr>
    </w:tbl>
    <w:p>
      <w:pPr>
        <w:pBdr>
          <w:top w:val="single" w:color="D9D2BF" w:sz="2"/>
          <w:bottom w:val="single" w:color="D9D2BF" w:sz="2"/>
          <w:left w:val="single" w:color="D9D2BF" w:sz="2"/>
          <w:right w:val="single" w:color="D9D2BF" w:sz="2"/>
        </w:pBdr>
        <w:shd w:fill="F5F1E8" w:color="auto" w:val="clear"/>
        <w:spacing w:before="280"/>
      </w:pPr>
      <w:r>
        <w:rPr>
          <w:b/>
          <w:bCs/>
          <w:color w:val="101B2D"/>
          <w:sz w:val="21"/>
          <w:szCs w:val="21"/>
        </w:rPr>
        <w:t xml:space="preserve">IMPORTANT — SCOPE OF THIS REPORT</w:t>
      </w:r>
    </w:p>
    <w:p>
      <w:pPr>
        <w:pBdr>
          <w:top w:val="none"/>
          <w:bottom w:val="single" w:color="D9D2BF" w:sz="2"/>
          <w:left w:val="single" w:color="D9D2BF" w:sz="2"/>
          <w:right w:val="single" w:color="D9D2BF" w:sz="2"/>
        </w:pBdr>
        <w:shd w:fill="F5F1E8" w:color="auto" w:val="clear"/>
        <w:spacing w:after="400"/>
      </w:pPr>
      <w:r>
        <w:rPr>
          <w:color w:val="1B1F27"/>
          <w:sz w:val="19"/>
          <w:szCs w:val="19"/>
        </w:rPr>
        <w:t xml:space="preserve">This report is a Novo Accessibility Assessment produced using RHFAC v4.0 methodology and CSA/ASC B651:23 standards. It constitutes a pre-complaint documentation baseline for municipal capital planning purposes. It is not an RHFAC Registry submission and does not confer RHF certification. Formal RHFAC certification requires submission to the RHFAC Registry by a designated RHFAC Professional for adjudication by the Rick Hansen Foundation. As a certified RHFAC Professional, Novo Accessibility can complete formal Registry submission for official RHF Accessibility Certified status as a separate service. All measurements were taken with calibrated equipment. Cost estimates are based on current regional contractor pricing and are for capital planning purposes only.</w:t>
      </w:r>
    </w:p>
    <w:p>
      <w:r>
        <w:br w:type="page"/>
      </w:r>
    </w:p>
    <w:p>
      <w:pPr>
        <w:pStyle w:val="Heading1"/>
        <w:spacing w:after="280"/>
      </w:pPr>
      <w:r>
        <w:rPr>
          <w:rFonts w:ascii="Georgia" w:cs="Georgia" w:eastAsia="Georgia" w:hAnsi="Georgia"/>
          <w:color w:val="101B2D"/>
        </w:rPr>
        <w:t xml:space="preserve">Contents</w:t>
      </w:r>
    </w:p>
    <w:p>
      <w:pPr>
        <w:pBdr>
          <w:bottom w:val="single" w:color="D9D2BF" w:sz="2"/>
        </w:pBdr>
        <w:tabs>
          <w:tab w:val="right" w:pos="10800"/>
        </w:tabs>
        <w:spacing w:after="160"/>
      </w:pPr>
      <w:r>
        <w:rPr>
          <w:color w:val="101B2D"/>
          <w:sz w:val="22"/>
          <w:szCs w:val="22"/>
        </w:rPr>
        <w:t xml:space="preserve">1. Executive Summary for Council</w:t>
      </w:r>
      <w:r>
        <w:rPr>
          <w:color w:val="5B5A52"/>
          <w:sz w:val="22"/>
          <w:szCs w:val="22"/>
        </w:rPr>
        <w:t xml:space="preserve">	2</w:t>
      </w:r>
    </w:p>
    <w:p>
      <w:pPr>
        <w:pBdr>
          <w:bottom w:val="single" w:color="D9D2BF" w:sz="2"/>
        </w:pBdr>
        <w:tabs>
          <w:tab w:val="right" w:pos="10800"/>
        </w:tabs>
        <w:spacing w:after="160"/>
      </w:pPr>
      <w:r>
        <w:rPr>
          <w:color w:val="101B2D"/>
          <w:sz w:val="22"/>
          <w:szCs w:val="22"/>
        </w:rPr>
        <w:t xml:space="preserve">2. At-a-Glance — Category Scores</w:t>
      </w:r>
      <w:r>
        <w:rPr>
          <w:color w:val="5B5A52"/>
          <w:sz w:val="22"/>
          <w:szCs w:val="22"/>
        </w:rPr>
        <w:t xml:space="preserve">	2</w:t>
      </w:r>
    </w:p>
    <w:p>
      <w:pPr>
        <w:pBdr>
          <w:bottom w:val="single" w:color="D9D2BF" w:sz="2"/>
        </w:pBdr>
        <w:tabs>
          <w:tab w:val="right" w:pos="10800"/>
        </w:tabs>
        <w:spacing w:after="160"/>
      </w:pPr>
      <w:r>
        <w:rPr>
          <w:color w:val="101B2D"/>
          <w:sz w:val="22"/>
          <w:szCs w:val="22"/>
        </w:rPr>
        <w:t xml:space="preserve">3. NAI Score Summary</w:t>
      </w:r>
      <w:r>
        <w:rPr>
          <w:color w:val="5B5A52"/>
          <w:sz w:val="22"/>
          <w:szCs w:val="22"/>
        </w:rPr>
        <w:t xml:space="preserve">	3</w:t>
      </w:r>
    </w:p>
    <w:p>
      <w:pPr>
        <w:pBdr>
          <w:bottom w:val="single" w:color="D9D2BF" w:sz="2"/>
        </w:pBdr>
        <w:tabs>
          <w:tab w:val="right" w:pos="10800"/>
        </w:tabs>
        <w:spacing w:after="160"/>
      </w:pPr>
      <w:r>
        <w:rPr>
          <w:color w:val="101B2D"/>
          <w:sz w:val="22"/>
          <w:szCs w:val="22"/>
        </w:rPr>
        <w:t xml:space="preserve">4. Detailed Findings — RHFAC v4.0, All 12 Categories</w:t>
      </w:r>
      <w:r>
        <w:rPr>
          <w:color w:val="5B5A52"/>
          <w:sz w:val="22"/>
          <w:szCs w:val="22"/>
        </w:rPr>
        <w:t xml:space="preserve">	4</w:t>
      </w:r>
    </w:p>
    <w:p>
      <w:pPr>
        <w:pBdr>
          <w:bottom w:val="single" w:color="D9D2BF" w:sz="2"/>
        </w:pBdr>
        <w:tabs>
          <w:tab w:val="right" w:pos="10800"/>
        </w:tabs>
        <w:spacing w:after="160"/>
      </w:pPr>
      <w:r>
        <w:rPr>
          <w:color w:val="101B2D"/>
          <w:sz w:val="22"/>
          <w:szCs w:val="22"/>
        </w:rPr>
        <w:t xml:space="preserve">5. Prioritized Remediation Plan</w:t>
      </w:r>
      <w:r>
        <w:rPr>
          <w:color w:val="5B5A52"/>
          <w:sz w:val="22"/>
          <w:szCs w:val="22"/>
        </w:rPr>
        <w:t xml:space="preserve">	10</w:t>
      </w:r>
    </w:p>
    <w:p>
      <w:pPr>
        <w:pBdr>
          <w:bottom w:val="single" w:color="D9D2BF" w:sz="2"/>
        </w:pBdr>
        <w:tabs>
          <w:tab w:val="right" w:pos="10800"/>
        </w:tabs>
        <w:spacing w:after="160"/>
      </w:pPr>
      <w:r>
        <w:rPr>
          <w:color w:val="101B2D"/>
          <w:sz w:val="22"/>
          <w:szCs w:val="22"/>
        </w:rPr>
        <w:t xml:space="preserve">6. Next Dollar Impact — Certification Pathway</w:t>
      </w:r>
      <w:r>
        <w:rPr>
          <w:color w:val="5B5A52"/>
          <w:sz w:val="22"/>
          <w:szCs w:val="22"/>
        </w:rPr>
        <w:t xml:space="preserve">	11</w:t>
      </w:r>
    </w:p>
    <w:p>
      <w:pPr>
        <w:pStyle w:val="Heading1"/>
        <w:spacing w:after="60"/>
      </w:pPr>
      <w:r>
        <w:rPr>
          <w:rFonts w:ascii="Georgia" w:cs="Georgia" w:eastAsia="Georgia" w:hAnsi="Georgia"/>
          <w:color w:val="101B2D"/>
        </w:rPr>
        <w:t xml:space="preserve">1. Executive Summary for Council</w:t>
      </w:r>
    </w:p>
    <w:p>
      <w:pPr>
        <w:spacing w:after="60" w:before="60"/>
      </w:pPr>
      <w:r>
        <w:rPr>
          <w:b/>
          <w:bCs/>
          <w:color w:val="6B4F1F"/>
          <w:spacing w:val="20"/>
          <w:sz w:val="18"/>
          <w:szCs w:val="18"/>
        </w:rPr>
        <w:t xml:space="preserve">FOR ADMINISTRATION AND COUNCIL — TOWN OF CLEARWATER</w:t>
      </w:r>
    </w:p>
    <w:p>
      <w:pPr>
        <w:spacing w:after="160"/>
      </w:pPr>
      <w:r>
        <w:rPr>
          <w:color w:val="1B1F27"/>
          <w:sz w:val="24"/>
          <w:szCs w:val="24"/>
        </w:rPr>
        <w:t xml:space="preserve">The Clearwater Public Library scored 709 of 1,259 applicable points (NAI 56%) across a full RHFAC v4.0 assessment conducted April 14, 2026. This score represents moderate compliance and falls 42 points below the threshold for RHF Accessibility Certified status.</w:t>
      </w:r>
    </w:p>
    <w:p>
      <w:pPr>
        <w:pBdr>
          <w:left w:val="single" w:color="8C1D14" w:sz="24"/>
        </w:pBdr>
        <w:spacing w:after="120" w:before="120"/>
        <w:ind w:left="200"/>
      </w:pPr>
      <w:r>
        <w:rPr>
          <w:b/>
          <w:bCs/>
          <w:sz w:val="24"/>
          <w:szCs w:val="24"/>
        </w:rPr>
        <w:t xml:space="preserve">Three findings constitute life safety failures requiring immediate action. </w:t>
      </w:r>
      <w:r>
        <w:rPr>
          <w:sz w:val="24"/>
          <w:szCs w:val="24"/>
        </w:rPr>
        <w:t xml:space="preserve">There are no visual fire alarms on either level, no designated area of rescue assistance on Level 2, and the accessible washroom grab bars are mounted 55mm below the required minimum height.</w:t>
      </w:r>
    </w:p>
    <w:p>
      <w:pPr>
        <w:spacing w:after="160"/>
      </w:pPr>
      <w:r>
        <w:rPr>
          <w:color w:val="1B1F27"/>
          <w:sz w:val="24"/>
          <w:szCs w:val="24"/>
        </w:rPr>
        <w:t xml:space="preserve">The most important finding for capital planning purposes: RHF Accessibility Certified status is achievable for $1,360–$3,070 in targeted low-cost actions — repositioning the periodical shelving to restore a compliant aisle width costs nothing and, on its own, closes 18 of the 42-point gap to certification. Combined with four other low-cost fixes (directional signage, a door closer adjustment, elevator audio reprogramming, and website remediation), the full path to certification costs a small fraction of the total remediation budget, before any major capital items are addressed.</w:t>
      </w:r>
    </w:p>
    <w:p>
      <w:pPr>
        <w:spacing w:after="160"/>
      </w:pPr>
      <w:r>
        <w:rPr>
          <w:color w:val="1B1F27"/>
          <w:sz w:val="24"/>
          <w:szCs w:val="24"/>
        </w:rPr>
        <w:t xml:space="preserve">Full Gold certification is achievable over two capital budget cycles at an estimated total of $78,540–$136,310 before grants. The federal Enabling Accessibility Fund Small Projects stream provides up to $125,000 per project (periodic intake — confirm the program is currently accepting applications before citing a firm figure), and the RBC Barrier Buster Grants Program provides up to $40,000 per project (its 2026 round has closed with recipients already announced — confirm whether a further round is planned). This assessment constitutes the pre-complaint documentation baseline and the needs documentation required for a competitive grant application.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gridCol w:w="2160"/>
      </w:tblGrid>
      <w:tr>
        <w:tc>
          <w:tcPr>
            <w:tcW w:type="dxa" w:w="2160"/>
            <w:tcBorders>
              <w:top w:val="single" w:color="D9D2BF" w:sz="2"/>
              <w:left w:val="single" w:color="D9D2BF" w:sz="2"/>
              <w:bottom w:val="single" w:color="D9D2BF" w:sz="2"/>
              <w:right w:val="single" w:color="D9D2BF" w:sz="2"/>
            </w:tcBorders>
            <w:shd w:fill="F5F1E8" w:color="auto" w:val="clear"/>
            <w:tcMar>
              <w:top w:type="dxa" w:w="160"/>
              <w:left w:type="dxa" w:w="100"/>
              <w:bottom w:type="dxa" w:w="160"/>
              <w:right w:type="dxa" w:w="100"/>
            </w:tcMar>
          </w:tcPr>
          <w:p>
            <w:pPr>
              <w:jc w:val="center"/>
            </w:pPr>
            <w:r>
              <w:rPr>
                <w:rFonts w:ascii="Georgia" w:cs="Georgia" w:eastAsia="Georgia" w:hAnsi="Georgia"/>
                <w:b/>
                <w:bCs/>
                <w:color w:val="101B2D"/>
                <w:sz w:val="26"/>
                <w:szCs w:val="26"/>
              </w:rPr>
              <w:t xml:space="preserve">56%</w:t>
            </w:r>
          </w:p>
          <w:p>
            <w:pPr>
              <w:spacing w:before="40"/>
              <w:jc w:val="center"/>
            </w:pPr>
            <w:r>
              <w:rPr>
                <w:color w:val="5B5A52"/>
                <w:sz w:val="16"/>
                <w:szCs w:val="16"/>
              </w:rPr>
              <w:t xml:space="preserve">Current NAI Score</w:t>
            </w:r>
          </w:p>
        </w:tc>
        <w:tc>
          <w:tcPr>
            <w:tcW w:type="dxa" w:w="2160"/>
            <w:tcBorders>
              <w:top w:val="single" w:color="D9D2BF" w:sz="2"/>
              <w:left w:val="single" w:color="D9D2BF" w:sz="2"/>
              <w:bottom w:val="single" w:color="D9D2BF" w:sz="2"/>
              <w:right w:val="single" w:color="D9D2BF" w:sz="2"/>
            </w:tcBorders>
            <w:shd w:fill="F5F1E8" w:color="auto" w:val="clear"/>
            <w:tcMar>
              <w:top w:type="dxa" w:w="160"/>
              <w:left w:type="dxa" w:w="100"/>
              <w:bottom w:type="dxa" w:w="160"/>
              <w:right w:type="dxa" w:w="100"/>
            </w:tcMar>
          </w:tcPr>
          <w:p>
            <w:pPr>
              <w:jc w:val="center"/>
            </w:pPr>
            <w:r>
              <w:rPr>
                <w:rFonts w:ascii="Georgia" w:cs="Georgia" w:eastAsia="Georgia" w:hAnsi="Georgia"/>
                <w:b/>
                <w:bCs/>
                <w:color w:val="101B2D"/>
                <w:sz w:val="26"/>
                <w:szCs w:val="26"/>
              </w:rPr>
              <w:t xml:space="preserve">42 pts</w:t>
            </w:r>
          </w:p>
          <w:p>
            <w:pPr>
              <w:spacing w:before="40"/>
              <w:jc w:val="center"/>
            </w:pPr>
            <w:r>
              <w:rPr>
                <w:color w:val="5B5A52"/>
                <w:sz w:val="16"/>
                <w:szCs w:val="16"/>
              </w:rPr>
              <w:t xml:space="preserve">Gap to Certified</w:t>
            </w:r>
          </w:p>
        </w:tc>
        <w:tc>
          <w:tcPr>
            <w:tcW w:type="dxa" w:w="2160"/>
            <w:tcBorders>
              <w:top w:val="single" w:color="D9D2BF" w:sz="2"/>
              <w:left w:val="single" w:color="D9D2BF" w:sz="2"/>
              <w:bottom w:val="single" w:color="D9D2BF" w:sz="2"/>
              <w:right w:val="single" w:color="D9D2BF" w:sz="2"/>
            </w:tcBorders>
            <w:shd w:fill="F5F1E8" w:color="auto" w:val="clear"/>
            <w:tcMar>
              <w:top w:type="dxa" w:w="160"/>
              <w:left w:type="dxa" w:w="100"/>
              <w:bottom w:type="dxa" w:w="160"/>
              <w:right w:type="dxa" w:w="100"/>
            </w:tcMar>
          </w:tcPr>
          <w:p>
            <w:pPr>
              <w:jc w:val="center"/>
            </w:pPr>
            <w:r>
              <w:rPr>
                <w:rFonts w:ascii="Georgia" w:cs="Georgia" w:eastAsia="Georgia" w:hAnsi="Georgia"/>
                <w:b/>
                <w:bCs/>
                <w:color w:val="101B2D"/>
                <w:sz w:val="26"/>
                <w:szCs w:val="26"/>
              </w:rPr>
              <w:t xml:space="preserve">3</w:t>
            </w:r>
          </w:p>
          <w:p>
            <w:pPr>
              <w:spacing w:before="40"/>
              <w:jc w:val="center"/>
            </w:pPr>
            <w:r>
              <w:rPr>
                <w:color w:val="5B5A52"/>
                <w:sz w:val="16"/>
                <w:szCs w:val="16"/>
              </w:rPr>
              <w:t xml:space="preserve">Life safety findings</w:t>
            </w:r>
          </w:p>
        </w:tc>
        <w:tc>
          <w:tcPr>
            <w:tcW w:type="dxa" w:w="2160"/>
            <w:tcBorders>
              <w:top w:val="single" w:color="D9D2BF" w:sz="2"/>
              <w:left w:val="single" w:color="D9D2BF" w:sz="2"/>
              <w:bottom w:val="single" w:color="D9D2BF" w:sz="2"/>
              <w:right w:val="single" w:color="D9D2BF" w:sz="2"/>
            </w:tcBorders>
            <w:shd w:fill="F5F1E8" w:color="auto" w:val="clear"/>
            <w:tcMar>
              <w:top w:type="dxa" w:w="160"/>
              <w:left w:type="dxa" w:w="100"/>
              <w:bottom w:type="dxa" w:w="160"/>
              <w:right w:type="dxa" w:w="100"/>
            </w:tcMar>
          </w:tcPr>
          <w:p>
            <w:pPr>
              <w:jc w:val="center"/>
            </w:pPr>
            <w:r>
              <w:rPr>
                <w:rFonts w:ascii="Georgia" w:cs="Georgia" w:eastAsia="Georgia" w:hAnsi="Georgia"/>
                <w:b/>
                <w:bCs/>
                <w:color w:val="101B2D"/>
                <w:sz w:val="26"/>
                <w:szCs w:val="26"/>
              </w:rPr>
              <w:t xml:space="preserve">$1.4K–$3.1K</w:t>
            </w:r>
          </w:p>
          <w:p>
            <w:pPr>
              <w:spacing w:before="40"/>
              <w:jc w:val="center"/>
            </w:pPr>
            <w:r>
              <w:rPr>
                <w:color w:val="5B5A52"/>
                <w:sz w:val="16"/>
                <w:szCs w:val="16"/>
              </w:rPr>
              <w:t xml:space="preserve">To cross Certified threshold</w:t>
            </w:r>
          </w:p>
        </w:tc>
        <w:tc>
          <w:tcPr>
            <w:tcW w:type="dxa" w:w="2160"/>
            <w:tcBorders>
              <w:top w:val="single" w:color="D9D2BF" w:sz="2"/>
              <w:left w:val="single" w:color="D9D2BF" w:sz="2"/>
              <w:bottom w:val="single" w:color="D9D2BF" w:sz="2"/>
              <w:right w:val="single" w:color="D9D2BF" w:sz="2"/>
            </w:tcBorders>
            <w:shd w:fill="F5F1E8" w:color="auto" w:val="clear"/>
            <w:tcMar>
              <w:top w:type="dxa" w:w="160"/>
              <w:left w:type="dxa" w:w="100"/>
              <w:bottom w:type="dxa" w:w="160"/>
              <w:right w:type="dxa" w:w="100"/>
            </w:tcMar>
          </w:tcPr>
          <w:p>
            <w:pPr>
              <w:jc w:val="center"/>
            </w:pPr>
            <w:r>
              <w:rPr>
                <w:rFonts w:ascii="Georgia" w:cs="Georgia" w:eastAsia="Georgia" w:hAnsi="Georgia"/>
                <w:b/>
                <w:bCs/>
                <w:color w:val="101B2D"/>
                <w:sz w:val="26"/>
                <w:szCs w:val="26"/>
              </w:rPr>
              <w:t xml:space="preserve">$79.1K–$137.4K</w:t>
            </w:r>
          </w:p>
          <w:p>
            <w:pPr>
              <w:spacing w:before="40"/>
              <w:jc w:val="center"/>
            </w:pPr>
            <w:r>
              <w:rPr>
                <w:color w:val="5B5A52"/>
                <w:sz w:val="16"/>
                <w:szCs w:val="16"/>
              </w:rPr>
              <w:t xml:space="preserve">Full remediation range</w:t>
            </w:r>
          </w:p>
        </w:tc>
      </w:tr>
    </w:tbl>
    <w:p>
      <w:pPr>
        <w:pStyle w:val="Heading1"/>
        <w:spacing w:after="60"/>
      </w:pPr>
      <w:r>
        <w:rPr>
          <w:rFonts w:ascii="Georgia" w:cs="Georgia" w:eastAsia="Georgia" w:hAnsi="Georgia"/>
          <w:color w:val="101B2D"/>
        </w:rPr>
        <w:t xml:space="preserve">2. At-a-Glance — Category Scores</w:t>
      </w:r>
    </w:p>
    <w:p>
      <w:pPr>
        <w:spacing w:after="160"/>
      </w:pPr>
      <w:r>
        <w:rPr>
          <w:color w:val="1B1F27"/>
          <w:sz w:val="24"/>
          <w:szCs w:val="24"/>
        </w:rPr>
        <w:t xml:space="preserve">Each bar reflects the category's percentage score. Categories below the 60% certification threshold are shaded amber or red; categories at or above are shaded green.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000"/>
      </w:tblGrid>
      <w:tr>
        <w:tc>
          <w:tcPr>
            <w:tcW w:type="dxa" w:w="3200"/>
            <w:shd w:fill="101B2D" w:color="auto" w:val="clear"/>
            <w:tcMar>
              <w:top w:type="dxa" w:w="90"/>
              <w:left w:type="dxa" w:w="100"/>
              <w:bottom w:type="dxa" w:w="90"/>
              <w:right w:type="dxa" w:w="100"/>
            </w:tcMar>
            <w:vAlign w:val="center"/>
          </w:tcPr>
          <w:p>
            <w:r>
              <w:rPr>
                <w:b/>
                <w:bCs/>
                <w:color w:val="FFFFFF"/>
                <w:sz w:val="20"/>
                <w:szCs w:val="20"/>
              </w:rPr>
              <w:t xml:space="preserve">Category</w:t>
            </w:r>
          </w:p>
        </w:tc>
        <w:tc>
          <w:tcPr>
            <w:tcW w:type="dxa" w:w="5200"/>
            <w:shd w:fill="101B2D" w:color="auto" w:val="clear"/>
            <w:tcMar>
              <w:top w:type="dxa" w:w="90"/>
              <w:left w:type="dxa" w:w="100"/>
              <w:bottom w:type="dxa" w:w="90"/>
              <w:right w:type="dxa" w:w="100"/>
            </w:tcMar>
            <w:vAlign w:val="center"/>
          </w:tcPr>
          <w:p>
            <w:r>
              <w:rPr>
                <w:b/>
                <w:bCs/>
                <w:color w:val="FFFFFF"/>
                <w:sz w:val="20"/>
                <w:szCs w:val="20"/>
              </w:rPr>
              <w:t xml:space="preserve">Score</w:t>
            </w:r>
          </w:p>
        </w:tc>
        <w:tc>
          <w:tcPr>
            <w:tcW w:type="dxa" w:w="1000"/>
            <w:shd w:fill="101B2D" w:color="auto" w:val="clear"/>
            <w:tcMar>
              <w:top w:type="dxa" w:w="90"/>
              <w:left w:type="dxa" w:w="100"/>
              <w:bottom w:type="dxa" w:w="90"/>
              <w:right w:type="dxa" w:w="100"/>
            </w:tcMar>
            <w:vAlign w:val="center"/>
          </w:tcPr>
          <w:p>
            <w:r>
              <w:rPr>
                <w:b/>
                <w:bCs/>
                <w:color w:val="FFFFFF"/>
                <w:sz w:val="20"/>
                <w:szCs w:val="20"/>
              </w:rPr>
              <w:t xml:space="preserve">%</w:t>
            </w:r>
          </w:p>
        </w:tc>
      </w:tr>
      <w:tr>
        <w:tc>
          <w:tcPr>
            <w:tcW w:type="dxa" w:w="3200"/>
            <w:tcMar>
              <w:top w:type="dxa" w:w="80"/>
              <w:left w:type="dxa" w:w="100"/>
              <w:bottom w:type="dxa" w:w="80"/>
              <w:right w:type="dxa" w:w="100"/>
            </w:tcMar>
            <w:vAlign w:val="center"/>
          </w:tcPr>
          <w:p>
            <w:r>
              <w:rPr>
                <w:b w:val="false"/>
                <w:bCs w:val="false"/>
                <w:color w:val="1B1F27"/>
                <w:sz w:val="21"/>
                <w:szCs w:val="21"/>
              </w:rPr>
              <w:t xml:space="preserve">1. Vehicular Access</w:t>
            </w:r>
          </w:p>
        </w:tc>
        <w:tc>
          <w:tcPr>
            <w:tcW w:type="dxa" w:w="5200"/>
            <w:tcMar>
              <w:top w:type="dxa" w:w="80"/>
              <w:left w:type="dxa" w:w="100"/>
              <w:bottom w:type="dxa" w:w="80"/>
              <w:right w:type="dxa" w:w="100"/>
            </w:tcMar>
          </w:tcPr>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3456"/>
              <w:gridCol w:w="1344"/>
            </w:tblGrid>
            <w:tr>
              <w:tc>
                <w:tcPr>
                  <w:tcW w:type="dxa" w:w="3456"/>
                  <w:shd w:fill="1E7A3D" w:color="auto" w:val="clear"/>
                </w:tcPr>
                <w:p>
                  <w:r>
                    <w:rPr>
                      <w:sz w:val="2"/>
                      <w:szCs w:val="2"/>
                    </w:rPr>
                    <w:t xml:space="preserve"/>
                  </w:r>
                </w:p>
              </w:tc>
              <w:tc>
                <w:tcPr>
                  <w:tcW w:type="dxa" w:w="1344"/>
                  <w:tcBorders>
                    <w:top w:val="none"/>
                    <w:left w:val="none"/>
                    <w:bottom w:val="none"/>
                    <w:right w:val="none"/>
                  </w:tcBorders>
                </w:tcPr>
                <w:p>
                  <w:r>
                    <w:rPr>
                      <w:sz w:val="2"/>
                      <w:szCs w:val="2"/>
                    </w:rPr>
                    <w:t xml:space="preserve"/>
                  </w:r>
                </w:p>
              </w:tc>
            </w:tr>
          </w:tbl>
          <w:p/>
        </w:tc>
        <w:tc>
          <w:tcPr>
            <w:tcW w:type="dxa" w:w="1000"/>
            <w:tcMar>
              <w:top w:type="dxa" w:w="80"/>
              <w:left w:type="dxa" w:w="100"/>
              <w:bottom w:type="dxa" w:w="80"/>
              <w:right w:type="dxa" w:w="100"/>
            </w:tcMar>
            <w:vAlign w:val="center"/>
          </w:tcPr>
          <w:p>
            <w:r>
              <w:rPr>
                <w:b/>
                <w:bCs/>
                <w:color w:val="101B2D"/>
                <w:sz w:val="21"/>
                <w:szCs w:val="21"/>
              </w:rPr>
              <w:t xml:space="preserve">72%</w:t>
            </w:r>
          </w:p>
        </w:tc>
      </w:tr>
      <w:tr>
        <w:tc>
          <w:tcPr>
            <w:tcW w:type="dxa" w:w="3200"/>
            <w:tcMar>
              <w:top w:type="dxa" w:w="80"/>
              <w:left w:type="dxa" w:w="100"/>
              <w:bottom w:type="dxa" w:w="80"/>
              <w:right w:type="dxa" w:w="100"/>
            </w:tcMar>
            <w:vAlign w:val="center"/>
          </w:tcPr>
          <w:p>
            <w:r>
              <w:rPr>
                <w:b w:val="false"/>
                <w:bCs w:val="false"/>
                <w:color w:val="1B1F27"/>
                <w:sz w:val="21"/>
                <w:szCs w:val="21"/>
              </w:rPr>
              <w:t xml:space="preserve">2. Exterior Approach and Entrance</w:t>
            </w:r>
          </w:p>
        </w:tc>
        <w:tc>
          <w:tcPr>
            <w:tcW w:type="dxa" w:w="5200"/>
            <w:tcMar>
              <w:top w:type="dxa" w:w="80"/>
              <w:left w:type="dxa" w:w="100"/>
              <w:bottom w:type="dxa" w:w="80"/>
              <w:right w:type="dxa" w:w="100"/>
            </w:tcMar>
          </w:tcPr>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160"/>
              <w:gridCol w:w="2640"/>
            </w:tblGrid>
            <w:tr>
              <w:tc>
                <w:tcPr>
                  <w:tcW w:type="dxa" w:w="2160"/>
                  <w:shd w:fill="9A6B12" w:color="auto" w:val="clear"/>
                </w:tcPr>
                <w:p>
                  <w:r>
                    <w:rPr>
                      <w:sz w:val="2"/>
                      <w:szCs w:val="2"/>
                    </w:rPr>
                    <w:t xml:space="preserve"/>
                  </w:r>
                </w:p>
              </w:tc>
              <w:tc>
                <w:tcPr>
                  <w:tcW w:type="dxa" w:w="2640"/>
                  <w:tcBorders>
                    <w:top w:val="none"/>
                    <w:left w:val="none"/>
                    <w:bottom w:val="none"/>
                    <w:right w:val="none"/>
                  </w:tcBorders>
                </w:tcPr>
                <w:p>
                  <w:r>
                    <w:rPr>
                      <w:sz w:val="2"/>
                      <w:szCs w:val="2"/>
                    </w:rPr>
                    <w:t xml:space="preserve"/>
                  </w:r>
                </w:p>
              </w:tc>
            </w:tr>
          </w:tbl>
          <w:p/>
        </w:tc>
        <w:tc>
          <w:tcPr>
            <w:tcW w:type="dxa" w:w="1000"/>
            <w:tcMar>
              <w:top w:type="dxa" w:w="80"/>
              <w:left w:type="dxa" w:w="100"/>
              <w:bottom w:type="dxa" w:w="80"/>
              <w:right w:type="dxa" w:w="100"/>
            </w:tcMar>
            <w:vAlign w:val="center"/>
          </w:tcPr>
          <w:p>
            <w:r>
              <w:rPr>
                <w:b/>
                <w:bCs/>
                <w:color w:val="101B2D"/>
                <w:sz w:val="21"/>
                <w:szCs w:val="21"/>
              </w:rPr>
              <w:t xml:space="preserve">45%</w:t>
            </w:r>
          </w:p>
        </w:tc>
      </w:tr>
      <w:tr>
        <w:tc>
          <w:tcPr>
            <w:tcW w:type="dxa" w:w="3200"/>
            <w:tcMar>
              <w:top w:type="dxa" w:w="80"/>
              <w:left w:type="dxa" w:w="100"/>
              <w:bottom w:type="dxa" w:w="80"/>
              <w:right w:type="dxa" w:w="100"/>
            </w:tcMar>
            <w:vAlign w:val="center"/>
          </w:tcPr>
          <w:p>
            <w:r>
              <w:rPr>
                <w:b w:val="false"/>
                <w:bCs w:val="false"/>
                <w:color w:val="1B1F27"/>
                <w:sz w:val="21"/>
                <w:szCs w:val="21"/>
              </w:rPr>
              <w:t xml:space="preserve">3. Interior Circulation</w:t>
            </w:r>
          </w:p>
        </w:tc>
        <w:tc>
          <w:tcPr>
            <w:tcW w:type="dxa" w:w="5200"/>
            <w:tcMar>
              <w:top w:type="dxa" w:w="80"/>
              <w:left w:type="dxa" w:w="100"/>
              <w:bottom w:type="dxa" w:w="80"/>
              <w:right w:type="dxa" w:w="100"/>
            </w:tcMar>
          </w:tcPr>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3264"/>
              <w:gridCol w:w="1536"/>
            </w:tblGrid>
            <w:tr>
              <w:tc>
                <w:tcPr>
                  <w:tcW w:type="dxa" w:w="3264"/>
                  <w:shd w:fill="1E7A3D" w:color="auto" w:val="clear"/>
                </w:tcPr>
                <w:p>
                  <w:r>
                    <w:rPr>
                      <w:sz w:val="2"/>
                      <w:szCs w:val="2"/>
                    </w:rPr>
                    <w:t xml:space="preserve"/>
                  </w:r>
                </w:p>
              </w:tc>
              <w:tc>
                <w:tcPr>
                  <w:tcW w:type="dxa" w:w="1536"/>
                  <w:tcBorders>
                    <w:top w:val="none"/>
                    <w:left w:val="none"/>
                    <w:bottom w:val="none"/>
                    <w:right w:val="none"/>
                  </w:tcBorders>
                </w:tcPr>
                <w:p>
                  <w:r>
                    <w:rPr>
                      <w:sz w:val="2"/>
                      <w:szCs w:val="2"/>
                    </w:rPr>
                    <w:t xml:space="preserve"/>
                  </w:r>
                </w:p>
              </w:tc>
            </w:tr>
          </w:tbl>
          <w:p/>
        </w:tc>
        <w:tc>
          <w:tcPr>
            <w:tcW w:type="dxa" w:w="1000"/>
            <w:tcMar>
              <w:top w:type="dxa" w:w="80"/>
              <w:left w:type="dxa" w:w="100"/>
              <w:bottom w:type="dxa" w:w="80"/>
              <w:right w:type="dxa" w:w="100"/>
            </w:tcMar>
            <w:vAlign w:val="center"/>
          </w:tcPr>
          <w:p>
            <w:r>
              <w:rPr>
                <w:b/>
                <w:bCs/>
                <w:color w:val="101B2D"/>
                <w:sz w:val="21"/>
                <w:szCs w:val="21"/>
              </w:rPr>
              <w:t xml:space="preserve">68%</w:t>
            </w:r>
          </w:p>
        </w:tc>
      </w:tr>
      <w:tr>
        <w:tc>
          <w:tcPr>
            <w:tcW w:type="dxa" w:w="3200"/>
            <w:tcMar>
              <w:top w:type="dxa" w:w="80"/>
              <w:left w:type="dxa" w:w="100"/>
              <w:bottom w:type="dxa" w:w="80"/>
              <w:right w:type="dxa" w:w="100"/>
            </w:tcMar>
            <w:vAlign w:val="center"/>
          </w:tcPr>
          <w:p>
            <w:r>
              <w:rPr>
                <w:b w:val="false"/>
                <w:bCs w:val="false"/>
                <w:color w:val="1B1F27"/>
                <w:sz w:val="21"/>
                <w:szCs w:val="21"/>
              </w:rPr>
              <w:t xml:space="preserve">4. Interior Services and Environment</w:t>
            </w:r>
          </w:p>
        </w:tc>
        <w:tc>
          <w:tcPr>
            <w:tcW w:type="dxa" w:w="5200"/>
            <w:tcMar>
              <w:top w:type="dxa" w:w="80"/>
              <w:left w:type="dxa" w:w="100"/>
              <w:bottom w:type="dxa" w:w="80"/>
              <w:right w:type="dxa" w:w="100"/>
            </w:tcMar>
          </w:tcPr>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256"/>
              <w:gridCol w:w="2544"/>
            </w:tblGrid>
            <w:tr>
              <w:tc>
                <w:tcPr>
                  <w:tcW w:type="dxa" w:w="2256"/>
                  <w:shd w:fill="9A6B12" w:color="auto" w:val="clear"/>
                </w:tcPr>
                <w:p>
                  <w:r>
                    <w:rPr>
                      <w:sz w:val="2"/>
                      <w:szCs w:val="2"/>
                    </w:rPr>
                    <w:t xml:space="preserve"/>
                  </w:r>
                </w:p>
              </w:tc>
              <w:tc>
                <w:tcPr>
                  <w:tcW w:type="dxa" w:w="2544"/>
                  <w:tcBorders>
                    <w:top w:val="none"/>
                    <w:left w:val="none"/>
                    <w:bottom w:val="none"/>
                    <w:right w:val="none"/>
                  </w:tcBorders>
                </w:tcPr>
                <w:p>
                  <w:r>
                    <w:rPr>
                      <w:sz w:val="2"/>
                      <w:szCs w:val="2"/>
                    </w:rPr>
                    <w:t xml:space="preserve"/>
                  </w:r>
                </w:p>
              </w:tc>
            </w:tr>
          </w:tbl>
          <w:p/>
        </w:tc>
        <w:tc>
          <w:tcPr>
            <w:tcW w:type="dxa" w:w="1000"/>
            <w:tcMar>
              <w:top w:type="dxa" w:w="80"/>
              <w:left w:type="dxa" w:w="100"/>
              <w:bottom w:type="dxa" w:w="80"/>
              <w:right w:type="dxa" w:w="100"/>
            </w:tcMar>
            <w:vAlign w:val="center"/>
          </w:tcPr>
          <w:p>
            <w:r>
              <w:rPr>
                <w:b/>
                <w:bCs/>
                <w:color w:val="101B2D"/>
                <w:sz w:val="21"/>
                <w:szCs w:val="21"/>
              </w:rPr>
              <w:t xml:space="preserve">47%</w:t>
            </w:r>
          </w:p>
        </w:tc>
      </w:tr>
      <w:tr>
        <w:tc>
          <w:tcPr>
            <w:tcW w:type="dxa" w:w="3200"/>
            <w:tcMar>
              <w:top w:type="dxa" w:w="80"/>
              <w:left w:type="dxa" w:w="100"/>
              <w:bottom w:type="dxa" w:w="80"/>
              <w:right w:type="dxa" w:w="100"/>
            </w:tcMar>
            <w:vAlign w:val="center"/>
          </w:tcPr>
          <w:p>
            <w:r>
              <w:rPr>
                <w:b w:val="false"/>
                <w:bCs w:val="false"/>
                <w:color w:val="1B1F27"/>
                <w:sz w:val="21"/>
                <w:szCs w:val="21"/>
              </w:rPr>
              <w:t xml:space="preserve">5. Sanitary Facilities</w:t>
            </w:r>
          </w:p>
        </w:tc>
        <w:tc>
          <w:tcPr>
            <w:tcW w:type="dxa" w:w="5200"/>
            <w:tcMar>
              <w:top w:type="dxa" w:w="80"/>
              <w:left w:type="dxa" w:w="100"/>
              <w:bottom w:type="dxa" w:w="80"/>
              <w:right w:type="dxa" w:w="100"/>
            </w:tcMar>
          </w:tcPr>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tblGrid>
            <w:tr>
              <w:tc>
                <w:tcPr>
                  <w:tcW w:type="dxa" w:w="2640"/>
                  <w:shd w:fill="9A6B12" w:color="auto" w:val="clear"/>
                </w:tcPr>
                <w:p>
                  <w:r>
                    <w:rPr>
                      <w:sz w:val="2"/>
                      <w:szCs w:val="2"/>
                    </w:rPr>
                    <w:t xml:space="preserve"/>
                  </w:r>
                </w:p>
              </w:tc>
              <w:tc>
                <w:tcPr>
                  <w:tcW w:type="dxa" w:w="2160"/>
                  <w:tcBorders>
                    <w:top w:val="none"/>
                    <w:left w:val="none"/>
                    <w:bottom w:val="none"/>
                    <w:right w:val="none"/>
                  </w:tcBorders>
                </w:tcPr>
                <w:p>
                  <w:r>
                    <w:rPr>
                      <w:sz w:val="2"/>
                      <w:szCs w:val="2"/>
                    </w:rPr>
                    <w:t xml:space="preserve"/>
                  </w:r>
                </w:p>
              </w:tc>
            </w:tr>
          </w:tbl>
          <w:p/>
        </w:tc>
        <w:tc>
          <w:tcPr>
            <w:tcW w:type="dxa" w:w="1000"/>
            <w:tcMar>
              <w:top w:type="dxa" w:w="80"/>
              <w:left w:type="dxa" w:w="100"/>
              <w:bottom w:type="dxa" w:w="80"/>
              <w:right w:type="dxa" w:w="100"/>
            </w:tcMar>
            <w:vAlign w:val="center"/>
          </w:tcPr>
          <w:p>
            <w:r>
              <w:rPr>
                <w:b/>
                <w:bCs/>
                <w:color w:val="101B2D"/>
                <w:sz w:val="21"/>
                <w:szCs w:val="21"/>
              </w:rPr>
              <w:t xml:space="preserve">55%</w:t>
            </w:r>
          </w:p>
        </w:tc>
      </w:tr>
      <w:tr>
        <w:tc>
          <w:tcPr>
            <w:tcW w:type="dxa" w:w="3200"/>
            <w:tcMar>
              <w:top w:type="dxa" w:w="80"/>
              <w:left w:type="dxa" w:w="100"/>
              <w:bottom w:type="dxa" w:w="80"/>
              <w:right w:type="dxa" w:w="100"/>
            </w:tcMar>
            <w:vAlign w:val="center"/>
          </w:tcPr>
          <w:p>
            <w:r>
              <w:rPr>
                <w:b w:val="false"/>
                <w:bCs w:val="false"/>
                <w:color w:val="1B1F27"/>
                <w:sz w:val="21"/>
                <w:szCs w:val="21"/>
              </w:rPr>
              <w:t xml:space="preserve">6. Wayfinding and Signage</w:t>
            </w:r>
          </w:p>
        </w:tc>
        <w:tc>
          <w:tcPr>
            <w:tcW w:type="dxa" w:w="5200"/>
            <w:tcMar>
              <w:top w:type="dxa" w:w="80"/>
              <w:left w:type="dxa" w:w="100"/>
              <w:bottom w:type="dxa" w:w="80"/>
              <w:right w:type="dxa" w:w="100"/>
            </w:tcMar>
          </w:tcPr>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160"/>
              <w:gridCol w:w="2640"/>
            </w:tblGrid>
            <w:tr>
              <w:tc>
                <w:tcPr>
                  <w:tcW w:type="dxa" w:w="2160"/>
                  <w:shd w:fill="9A6B12" w:color="auto" w:val="clear"/>
                </w:tcPr>
                <w:p>
                  <w:r>
                    <w:rPr>
                      <w:sz w:val="2"/>
                      <w:szCs w:val="2"/>
                    </w:rPr>
                    <w:t xml:space="preserve"/>
                  </w:r>
                </w:p>
              </w:tc>
              <w:tc>
                <w:tcPr>
                  <w:tcW w:type="dxa" w:w="2640"/>
                  <w:tcBorders>
                    <w:top w:val="none"/>
                    <w:left w:val="none"/>
                    <w:bottom w:val="none"/>
                    <w:right w:val="none"/>
                  </w:tcBorders>
                </w:tcPr>
                <w:p>
                  <w:r>
                    <w:rPr>
                      <w:sz w:val="2"/>
                      <w:szCs w:val="2"/>
                    </w:rPr>
                    <w:t xml:space="preserve"/>
                  </w:r>
                </w:p>
              </w:tc>
            </w:tr>
          </w:tbl>
          <w:p/>
        </w:tc>
        <w:tc>
          <w:tcPr>
            <w:tcW w:type="dxa" w:w="1000"/>
            <w:tcMar>
              <w:top w:type="dxa" w:w="80"/>
              <w:left w:type="dxa" w:w="100"/>
              <w:bottom w:type="dxa" w:w="80"/>
              <w:right w:type="dxa" w:w="100"/>
            </w:tcMar>
            <w:vAlign w:val="center"/>
          </w:tcPr>
          <w:p>
            <w:r>
              <w:rPr>
                <w:b/>
                <w:bCs/>
                <w:color w:val="101B2D"/>
                <w:sz w:val="21"/>
                <w:szCs w:val="21"/>
              </w:rPr>
              <w:t xml:space="preserve">45%</w:t>
            </w:r>
          </w:p>
        </w:tc>
      </w:tr>
      <w:tr>
        <w:tc>
          <w:tcPr>
            <w:tcW w:type="dxa" w:w="3200"/>
            <w:tcMar>
              <w:top w:type="dxa" w:w="80"/>
              <w:left w:type="dxa" w:w="100"/>
              <w:bottom w:type="dxa" w:w="80"/>
              <w:right w:type="dxa" w:w="100"/>
            </w:tcMar>
            <w:vAlign w:val="center"/>
          </w:tcPr>
          <w:p>
            <w:r>
              <w:rPr>
                <w:b w:val="false"/>
                <w:bCs w:val="false"/>
                <w:color w:val="1B1F27"/>
                <w:sz w:val="21"/>
                <w:szCs w:val="21"/>
              </w:rPr>
              <w:t xml:space="preserve">7. Emergency Systems</w:t>
            </w:r>
          </w:p>
        </w:tc>
        <w:tc>
          <w:tcPr>
            <w:tcW w:type="dxa" w:w="5200"/>
            <w:tcMar>
              <w:top w:type="dxa" w:w="80"/>
              <w:left w:type="dxa" w:w="100"/>
              <w:bottom w:type="dxa" w:w="80"/>
              <w:right w:type="dxa" w:w="100"/>
            </w:tcMar>
          </w:tcPr>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48"/>
              <w:gridCol w:w="2352"/>
            </w:tblGrid>
            <w:tr>
              <w:tc>
                <w:tcPr>
                  <w:tcW w:type="dxa" w:w="2448"/>
                  <w:shd w:fill="9A6B12" w:color="auto" w:val="clear"/>
                </w:tcPr>
                <w:p>
                  <w:r>
                    <w:rPr>
                      <w:sz w:val="2"/>
                      <w:szCs w:val="2"/>
                    </w:rPr>
                    <w:t xml:space="preserve"/>
                  </w:r>
                </w:p>
              </w:tc>
              <w:tc>
                <w:tcPr>
                  <w:tcW w:type="dxa" w:w="2352"/>
                  <w:tcBorders>
                    <w:top w:val="none"/>
                    <w:left w:val="none"/>
                    <w:bottom w:val="none"/>
                    <w:right w:val="none"/>
                  </w:tcBorders>
                </w:tcPr>
                <w:p>
                  <w:r>
                    <w:rPr>
                      <w:sz w:val="2"/>
                      <w:szCs w:val="2"/>
                    </w:rPr>
                    <w:t xml:space="preserve"/>
                  </w:r>
                </w:p>
              </w:tc>
            </w:tr>
          </w:tbl>
          <w:p/>
        </w:tc>
        <w:tc>
          <w:tcPr>
            <w:tcW w:type="dxa" w:w="1000"/>
            <w:tcMar>
              <w:top w:type="dxa" w:w="80"/>
              <w:left w:type="dxa" w:w="100"/>
              <w:bottom w:type="dxa" w:w="80"/>
              <w:right w:type="dxa" w:w="100"/>
            </w:tcMar>
            <w:vAlign w:val="center"/>
          </w:tcPr>
          <w:p>
            <w:r>
              <w:rPr>
                <w:b/>
                <w:bCs/>
                <w:color w:val="101B2D"/>
                <w:sz w:val="21"/>
                <w:szCs w:val="21"/>
              </w:rPr>
              <w:t xml:space="preserve">51%</w:t>
            </w:r>
          </w:p>
        </w:tc>
      </w:tr>
      <w:tr>
        <w:tc>
          <w:tcPr>
            <w:tcW w:type="dxa" w:w="3200"/>
            <w:tcMar>
              <w:top w:type="dxa" w:w="80"/>
              <w:left w:type="dxa" w:w="100"/>
              <w:bottom w:type="dxa" w:w="80"/>
              <w:right w:type="dxa" w:w="100"/>
            </w:tcMar>
            <w:vAlign w:val="center"/>
          </w:tcPr>
          <w:p>
            <w:r>
              <w:rPr>
                <w:b w:val="false"/>
                <w:bCs w:val="false"/>
                <w:color w:val="1B1F27"/>
                <w:sz w:val="21"/>
                <w:szCs w:val="21"/>
              </w:rPr>
              <w:t xml:space="preserve">8. Additional Use of Spaces (8.3 + 8.21)</w:t>
            </w:r>
          </w:p>
        </w:tc>
        <w:tc>
          <w:tcPr>
            <w:tcW w:type="dxa" w:w="5200"/>
            <w:tcMar>
              <w:top w:type="dxa" w:w="80"/>
              <w:left w:type="dxa" w:w="100"/>
              <w:bottom w:type="dxa" w:w="80"/>
              <w:right w:type="dxa" w:w="100"/>
            </w:tcMar>
          </w:tcPr>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592"/>
              <w:gridCol w:w="2208"/>
            </w:tblGrid>
            <w:tr>
              <w:tc>
                <w:tcPr>
                  <w:tcW w:type="dxa" w:w="2592"/>
                  <w:shd w:fill="9A6B12" w:color="auto" w:val="clear"/>
                </w:tcPr>
                <w:p>
                  <w:r>
                    <w:rPr>
                      <w:sz w:val="2"/>
                      <w:szCs w:val="2"/>
                    </w:rPr>
                    <w:t xml:space="preserve"/>
                  </w:r>
                </w:p>
              </w:tc>
              <w:tc>
                <w:tcPr>
                  <w:tcW w:type="dxa" w:w="2208"/>
                  <w:tcBorders>
                    <w:top w:val="none"/>
                    <w:left w:val="none"/>
                    <w:bottom w:val="none"/>
                    <w:right w:val="none"/>
                  </w:tcBorders>
                </w:tcPr>
                <w:p>
                  <w:r>
                    <w:rPr>
                      <w:sz w:val="2"/>
                      <w:szCs w:val="2"/>
                    </w:rPr>
                    <w:t xml:space="preserve"/>
                  </w:r>
                </w:p>
              </w:tc>
            </w:tr>
          </w:tbl>
          <w:p/>
        </w:tc>
        <w:tc>
          <w:tcPr>
            <w:tcW w:type="dxa" w:w="1000"/>
            <w:tcMar>
              <w:top w:type="dxa" w:w="80"/>
              <w:left w:type="dxa" w:w="100"/>
              <w:bottom w:type="dxa" w:w="80"/>
              <w:right w:type="dxa" w:w="100"/>
            </w:tcMar>
            <w:vAlign w:val="center"/>
          </w:tcPr>
          <w:p>
            <w:r>
              <w:rPr>
                <w:b/>
                <w:bCs/>
                <w:color w:val="101B2D"/>
                <w:sz w:val="21"/>
                <w:szCs w:val="21"/>
              </w:rPr>
              <w:t xml:space="preserve">54%</w:t>
            </w:r>
          </w:p>
        </w:tc>
      </w:tr>
      <w:tr>
        <w:tc>
          <w:tcPr>
            <w:tcW w:type="dxa" w:w="3200"/>
            <w:tcMar>
              <w:top w:type="dxa" w:w="80"/>
              <w:left w:type="dxa" w:w="100"/>
              <w:bottom w:type="dxa" w:w="80"/>
              <w:right w:type="dxa" w:w="100"/>
            </w:tcMar>
            <w:vAlign w:val="center"/>
          </w:tcPr>
          <w:p>
            <w:r>
              <w:rPr>
                <w:b w:val="false"/>
                <w:bCs w:val="false"/>
                <w:color w:val="1B1F27"/>
                <w:sz w:val="21"/>
                <w:szCs w:val="21"/>
              </w:rPr>
              <w:t xml:space="preserve">11. Mind-Friendly Environments</w:t>
            </w:r>
          </w:p>
        </w:tc>
        <w:tc>
          <w:tcPr>
            <w:tcW w:type="dxa" w:w="5200"/>
            <w:tcMar>
              <w:top w:type="dxa" w:w="80"/>
              <w:left w:type="dxa" w:w="100"/>
              <w:bottom w:type="dxa" w:w="80"/>
              <w:right w:type="dxa" w:w="100"/>
            </w:tcMar>
          </w:tcPr>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3024"/>
              <w:gridCol w:w="1776"/>
            </w:tblGrid>
            <w:tr>
              <w:tc>
                <w:tcPr>
                  <w:tcW w:type="dxa" w:w="3024"/>
                  <w:shd w:fill="1E7A3D" w:color="auto" w:val="clear"/>
                </w:tcPr>
                <w:p>
                  <w:r>
                    <w:rPr>
                      <w:sz w:val="2"/>
                      <w:szCs w:val="2"/>
                    </w:rPr>
                    <w:t xml:space="preserve"/>
                  </w:r>
                </w:p>
              </w:tc>
              <w:tc>
                <w:tcPr>
                  <w:tcW w:type="dxa" w:w="1776"/>
                  <w:tcBorders>
                    <w:top w:val="none"/>
                    <w:left w:val="none"/>
                    <w:bottom w:val="none"/>
                    <w:right w:val="none"/>
                  </w:tcBorders>
                </w:tcPr>
                <w:p>
                  <w:r>
                    <w:rPr>
                      <w:sz w:val="2"/>
                      <w:szCs w:val="2"/>
                    </w:rPr>
                    <w:t xml:space="preserve"/>
                  </w:r>
                </w:p>
              </w:tc>
            </w:tr>
          </w:tbl>
          <w:p/>
        </w:tc>
        <w:tc>
          <w:tcPr>
            <w:tcW w:type="dxa" w:w="1000"/>
            <w:tcMar>
              <w:top w:type="dxa" w:w="80"/>
              <w:left w:type="dxa" w:w="100"/>
              <w:bottom w:type="dxa" w:w="80"/>
              <w:right w:type="dxa" w:w="100"/>
            </w:tcMar>
            <w:vAlign w:val="center"/>
          </w:tcPr>
          <w:p>
            <w:r>
              <w:rPr>
                <w:b/>
                <w:bCs/>
                <w:color w:val="101B2D"/>
                <w:sz w:val="21"/>
                <w:szCs w:val="21"/>
              </w:rPr>
              <w:t xml:space="preserve">63%</w:t>
            </w:r>
          </w:p>
        </w:tc>
      </w:tr>
      <w:tr>
        <w:tc>
          <w:tcPr>
            <w:tcW w:type="dxa" w:w="3200"/>
            <w:tcMar>
              <w:top w:type="dxa" w:w="80"/>
              <w:left w:type="dxa" w:w="100"/>
              <w:bottom w:type="dxa" w:w="80"/>
              <w:right w:type="dxa" w:w="100"/>
            </w:tcMar>
            <w:vAlign w:val="center"/>
          </w:tcPr>
          <w:p>
            <w:r>
              <w:rPr>
                <w:b w:val="false"/>
                <w:bCs w:val="false"/>
                <w:color w:val="1B1F27"/>
                <w:sz w:val="21"/>
                <w:szCs w:val="21"/>
              </w:rPr>
              <w:t xml:space="preserve">12. Technology and Innovation</w:t>
            </w:r>
          </w:p>
        </w:tc>
        <w:tc>
          <w:tcPr>
            <w:tcW w:type="dxa" w:w="5200"/>
            <w:tcMar>
              <w:top w:type="dxa" w:w="80"/>
              <w:left w:type="dxa" w:w="100"/>
              <w:bottom w:type="dxa" w:w="80"/>
              <w:right w:type="dxa" w:w="100"/>
            </w:tcMar>
          </w:tcPr>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3216"/>
              <w:gridCol w:w="1584"/>
            </w:tblGrid>
            <w:tr>
              <w:tc>
                <w:tcPr>
                  <w:tcW w:type="dxa" w:w="3216"/>
                  <w:shd w:fill="1E7A3D" w:color="auto" w:val="clear"/>
                </w:tcPr>
                <w:p>
                  <w:r>
                    <w:rPr>
                      <w:sz w:val="2"/>
                      <w:szCs w:val="2"/>
                    </w:rPr>
                    <w:t xml:space="preserve"/>
                  </w:r>
                </w:p>
              </w:tc>
              <w:tc>
                <w:tcPr>
                  <w:tcW w:type="dxa" w:w="1584"/>
                  <w:tcBorders>
                    <w:top w:val="none"/>
                    <w:left w:val="none"/>
                    <w:bottom w:val="none"/>
                    <w:right w:val="none"/>
                  </w:tcBorders>
                </w:tcPr>
                <w:p>
                  <w:r>
                    <w:rPr>
                      <w:sz w:val="2"/>
                      <w:szCs w:val="2"/>
                    </w:rPr>
                    <w:t xml:space="preserve"/>
                  </w:r>
                </w:p>
              </w:tc>
            </w:tr>
          </w:tbl>
          <w:p/>
        </w:tc>
        <w:tc>
          <w:tcPr>
            <w:tcW w:type="dxa" w:w="1000"/>
            <w:tcMar>
              <w:top w:type="dxa" w:w="80"/>
              <w:left w:type="dxa" w:w="100"/>
              <w:bottom w:type="dxa" w:w="80"/>
              <w:right w:type="dxa" w:w="100"/>
            </w:tcMar>
            <w:vAlign w:val="center"/>
          </w:tcPr>
          <w:p>
            <w:r>
              <w:rPr>
                <w:b/>
                <w:bCs/>
                <w:color w:val="101B2D"/>
                <w:sz w:val="21"/>
                <w:szCs w:val="21"/>
              </w:rPr>
              <w:t xml:space="preserve">67%</w:t>
            </w:r>
          </w:p>
        </w:tc>
      </w:tr>
    </w:tbl>
    <w:p>
      <w:pPr>
        <w:pStyle w:val="Heading1"/>
        <w:spacing w:after="60"/>
      </w:pPr>
      <w:r>
        <w:rPr>
          <w:rFonts w:ascii="Georgia" w:cs="Georgia" w:eastAsia="Georgia" w:hAnsi="Georgia"/>
          <w:color w:val="101B2D"/>
        </w:rPr>
        <w:t xml:space="preserve">3. NAI Score Summary</w:t>
      </w:r>
    </w:p>
    <w:p>
      <w:pPr>
        <w:spacing w:after="160"/>
      </w:pPr>
      <w:r>
        <w:rPr>
          <w:color w:val="1B1F27"/>
          <w:sz w:val="24"/>
          <w:szCs w:val="24"/>
        </w:rPr>
        <w:t xml:space="preserve">The Clearwater Public Library scored 709 of 1,259 applicable points across 10 of 12 RHFAC v4.0 categories. Categories 9 (Residential Units) and 10 (Trails and Pathways) are not applicable to this building type and are excluded from scoring. The current NAI of 56% sits 4 percentage points — 42 points — below the threshold for RHF Accessibility Certified status. Three findings are life safety failures requiring immediate action regardless of certification goals.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
        <w:gridCol w:w="3060"/>
        <w:gridCol w:w="1080"/>
        <w:gridCol w:w="1080"/>
        <w:gridCol w:w="1080"/>
        <w:gridCol w:w="3960"/>
      </w:tblGrid>
      <w:tr>
        <w:trPr>
          <w:tblHeader/>
        </w:trPr>
        <w:tc>
          <w:tcPr>
            <w:tcW w:type="dxa" w:w="540"/>
            <w:shd w:fill="101B2D" w:color="auto" w:val="clear"/>
            <w:tcMar>
              <w:top w:type="dxa" w:w="90"/>
              <w:left w:type="dxa" w:w="100"/>
              <w:bottom w:type="dxa" w:w="90"/>
              <w:right w:type="dxa" w:w="100"/>
            </w:tcMar>
            <w:vAlign w:val="center"/>
          </w:tcPr>
          <w:p>
            <w:r>
              <w:rPr>
                <w:b/>
                <w:bCs/>
                <w:color w:val="FFFFFF"/>
                <w:sz w:val="20"/>
                <w:szCs w:val="20"/>
              </w:rPr>
              <w:t xml:space="preserve">#</w:t>
            </w:r>
          </w:p>
        </w:tc>
        <w:tc>
          <w:tcPr>
            <w:tcW w:type="dxa" w:w="3060"/>
            <w:shd w:fill="101B2D" w:color="auto" w:val="clear"/>
            <w:tcMar>
              <w:top w:type="dxa" w:w="90"/>
              <w:left w:type="dxa" w:w="100"/>
              <w:bottom w:type="dxa" w:w="90"/>
              <w:right w:type="dxa" w:w="100"/>
            </w:tcMar>
            <w:vAlign w:val="center"/>
          </w:tcPr>
          <w:p>
            <w:r>
              <w:rPr>
                <w:b/>
                <w:bCs/>
                <w:color w:val="FFFFFF"/>
                <w:sz w:val="20"/>
                <w:szCs w:val="20"/>
              </w:rPr>
              <w:t xml:space="preserve">Category</w:t>
            </w:r>
          </w:p>
        </w:tc>
        <w:tc>
          <w:tcPr>
            <w:tcW w:type="dxa" w:w="1080"/>
            <w:shd w:fill="101B2D" w:color="auto" w:val="clear"/>
            <w:tcMar>
              <w:top w:type="dxa" w:w="90"/>
              <w:left w:type="dxa" w:w="100"/>
              <w:bottom w:type="dxa" w:w="90"/>
              <w:right w:type="dxa" w:w="100"/>
            </w:tcMar>
            <w:vAlign w:val="center"/>
          </w:tcPr>
          <w:p>
            <w:r>
              <w:rPr>
                <w:b/>
                <w:bCs/>
                <w:color w:val="FFFFFF"/>
                <w:sz w:val="20"/>
                <w:szCs w:val="20"/>
              </w:rPr>
              <w:t xml:space="preserve">Earned</w:t>
            </w:r>
          </w:p>
        </w:tc>
        <w:tc>
          <w:tcPr>
            <w:tcW w:type="dxa" w:w="1080"/>
            <w:shd w:fill="101B2D" w:color="auto" w:val="clear"/>
            <w:tcMar>
              <w:top w:type="dxa" w:w="90"/>
              <w:left w:type="dxa" w:w="100"/>
              <w:bottom w:type="dxa" w:w="90"/>
              <w:right w:type="dxa" w:w="100"/>
            </w:tcMar>
            <w:vAlign w:val="center"/>
          </w:tcPr>
          <w:p>
            <w:r>
              <w:rPr>
                <w:b/>
                <w:bCs/>
                <w:color w:val="FFFFFF"/>
                <w:sz w:val="20"/>
                <w:szCs w:val="20"/>
              </w:rPr>
              <w:t xml:space="preserve">Max</w:t>
            </w:r>
          </w:p>
        </w:tc>
        <w:tc>
          <w:tcPr>
            <w:tcW w:type="dxa" w:w="1080"/>
            <w:shd w:fill="101B2D" w:color="auto" w:val="clear"/>
            <w:tcMar>
              <w:top w:type="dxa" w:w="90"/>
              <w:left w:type="dxa" w:w="100"/>
              <w:bottom w:type="dxa" w:w="90"/>
              <w:right w:type="dxa" w:w="100"/>
            </w:tcMar>
            <w:vAlign w:val="center"/>
          </w:tcPr>
          <w:p>
            <w:r>
              <w:rPr>
                <w:b/>
                <w:bCs/>
                <w:color w:val="FFFFFF"/>
                <w:sz w:val="20"/>
                <w:szCs w:val="20"/>
              </w:rPr>
              <w:t xml:space="preserve">%</w:t>
            </w:r>
          </w:p>
        </w:tc>
        <w:tc>
          <w:tcPr>
            <w:tcW w:type="dxa" w:w="3960"/>
            <w:shd w:fill="101B2D" w:color="auto" w:val="clear"/>
            <w:tcMar>
              <w:top w:type="dxa" w:w="90"/>
              <w:left w:type="dxa" w:w="100"/>
              <w:bottom w:type="dxa" w:w="90"/>
              <w:right w:type="dxa" w:w="100"/>
            </w:tcMar>
            <w:vAlign w:val="center"/>
          </w:tcPr>
          <w:p>
            <w:r>
              <w:rPr>
                <w:b/>
                <w:bCs/>
                <w:color w:val="FFFFFF"/>
                <w:sz w:val="20"/>
                <w:szCs w:val="20"/>
              </w:rPr>
              <w:t xml:space="preserve">Primary Finding</w:t>
            </w:r>
          </w:p>
        </w:tc>
      </w:tr>
      <w:tr>
        <w:tc>
          <w:tcPr>
            <w:tcW w:type="dxa" w:w="540"/>
            <w:shd w:fill="FFFFFF" w:color="auto" w:val="clear"/>
            <w:tcMar>
              <w:top w:type="dxa" w:w="80"/>
              <w:left w:type="dxa" w:w="100"/>
              <w:bottom w:type="dxa" w:w="80"/>
              <w:right w:type="dxa" w:w="100"/>
            </w:tcMar>
            <w:vAlign w:val="center"/>
          </w:tcPr>
          <w:p>
            <w:r>
              <w:rPr>
                <w:b w:val="false"/>
                <w:bCs w:val="false"/>
                <w:color w:val="1B1F27"/>
                <w:sz w:val="21"/>
                <w:szCs w:val="21"/>
              </w:rPr>
              <w:t xml:space="preserve">1</w:t>
            </w:r>
          </w:p>
        </w:tc>
        <w:tc>
          <w:tcPr>
            <w:tcW w:type="dxa" w:w="3060"/>
            <w:shd w:fill="FFFFFF" w:color="auto" w:val="clear"/>
            <w:tcMar>
              <w:top w:type="dxa" w:w="80"/>
              <w:left w:type="dxa" w:w="100"/>
              <w:bottom w:type="dxa" w:w="80"/>
              <w:right w:type="dxa" w:w="100"/>
            </w:tcMar>
            <w:vAlign w:val="center"/>
          </w:tcPr>
          <w:p>
            <w:r>
              <w:rPr>
                <w:b/>
                <w:bCs/>
                <w:color w:val="101B2D"/>
                <w:sz w:val="21"/>
                <w:szCs w:val="21"/>
              </w:rPr>
              <w:t xml:space="preserve">Vehicular Access</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54</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75</w:t>
            </w:r>
          </w:p>
        </w:tc>
        <w:tc>
          <w:tcPr>
            <w:tcW w:type="dxa" w:w="1080"/>
            <w:shd w:fill="FFFFFF" w:color="auto" w:val="clear"/>
            <w:tcMar>
              <w:top w:type="dxa" w:w="80"/>
              <w:left w:type="dxa" w:w="100"/>
              <w:bottom w:type="dxa" w:w="80"/>
              <w:right w:type="dxa" w:w="100"/>
            </w:tcMar>
            <w:vAlign w:val="center"/>
          </w:tcPr>
          <w:p>
            <w:r>
              <w:rPr>
                <w:b/>
                <w:bCs/>
                <w:color w:val="101B2D"/>
                <w:sz w:val="21"/>
                <w:szCs w:val="21"/>
              </w:rPr>
              <w:t xml:space="preserve">72%</w:t>
            </w:r>
          </w:p>
        </w:tc>
        <w:tc>
          <w:tcPr>
            <w:tcW w:type="dxa" w:w="3960"/>
            <w:shd w:fill="FFFFFF" w:color="auto" w:val="clear"/>
            <w:tcMar>
              <w:top w:type="dxa" w:w="80"/>
              <w:left w:type="dxa" w:w="100"/>
              <w:bottom w:type="dxa" w:w="80"/>
              <w:right w:type="dxa" w:w="100"/>
            </w:tcMar>
            <w:vAlign w:val="center"/>
          </w:tcPr>
          <w:p>
            <w:r>
              <w:rPr>
                <w:b w:val="false"/>
                <w:bCs w:val="false"/>
                <w:color w:val="1B1F27"/>
                <w:sz w:val="21"/>
                <w:szCs w:val="21"/>
              </w:rPr>
              <w:t xml:space="preserve">Accessible parking compliant. Pedestrian crossing markings worn.</w:t>
            </w:r>
          </w:p>
        </w:tc>
      </w:tr>
      <w:tr>
        <w:tc>
          <w:tcPr>
            <w:tcW w:type="dxa" w:w="540"/>
            <w:shd w:fill="FBFAF6" w:color="auto" w:val="clear"/>
            <w:tcMar>
              <w:top w:type="dxa" w:w="80"/>
              <w:left w:type="dxa" w:w="100"/>
              <w:bottom w:type="dxa" w:w="80"/>
              <w:right w:type="dxa" w:w="100"/>
            </w:tcMar>
            <w:vAlign w:val="center"/>
          </w:tcPr>
          <w:p>
            <w:r>
              <w:rPr>
                <w:b w:val="false"/>
                <w:bCs w:val="false"/>
                <w:color w:val="1B1F27"/>
                <w:sz w:val="21"/>
                <w:szCs w:val="21"/>
              </w:rPr>
              <w:t xml:space="preserve">2</w:t>
            </w:r>
          </w:p>
        </w:tc>
        <w:tc>
          <w:tcPr>
            <w:tcW w:type="dxa" w:w="3060"/>
            <w:shd w:fill="FBFAF6" w:color="auto" w:val="clear"/>
            <w:tcMar>
              <w:top w:type="dxa" w:w="80"/>
              <w:left w:type="dxa" w:w="100"/>
              <w:bottom w:type="dxa" w:w="80"/>
              <w:right w:type="dxa" w:w="100"/>
            </w:tcMar>
            <w:vAlign w:val="center"/>
          </w:tcPr>
          <w:p>
            <w:r>
              <w:rPr>
                <w:b/>
                <w:bCs/>
                <w:color w:val="101B2D"/>
                <w:sz w:val="21"/>
                <w:szCs w:val="21"/>
              </w:rPr>
              <w:t xml:space="preserve">Exterior Approach and Entrance</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89</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197</w:t>
            </w:r>
          </w:p>
        </w:tc>
        <w:tc>
          <w:tcPr>
            <w:tcW w:type="dxa" w:w="1080"/>
            <w:shd w:fill="FBFAF6" w:color="auto" w:val="clear"/>
            <w:tcMar>
              <w:top w:type="dxa" w:w="80"/>
              <w:left w:type="dxa" w:w="100"/>
              <w:bottom w:type="dxa" w:w="80"/>
              <w:right w:type="dxa" w:w="100"/>
            </w:tcMar>
            <w:vAlign w:val="center"/>
          </w:tcPr>
          <w:p>
            <w:r>
              <w:rPr>
                <w:b/>
                <w:bCs/>
                <w:color w:val="101B2D"/>
                <w:sz w:val="21"/>
                <w:szCs w:val="21"/>
              </w:rPr>
              <w:t xml:space="preserve">45%</w:t>
            </w:r>
          </w:p>
        </w:tc>
        <w:tc>
          <w:tcPr>
            <w:tcW w:type="dxa" w:w="3960"/>
            <w:shd w:fill="FBFAF6" w:color="auto" w:val="clear"/>
            <w:tcMar>
              <w:top w:type="dxa" w:w="80"/>
              <w:left w:type="dxa" w:w="100"/>
              <w:bottom w:type="dxa" w:w="80"/>
              <w:right w:type="dxa" w:w="100"/>
            </w:tcMar>
            <w:vAlign w:val="center"/>
          </w:tcPr>
          <w:p>
            <w:r>
              <w:rPr>
                <w:b w:val="false"/>
                <w:bCs w:val="false"/>
                <w:color w:val="1B1F27"/>
                <w:sz w:val="21"/>
                <w:szCs w:val="21"/>
              </w:rPr>
              <w:t xml:space="preserve">Ramp slope 8.8% exceeds 8.33% max. Door force 41N exceeds 38N. No tactile warnings.</w:t>
            </w:r>
          </w:p>
        </w:tc>
      </w:tr>
      <w:tr>
        <w:tc>
          <w:tcPr>
            <w:tcW w:type="dxa" w:w="540"/>
            <w:shd w:fill="FFFFFF" w:color="auto" w:val="clear"/>
            <w:tcMar>
              <w:top w:type="dxa" w:w="80"/>
              <w:left w:type="dxa" w:w="100"/>
              <w:bottom w:type="dxa" w:w="80"/>
              <w:right w:type="dxa" w:w="100"/>
            </w:tcMar>
            <w:vAlign w:val="center"/>
          </w:tcPr>
          <w:p>
            <w:r>
              <w:rPr>
                <w:b w:val="false"/>
                <w:bCs w:val="false"/>
                <w:color w:val="1B1F27"/>
                <w:sz w:val="21"/>
                <w:szCs w:val="21"/>
              </w:rPr>
              <w:t xml:space="preserve">3</w:t>
            </w:r>
          </w:p>
        </w:tc>
        <w:tc>
          <w:tcPr>
            <w:tcW w:type="dxa" w:w="3060"/>
            <w:shd w:fill="FFFFFF" w:color="auto" w:val="clear"/>
            <w:tcMar>
              <w:top w:type="dxa" w:w="80"/>
              <w:left w:type="dxa" w:w="100"/>
              <w:bottom w:type="dxa" w:w="80"/>
              <w:right w:type="dxa" w:w="100"/>
            </w:tcMar>
            <w:vAlign w:val="center"/>
          </w:tcPr>
          <w:p>
            <w:r>
              <w:rPr>
                <w:b/>
                <w:bCs/>
                <w:color w:val="101B2D"/>
                <w:sz w:val="21"/>
                <w:szCs w:val="21"/>
              </w:rPr>
              <w:t xml:space="preserve">Interior Circulation</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212</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312</w:t>
            </w:r>
          </w:p>
        </w:tc>
        <w:tc>
          <w:tcPr>
            <w:tcW w:type="dxa" w:w="1080"/>
            <w:shd w:fill="FFFFFF" w:color="auto" w:val="clear"/>
            <w:tcMar>
              <w:top w:type="dxa" w:w="80"/>
              <w:left w:type="dxa" w:w="100"/>
              <w:bottom w:type="dxa" w:w="80"/>
              <w:right w:type="dxa" w:w="100"/>
            </w:tcMar>
            <w:vAlign w:val="center"/>
          </w:tcPr>
          <w:p>
            <w:r>
              <w:rPr>
                <w:b/>
                <w:bCs/>
                <w:color w:val="101B2D"/>
                <w:sz w:val="21"/>
                <w:szCs w:val="21"/>
              </w:rPr>
              <w:t xml:space="preserve">68%</w:t>
            </w:r>
          </w:p>
        </w:tc>
        <w:tc>
          <w:tcPr>
            <w:tcW w:type="dxa" w:w="3960"/>
            <w:shd w:fill="FFFFFF" w:color="auto" w:val="clear"/>
            <w:tcMar>
              <w:top w:type="dxa" w:w="80"/>
              <w:left w:type="dxa" w:w="100"/>
              <w:bottom w:type="dxa" w:w="80"/>
              <w:right w:type="dxa" w:w="100"/>
            </w:tcMar>
            <w:vAlign w:val="center"/>
          </w:tcPr>
          <w:p>
            <w:r>
              <w:rPr>
                <w:b w:val="false"/>
                <w:bCs w:val="false"/>
                <w:color w:val="1B1F27"/>
                <w:sz w:val="21"/>
                <w:szCs w:val="21"/>
              </w:rPr>
              <w:t xml:space="preserve">Elevator controls 1,330mm above 1,200mm max. Corridor 1,380mm below 1,500mm min.</w:t>
            </w:r>
          </w:p>
        </w:tc>
      </w:tr>
      <w:tr>
        <w:tc>
          <w:tcPr>
            <w:tcW w:type="dxa" w:w="540"/>
            <w:shd w:fill="FBFAF6" w:color="auto" w:val="clear"/>
            <w:tcMar>
              <w:top w:type="dxa" w:w="80"/>
              <w:left w:type="dxa" w:w="100"/>
              <w:bottom w:type="dxa" w:w="80"/>
              <w:right w:type="dxa" w:w="100"/>
            </w:tcMar>
            <w:vAlign w:val="center"/>
          </w:tcPr>
          <w:p>
            <w:r>
              <w:rPr>
                <w:b w:val="false"/>
                <w:bCs w:val="false"/>
                <w:color w:val="1B1F27"/>
                <w:sz w:val="21"/>
                <w:szCs w:val="21"/>
              </w:rPr>
              <w:t xml:space="preserve">4</w:t>
            </w:r>
          </w:p>
        </w:tc>
        <w:tc>
          <w:tcPr>
            <w:tcW w:type="dxa" w:w="3060"/>
            <w:shd w:fill="FBFAF6" w:color="auto" w:val="clear"/>
            <w:tcMar>
              <w:top w:type="dxa" w:w="80"/>
              <w:left w:type="dxa" w:w="100"/>
              <w:bottom w:type="dxa" w:w="80"/>
              <w:right w:type="dxa" w:w="100"/>
            </w:tcMar>
            <w:vAlign w:val="center"/>
          </w:tcPr>
          <w:p>
            <w:r>
              <w:rPr>
                <w:b/>
                <w:bCs/>
                <w:color w:val="101B2D"/>
                <w:sz w:val="21"/>
                <w:szCs w:val="21"/>
              </w:rPr>
              <w:t xml:space="preserve">Interior Services and Environment</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78</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167</w:t>
            </w:r>
          </w:p>
        </w:tc>
        <w:tc>
          <w:tcPr>
            <w:tcW w:type="dxa" w:w="1080"/>
            <w:shd w:fill="FBFAF6" w:color="auto" w:val="clear"/>
            <w:tcMar>
              <w:top w:type="dxa" w:w="80"/>
              <w:left w:type="dxa" w:w="100"/>
              <w:bottom w:type="dxa" w:w="80"/>
              <w:right w:type="dxa" w:w="100"/>
            </w:tcMar>
            <w:vAlign w:val="center"/>
          </w:tcPr>
          <w:p>
            <w:r>
              <w:rPr>
                <w:b/>
                <w:bCs/>
                <w:color w:val="101B2D"/>
                <w:sz w:val="21"/>
                <w:szCs w:val="21"/>
              </w:rPr>
              <w:t xml:space="preserve">47%</w:t>
            </w:r>
          </w:p>
        </w:tc>
        <w:tc>
          <w:tcPr>
            <w:tcW w:type="dxa" w:w="3960"/>
            <w:shd w:fill="FBFAF6" w:color="auto" w:val="clear"/>
            <w:tcMar>
              <w:top w:type="dxa" w:w="80"/>
              <w:left w:type="dxa" w:w="100"/>
              <w:bottom w:type="dxa" w:w="80"/>
              <w:right w:type="dxa" w:w="100"/>
            </w:tcMar>
            <w:vAlign w:val="center"/>
          </w:tcPr>
          <w:p>
            <w:r>
              <w:rPr>
                <w:b w:val="false"/>
                <w:bCs w:val="false"/>
                <w:color w:val="1B1F27"/>
                <w:sz w:val="21"/>
                <w:szCs w:val="21"/>
              </w:rPr>
              <w:t xml:space="preserve">Service counter 960mm — no accessible height or knee clearance. Self-checkout inaccessible.</w:t>
            </w:r>
          </w:p>
        </w:tc>
      </w:tr>
      <w:tr>
        <w:tc>
          <w:tcPr>
            <w:tcW w:type="dxa" w:w="540"/>
            <w:shd w:fill="FFFFFF" w:color="auto" w:val="clear"/>
            <w:tcMar>
              <w:top w:type="dxa" w:w="80"/>
              <w:left w:type="dxa" w:w="100"/>
              <w:bottom w:type="dxa" w:w="80"/>
              <w:right w:type="dxa" w:w="100"/>
            </w:tcMar>
            <w:vAlign w:val="center"/>
          </w:tcPr>
          <w:p>
            <w:r>
              <w:rPr>
                <w:b w:val="false"/>
                <w:bCs w:val="false"/>
                <w:color w:val="1B1F27"/>
                <w:sz w:val="21"/>
                <w:szCs w:val="21"/>
              </w:rPr>
              <w:t xml:space="preserve">5</w:t>
            </w:r>
          </w:p>
        </w:tc>
        <w:tc>
          <w:tcPr>
            <w:tcW w:type="dxa" w:w="3060"/>
            <w:shd w:fill="FFFFFF" w:color="auto" w:val="clear"/>
            <w:tcMar>
              <w:top w:type="dxa" w:w="80"/>
              <w:left w:type="dxa" w:w="100"/>
              <w:bottom w:type="dxa" w:w="80"/>
              <w:right w:type="dxa" w:w="100"/>
            </w:tcMar>
            <w:vAlign w:val="center"/>
          </w:tcPr>
          <w:p>
            <w:r>
              <w:rPr>
                <w:b/>
                <w:bCs/>
                <w:color w:val="101B2D"/>
                <w:sz w:val="21"/>
                <w:szCs w:val="21"/>
              </w:rPr>
              <w:t xml:space="preserve">Sanitary Facilities</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117</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212</w:t>
            </w:r>
          </w:p>
        </w:tc>
        <w:tc>
          <w:tcPr>
            <w:tcW w:type="dxa" w:w="1080"/>
            <w:shd w:fill="FFFFFF" w:color="auto" w:val="clear"/>
            <w:tcMar>
              <w:top w:type="dxa" w:w="80"/>
              <w:left w:type="dxa" w:w="100"/>
              <w:bottom w:type="dxa" w:w="80"/>
              <w:right w:type="dxa" w:w="100"/>
            </w:tcMar>
            <w:vAlign w:val="center"/>
          </w:tcPr>
          <w:p>
            <w:r>
              <w:rPr>
                <w:b/>
                <w:bCs/>
                <w:color w:val="101B2D"/>
                <w:sz w:val="21"/>
                <w:szCs w:val="21"/>
              </w:rPr>
              <w:t xml:space="preserve">55%</w:t>
            </w:r>
          </w:p>
        </w:tc>
        <w:tc>
          <w:tcPr>
            <w:tcW w:type="dxa" w:w="3960"/>
            <w:shd w:fill="FFFFFF" w:color="auto" w:val="clear"/>
            <w:tcMar>
              <w:top w:type="dxa" w:w="80"/>
              <w:left w:type="dxa" w:w="100"/>
              <w:bottom w:type="dxa" w:w="80"/>
              <w:right w:type="dxa" w:w="100"/>
            </w:tcMar>
            <w:vAlign w:val="center"/>
          </w:tcPr>
          <w:p>
            <w:r>
              <w:rPr>
                <w:b w:val="false"/>
                <w:bCs w:val="false"/>
                <w:color w:val="1B1F27"/>
                <w:sz w:val="21"/>
                <w:szCs w:val="21"/>
              </w:rPr>
              <w:t xml:space="preserve">Grab bars 785mm — below 840mm min. No universal washroom (required for Gold).</w:t>
            </w:r>
          </w:p>
        </w:tc>
      </w:tr>
      <w:tr>
        <w:tc>
          <w:tcPr>
            <w:tcW w:type="dxa" w:w="540"/>
            <w:shd w:fill="FBFAF6" w:color="auto" w:val="clear"/>
            <w:tcMar>
              <w:top w:type="dxa" w:w="80"/>
              <w:left w:type="dxa" w:w="100"/>
              <w:bottom w:type="dxa" w:w="80"/>
              <w:right w:type="dxa" w:w="100"/>
            </w:tcMar>
            <w:vAlign w:val="center"/>
          </w:tcPr>
          <w:p>
            <w:r>
              <w:rPr>
                <w:b w:val="false"/>
                <w:bCs w:val="false"/>
                <w:color w:val="1B1F27"/>
                <w:sz w:val="21"/>
                <w:szCs w:val="21"/>
              </w:rPr>
              <w:t xml:space="preserve">6</w:t>
            </w:r>
          </w:p>
        </w:tc>
        <w:tc>
          <w:tcPr>
            <w:tcW w:type="dxa" w:w="3060"/>
            <w:shd w:fill="FBFAF6" w:color="auto" w:val="clear"/>
            <w:tcMar>
              <w:top w:type="dxa" w:w="80"/>
              <w:left w:type="dxa" w:w="100"/>
              <w:bottom w:type="dxa" w:w="80"/>
              <w:right w:type="dxa" w:w="100"/>
            </w:tcMar>
            <w:vAlign w:val="center"/>
          </w:tcPr>
          <w:p>
            <w:r>
              <w:rPr>
                <w:b/>
                <w:bCs/>
                <w:color w:val="101B2D"/>
                <w:sz w:val="21"/>
                <w:szCs w:val="21"/>
              </w:rPr>
              <w:t xml:space="preserve">Wayfinding and Signage</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38</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84</w:t>
            </w:r>
          </w:p>
        </w:tc>
        <w:tc>
          <w:tcPr>
            <w:tcW w:type="dxa" w:w="1080"/>
            <w:shd w:fill="FBFAF6" w:color="auto" w:val="clear"/>
            <w:tcMar>
              <w:top w:type="dxa" w:w="80"/>
              <w:left w:type="dxa" w:w="100"/>
              <w:bottom w:type="dxa" w:w="80"/>
              <w:right w:type="dxa" w:w="100"/>
            </w:tcMar>
            <w:vAlign w:val="center"/>
          </w:tcPr>
          <w:p>
            <w:r>
              <w:rPr>
                <w:b/>
                <w:bCs/>
                <w:color w:val="101B2D"/>
                <w:sz w:val="21"/>
                <w:szCs w:val="21"/>
              </w:rPr>
              <w:t xml:space="preserve">45%</w:t>
            </w:r>
          </w:p>
        </w:tc>
        <w:tc>
          <w:tcPr>
            <w:tcW w:type="dxa" w:w="3960"/>
            <w:shd w:fill="FBFAF6" w:color="auto" w:val="clear"/>
            <w:tcMar>
              <w:top w:type="dxa" w:w="80"/>
              <w:left w:type="dxa" w:w="100"/>
              <w:bottom w:type="dxa" w:w="80"/>
              <w:right w:type="dxa" w:w="100"/>
            </w:tcMar>
            <w:vAlign w:val="center"/>
          </w:tcPr>
          <w:p>
            <w:r>
              <w:rPr>
                <w:b w:val="false"/>
                <w:bCs w:val="false"/>
                <w:color w:val="1B1F27"/>
                <w:sz w:val="21"/>
                <w:szCs w:val="21"/>
              </w:rPr>
              <w:t xml:space="preserve">Partial Braille only. No tactile wayfinding at entry. No directional sign to washroom.</w:t>
            </w:r>
          </w:p>
        </w:tc>
      </w:tr>
      <w:tr>
        <w:tc>
          <w:tcPr>
            <w:tcW w:type="dxa" w:w="540"/>
            <w:shd w:fill="FFFFFF" w:color="auto" w:val="clear"/>
            <w:tcMar>
              <w:top w:type="dxa" w:w="80"/>
              <w:left w:type="dxa" w:w="100"/>
              <w:bottom w:type="dxa" w:w="80"/>
              <w:right w:type="dxa" w:w="100"/>
            </w:tcMar>
            <w:vAlign w:val="center"/>
          </w:tcPr>
          <w:p>
            <w:r>
              <w:rPr>
                <w:b w:val="false"/>
                <w:bCs w:val="false"/>
                <w:color w:val="1B1F27"/>
                <w:sz w:val="21"/>
                <w:szCs w:val="21"/>
              </w:rPr>
              <w:t xml:space="preserve">7</w:t>
            </w:r>
          </w:p>
        </w:tc>
        <w:tc>
          <w:tcPr>
            <w:tcW w:type="dxa" w:w="3060"/>
            <w:shd w:fill="FFFFFF" w:color="auto" w:val="clear"/>
            <w:tcMar>
              <w:top w:type="dxa" w:w="80"/>
              <w:left w:type="dxa" w:w="100"/>
              <w:bottom w:type="dxa" w:w="80"/>
              <w:right w:type="dxa" w:w="100"/>
            </w:tcMar>
            <w:vAlign w:val="center"/>
          </w:tcPr>
          <w:p>
            <w:r>
              <w:rPr>
                <w:b/>
                <w:bCs/>
                <w:color w:val="101B2D"/>
                <w:sz w:val="21"/>
                <w:szCs w:val="21"/>
              </w:rPr>
              <w:t xml:space="preserve">Emergency Systems</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36</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70</w:t>
            </w:r>
          </w:p>
        </w:tc>
        <w:tc>
          <w:tcPr>
            <w:tcW w:type="dxa" w:w="1080"/>
            <w:shd w:fill="FFFFFF" w:color="auto" w:val="clear"/>
            <w:tcMar>
              <w:top w:type="dxa" w:w="80"/>
              <w:left w:type="dxa" w:w="100"/>
              <w:bottom w:type="dxa" w:w="80"/>
              <w:right w:type="dxa" w:w="100"/>
            </w:tcMar>
            <w:vAlign w:val="center"/>
          </w:tcPr>
          <w:p>
            <w:r>
              <w:rPr>
                <w:b/>
                <w:bCs/>
                <w:color w:val="101B2D"/>
                <w:sz w:val="21"/>
                <w:szCs w:val="21"/>
              </w:rPr>
              <w:t xml:space="preserve">51%</w:t>
            </w:r>
          </w:p>
        </w:tc>
        <w:tc>
          <w:tcPr>
            <w:tcW w:type="dxa" w:w="3960"/>
            <w:shd w:fill="FFFFFF" w:color="auto" w:val="clear"/>
            <w:tcMar>
              <w:top w:type="dxa" w:w="80"/>
              <w:left w:type="dxa" w:w="100"/>
              <w:bottom w:type="dxa" w:w="80"/>
              <w:right w:type="dxa" w:w="100"/>
            </w:tcMar>
            <w:vAlign w:val="center"/>
          </w:tcPr>
          <w:p>
            <w:r>
              <w:rPr>
                <w:b w:val="false"/>
                <w:bCs w:val="false"/>
                <w:color w:val="1B1F27"/>
                <w:sz w:val="21"/>
                <w:szCs w:val="21"/>
              </w:rPr>
              <w:t xml:space="preserve">CRITICAL: No visual fire alarms on either level. No area of rescue on Level 2.</w:t>
            </w:r>
          </w:p>
        </w:tc>
      </w:tr>
      <w:tr>
        <w:tc>
          <w:tcPr>
            <w:tcW w:type="dxa" w:w="540"/>
            <w:shd w:fill="FBFAF6" w:color="auto" w:val="clear"/>
            <w:tcMar>
              <w:top w:type="dxa" w:w="80"/>
              <w:left w:type="dxa" w:w="100"/>
              <w:bottom w:type="dxa" w:w="80"/>
              <w:right w:type="dxa" w:w="100"/>
            </w:tcMar>
            <w:vAlign w:val="center"/>
          </w:tcPr>
          <w:p>
            <w:r>
              <w:rPr>
                <w:b w:val="false"/>
                <w:bCs w:val="false"/>
                <w:color w:val="1B1F27"/>
                <w:sz w:val="21"/>
                <w:szCs w:val="21"/>
              </w:rPr>
              <w:t xml:space="preserve">8</w:t>
            </w:r>
          </w:p>
        </w:tc>
        <w:tc>
          <w:tcPr>
            <w:tcW w:type="dxa" w:w="3060"/>
            <w:shd w:fill="FBFAF6" w:color="auto" w:val="clear"/>
            <w:tcMar>
              <w:top w:type="dxa" w:w="80"/>
              <w:left w:type="dxa" w:w="100"/>
              <w:bottom w:type="dxa" w:w="80"/>
              <w:right w:type="dxa" w:w="100"/>
            </w:tcMar>
            <w:vAlign w:val="center"/>
          </w:tcPr>
          <w:p>
            <w:r>
              <w:rPr>
                <w:b/>
                <w:bCs/>
                <w:color w:val="101B2D"/>
                <w:sz w:val="21"/>
                <w:szCs w:val="21"/>
              </w:rPr>
              <w:t xml:space="preserve">Additional Use of Spaces (8.3 + 8.21)</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38</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70</w:t>
            </w:r>
          </w:p>
        </w:tc>
        <w:tc>
          <w:tcPr>
            <w:tcW w:type="dxa" w:w="1080"/>
            <w:shd w:fill="FBFAF6" w:color="auto" w:val="clear"/>
            <w:tcMar>
              <w:top w:type="dxa" w:w="80"/>
              <w:left w:type="dxa" w:w="100"/>
              <w:bottom w:type="dxa" w:w="80"/>
              <w:right w:type="dxa" w:w="100"/>
            </w:tcMar>
            <w:vAlign w:val="center"/>
          </w:tcPr>
          <w:p>
            <w:r>
              <w:rPr>
                <w:b/>
                <w:bCs/>
                <w:color w:val="101B2D"/>
                <w:sz w:val="21"/>
                <w:szCs w:val="21"/>
              </w:rPr>
              <w:t xml:space="preserve">54%</w:t>
            </w:r>
          </w:p>
        </w:tc>
        <w:tc>
          <w:tcPr>
            <w:tcW w:type="dxa" w:w="3960"/>
            <w:shd w:fill="FBFAF6" w:color="auto" w:val="clear"/>
            <w:tcMar>
              <w:top w:type="dxa" w:w="80"/>
              <w:left w:type="dxa" w:w="100"/>
              <w:bottom w:type="dxa" w:w="80"/>
              <w:right w:type="dxa" w:w="100"/>
            </w:tcMar>
            <w:vAlign w:val="center"/>
          </w:tcPr>
          <w:p>
            <w:r>
              <w:rPr>
                <w:b w:val="false"/>
                <w:bCs w:val="false"/>
                <w:color w:val="1B1F27"/>
                <w:sz w:val="21"/>
                <w:szCs w:val="21"/>
              </w:rPr>
              <w:t xml:space="preserve">Library stacks 1,380mm aisle — below 1,500mm min. Self-checkout screen above max reach.</w:t>
            </w:r>
          </w:p>
        </w:tc>
      </w:tr>
      <w:tr>
        <w:tc>
          <w:tcPr>
            <w:tcW w:type="dxa" w:w="540"/>
            <w:shd w:fill="FFFFFF" w:color="auto" w:val="clear"/>
            <w:tcMar>
              <w:top w:type="dxa" w:w="80"/>
              <w:left w:type="dxa" w:w="100"/>
              <w:bottom w:type="dxa" w:w="80"/>
              <w:right w:type="dxa" w:w="100"/>
            </w:tcMar>
            <w:vAlign w:val="center"/>
          </w:tcPr>
          <w:p>
            <w:r>
              <w:rPr>
                <w:b w:val="false"/>
                <w:bCs w:val="false"/>
                <w:color w:val="1B1F27"/>
                <w:sz w:val="21"/>
                <w:szCs w:val="21"/>
              </w:rPr>
              <w:t xml:space="preserve">9</w:t>
            </w:r>
          </w:p>
        </w:tc>
        <w:tc>
          <w:tcPr>
            <w:tcW w:type="dxa" w:w="3060"/>
            <w:shd w:fill="FFFFFF" w:color="auto" w:val="clear"/>
            <w:tcMar>
              <w:top w:type="dxa" w:w="80"/>
              <w:left w:type="dxa" w:w="100"/>
              <w:bottom w:type="dxa" w:w="80"/>
              <w:right w:type="dxa" w:w="100"/>
            </w:tcMar>
            <w:vAlign w:val="center"/>
          </w:tcPr>
          <w:p>
            <w:r>
              <w:rPr>
                <w:b/>
                <w:bCs/>
                <w:color w:val="101B2D"/>
                <w:sz w:val="21"/>
                <w:szCs w:val="21"/>
              </w:rPr>
              <w:t xml:space="preserve">Residential Units</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N/A</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330</w:t>
            </w:r>
          </w:p>
        </w:tc>
        <w:tc>
          <w:tcPr>
            <w:tcW w:type="dxa" w:w="1080"/>
            <w:shd w:fill="FFFFFF" w:color="auto" w:val="clear"/>
            <w:tcMar>
              <w:top w:type="dxa" w:w="80"/>
              <w:left w:type="dxa" w:w="100"/>
              <w:bottom w:type="dxa" w:w="80"/>
              <w:right w:type="dxa" w:w="100"/>
            </w:tcMar>
            <w:vAlign w:val="center"/>
          </w:tcPr>
          <w:p>
            <w:r>
              <w:rPr>
                <w:b/>
                <w:bCs/>
                <w:color w:val="101B2D"/>
                <w:sz w:val="21"/>
                <w:szCs w:val="21"/>
              </w:rPr>
              <w:t xml:space="preserve">Excl.</w:t>
            </w:r>
          </w:p>
        </w:tc>
        <w:tc>
          <w:tcPr>
            <w:tcW w:type="dxa" w:w="3960"/>
            <w:shd w:fill="FFFFFF" w:color="auto" w:val="clear"/>
            <w:tcMar>
              <w:top w:type="dxa" w:w="80"/>
              <w:left w:type="dxa" w:w="100"/>
              <w:bottom w:type="dxa" w:w="80"/>
              <w:right w:type="dxa" w:w="100"/>
            </w:tcMar>
            <w:vAlign w:val="center"/>
          </w:tcPr>
          <w:p>
            <w:r>
              <w:rPr>
                <w:b w:val="false"/>
                <w:bCs w:val="false"/>
                <w:color w:val="1B1F27"/>
                <w:sz w:val="21"/>
                <w:szCs w:val="21"/>
              </w:rPr>
              <w:t xml:space="preserve">Not applicable — public library, no residential units.</w:t>
            </w:r>
          </w:p>
        </w:tc>
      </w:tr>
      <w:tr>
        <w:tc>
          <w:tcPr>
            <w:tcW w:type="dxa" w:w="540"/>
            <w:shd w:fill="FBFAF6" w:color="auto" w:val="clear"/>
            <w:tcMar>
              <w:top w:type="dxa" w:w="80"/>
              <w:left w:type="dxa" w:w="100"/>
              <w:bottom w:type="dxa" w:w="80"/>
              <w:right w:type="dxa" w:w="100"/>
            </w:tcMar>
            <w:vAlign w:val="center"/>
          </w:tcPr>
          <w:p>
            <w:r>
              <w:rPr>
                <w:b w:val="false"/>
                <w:bCs w:val="false"/>
                <w:color w:val="1B1F27"/>
                <w:sz w:val="21"/>
                <w:szCs w:val="21"/>
              </w:rPr>
              <w:t xml:space="preserve">10</w:t>
            </w:r>
          </w:p>
        </w:tc>
        <w:tc>
          <w:tcPr>
            <w:tcW w:type="dxa" w:w="3060"/>
            <w:shd w:fill="FBFAF6" w:color="auto" w:val="clear"/>
            <w:tcMar>
              <w:top w:type="dxa" w:w="80"/>
              <w:left w:type="dxa" w:w="100"/>
              <w:bottom w:type="dxa" w:w="80"/>
              <w:right w:type="dxa" w:w="100"/>
            </w:tcMar>
            <w:vAlign w:val="center"/>
          </w:tcPr>
          <w:p>
            <w:r>
              <w:rPr>
                <w:b/>
                <w:bCs/>
                <w:color w:val="101B2D"/>
                <w:sz w:val="21"/>
                <w:szCs w:val="21"/>
              </w:rPr>
              <w:t xml:space="preserve">Trails and Pathways</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N/A</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150</w:t>
            </w:r>
          </w:p>
        </w:tc>
        <w:tc>
          <w:tcPr>
            <w:tcW w:type="dxa" w:w="1080"/>
            <w:shd w:fill="FBFAF6" w:color="auto" w:val="clear"/>
            <w:tcMar>
              <w:top w:type="dxa" w:w="80"/>
              <w:left w:type="dxa" w:w="100"/>
              <w:bottom w:type="dxa" w:w="80"/>
              <w:right w:type="dxa" w:w="100"/>
            </w:tcMar>
            <w:vAlign w:val="center"/>
          </w:tcPr>
          <w:p>
            <w:r>
              <w:rPr>
                <w:b/>
                <w:bCs/>
                <w:color w:val="101B2D"/>
                <w:sz w:val="21"/>
                <w:szCs w:val="21"/>
              </w:rPr>
              <w:t xml:space="preserve">Excl.</w:t>
            </w:r>
          </w:p>
        </w:tc>
        <w:tc>
          <w:tcPr>
            <w:tcW w:type="dxa" w:w="3960"/>
            <w:shd w:fill="FBFAF6" w:color="auto" w:val="clear"/>
            <w:tcMar>
              <w:top w:type="dxa" w:w="80"/>
              <w:left w:type="dxa" w:w="100"/>
              <w:bottom w:type="dxa" w:w="80"/>
              <w:right w:type="dxa" w:w="100"/>
            </w:tcMar>
            <w:vAlign w:val="center"/>
          </w:tcPr>
          <w:p>
            <w:r>
              <w:rPr>
                <w:b w:val="false"/>
                <w:bCs w:val="false"/>
                <w:color w:val="1B1F27"/>
                <w:sz w:val="21"/>
                <w:szCs w:val="21"/>
              </w:rPr>
              <w:t xml:space="preserve">Not applicable — no designated trail or pathway system.</w:t>
            </w:r>
          </w:p>
        </w:tc>
      </w:tr>
      <w:tr>
        <w:tc>
          <w:tcPr>
            <w:tcW w:type="dxa" w:w="540"/>
            <w:shd w:fill="FFFFFF" w:color="auto" w:val="clear"/>
            <w:tcMar>
              <w:top w:type="dxa" w:w="80"/>
              <w:left w:type="dxa" w:w="100"/>
              <w:bottom w:type="dxa" w:w="80"/>
              <w:right w:type="dxa" w:w="100"/>
            </w:tcMar>
            <w:vAlign w:val="center"/>
          </w:tcPr>
          <w:p>
            <w:r>
              <w:rPr>
                <w:b w:val="false"/>
                <w:bCs w:val="false"/>
                <w:color w:val="1B1F27"/>
                <w:sz w:val="21"/>
                <w:szCs w:val="21"/>
              </w:rPr>
              <w:t xml:space="preserve">11</w:t>
            </w:r>
          </w:p>
        </w:tc>
        <w:tc>
          <w:tcPr>
            <w:tcW w:type="dxa" w:w="3060"/>
            <w:shd w:fill="FFFFFF" w:color="auto" w:val="clear"/>
            <w:tcMar>
              <w:top w:type="dxa" w:w="80"/>
              <w:left w:type="dxa" w:w="100"/>
              <w:bottom w:type="dxa" w:w="80"/>
              <w:right w:type="dxa" w:w="100"/>
            </w:tcMar>
            <w:vAlign w:val="center"/>
          </w:tcPr>
          <w:p>
            <w:r>
              <w:rPr>
                <w:b/>
                <w:bCs/>
                <w:color w:val="101B2D"/>
                <w:sz w:val="21"/>
                <w:szCs w:val="21"/>
              </w:rPr>
              <w:t xml:space="preserve">Mind-Friendly Environments</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19</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30</w:t>
            </w:r>
          </w:p>
        </w:tc>
        <w:tc>
          <w:tcPr>
            <w:tcW w:type="dxa" w:w="1080"/>
            <w:shd w:fill="FFFFFF" w:color="auto" w:val="clear"/>
            <w:tcMar>
              <w:top w:type="dxa" w:w="80"/>
              <w:left w:type="dxa" w:w="100"/>
              <w:bottom w:type="dxa" w:w="80"/>
              <w:right w:type="dxa" w:w="100"/>
            </w:tcMar>
            <w:vAlign w:val="center"/>
          </w:tcPr>
          <w:p>
            <w:r>
              <w:rPr>
                <w:b/>
                <w:bCs/>
                <w:color w:val="101B2D"/>
                <w:sz w:val="21"/>
                <w:szCs w:val="21"/>
              </w:rPr>
              <w:t xml:space="preserve">63%</w:t>
            </w:r>
          </w:p>
        </w:tc>
        <w:tc>
          <w:tcPr>
            <w:tcW w:type="dxa" w:w="3960"/>
            <w:shd w:fill="FFFFFF" w:color="auto" w:val="clear"/>
            <w:tcMar>
              <w:top w:type="dxa" w:w="80"/>
              <w:left w:type="dxa" w:w="100"/>
              <w:bottom w:type="dxa" w:w="80"/>
              <w:right w:type="dxa" w:w="100"/>
            </w:tcMar>
            <w:vAlign w:val="center"/>
          </w:tcPr>
          <w:p>
            <w:r>
              <w:rPr>
                <w:b w:val="false"/>
                <w:bCs w:val="false"/>
                <w:color w:val="1B1F27"/>
                <w:sz w:val="21"/>
                <w:szCs w:val="21"/>
              </w:rPr>
              <w:t xml:space="preserve">No dimmable lighting. No sensory room. Quiet reading area present.</w:t>
            </w:r>
          </w:p>
        </w:tc>
      </w:tr>
      <w:tr>
        <w:tc>
          <w:tcPr>
            <w:tcW w:type="dxa" w:w="540"/>
            <w:shd w:fill="FBFAF6" w:color="auto" w:val="clear"/>
            <w:tcMar>
              <w:top w:type="dxa" w:w="80"/>
              <w:left w:type="dxa" w:w="100"/>
              <w:bottom w:type="dxa" w:w="80"/>
              <w:right w:type="dxa" w:w="100"/>
            </w:tcMar>
            <w:vAlign w:val="center"/>
          </w:tcPr>
          <w:p>
            <w:r>
              <w:rPr>
                <w:b w:val="false"/>
                <w:bCs w:val="false"/>
                <w:color w:val="1B1F27"/>
                <w:sz w:val="21"/>
                <w:szCs w:val="21"/>
              </w:rPr>
              <w:t xml:space="preserve">12</w:t>
            </w:r>
          </w:p>
        </w:tc>
        <w:tc>
          <w:tcPr>
            <w:tcW w:type="dxa" w:w="3060"/>
            <w:shd w:fill="FBFAF6" w:color="auto" w:val="clear"/>
            <w:tcMar>
              <w:top w:type="dxa" w:w="80"/>
              <w:left w:type="dxa" w:w="100"/>
              <w:bottom w:type="dxa" w:w="80"/>
              <w:right w:type="dxa" w:w="100"/>
            </w:tcMar>
            <w:vAlign w:val="center"/>
          </w:tcPr>
          <w:p>
            <w:r>
              <w:rPr>
                <w:b/>
                <w:bCs/>
                <w:color w:val="101B2D"/>
                <w:sz w:val="21"/>
                <w:szCs w:val="21"/>
              </w:rPr>
              <w:t xml:space="preserve">Technology and Innovation</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28</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42</w:t>
            </w:r>
          </w:p>
        </w:tc>
        <w:tc>
          <w:tcPr>
            <w:tcW w:type="dxa" w:w="1080"/>
            <w:shd w:fill="FBFAF6" w:color="auto" w:val="clear"/>
            <w:tcMar>
              <w:top w:type="dxa" w:w="80"/>
              <w:left w:type="dxa" w:w="100"/>
              <w:bottom w:type="dxa" w:w="80"/>
              <w:right w:type="dxa" w:w="100"/>
            </w:tcMar>
            <w:vAlign w:val="center"/>
          </w:tcPr>
          <w:p>
            <w:r>
              <w:rPr>
                <w:b/>
                <w:bCs/>
                <w:color w:val="101B2D"/>
                <w:sz w:val="21"/>
                <w:szCs w:val="21"/>
              </w:rPr>
              <w:t xml:space="preserve">67%</w:t>
            </w:r>
          </w:p>
        </w:tc>
        <w:tc>
          <w:tcPr>
            <w:tcW w:type="dxa" w:w="3960"/>
            <w:shd w:fill="FBFAF6" w:color="auto" w:val="clear"/>
            <w:tcMar>
              <w:top w:type="dxa" w:w="80"/>
              <w:left w:type="dxa" w:w="100"/>
              <w:bottom w:type="dxa" w:w="80"/>
              <w:right w:type="dxa" w:w="100"/>
            </w:tcMar>
            <w:vAlign w:val="center"/>
          </w:tcPr>
          <w:p>
            <w:r>
              <w:rPr>
                <w:b w:val="false"/>
                <w:bCs w:val="false"/>
                <w:color w:val="1B1F27"/>
                <w:sz w:val="21"/>
                <w:szCs w:val="21"/>
              </w:rPr>
              <w:t xml:space="preserve">Hearing loop and FM system present. Website partially WCAG 2.1 compliant.</w:t>
            </w:r>
          </w:p>
        </w:tc>
      </w:tr>
    </w:tbl>
    <w:p>
      <w:pPr>
        <w:pStyle w:val="Heading1"/>
        <w:spacing w:after="60"/>
      </w:pPr>
      <w:r>
        <w:rPr>
          <w:rFonts w:ascii="Georgia" w:cs="Georgia" w:eastAsia="Georgia" w:hAnsi="Georgia"/>
          <w:color w:val="101B2D"/>
        </w:rPr>
        <w:t xml:space="preserve">4. Detailed Findings — RHFAC v4.0, All 12 Categories</w:t>
      </w:r>
    </w:p>
    <w:p>
      <w:pPr>
        <w:spacing w:after="140" w:before="320"/>
      </w:pPr>
      <w:r>
        <w:rPr>
          <w:rFonts w:ascii="Georgia" w:cs="Georgia" w:eastAsia="Georgia" w:hAnsi="Georgia"/>
          <w:b/>
          <w:bCs/>
          <w:color w:val="101B2D"/>
          <w:sz w:val="23"/>
          <w:szCs w:val="23"/>
        </w:rPr>
        <w:t xml:space="preserve">Category 1 — Vehicular Access</w:t>
      </w:r>
      <w:r>
        <w:rPr>
          <w:i/>
          <w:iCs/>
          <w:color w:val="6B4F1F"/>
          <w:sz w:val="24"/>
          <w:szCs w:val="24"/>
        </w:rPr>
        <w:t xml:space="preserve">   54 / 75 pts (72%)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60"/>
        <w:gridCol w:w="1080"/>
        <w:gridCol w:w="1560"/>
        <w:gridCol w:w="1560"/>
        <w:gridCol w:w="1200"/>
        <w:gridCol w:w="3340"/>
      </w:tblGrid>
      <w:tr>
        <w:trPr>
          <w:tblHeader/>
        </w:trPr>
        <w:tc>
          <w:tcPr>
            <w:tcW w:type="dxa" w:w="2060"/>
            <w:shd w:fill="101B2D" w:color="auto" w:val="clear"/>
            <w:tcMar>
              <w:top w:type="dxa" w:w="90"/>
              <w:left w:type="dxa" w:w="100"/>
              <w:bottom w:type="dxa" w:w="90"/>
              <w:right w:type="dxa" w:w="100"/>
            </w:tcMar>
            <w:vAlign w:val="center"/>
          </w:tcPr>
          <w:p>
            <w:r>
              <w:rPr>
                <w:b/>
                <w:bCs/>
                <w:color w:val="FFFFFF"/>
                <w:sz w:val="20"/>
                <w:szCs w:val="20"/>
              </w:rPr>
              <w:t xml:space="preserve">Assessment Item</w:t>
            </w:r>
          </w:p>
        </w:tc>
        <w:tc>
          <w:tcPr>
            <w:tcW w:type="dxa" w:w="1080"/>
            <w:shd w:fill="101B2D" w:color="auto" w:val="clear"/>
            <w:tcMar>
              <w:top w:type="dxa" w:w="90"/>
              <w:left w:type="dxa" w:w="100"/>
              <w:bottom w:type="dxa" w:w="90"/>
              <w:right w:type="dxa" w:w="100"/>
            </w:tcMar>
            <w:vAlign w:val="center"/>
          </w:tcPr>
          <w:p>
            <w:r>
              <w:rPr>
                <w:b/>
                <w:bCs/>
                <w:color w:val="FFFFFF"/>
                <w:sz w:val="20"/>
                <w:szCs w:val="20"/>
              </w:rPr>
              <w:t xml:space="preserve">Clause</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Measured</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Required</w:t>
            </w:r>
          </w:p>
        </w:tc>
        <w:tc>
          <w:tcPr>
            <w:tcW w:type="dxa" w:w="1200"/>
            <w:shd w:fill="101B2D" w:color="auto" w:val="clear"/>
            <w:tcMar>
              <w:top w:type="dxa" w:w="90"/>
              <w:left w:type="dxa" w:w="100"/>
              <w:bottom w:type="dxa" w:w="90"/>
              <w:right w:type="dxa" w:w="100"/>
            </w:tcMar>
            <w:vAlign w:val="center"/>
          </w:tcPr>
          <w:p>
            <w:r>
              <w:rPr>
                <w:b/>
                <w:bCs/>
                <w:color w:val="FFFFFF"/>
                <w:sz w:val="20"/>
                <w:szCs w:val="20"/>
              </w:rPr>
              <w:t xml:space="preserve">Status</w:t>
            </w:r>
          </w:p>
        </w:tc>
        <w:tc>
          <w:tcPr>
            <w:tcW w:type="dxa" w:w="3340"/>
            <w:shd w:fill="101B2D" w:color="auto" w:val="clear"/>
            <w:tcMar>
              <w:top w:type="dxa" w:w="90"/>
              <w:left w:type="dxa" w:w="100"/>
              <w:bottom w:type="dxa" w:w="90"/>
              <w:right w:type="dxa" w:w="100"/>
            </w:tcMar>
            <w:vAlign w:val="center"/>
          </w:tcPr>
          <w:p>
            <w:r>
              <w:rPr>
                <w:b/>
                <w:bCs/>
                <w:color w:val="FFFFFF"/>
                <w:sz w:val="20"/>
                <w:szCs w:val="20"/>
              </w:rPr>
              <w:t xml:space="preserve">Notes / Remediation</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1.1 Parking — Accessible spaces quantity</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§5.1.2</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2 spaces</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2 min.</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Compliant. Van-accessible space present.</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1.1 Parking — Dimensions</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§5.1.4</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2,440mm wide</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2,400mm min.</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Compliant.</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1.1 Parking — Surface</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§5.1.3</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Firm, sealed asphalt</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Firm, stable, slip-resistant</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No cracking or heave at parking area.</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1.1 Parking — Signage</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§5.1.5</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ISA present</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Required</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International Symbol of Access visible from approach.</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1.1 Parking — Pedestrian pathway to entrance</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§5.1.6</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1,540mm wide</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1,500mm min.</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Unobstructed path confirmed.</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1.1 Parking — Curb ramp at parking exit</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§4.1.3</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850mm wide, 1:12 slope</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800mm min.</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Tactile strip present at base. Compliant.</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1.1 Parking — Illumination</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§5.1.9</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90 lux measured</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50 lux min.</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Compliant.</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1.1 Parking — Pedestrian crossing markings</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§5.1.7</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Worn, faded</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Clearly marked</w:t>
            </w:r>
          </w:p>
        </w:tc>
        <w:tc>
          <w:tcPr>
            <w:tcW w:type="dxa" w:w="1200"/>
            <w:shd w:fill="FBFAF6" w:color="auto" w:val="clear"/>
            <w:tcMar>
              <w:top w:type="dxa" w:w="80"/>
              <w:left w:type="dxa" w:w="100"/>
              <w:bottom w:type="dxa" w:w="80"/>
              <w:right w:type="dxa" w:w="100"/>
            </w:tcMar>
            <w:vAlign w:val="center"/>
          </w:tcPr>
          <w:p>
            <w:r>
              <w:rPr>
                <w:b/>
                <w:bCs/>
                <w:color w:val="9A6B12"/>
                <w:sz w:val="20"/>
                <w:szCs w:val="20"/>
              </w:rPr>
              <w:t xml:space="preserve">MARGINAL</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Markings require repainting within 12 months. Est. $400–$800.</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1.1 Parking — Shelter over accessible spaces</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§5.1.10</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None</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Recommended</w:t>
            </w:r>
          </w:p>
        </w:tc>
        <w:tc>
          <w:tcPr>
            <w:tcW w:type="dxa" w:w="1200"/>
            <w:shd w:fill="FFFFFF"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No weather protection. Canopy addition recommended. Est. $8,000–$14,000.</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1.2 Drop-off zone</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§5.1.8</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Present, 6m length</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Required</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Pull-through zone adjacent to entrance.</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1.2 Public transit access</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§5.2.1</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Bus stop 85m</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Within 100m rec.</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Within accessible distance.</w:t>
            </w:r>
          </w:p>
        </w:tc>
      </w:tr>
    </w:tbl>
    <w:p>
      <w:pPr>
        <w:spacing w:after="140" w:before="320"/>
      </w:pPr>
      <w:r>
        <w:rPr>
          <w:rFonts w:ascii="Georgia" w:cs="Georgia" w:eastAsia="Georgia" w:hAnsi="Georgia"/>
          <w:b/>
          <w:bCs/>
          <w:color w:val="101B2D"/>
          <w:sz w:val="23"/>
          <w:szCs w:val="23"/>
        </w:rPr>
        <w:t xml:space="preserve">Category 2 — Exterior Approach and Entrance</w:t>
      </w:r>
      <w:r>
        <w:rPr>
          <w:i/>
          <w:iCs/>
          <w:color w:val="6B4F1F"/>
          <w:sz w:val="24"/>
          <w:szCs w:val="24"/>
        </w:rPr>
        <w:t xml:space="preserve">   89 / 197 pts (45%)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60"/>
        <w:gridCol w:w="1080"/>
        <w:gridCol w:w="1560"/>
        <w:gridCol w:w="1560"/>
        <w:gridCol w:w="1200"/>
        <w:gridCol w:w="3340"/>
      </w:tblGrid>
      <w:tr>
        <w:trPr>
          <w:tblHeader/>
        </w:trPr>
        <w:tc>
          <w:tcPr>
            <w:tcW w:type="dxa" w:w="2060"/>
            <w:shd w:fill="101B2D" w:color="auto" w:val="clear"/>
            <w:tcMar>
              <w:top w:type="dxa" w:w="90"/>
              <w:left w:type="dxa" w:w="100"/>
              <w:bottom w:type="dxa" w:w="90"/>
              <w:right w:type="dxa" w:w="100"/>
            </w:tcMar>
            <w:vAlign w:val="center"/>
          </w:tcPr>
          <w:p>
            <w:r>
              <w:rPr>
                <w:b/>
                <w:bCs/>
                <w:color w:val="FFFFFF"/>
                <w:sz w:val="20"/>
                <w:szCs w:val="20"/>
              </w:rPr>
              <w:t xml:space="preserve">Assessment Item</w:t>
            </w:r>
          </w:p>
        </w:tc>
        <w:tc>
          <w:tcPr>
            <w:tcW w:type="dxa" w:w="1080"/>
            <w:shd w:fill="101B2D" w:color="auto" w:val="clear"/>
            <w:tcMar>
              <w:top w:type="dxa" w:w="90"/>
              <w:left w:type="dxa" w:w="100"/>
              <w:bottom w:type="dxa" w:w="90"/>
              <w:right w:type="dxa" w:w="100"/>
            </w:tcMar>
            <w:vAlign w:val="center"/>
          </w:tcPr>
          <w:p>
            <w:r>
              <w:rPr>
                <w:b/>
                <w:bCs/>
                <w:color w:val="FFFFFF"/>
                <w:sz w:val="20"/>
                <w:szCs w:val="20"/>
              </w:rPr>
              <w:t xml:space="preserve">Clause</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Measured</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Required</w:t>
            </w:r>
          </w:p>
        </w:tc>
        <w:tc>
          <w:tcPr>
            <w:tcW w:type="dxa" w:w="1200"/>
            <w:shd w:fill="101B2D" w:color="auto" w:val="clear"/>
            <w:tcMar>
              <w:top w:type="dxa" w:w="90"/>
              <w:left w:type="dxa" w:w="100"/>
              <w:bottom w:type="dxa" w:w="90"/>
              <w:right w:type="dxa" w:w="100"/>
            </w:tcMar>
            <w:vAlign w:val="center"/>
          </w:tcPr>
          <w:p>
            <w:r>
              <w:rPr>
                <w:b/>
                <w:bCs/>
                <w:color w:val="FFFFFF"/>
                <w:sz w:val="20"/>
                <w:szCs w:val="20"/>
              </w:rPr>
              <w:t xml:space="preserve">Status</w:t>
            </w:r>
          </w:p>
        </w:tc>
        <w:tc>
          <w:tcPr>
            <w:tcW w:type="dxa" w:w="3340"/>
            <w:shd w:fill="101B2D" w:color="auto" w:val="clear"/>
            <w:tcMar>
              <w:top w:type="dxa" w:w="90"/>
              <w:left w:type="dxa" w:w="100"/>
              <w:bottom w:type="dxa" w:w="90"/>
              <w:right w:type="dxa" w:w="100"/>
            </w:tcMar>
            <w:vAlign w:val="center"/>
          </w:tcPr>
          <w:p>
            <w:r>
              <w:rPr>
                <w:b/>
                <w:bCs/>
                <w:color w:val="FFFFFF"/>
                <w:sz w:val="20"/>
                <w:szCs w:val="20"/>
              </w:rPr>
              <w:t xml:space="preserve">Notes / Remediation</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2.1 Exterior pathway — clear width</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§5.2.2</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1,520mm</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1,500mm min.</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Compliant throughout.</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2.1 Exterior pathway — surface</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§5.2.3</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Asphalt, firm</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Firm, stable</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Minor 8mm heave at north joint — monitor.</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2.2 Exterior ramp — running slope</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§6.4.4</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8.8%</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8.33% max (1:12)</w:t>
            </w:r>
          </w:p>
        </w:tc>
        <w:tc>
          <w:tcPr>
            <w:tcW w:type="dxa" w:w="1200"/>
            <w:shd w:fill="FFFFFF"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Measured at three points: 8.6%, 8.8%, 8.9%. Rebuild required. Est. $14,000–$22,000. Lowest-scoring item in this category.</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2.2 Exterior ramp — width</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§6.4.5</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1,280mm</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1,500mm min.</w:t>
            </w:r>
          </w:p>
        </w:tc>
        <w:tc>
          <w:tcPr>
            <w:tcW w:type="dxa" w:w="1200"/>
            <w:shd w:fill="FBFAF6"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220mm below minimum. Addressed by ramp rebuild above.</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2.2 Tactile warning — top of ramp</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§4.1.4</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Absent</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Required</w:t>
            </w:r>
          </w:p>
        </w:tc>
        <w:tc>
          <w:tcPr>
            <w:tcW w:type="dxa" w:w="1200"/>
            <w:shd w:fill="FFFFFF"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No detectable warning strip at top of ramp. Est. $800–$1,200.</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2.2 Ramp handrails — both sides</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§6.4.9</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Both sides, 875mm</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865–965mm range</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Compliant.</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2.3 Exterior stairs — handrails</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§6.2.4</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Both sides present</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Required</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Compliant.</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2.4 Building entrance door — clear width</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§5.7.1</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858mm</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860mm min.</w:t>
            </w:r>
          </w:p>
        </w:tc>
        <w:tc>
          <w:tcPr>
            <w:tcW w:type="dxa" w:w="1200"/>
            <w:shd w:fill="FBFAF6" w:color="auto" w:val="clear"/>
            <w:tcMar>
              <w:top w:type="dxa" w:w="80"/>
              <w:left w:type="dxa" w:w="100"/>
              <w:bottom w:type="dxa" w:w="80"/>
              <w:right w:type="dxa" w:w="100"/>
            </w:tcMar>
            <w:vAlign w:val="center"/>
          </w:tcPr>
          <w:p>
            <w:r>
              <w:rPr>
                <w:b/>
                <w:bCs/>
                <w:color w:val="9A6B12"/>
                <w:sz w:val="20"/>
                <w:szCs w:val="20"/>
              </w:rPr>
              <w:t xml:space="preserve">MARGINAL</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2mm below minimum — within measurement tolerance. Monitor.</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2.4 Entrance door — operating force</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§5.7.3</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41N (pull)</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38N max.</w:t>
            </w:r>
          </w:p>
        </w:tc>
        <w:tc>
          <w:tcPr>
            <w:tcW w:type="dxa" w:w="1200"/>
            <w:shd w:fill="FFFFFF"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Exceeds max by 3N. Closer adjustment or replacement. Est. $180–$350.</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2.4 Entrance door — hardware type</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§5.7.5</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Lever handles</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Lever or loop required</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Compliant throughout entrance.</w:t>
            </w:r>
          </w:p>
        </w:tc>
      </w:tr>
    </w:tbl>
    <w:p>
      <w:pPr>
        <w:spacing w:after="140" w:before="320"/>
      </w:pPr>
      <w:r>
        <w:rPr>
          <w:rFonts w:ascii="Georgia" w:cs="Georgia" w:eastAsia="Georgia" w:hAnsi="Georgia"/>
          <w:b/>
          <w:bCs/>
          <w:color w:val="101B2D"/>
          <w:sz w:val="23"/>
          <w:szCs w:val="23"/>
        </w:rPr>
        <w:t xml:space="preserve">Category 3 — Interior Circulation</w:t>
      </w:r>
      <w:r>
        <w:rPr>
          <w:i/>
          <w:iCs/>
          <w:color w:val="6B4F1F"/>
          <w:sz w:val="24"/>
          <w:szCs w:val="24"/>
        </w:rPr>
        <w:t xml:space="preserve">   212 / 312 pts (68%)</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60"/>
        <w:gridCol w:w="1080"/>
        <w:gridCol w:w="1560"/>
        <w:gridCol w:w="1560"/>
        <w:gridCol w:w="1200"/>
        <w:gridCol w:w="3340"/>
      </w:tblGrid>
      <w:tr>
        <w:trPr>
          <w:tblHeader/>
        </w:trPr>
        <w:tc>
          <w:tcPr>
            <w:tcW w:type="dxa" w:w="2060"/>
            <w:shd w:fill="101B2D" w:color="auto" w:val="clear"/>
            <w:tcMar>
              <w:top w:type="dxa" w:w="90"/>
              <w:left w:type="dxa" w:w="100"/>
              <w:bottom w:type="dxa" w:w="90"/>
              <w:right w:type="dxa" w:w="100"/>
            </w:tcMar>
            <w:vAlign w:val="center"/>
          </w:tcPr>
          <w:p>
            <w:r>
              <w:rPr>
                <w:b/>
                <w:bCs/>
                <w:color w:val="FFFFFF"/>
                <w:sz w:val="20"/>
                <w:szCs w:val="20"/>
              </w:rPr>
              <w:t xml:space="preserve">Assessment Item</w:t>
            </w:r>
          </w:p>
        </w:tc>
        <w:tc>
          <w:tcPr>
            <w:tcW w:type="dxa" w:w="1080"/>
            <w:shd w:fill="101B2D" w:color="auto" w:val="clear"/>
            <w:tcMar>
              <w:top w:type="dxa" w:w="90"/>
              <w:left w:type="dxa" w:w="100"/>
              <w:bottom w:type="dxa" w:w="90"/>
              <w:right w:type="dxa" w:w="100"/>
            </w:tcMar>
            <w:vAlign w:val="center"/>
          </w:tcPr>
          <w:p>
            <w:r>
              <w:rPr>
                <w:b/>
                <w:bCs/>
                <w:color w:val="FFFFFF"/>
                <w:sz w:val="20"/>
                <w:szCs w:val="20"/>
              </w:rPr>
              <w:t xml:space="preserve">Clause</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Measured</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Required</w:t>
            </w:r>
          </w:p>
        </w:tc>
        <w:tc>
          <w:tcPr>
            <w:tcW w:type="dxa" w:w="1200"/>
            <w:shd w:fill="101B2D" w:color="auto" w:val="clear"/>
            <w:tcMar>
              <w:top w:type="dxa" w:w="90"/>
              <w:left w:type="dxa" w:w="100"/>
              <w:bottom w:type="dxa" w:w="90"/>
              <w:right w:type="dxa" w:w="100"/>
            </w:tcMar>
            <w:vAlign w:val="center"/>
          </w:tcPr>
          <w:p>
            <w:r>
              <w:rPr>
                <w:b/>
                <w:bCs/>
                <w:color w:val="FFFFFF"/>
                <w:sz w:val="20"/>
                <w:szCs w:val="20"/>
              </w:rPr>
              <w:t xml:space="preserve">Status</w:t>
            </w:r>
          </w:p>
        </w:tc>
        <w:tc>
          <w:tcPr>
            <w:tcW w:type="dxa" w:w="3340"/>
            <w:shd w:fill="101B2D" w:color="auto" w:val="clear"/>
            <w:tcMar>
              <w:top w:type="dxa" w:w="90"/>
              <w:left w:type="dxa" w:w="100"/>
              <w:bottom w:type="dxa" w:w="90"/>
              <w:right w:type="dxa" w:w="100"/>
            </w:tcMar>
            <w:vAlign w:val="center"/>
          </w:tcPr>
          <w:p>
            <w:r>
              <w:rPr>
                <w:b/>
                <w:bCs/>
                <w:color w:val="FFFFFF"/>
                <w:sz w:val="20"/>
                <w:szCs w:val="20"/>
              </w:rPr>
              <w:t xml:space="preserve">Notes / Remediation</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3.1 Interior doors — clear width (main)</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§5.7.1</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905mm average</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860mm min.</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All interior doors compliant.</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3.1 Interior doors — operating force</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§5.7.3</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22N average</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38N max.</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Well within limit throughout.</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3.2 Path of travel — clear width (narrowest)</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§5.3.2</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1,380mm</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1,500mm min.</w:t>
            </w:r>
          </w:p>
        </w:tc>
        <w:tc>
          <w:tcPr>
            <w:tcW w:type="dxa" w:w="1200"/>
            <w:shd w:fill="FFFFFF"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Periodical shelving encroaches on corridor. Repositioning resolves — no cost. Staff action.</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3.3 Corridors — clear width (Level 2)</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§5.3.2</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1,660mm</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1,500mm min.</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Compliant throughout Level 2.</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3.5 Elevator — interior dimensions</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§5.4.3</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1,370 x 1,370mm</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1,370 x 1,370mm min.</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At minimum. Compliant.</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3.5 Elevator — door clear width</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§5.4.4</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920mm</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900mm min.</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Compliant.</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3.5 Elevator — control panel height</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§5.4.6</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1,330mm (highest button)</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1,200mm max.</w:t>
            </w:r>
          </w:p>
        </w:tc>
        <w:tc>
          <w:tcPr>
            <w:tcW w:type="dxa" w:w="1200"/>
            <w:shd w:fill="FFFFFF"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130mm above maximum. Panel replacement or supplementary low panel. Est. $3,500–$6,500.</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3.5 Elevator — audio floor announcement</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§5.4.7</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Absent</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Required</w:t>
            </w:r>
          </w:p>
        </w:tc>
        <w:tc>
          <w:tcPr>
            <w:tcW w:type="dxa" w:w="1200"/>
            <w:shd w:fill="FBFAF6" w:color="auto" w:val="clear"/>
            <w:tcMar>
              <w:top w:type="dxa" w:w="80"/>
              <w:left w:type="dxa" w:w="100"/>
              <w:bottom w:type="dxa" w:w="80"/>
              <w:right w:type="dxa" w:w="100"/>
            </w:tcMar>
            <w:vAlign w:val="center"/>
          </w:tcPr>
          <w:p>
            <w:r>
              <w:rPr>
                <w:b/>
                <w:bCs/>
                <w:color w:val="9A6B12"/>
                <w:sz w:val="20"/>
                <w:szCs w:val="20"/>
              </w:rPr>
              <w:t xml:space="preserve">MARGINAL</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Audio absent. Technician reprogramming. Est. $200–$400.</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3.6 Interior stairs — handrails both sides</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§6.2.4</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Both sides present</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Required</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Compliant.</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3.6 Stair handrail extensions</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§6.2.5</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300mm horizontal</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300mm min.</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Compliant at both levels.</w:t>
            </w:r>
          </w:p>
        </w:tc>
      </w:tr>
    </w:tbl>
    <w:p>
      <w:pPr>
        <w:spacing w:after="140" w:before="320"/>
      </w:pPr>
      <w:r>
        <w:rPr>
          <w:rFonts w:ascii="Georgia" w:cs="Georgia" w:eastAsia="Georgia" w:hAnsi="Georgia"/>
          <w:b/>
          <w:bCs/>
          <w:color w:val="101B2D"/>
          <w:sz w:val="23"/>
          <w:szCs w:val="23"/>
        </w:rPr>
        <w:t xml:space="preserve">Category 4 — Interior Services and Environment</w:t>
      </w:r>
      <w:r>
        <w:rPr>
          <w:i/>
          <w:iCs/>
          <w:color w:val="6B4F1F"/>
          <w:sz w:val="24"/>
          <w:szCs w:val="24"/>
        </w:rPr>
        <w:t xml:space="preserve">   78 / 167 pts (47%)</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60"/>
        <w:gridCol w:w="1080"/>
        <w:gridCol w:w="1560"/>
        <w:gridCol w:w="1560"/>
        <w:gridCol w:w="1200"/>
        <w:gridCol w:w="3340"/>
      </w:tblGrid>
      <w:tr>
        <w:trPr>
          <w:tblHeader/>
        </w:trPr>
        <w:tc>
          <w:tcPr>
            <w:tcW w:type="dxa" w:w="2060"/>
            <w:shd w:fill="101B2D" w:color="auto" w:val="clear"/>
            <w:tcMar>
              <w:top w:type="dxa" w:w="90"/>
              <w:left w:type="dxa" w:w="100"/>
              <w:bottom w:type="dxa" w:w="90"/>
              <w:right w:type="dxa" w:w="100"/>
            </w:tcMar>
            <w:vAlign w:val="center"/>
          </w:tcPr>
          <w:p>
            <w:r>
              <w:rPr>
                <w:b/>
                <w:bCs/>
                <w:color w:val="FFFFFF"/>
                <w:sz w:val="20"/>
                <w:szCs w:val="20"/>
              </w:rPr>
              <w:t xml:space="preserve">Assessment Item</w:t>
            </w:r>
          </w:p>
        </w:tc>
        <w:tc>
          <w:tcPr>
            <w:tcW w:type="dxa" w:w="1080"/>
            <w:shd w:fill="101B2D" w:color="auto" w:val="clear"/>
            <w:tcMar>
              <w:top w:type="dxa" w:w="90"/>
              <w:left w:type="dxa" w:w="100"/>
              <w:bottom w:type="dxa" w:w="90"/>
              <w:right w:type="dxa" w:w="100"/>
            </w:tcMar>
            <w:vAlign w:val="center"/>
          </w:tcPr>
          <w:p>
            <w:r>
              <w:rPr>
                <w:b/>
                <w:bCs/>
                <w:color w:val="FFFFFF"/>
                <w:sz w:val="20"/>
                <w:szCs w:val="20"/>
              </w:rPr>
              <w:t xml:space="preserve">Clause</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Measured</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Required</w:t>
            </w:r>
          </w:p>
        </w:tc>
        <w:tc>
          <w:tcPr>
            <w:tcW w:type="dxa" w:w="1200"/>
            <w:shd w:fill="101B2D" w:color="auto" w:val="clear"/>
            <w:tcMar>
              <w:top w:type="dxa" w:w="90"/>
              <w:left w:type="dxa" w:w="100"/>
              <w:bottom w:type="dxa" w:w="90"/>
              <w:right w:type="dxa" w:w="100"/>
            </w:tcMar>
            <w:vAlign w:val="center"/>
          </w:tcPr>
          <w:p>
            <w:r>
              <w:rPr>
                <w:b/>
                <w:bCs/>
                <w:color w:val="FFFFFF"/>
                <w:sz w:val="20"/>
                <w:szCs w:val="20"/>
              </w:rPr>
              <w:t xml:space="preserve">Status</w:t>
            </w:r>
          </w:p>
        </w:tc>
        <w:tc>
          <w:tcPr>
            <w:tcW w:type="dxa" w:w="3340"/>
            <w:shd w:fill="101B2D" w:color="auto" w:val="clear"/>
            <w:tcMar>
              <w:top w:type="dxa" w:w="90"/>
              <w:left w:type="dxa" w:w="100"/>
              <w:bottom w:type="dxa" w:w="90"/>
              <w:right w:type="dxa" w:w="100"/>
            </w:tcMar>
            <w:vAlign w:val="center"/>
          </w:tcPr>
          <w:p>
            <w:r>
              <w:rPr>
                <w:b/>
                <w:bCs/>
                <w:color w:val="FFFFFF"/>
                <w:sz w:val="20"/>
                <w:szCs w:val="20"/>
              </w:rPr>
              <w:t xml:space="preserve">Notes / Remediation</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4.1 Lobby — clear floor space</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§5.9.8</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1,540 x 1,540mm</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1,500 x 1,500mm min.</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Compliant.</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4.2 Service counter — height</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§5.9.2</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960mm full length</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760–865mm accessible portion required</w:t>
            </w:r>
          </w:p>
        </w:tc>
        <w:tc>
          <w:tcPr>
            <w:tcW w:type="dxa" w:w="1200"/>
            <w:shd w:fill="FBFAF6"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No lowered section. Est. $2,800–$4,500 for lowered section addition.</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4.2 Service counter — knee clearance</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§5.9.3</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None present</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680mm ht, 480mm depth min.</w:t>
            </w:r>
          </w:p>
        </w:tc>
        <w:tc>
          <w:tcPr>
            <w:tcW w:type="dxa" w:w="1200"/>
            <w:shd w:fill="FFFFFF"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No knee clearance at any counter section. Resolved by lowered counter addition.</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4.2 Self-service kiosk — reach height</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§5.9.5</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1,270mm screen centre</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1,200mm max.</w:t>
            </w:r>
          </w:p>
        </w:tc>
        <w:tc>
          <w:tcPr>
            <w:tcW w:type="dxa" w:w="1200"/>
            <w:shd w:fill="FBFAF6"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70mm above maximum reach for seated users. Accessible terminal required. Est. $4,500–$8,000.</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4.3 Accessible seating at tables</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§5.10.3</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4 of 24 tables accessible</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5% min. = 2 tables</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16.7% accessible. Above minimum.</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4.5 Acoustic — background noise</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§5.5.1</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HVAC audible in quiet zones</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Low background noise required</w:t>
            </w:r>
          </w:p>
        </w:tc>
        <w:tc>
          <w:tcPr>
            <w:tcW w:type="dxa" w:w="1200"/>
            <w:shd w:fill="FBFAF6" w:color="auto" w:val="clear"/>
            <w:tcMar>
              <w:top w:type="dxa" w:w="80"/>
              <w:left w:type="dxa" w:w="100"/>
              <w:bottom w:type="dxa" w:w="80"/>
              <w:right w:type="dxa" w:w="100"/>
            </w:tcMar>
            <w:vAlign w:val="center"/>
          </w:tcPr>
          <w:p>
            <w:r>
              <w:rPr>
                <w:b/>
                <w:bCs/>
                <w:color w:val="9A6B12"/>
                <w:sz w:val="20"/>
                <w:szCs w:val="20"/>
              </w:rPr>
              <w:t xml:space="preserve">MARGINAL</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Not formally measured. Recommend acoustic assessment. May affect hearing loop performance.</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4.6 Illumination — general</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§5.6.1</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340 lux measured</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200 lux min.</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Compliant.</w:t>
            </w:r>
          </w:p>
        </w:tc>
      </w:tr>
    </w:tbl>
    <w:p>
      <w:pPr>
        <w:spacing w:after="140" w:before="320"/>
      </w:pPr>
      <w:r>
        <w:rPr>
          <w:rFonts w:ascii="Georgia" w:cs="Georgia" w:eastAsia="Georgia" w:hAnsi="Georgia"/>
          <w:b/>
          <w:bCs/>
          <w:color w:val="101B2D"/>
          <w:sz w:val="23"/>
          <w:szCs w:val="23"/>
        </w:rPr>
        <w:t xml:space="preserve">Category 5 — Sanitary Facilities</w:t>
      </w:r>
      <w:r>
        <w:rPr>
          <w:i/>
          <w:iCs/>
          <w:color w:val="6B4F1F"/>
          <w:sz w:val="24"/>
          <w:szCs w:val="24"/>
        </w:rPr>
        <w:t xml:space="preserve">   117 / 212 pts (55%)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60"/>
        <w:gridCol w:w="1080"/>
        <w:gridCol w:w="1560"/>
        <w:gridCol w:w="1560"/>
        <w:gridCol w:w="1200"/>
        <w:gridCol w:w="3340"/>
      </w:tblGrid>
      <w:tr>
        <w:trPr>
          <w:tblHeader/>
        </w:trPr>
        <w:tc>
          <w:tcPr>
            <w:tcW w:type="dxa" w:w="2060"/>
            <w:shd w:fill="101B2D" w:color="auto" w:val="clear"/>
            <w:tcMar>
              <w:top w:type="dxa" w:w="90"/>
              <w:left w:type="dxa" w:w="100"/>
              <w:bottom w:type="dxa" w:w="90"/>
              <w:right w:type="dxa" w:w="100"/>
            </w:tcMar>
            <w:vAlign w:val="center"/>
          </w:tcPr>
          <w:p>
            <w:r>
              <w:rPr>
                <w:b/>
                <w:bCs/>
                <w:color w:val="FFFFFF"/>
                <w:sz w:val="20"/>
                <w:szCs w:val="20"/>
              </w:rPr>
              <w:t xml:space="preserve">Assessment Item</w:t>
            </w:r>
          </w:p>
        </w:tc>
        <w:tc>
          <w:tcPr>
            <w:tcW w:type="dxa" w:w="1080"/>
            <w:shd w:fill="101B2D" w:color="auto" w:val="clear"/>
            <w:tcMar>
              <w:top w:type="dxa" w:w="90"/>
              <w:left w:type="dxa" w:w="100"/>
              <w:bottom w:type="dxa" w:w="90"/>
              <w:right w:type="dxa" w:w="100"/>
            </w:tcMar>
            <w:vAlign w:val="center"/>
          </w:tcPr>
          <w:p>
            <w:r>
              <w:rPr>
                <w:b/>
                <w:bCs/>
                <w:color w:val="FFFFFF"/>
                <w:sz w:val="20"/>
                <w:szCs w:val="20"/>
              </w:rPr>
              <w:t xml:space="preserve">Clause</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Measured</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Required</w:t>
            </w:r>
          </w:p>
        </w:tc>
        <w:tc>
          <w:tcPr>
            <w:tcW w:type="dxa" w:w="1200"/>
            <w:shd w:fill="101B2D" w:color="auto" w:val="clear"/>
            <w:tcMar>
              <w:top w:type="dxa" w:w="90"/>
              <w:left w:type="dxa" w:w="100"/>
              <w:bottom w:type="dxa" w:w="90"/>
              <w:right w:type="dxa" w:w="100"/>
            </w:tcMar>
            <w:vAlign w:val="center"/>
          </w:tcPr>
          <w:p>
            <w:r>
              <w:rPr>
                <w:b/>
                <w:bCs/>
                <w:color w:val="FFFFFF"/>
                <w:sz w:val="20"/>
                <w:szCs w:val="20"/>
              </w:rPr>
              <w:t xml:space="preserve">Status</w:t>
            </w:r>
          </w:p>
        </w:tc>
        <w:tc>
          <w:tcPr>
            <w:tcW w:type="dxa" w:w="3340"/>
            <w:shd w:fill="101B2D" w:color="auto" w:val="clear"/>
            <w:tcMar>
              <w:top w:type="dxa" w:w="90"/>
              <w:left w:type="dxa" w:w="100"/>
              <w:bottom w:type="dxa" w:w="90"/>
              <w:right w:type="dxa" w:w="100"/>
            </w:tcMar>
            <w:vAlign w:val="center"/>
          </w:tcPr>
          <w:p>
            <w:r>
              <w:rPr>
                <w:b/>
                <w:bCs/>
                <w:color w:val="FFFFFF"/>
                <w:sz w:val="20"/>
                <w:szCs w:val="20"/>
              </w:rPr>
              <w:t xml:space="preserve">Notes / Remediation</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5.1 Accessible washroom — location</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§7.1</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Main floor, east wing</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On accessible floor</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On accessible route from main entrance.</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5.1 Washroom door — clear width</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§5.7.1</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880mm</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860mm min.</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Compliant.</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5.1 Washroom — turning radius</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§7.2.2</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1,500mm diameter</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1,500mm min.</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Compliant, measured with door closed.</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5.1 Grab bar — rear wall height</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§7.3.3</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785mm</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840–920mm required</w:t>
            </w:r>
          </w:p>
        </w:tc>
        <w:tc>
          <w:tcPr>
            <w:tcW w:type="dxa" w:w="1200"/>
            <w:shd w:fill="FBFAF6"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55mm below minimum. Relocation required. Est. $380–$680 per bar.</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5.1 Grab bar — side wall height</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§7.3.4</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788mm</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840–920mm required</w:t>
            </w:r>
          </w:p>
        </w:tc>
        <w:tc>
          <w:tcPr>
            <w:tcW w:type="dxa" w:w="1200"/>
            <w:shd w:fill="FFFFFF"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Same deficiency. Both bars relocated together. Included in estimate above.</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5.1 Toilet seat height</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§7.3.2</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440mm</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430–480mm required</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Compliant.</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5.3 Universal washroom</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§7.4.1</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Absent</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Required for Gold certification</w:t>
            </w:r>
          </w:p>
        </w:tc>
        <w:tc>
          <w:tcPr>
            <w:tcW w:type="dxa" w:w="1200"/>
            <w:shd w:fill="FFFFFF" w:color="auto" w:val="clear"/>
            <w:tcMar>
              <w:top w:type="dxa" w:w="80"/>
              <w:left w:type="dxa" w:w="100"/>
              <w:bottom w:type="dxa" w:w="80"/>
              <w:right w:type="dxa" w:w="100"/>
            </w:tcMar>
            <w:vAlign w:val="center"/>
          </w:tcPr>
          <w:p>
            <w:r>
              <w:rPr>
                <w:b/>
                <w:bCs/>
                <w:color w:val="9A6B12"/>
                <w:sz w:val="20"/>
                <w:szCs w:val="20"/>
              </w:rPr>
              <w:t xml:space="preserve">MARGINAL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No universal washroom. Required for Gold. Min. 1,700 x 2,200mm space needed. Est. $18,000–$32,000.</w:t>
            </w:r>
          </w:p>
        </w:tc>
      </w:tr>
    </w:tbl>
    <w:p>
      <w:pPr>
        <w:spacing w:after="140" w:before="320"/>
      </w:pPr>
      <w:r>
        <w:rPr>
          <w:rFonts w:ascii="Georgia" w:cs="Georgia" w:eastAsia="Georgia" w:hAnsi="Georgia"/>
          <w:b/>
          <w:bCs/>
          <w:color w:val="101B2D"/>
          <w:sz w:val="23"/>
          <w:szCs w:val="23"/>
        </w:rPr>
        <w:t xml:space="preserve">Category 6 — Wayfinding and Signage</w:t>
      </w:r>
      <w:r>
        <w:rPr>
          <w:i/>
          <w:iCs/>
          <w:color w:val="6B4F1F"/>
          <w:sz w:val="24"/>
          <w:szCs w:val="24"/>
        </w:rPr>
        <w:t xml:space="preserve">   38 / 84 pts (45%)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60"/>
        <w:gridCol w:w="1080"/>
        <w:gridCol w:w="1560"/>
        <w:gridCol w:w="1560"/>
        <w:gridCol w:w="1200"/>
        <w:gridCol w:w="3340"/>
      </w:tblGrid>
      <w:tr>
        <w:trPr>
          <w:tblHeader/>
        </w:trPr>
        <w:tc>
          <w:tcPr>
            <w:tcW w:type="dxa" w:w="2060"/>
            <w:shd w:fill="101B2D" w:color="auto" w:val="clear"/>
            <w:tcMar>
              <w:top w:type="dxa" w:w="90"/>
              <w:left w:type="dxa" w:w="100"/>
              <w:bottom w:type="dxa" w:w="90"/>
              <w:right w:type="dxa" w:w="100"/>
            </w:tcMar>
            <w:vAlign w:val="center"/>
          </w:tcPr>
          <w:p>
            <w:r>
              <w:rPr>
                <w:b/>
                <w:bCs/>
                <w:color w:val="FFFFFF"/>
                <w:sz w:val="20"/>
                <w:szCs w:val="20"/>
              </w:rPr>
              <w:t xml:space="preserve">Assessment Item</w:t>
            </w:r>
          </w:p>
        </w:tc>
        <w:tc>
          <w:tcPr>
            <w:tcW w:type="dxa" w:w="1080"/>
            <w:shd w:fill="101B2D" w:color="auto" w:val="clear"/>
            <w:tcMar>
              <w:top w:type="dxa" w:w="90"/>
              <w:left w:type="dxa" w:w="100"/>
              <w:bottom w:type="dxa" w:w="90"/>
              <w:right w:type="dxa" w:w="100"/>
            </w:tcMar>
            <w:vAlign w:val="center"/>
          </w:tcPr>
          <w:p>
            <w:r>
              <w:rPr>
                <w:b/>
                <w:bCs/>
                <w:color w:val="FFFFFF"/>
                <w:sz w:val="20"/>
                <w:szCs w:val="20"/>
              </w:rPr>
              <w:t xml:space="preserve">Clause</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Measured</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Required</w:t>
            </w:r>
          </w:p>
        </w:tc>
        <w:tc>
          <w:tcPr>
            <w:tcW w:type="dxa" w:w="1200"/>
            <w:shd w:fill="101B2D" w:color="auto" w:val="clear"/>
            <w:tcMar>
              <w:top w:type="dxa" w:w="90"/>
              <w:left w:type="dxa" w:w="100"/>
              <w:bottom w:type="dxa" w:w="90"/>
              <w:right w:type="dxa" w:w="100"/>
            </w:tcMar>
            <w:vAlign w:val="center"/>
          </w:tcPr>
          <w:p>
            <w:r>
              <w:rPr>
                <w:b/>
                <w:bCs/>
                <w:color w:val="FFFFFF"/>
                <w:sz w:val="20"/>
                <w:szCs w:val="20"/>
              </w:rPr>
              <w:t xml:space="preserve">Status</w:t>
            </w:r>
          </w:p>
        </w:tc>
        <w:tc>
          <w:tcPr>
            <w:tcW w:type="dxa" w:w="3340"/>
            <w:shd w:fill="101B2D" w:color="auto" w:val="clear"/>
            <w:tcMar>
              <w:top w:type="dxa" w:w="90"/>
              <w:left w:type="dxa" w:w="100"/>
              <w:bottom w:type="dxa" w:w="90"/>
              <w:right w:type="dxa" w:w="100"/>
            </w:tcMar>
            <w:vAlign w:val="center"/>
          </w:tcPr>
          <w:p>
            <w:r>
              <w:rPr>
                <w:b/>
                <w:bCs/>
                <w:color w:val="FFFFFF"/>
                <w:sz w:val="20"/>
                <w:szCs w:val="20"/>
              </w:rPr>
              <w:t xml:space="preserve">Notes / Remediation</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6.1 Accessible entrance symbol</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§4.2.1</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Present at entrance</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Required</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ISA visible from accessible parking.</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6.1 Directional signage to accessible washroom</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§4.2.5</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Absent</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Required — not visible from entry</w:t>
            </w:r>
          </w:p>
        </w:tc>
        <w:tc>
          <w:tcPr>
            <w:tcW w:type="dxa" w:w="1200"/>
            <w:shd w:fill="FBFAF6"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No directional sign provided. Est. $180–$320.</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6.1 Tactile attention indicators — entry</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§4.1.4</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Absent</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Required at key decision points</w:t>
            </w:r>
          </w:p>
        </w:tc>
        <w:tc>
          <w:tcPr>
            <w:tcW w:type="dxa" w:w="1200"/>
            <w:shd w:fill="FFFFFF"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No tactile wayfinding indicators. Est. $6,000–$11,000 main floor.</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6.2 Room ID signs — Braille</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§4.2.3</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Partial — meeting room only</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Required at all permanent rooms</w:t>
            </w:r>
          </w:p>
        </w:tc>
        <w:tc>
          <w:tcPr>
            <w:tcW w:type="dxa" w:w="1200"/>
            <w:shd w:fill="FBFAF6"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Full facility replacement required. Est. $3,800–$6,500.</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6.2 Room ID signs — mounting height</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§4.2.4</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1,580mm centre</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1,370–1,675mm required</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Compliant.</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6.2 Room ID signs — tactile characters</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§4.2.3</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Absent on non-compliant signs</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Required alongside Braille</w:t>
            </w:r>
          </w:p>
        </w:tc>
        <w:tc>
          <w:tcPr>
            <w:tcW w:type="dxa" w:w="1200"/>
            <w:shd w:fill="FBFAF6"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Addressed by Braille sign replacement above.</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6.3 Directory board at entry</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§4.2.6</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Present, visual</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Visual required</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Visual directory present and legible.</w:t>
            </w:r>
          </w:p>
        </w:tc>
      </w:tr>
    </w:tbl>
    <w:p>
      <w:pPr>
        <w:spacing w:after="140" w:before="320"/>
      </w:pPr>
      <w:r>
        <w:rPr>
          <w:rFonts w:ascii="Georgia" w:cs="Georgia" w:eastAsia="Georgia" w:hAnsi="Georgia"/>
          <w:b/>
          <w:bCs/>
          <w:color w:val="101B2D"/>
          <w:sz w:val="23"/>
          <w:szCs w:val="23"/>
        </w:rPr>
        <w:t xml:space="preserve">Category 7 — Emergency Systems</w:t>
      </w:r>
      <w:r>
        <w:rPr>
          <w:i/>
          <w:iCs/>
          <w:color w:val="6B4F1F"/>
          <w:sz w:val="24"/>
          <w:szCs w:val="24"/>
        </w:rPr>
        <w:t xml:space="preserve">   36 / 70 pts (51%)</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60"/>
        <w:gridCol w:w="1080"/>
        <w:gridCol w:w="1560"/>
        <w:gridCol w:w="1560"/>
        <w:gridCol w:w="1200"/>
        <w:gridCol w:w="3340"/>
      </w:tblGrid>
      <w:tr>
        <w:trPr>
          <w:tblHeader/>
        </w:trPr>
        <w:tc>
          <w:tcPr>
            <w:tcW w:type="dxa" w:w="2060"/>
            <w:shd w:fill="101B2D" w:color="auto" w:val="clear"/>
            <w:tcMar>
              <w:top w:type="dxa" w:w="90"/>
              <w:left w:type="dxa" w:w="100"/>
              <w:bottom w:type="dxa" w:w="90"/>
              <w:right w:type="dxa" w:w="100"/>
            </w:tcMar>
            <w:vAlign w:val="center"/>
          </w:tcPr>
          <w:p>
            <w:r>
              <w:rPr>
                <w:b/>
                <w:bCs/>
                <w:color w:val="FFFFFF"/>
                <w:sz w:val="20"/>
                <w:szCs w:val="20"/>
              </w:rPr>
              <w:t xml:space="preserve">Assessment Item</w:t>
            </w:r>
          </w:p>
        </w:tc>
        <w:tc>
          <w:tcPr>
            <w:tcW w:type="dxa" w:w="1080"/>
            <w:shd w:fill="101B2D" w:color="auto" w:val="clear"/>
            <w:tcMar>
              <w:top w:type="dxa" w:w="90"/>
              <w:left w:type="dxa" w:w="100"/>
              <w:bottom w:type="dxa" w:w="90"/>
              <w:right w:type="dxa" w:w="100"/>
            </w:tcMar>
            <w:vAlign w:val="center"/>
          </w:tcPr>
          <w:p>
            <w:r>
              <w:rPr>
                <w:b/>
                <w:bCs/>
                <w:color w:val="FFFFFF"/>
                <w:sz w:val="20"/>
                <w:szCs w:val="20"/>
              </w:rPr>
              <w:t xml:space="preserve">Clause</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Measured</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Required</w:t>
            </w:r>
          </w:p>
        </w:tc>
        <w:tc>
          <w:tcPr>
            <w:tcW w:type="dxa" w:w="1200"/>
            <w:shd w:fill="101B2D" w:color="auto" w:val="clear"/>
            <w:tcMar>
              <w:top w:type="dxa" w:w="90"/>
              <w:left w:type="dxa" w:w="100"/>
              <w:bottom w:type="dxa" w:w="90"/>
              <w:right w:type="dxa" w:w="100"/>
            </w:tcMar>
            <w:vAlign w:val="center"/>
          </w:tcPr>
          <w:p>
            <w:r>
              <w:rPr>
                <w:b/>
                <w:bCs/>
                <w:color w:val="FFFFFF"/>
                <w:sz w:val="20"/>
                <w:szCs w:val="20"/>
              </w:rPr>
              <w:t xml:space="preserve">Status</w:t>
            </w:r>
          </w:p>
        </w:tc>
        <w:tc>
          <w:tcPr>
            <w:tcW w:type="dxa" w:w="3340"/>
            <w:shd w:fill="101B2D" w:color="auto" w:val="clear"/>
            <w:tcMar>
              <w:top w:type="dxa" w:w="90"/>
              <w:left w:type="dxa" w:w="100"/>
              <w:bottom w:type="dxa" w:w="90"/>
              <w:right w:type="dxa" w:w="100"/>
            </w:tcMar>
            <w:vAlign w:val="center"/>
          </w:tcPr>
          <w:p>
            <w:r>
              <w:rPr>
                <w:b/>
                <w:bCs/>
                <w:color w:val="FFFFFF"/>
                <w:sz w:val="20"/>
                <w:szCs w:val="20"/>
              </w:rPr>
              <w:t xml:space="preserve">Notes / Remediation</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7.1.1 Emergency exit door hardware</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§5.7.4</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Panic bar throughout</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Operable with closed fist</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Confirmed at both emergency exits. Compliant.</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7.1.2 Emergency exit door — clear width</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§5.7.1</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910mm both exits</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860mm min.</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Compliant at both identified emergency exits.</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7.1.3 Area of rescue assistance — Level 2</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§3.3.4.2</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Absent</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Required where elevator is only vertical access</w:t>
            </w:r>
          </w:p>
        </w:tc>
        <w:tc>
          <w:tcPr>
            <w:tcW w:type="dxa" w:w="1200"/>
            <w:shd w:fill="FFFFFF" w:color="auto" w:val="clear"/>
            <w:tcMar>
              <w:top w:type="dxa" w:w="80"/>
              <w:left w:type="dxa" w:w="100"/>
              <w:bottom w:type="dxa" w:w="80"/>
              <w:right w:type="dxa" w:w="100"/>
            </w:tcMar>
            <w:vAlign w:val="center"/>
          </w:tcPr>
          <w:p>
            <w:r>
              <w:rPr>
                <w:b/>
                <w:bCs/>
                <w:color w:val="8C1D14"/>
                <w:sz w:val="20"/>
                <w:szCs w:val="20"/>
              </w:rPr>
              <w:t xml:space="preserve">CRITICAL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No designated area of refuge or two-way communication system on Level 2. Persons unable to use stairs have no safe waiting area during evacuation. Est. $2,200–$4,500 including signage and two-way communication device.</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7.2.1 Visual fire alarms — Level 1</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§8.3.3.1</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Absent throughout Level 1</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Required in all occupied spaces</w:t>
            </w:r>
          </w:p>
        </w:tc>
        <w:tc>
          <w:tcPr>
            <w:tcW w:type="dxa" w:w="1200"/>
            <w:shd w:fill="FBFAF6" w:color="auto" w:val="clear"/>
            <w:tcMar>
              <w:top w:type="dxa" w:w="80"/>
              <w:left w:type="dxa" w:w="100"/>
              <w:bottom w:type="dxa" w:w="80"/>
              <w:right w:type="dxa" w:w="100"/>
            </w:tcMar>
            <w:vAlign w:val="center"/>
          </w:tcPr>
          <w:p>
            <w:r>
              <w:rPr>
                <w:b/>
                <w:bCs/>
                <w:color w:val="8C1D14"/>
                <w:sz w:val="20"/>
                <w:szCs w:val="20"/>
              </w:rPr>
              <w:t xml:space="preserve">CRITICAL</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No visual fire alarm devices present on Level 1. Persons with hearing impairments receive no emergency warning during a fire event. Combined Level 1+2 estimate: $8,500–$14,000. Immediate remediation required.</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7.2.2 Visual fire alarms — Level 2</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§8.3.3.1</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Absent throughout Level 2</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Required in all occupied spaces</w:t>
            </w:r>
          </w:p>
        </w:tc>
        <w:tc>
          <w:tcPr>
            <w:tcW w:type="dxa" w:w="1200"/>
            <w:shd w:fill="FFFFFF" w:color="auto" w:val="clear"/>
            <w:tcMar>
              <w:top w:type="dxa" w:w="80"/>
              <w:left w:type="dxa" w:w="100"/>
              <w:bottom w:type="dxa" w:w="80"/>
              <w:right w:type="dxa" w:w="100"/>
            </w:tcMar>
            <w:vAlign w:val="center"/>
          </w:tcPr>
          <w:p>
            <w:r>
              <w:rPr>
                <w:b/>
                <w:bCs/>
                <w:color w:val="8C1D14"/>
                <w:sz w:val="20"/>
                <w:szCs w:val="20"/>
              </w:rPr>
              <w:t xml:space="preserve">CRITICAL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Same deficiency as Level 1. Combined full-facility installation estimate: $8,500–$14,000 (covers both levels). Immediate remediation required.</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7.3.1 Evacuation instructions — posted at stairwells</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§3.3.4.4</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Posted at both stairwells, both levels</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Required</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Floor identification and evacuation signage present and legible at both stairwells on both levels.</w:t>
            </w:r>
          </w:p>
        </w:tc>
      </w:tr>
    </w:tbl>
    <w:p>
      <w:pPr>
        <w:spacing w:after="140" w:before="320"/>
      </w:pPr>
      <w:r>
        <w:rPr>
          <w:rFonts w:ascii="Georgia" w:cs="Georgia" w:eastAsia="Georgia" w:hAnsi="Georgia"/>
          <w:b/>
          <w:bCs/>
          <w:color w:val="101B2D"/>
          <w:sz w:val="23"/>
          <w:szCs w:val="23"/>
        </w:rPr>
        <w:t xml:space="preserve">Category 8 — Additional Use of Spaces — 8.3 Exhibit + 8.21 Libraries</w:t>
      </w:r>
      <w:r>
        <w:rPr>
          <w:i/>
          <w:iCs/>
          <w:color w:val="6B4F1F"/>
          <w:sz w:val="24"/>
          <w:szCs w:val="24"/>
        </w:rPr>
        <w:t xml:space="preserve">   38 / 70 pts (54%)</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60"/>
        <w:gridCol w:w="1080"/>
        <w:gridCol w:w="1560"/>
        <w:gridCol w:w="1560"/>
        <w:gridCol w:w="1200"/>
        <w:gridCol w:w="3340"/>
      </w:tblGrid>
      <w:tr>
        <w:trPr>
          <w:tblHeader/>
        </w:trPr>
        <w:tc>
          <w:tcPr>
            <w:tcW w:type="dxa" w:w="2060"/>
            <w:shd w:fill="101B2D" w:color="auto" w:val="clear"/>
            <w:tcMar>
              <w:top w:type="dxa" w:w="90"/>
              <w:left w:type="dxa" w:w="100"/>
              <w:bottom w:type="dxa" w:w="90"/>
              <w:right w:type="dxa" w:w="100"/>
            </w:tcMar>
            <w:vAlign w:val="center"/>
          </w:tcPr>
          <w:p>
            <w:r>
              <w:rPr>
                <w:b/>
                <w:bCs/>
                <w:color w:val="FFFFFF"/>
                <w:sz w:val="20"/>
                <w:szCs w:val="20"/>
              </w:rPr>
              <w:t xml:space="preserve">Assessment Item</w:t>
            </w:r>
          </w:p>
        </w:tc>
        <w:tc>
          <w:tcPr>
            <w:tcW w:type="dxa" w:w="1080"/>
            <w:shd w:fill="101B2D" w:color="auto" w:val="clear"/>
            <w:tcMar>
              <w:top w:type="dxa" w:w="90"/>
              <w:left w:type="dxa" w:w="100"/>
              <w:bottom w:type="dxa" w:w="90"/>
              <w:right w:type="dxa" w:w="100"/>
            </w:tcMar>
            <w:vAlign w:val="center"/>
          </w:tcPr>
          <w:p>
            <w:r>
              <w:rPr>
                <w:b/>
                <w:bCs/>
                <w:color w:val="FFFFFF"/>
                <w:sz w:val="20"/>
                <w:szCs w:val="20"/>
              </w:rPr>
              <w:t xml:space="preserve">Clause</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Measured</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Required</w:t>
            </w:r>
          </w:p>
        </w:tc>
        <w:tc>
          <w:tcPr>
            <w:tcW w:type="dxa" w:w="1200"/>
            <w:shd w:fill="101B2D" w:color="auto" w:val="clear"/>
            <w:tcMar>
              <w:top w:type="dxa" w:w="90"/>
              <w:left w:type="dxa" w:w="100"/>
              <w:bottom w:type="dxa" w:w="90"/>
              <w:right w:type="dxa" w:w="100"/>
            </w:tcMar>
            <w:vAlign w:val="center"/>
          </w:tcPr>
          <w:p>
            <w:r>
              <w:rPr>
                <w:b/>
                <w:bCs/>
                <w:color w:val="FFFFFF"/>
                <w:sz w:val="20"/>
                <w:szCs w:val="20"/>
              </w:rPr>
              <w:t xml:space="preserve">Status</w:t>
            </w:r>
          </w:p>
        </w:tc>
        <w:tc>
          <w:tcPr>
            <w:tcW w:type="dxa" w:w="3340"/>
            <w:shd w:fill="101B2D" w:color="auto" w:val="clear"/>
            <w:tcMar>
              <w:top w:type="dxa" w:w="90"/>
              <w:left w:type="dxa" w:w="100"/>
              <w:bottom w:type="dxa" w:w="90"/>
              <w:right w:type="dxa" w:w="100"/>
            </w:tcMar>
            <w:vAlign w:val="center"/>
          </w:tcPr>
          <w:p>
            <w:r>
              <w:rPr>
                <w:b/>
                <w:bCs/>
                <w:color w:val="FFFFFF"/>
                <w:sz w:val="20"/>
                <w:szCs w:val="20"/>
              </w:rPr>
              <w:t xml:space="preserve">Notes / Remediation</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8.3 Exhibit space — accessible route width</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§5.3.2</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1,520mm at exhibit wall</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1,500mm min.</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Compliant at all current display locations.</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8.21 Library — accessible stacks aisle width</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§5.3.2 + v4.0 §8.21</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1,380mm</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1,500mm min.</w:t>
            </w:r>
          </w:p>
        </w:tc>
        <w:tc>
          <w:tcPr>
            <w:tcW w:type="dxa" w:w="1200"/>
            <w:shd w:fill="FBFAF6"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Periodical stacks aisle below minimum. Shelving repositioning — no cost. Same finding as Category 3.</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8.21 Library — self-checkout reach height</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§5.9.5</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1,270mm screen centre</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1,200mm max.</w:t>
            </w:r>
          </w:p>
        </w:tc>
        <w:tc>
          <w:tcPr>
            <w:tcW w:type="dxa" w:w="1200"/>
            <w:shd w:fill="FFFFFF"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Same finding as Category 4. Est. $4,500–$8,000.</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8.21 Library — catalogue terminals</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§5.9.5</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1,140mm</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1,200mm max.</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Digital catalogue terminals compliant.</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8.21 Library — accessible table seating</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B651 §5.10.3</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4 of 24 accessible</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5% min.</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16.7% accessible. Compliant.</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8.21 Library — hearing loop at desk</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B651 §8.2.1</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Present, operational</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Required at service areas</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Confirmed operational. T-coil compatible.</w:t>
            </w:r>
          </w:p>
        </w:tc>
      </w:tr>
    </w:tbl>
    <w:p>
      <w:pPr>
        <w:spacing w:after="140" w:before="320"/>
      </w:pPr>
      <w:r>
        <w:rPr>
          <w:rFonts w:ascii="Georgia" w:cs="Georgia" w:eastAsia="Georgia" w:hAnsi="Georgia"/>
          <w:b/>
          <w:bCs/>
          <w:color w:val="101B2D"/>
          <w:sz w:val="23"/>
          <w:szCs w:val="23"/>
        </w:rPr>
        <w:t xml:space="preserve">Category 9 — Residential Units</w:t>
      </w:r>
      <w:r>
        <w:rPr>
          <w:i/>
          <w:iCs/>
          <w:color w:val="6B4F1F"/>
          <w:sz w:val="24"/>
          <w:szCs w:val="24"/>
        </w:rPr>
        <w:t xml:space="preserve">   N/A / 330 pts (Excl.)</w:t>
      </w:r>
    </w:p>
    <w:p>
      <w:pPr>
        <w:spacing w:after="160"/>
      </w:pPr>
      <w:r>
        <w:rPr>
          <w:i/>
          <w:iCs/>
          <w:color w:val="5B5A52"/>
          <w:sz w:val="24"/>
          <w:szCs w:val="24"/>
        </w:rPr>
        <w:t xml:space="preserve">Not applicable — Residential Units: excluded from this facility's scoring (see note in Section 1).</w:t>
      </w:r>
    </w:p>
    <w:p>
      <w:pPr>
        <w:spacing w:after="140" w:before="320"/>
      </w:pPr>
      <w:r>
        <w:rPr>
          <w:rFonts w:ascii="Georgia" w:cs="Georgia" w:eastAsia="Georgia" w:hAnsi="Georgia"/>
          <w:b/>
          <w:bCs/>
          <w:color w:val="101B2D"/>
          <w:sz w:val="23"/>
          <w:szCs w:val="23"/>
        </w:rPr>
        <w:t xml:space="preserve">Category 10 — Trails and Pathways</w:t>
      </w:r>
      <w:r>
        <w:rPr>
          <w:i/>
          <w:iCs/>
          <w:color w:val="6B4F1F"/>
          <w:sz w:val="24"/>
          <w:szCs w:val="24"/>
        </w:rPr>
        <w:t xml:space="preserve">   N/A / 150 pts (Excl.)</w:t>
      </w:r>
    </w:p>
    <w:p>
      <w:pPr>
        <w:spacing w:after="160"/>
      </w:pPr>
      <w:r>
        <w:rPr>
          <w:i/>
          <w:iCs/>
          <w:color w:val="5B5A52"/>
          <w:sz w:val="24"/>
          <w:szCs w:val="24"/>
        </w:rPr>
        <w:t xml:space="preserve">Not applicable — Trails and Pathways: excluded from this facility's scoring (see note in Section 1).</w:t>
      </w:r>
    </w:p>
    <w:p>
      <w:pPr>
        <w:spacing w:after="140" w:before="320"/>
      </w:pPr>
      <w:r>
        <w:rPr>
          <w:rFonts w:ascii="Georgia" w:cs="Georgia" w:eastAsia="Georgia" w:hAnsi="Georgia"/>
          <w:b/>
          <w:bCs/>
          <w:color w:val="101B2D"/>
          <w:sz w:val="23"/>
          <w:szCs w:val="23"/>
        </w:rPr>
        <w:t xml:space="preserve">Category 11 — Mind-Friendly Environments</w:t>
      </w:r>
      <w:r>
        <w:rPr>
          <w:i/>
          <w:iCs/>
          <w:color w:val="6B4F1F"/>
          <w:sz w:val="24"/>
          <w:szCs w:val="24"/>
        </w:rPr>
        <w:t xml:space="preserve">   19 / 30 pts (63%)</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60"/>
        <w:gridCol w:w="1080"/>
        <w:gridCol w:w="1560"/>
        <w:gridCol w:w="1560"/>
        <w:gridCol w:w="1200"/>
        <w:gridCol w:w="3340"/>
      </w:tblGrid>
      <w:tr>
        <w:trPr>
          <w:tblHeader/>
        </w:trPr>
        <w:tc>
          <w:tcPr>
            <w:tcW w:type="dxa" w:w="2060"/>
            <w:shd w:fill="101B2D" w:color="auto" w:val="clear"/>
            <w:tcMar>
              <w:top w:type="dxa" w:w="90"/>
              <w:left w:type="dxa" w:w="100"/>
              <w:bottom w:type="dxa" w:w="90"/>
              <w:right w:type="dxa" w:w="100"/>
            </w:tcMar>
            <w:vAlign w:val="center"/>
          </w:tcPr>
          <w:p>
            <w:r>
              <w:rPr>
                <w:b/>
                <w:bCs/>
                <w:color w:val="FFFFFF"/>
                <w:sz w:val="20"/>
                <w:szCs w:val="20"/>
              </w:rPr>
              <w:t xml:space="preserve">Assessment Item</w:t>
            </w:r>
          </w:p>
        </w:tc>
        <w:tc>
          <w:tcPr>
            <w:tcW w:type="dxa" w:w="1080"/>
            <w:shd w:fill="101B2D" w:color="auto" w:val="clear"/>
            <w:tcMar>
              <w:top w:type="dxa" w:w="90"/>
              <w:left w:type="dxa" w:w="100"/>
              <w:bottom w:type="dxa" w:w="90"/>
              <w:right w:type="dxa" w:w="100"/>
            </w:tcMar>
            <w:vAlign w:val="center"/>
          </w:tcPr>
          <w:p>
            <w:r>
              <w:rPr>
                <w:b/>
                <w:bCs/>
                <w:color w:val="FFFFFF"/>
                <w:sz w:val="20"/>
                <w:szCs w:val="20"/>
              </w:rPr>
              <w:t xml:space="preserve">Clause</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Measured</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Required</w:t>
            </w:r>
          </w:p>
        </w:tc>
        <w:tc>
          <w:tcPr>
            <w:tcW w:type="dxa" w:w="1200"/>
            <w:shd w:fill="101B2D" w:color="auto" w:val="clear"/>
            <w:tcMar>
              <w:top w:type="dxa" w:w="90"/>
              <w:left w:type="dxa" w:w="100"/>
              <w:bottom w:type="dxa" w:w="90"/>
              <w:right w:type="dxa" w:w="100"/>
            </w:tcMar>
            <w:vAlign w:val="center"/>
          </w:tcPr>
          <w:p>
            <w:r>
              <w:rPr>
                <w:b/>
                <w:bCs/>
                <w:color w:val="FFFFFF"/>
                <w:sz w:val="20"/>
                <w:szCs w:val="20"/>
              </w:rPr>
              <w:t xml:space="preserve">Status</w:t>
            </w:r>
          </w:p>
        </w:tc>
        <w:tc>
          <w:tcPr>
            <w:tcW w:type="dxa" w:w="3340"/>
            <w:shd w:fill="101B2D" w:color="auto" w:val="clear"/>
            <w:tcMar>
              <w:top w:type="dxa" w:w="90"/>
              <w:left w:type="dxa" w:w="100"/>
              <w:bottom w:type="dxa" w:w="90"/>
              <w:right w:type="dxa" w:w="100"/>
            </w:tcMar>
            <w:vAlign w:val="center"/>
          </w:tcPr>
          <w:p>
            <w:r>
              <w:rPr>
                <w:b/>
                <w:bCs/>
                <w:color w:val="FFFFFF"/>
                <w:sz w:val="20"/>
                <w:szCs w:val="20"/>
              </w:rPr>
              <w:t xml:space="preserve">Notes / Remediation</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11.1 Space — clear wayfinding</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v4.0 §11.1</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Main collection clear. Children's section cluttered.</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Clear visual path required</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Main floor compliant. Children's section has excess displays — recommend decluttering.</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11.1 Sensory-reduced areas</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v4.0 §11.1</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Quiet reading zone Level 2</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Recommended</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Quiet reading section on Level 2. Compliant.</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11.2 Sensory — adjustable lighting</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v4.0 §11.2</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Fixed fluorescent only</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Adjustable or varied lighting recommended</w:t>
            </w:r>
          </w:p>
        </w:tc>
        <w:tc>
          <w:tcPr>
            <w:tcW w:type="dxa" w:w="1200"/>
            <w:shd w:fill="FFFFFF"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No dimmable zones. Fixed high-output fluorescent throughout. Upgrade to adjustable LED. Est. $4,500–$8,000.</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11.2 Sensory — acoustic management</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v4.0 §11.2</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Children's area separated visually</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Acoustic zoning recommended</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Visual separation present. Compliant.</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11.3 Restoration — outdoor views</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v4.0 §11.3</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Windows present, north and east</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Daylight and outdoor views encouraged</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Good natural light on both levels.</w:t>
            </w:r>
          </w:p>
        </w:tc>
      </w:tr>
    </w:tbl>
    <w:p>
      <w:pPr>
        <w:spacing w:after="140" w:before="320"/>
      </w:pPr>
      <w:r>
        <w:rPr>
          <w:rFonts w:ascii="Georgia" w:cs="Georgia" w:eastAsia="Georgia" w:hAnsi="Georgia"/>
          <w:b/>
          <w:bCs/>
          <w:color w:val="101B2D"/>
          <w:sz w:val="23"/>
          <w:szCs w:val="23"/>
        </w:rPr>
        <w:t xml:space="preserve">Category 12 — Technology and Innovation</w:t>
      </w:r>
      <w:r>
        <w:rPr>
          <w:i/>
          <w:iCs/>
          <w:color w:val="6B4F1F"/>
          <w:sz w:val="24"/>
          <w:szCs w:val="24"/>
        </w:rPr>
        <w:t xml:space="preserve">   28 / 42 pts (67%)</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60"/>
        <w:gridCol w:w="1080"/>
        <w:gridCol w:w="1560"/>
        <w:gridCol w:w="1560"/>
        <w:gridCol w:w="1200"/>
        <w:gridCol w:w="3340"/>
      </w:tblGrid>
      <w:tr>
        <w:trPr>
          <w:tblHeader/>
        </w:trPr>
        <w:tc>
          <w:tcPr>
            <w:tcW w:type="dxa" w:w="2060"/>
            <w:shd w:fill="101B2D" w:color="auto" w:val="clear"/>
            <w:tcMar>
              <w:top w:type="dxa" w:w="90"/>
              <w:left w:type="dxa" w:w="100"/>
              <w:bottom w:type="dxa" w:w="90"/>
              <w:right w:type="dxa" w:w="100"/>
            </w:tcMar>
            <w:vAlign w:val="center"/>
          </w:tcPr>
          <w:p>
            <w:r>
              <w:rPr>
                <w:b/>
                <w:bCs/>
                <w:color w:val="FFFFFF"/>
                <w:sz w:val="20"/>
                <w:szCs w:val="20"/>
              </w:rPr>
              <w:t xml:space="preserve">Assessment Item</w:t>
            </w:r>
          </w:p>
        </w:tc>
        <w:tc>
          <w:tcPr>
            <w:tcW w:type="dxa" w:w="1080"/>
            <w:shd w:fill="101B2D" w:color="auto" w:val="clear"/>
            <w:tcMar>
              <w:top w:type="dxa" w:w="90"/>
              <w:left w:type="dxa" w:w="100"/>
              <w:bottom w:type="dxa" w:w="90"/>
              <w:right w:type="dxa" w:w="100"/>
            </w:tcMar>
            <w:vAlign w:val="center"/>
          </w:tcPr>
          <w:p>
            <w:r>
              <w:rPr>
                <w:b/>
                <w:bCs/>
                <w:color w:val="FFFFFF"/>
                <w:sz w:val="20"/>
                <w:szCs w:val="20"/>
              </w:rPr>
              <w:t xml:space="preserve">Clause</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Measured</w:t>
            </w:r>
          </w:p>
        </w:tc>
        <w:tc>
          <w:tcPr>
            <w:tcW w:type="dxa" w:w="1560"/>
            <w:shd w:fill="101B2D" w:color="auto" w:val="clear"/>
            <w:tcMar>
              <w:top w:type="dxa" w:w="90"/>
              <w:left w:type="dxa" w:w="100"/>
              <w:bottom w:type="dxa" w:w="90"/>
              <w:right w:type="dxa" w:w="100"/>
            </w:tcMar>
            <w:vAlign w:val="center"/>
          </w:tcPr>
          <w:p>
            <w:r>
              <w:rPr>
                <w:b/>
                <w:bCs/>
                <w:color w:val="FFFFFF"/>
                <w:sz w:val="20"/>
                <w:szCs w:val="20"/>
              </w:rPr>
              <w:t xml:space="preserve">Required</w:t>
            </w:r>
          </w:p>
        </w:tc>
        <w:tc>
          <w:tcPr>
            <w:tcW w:type="dxa" w:w="1200"/>
            <w:shd w:fill="101B2D" w:color="auto" w:val="clear"/>
            <w:tcMar>
              <w:top w:type="dxa" w:w="90"/>
              <w:left w:type="dxa" w:w="100"/>
              <w:bottom w:type="dxa" w:w="90"/>
              <w:right w:type="dxa" w:w="100"/>
            </w:tcMar>
            <w:vAlign w:val="center"/>
          </w:tcPr>
          <w:p>
            <w:r>
              <w:rPr>
                <w:b/>
                <w:bCs/>
                <w:color w:val="FFFFFF"/>
                <w:sz w:val="20"/>
                <w:szCs w:val="20"/>
              </w:rPr>
              <w:t xml:space="preserve">Status</w:t>
            </w:r>
          </w:p>
        </w:tc>
        <w:tc>
          <w:tcPr>
            <w:tcW w:type="dxa" w:w="3340"/>
            <w:shd w:fill="101B2D" w:color="auto" w:val="clear"/>
            <w:tcMar>
              <w:top w:type="dxa" w:w="90"/>
              <w:left w:type="dxa" w:w="100"/>
              <w:bottom w:type="dxa" w:w="90"/>
              <w:right w:type="dxa" w:w="100"/>
            </w:tcMar>
            <w:vAlign w:val="center"/>
          </w:tcPr>
          <w:p>
            <w:r>
              <w:rPr>
                <w:b/>
                <w:bCs/>
                <w:color w:val="FFFFFF"/>
                <w:sz w:val="20"/>
                <w:szCs w:val="20"/>
              </w:rPr>
              <w:t xml:space="preserve">Notes / Remediation</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12.1 Hearing loop — service desk</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v4.0 §12.1</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Present, operational</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Required at primary service points</w:t>
            </w:r>
          </w:p>
        </w:tc>
        <w:tc>
          <w:tcPr>
            <w:tcW w:type="dxa" w:w="1200"/>
            <w:shd w:fill="FFFFFF"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Operational T-coil hearing loop confirmed.</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12.1 FM assistive listening system</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v4.0 §12.1</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Available on request</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Required in meeting spaces</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Portable FM system available. Staff trained in use.</w:t>
            </w:r>
          </w:p>
        </w:tc>
      </w:tr>
      <w:tr>
        <w:tc>
          <w:tcPr>
            <w:tcW w:type="dxa" w:w="2060"/>
            <w:shd w:fill="FFFFFF" w:color="auto" w:val="clear"/>
            <w:tcMar>
              <w:top w:type="dxa" w:w="80"/>
              <w:left w:type="dxa" w:w="100"/>
              <w:bottom w:type="dxa" w:w="80"/>
              <w:right w:type="dxa" w:w="100"/>
            </w:tcMar>
            <w:vAlign w:val="center"/>
          </w:tcPr>
          <w:p>
            <w:r>
              <w:rPr>
                <w:b w:val="false"/>
                <w:bCs w:val="false"/>
                <w:color w:val="1B1F27"/>
                <w:sz w:val="21"/>
                <w:szCs w:val="21"/>
              </w:rPr>
              <w:t xml:space="preserve">12.2 Website accessibility compliance</w:t>
            </w:r>
          </w:p>
        </w:tc>
        <w:tc>
          <w:tcPr>
            <w:tcW w:type="dxa" w:w="1080"/>
            <w:shd w:fill="FFFFFF" w:color="auto" w:val="clear"/>
            <w:tcMar>
              <w:top w:type="dxa" w:w="80"/>
              <w:left w:type="dxa" w:w="100"/>
              <w:bottom w:type="dxa" w:w="80"/>
              <w:right w:type="dxa" w:w="100"/>
            </w:tcMar>
            <w:vAlign w:val="center"/>
          </w:tcPr>
          <w:p>
            <w:r>
              <w:rPr>
                <w:b w:val="false"/>
                <w:bCs w:val="false"/>
                <w:color w:val="1B1F27"/>
                <w:sz w:val="21"/>
                <w:szCs w:val="21"/>
              </w:rPr>
              <w:t xml:space="preserve">v4.0 §12.2</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Partial WCAG 2.1 compliance</w:t>
            </w:r>
          </w:p>
        </w:tc>
        <w:tc>
          <w:tcPr>
            <w:tcW w:type="dxa" w:w="1560"/>
            <w:shd w:fill="FFFFFF" w:color="auto" w:val="clear"/>
            <w:tcMar>
              <w:top w:type="dxa" w:w="80"/>
              <w:left w:type="dxa" w:w="100"/>
              <w:bottom w:type="dxa" w:w="80"/>
              <w:right w:type="dxa" w:w="100"/>
            </w:tcMar>
            <w:vAlign w:val="center"/>
          </w:tcPr>
          <w:p>
            <w:r>
              <w:rPr>
                <w:b w:val="false"/>
                <w:bCs w:val="false"/>
                <w:color w:val="1B1F27"/>
                <w:sz w:val="21"/>
                <w:szCs w:val="21"/>
              </w:rPr>
              <w:t xml:space="preserve">WCAG 2.1 Level AA recommended</w:t>
            </w:r>
          </w:p>
        </w:tc>
        <w:tc>
          <w:tcPr>
            <w:tcW w:type="dxa" w:w="1200"/>
            <w:shd w:fill="FFFFFF" w:color="auto" w:val="clear"/>
            <w:tcMar>
              <w:top w:type="dxa" w:w="80"/>
              <w:left w:type="dxa" w:w="100"/>
              <w:bottom w:type="dxa" w:w="80"/>
              <w:right w:type="dxa" w:w="100"/>
            </w:tcMar>
            <w:vAlign w:val="center"/>
          </w:tcPr>
          <w:p>
            <w:r>
              <w:rPr>
                <w:b/>
                <w:bCs/>
                <w:color w:val="B3261E"/>
                <w:sz w:val="20"/>
                <w:szCs w:val="20"/>
              </w:rPr>
              <w:t xml:space="preserve">FAIL</w:t>
            </w:r>
          </w:p>
        </w:tc>
        <w:tc>
          <w:tcPr>
            <w:tcW w:type="dxa" w:w="3340"/>
            <w:shd w:fill="FFFFFF" w:color="auto" w:val="clear"/>
            <w:tcMar>
              <w:top w:type="dxa" w:w="80"/>
              <w:left w:type="dxa" w:w="100"/>
              <w:bottom w:type="dxa" w:w="80"/>
              <w:right w:type="dxa" w:w="100"/>
            </w:tcMar>
            <w:vAlign w:val="center"/>
          </w:tcPr>
          <w:p>
            <w:r>
              <w:rPr>
                <w:b w:val="false"/>
                <w:bCs w:val="false"/>
                <w:color w:val="1B1F27"/>
                <w:sz w:val="21"/>
                <w:szCs w:val="21"/>
              </w:rPr>
              <w:t xml:space="preserve">Missing alt-text on event images. Low-contrast text on events calendar. Est. $800–$2,000.</w:t>
            </w:r>
          </w:p>
        </w:tc>
      </w:tr>
      <w:tr>
        <w:tc>
          <w:tcPr>
            <w:tcW w:type="dxa" w:w="2060"/>
            <w:shd w:fill="FBFAF6" w:color="auto" w:val="clear"/>
            <w:tcMar>
              <w:top w:type="dxa" w:w="80"/>
              <w:left w:type="dxa" w:w="100"/>
              <w:bottom w:type="dxa" w:w="80"/>
              <w:right w:type="dxa" w:w="100"/>
            </w:tcMar>
            <w:vAlign w:val="center"/>
          </w:tcPr>
          <w:p>
            <w:r>
              <w:rPr>
                <w:b w:val="false"/>
                <w:bCs w:val="false"/>
                <w:color w:val="1B1F27"/>
                <w:sz w:val="21"/>
                <w:szCs w:val="21"/>
              </w:rPr>
              <w:t xml:space="preserve">12.3 Innovation — accessible programming</w:t>
            </w:r>
          </w:p>
        </w:tc>
        <w:tc>
          <w:tcPr>
            <w:tcW w:type="dxa" w:w="1080"/>
            <w:shd w:fill="FBFAF6" w:color="auto" w:val="clear"/>
            <w:tcMar>
              <w:top w:type="dxa" w:w="80"/>
              <w:left w:type="dxa" w:w="100"/>
              <w:bottom w:type="dxa" w:w="80"/>
              <w:right w:type="dxa" w:w="100"/>
            </w:tcMar>
            <w:vAlign w:val="center"/>
          </w:tcPr>
          <w:p>
            <w:r>
              <w:rPr>
                <w:b w:val="false"/>
                <w:bCs w:val="false"/>
                <w:color w:val="1B1F27"/>
                <w:sz w:val="21"/>
                <w:szCs w:val="21"/>
              </w:rPr>
              <w:t xml:space="preserve">v4.0 §12.3</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Tactile story time offered</w:t>
            </w:r>
          </w:p>
        </w:tc>
        <w:tc>
          <w:tcPr>
            <w:tcW w:type="dxa" w:w="1560"/>
            <w:shd w:fill="FBFAF6" w:color="auto" w:val="clear"/>
            <w:tcMar>
              <w:top w:type="dxa" w:w="80"/>
              <w:left w:type="dxa" w:w="100"/>
              <w:bottom w:type="dxa" w:w="80"/>
              <w:right w:type="dxa" w:w="100"/>
            </w:tcMar>
            <w:vAlign w:val="center"/>
          </w:tcPr>
          <w:p>
            <w:r>
              <w:rPr>
                <w:b w:val="false"/>
                <w:bCs w:val="false"/>
                <w:color w:val="1B1F27"/>
                <w:sz w:val="21"/>
                <w:szCs w:val="21"/>
              </w:rPr>
              <w:t xml:space="preserve">Innovation points for inclusive programming</w:t>
            </w:r>
          </w:p>
        </w:tc>
        <w:tc>
          <w:tcPr>
            <w:tcW w:type="dxa" w:w="1200"/>
            <w:shd w:fill="FBFAF6" w:color="auto" w:val="clear"/>
            <w:tcMar>
              <w:top w:type="dxa" w:w="80"/>
              <w:left w:type="dxa" w:w="100"/>
              <w:bottom w:type="dxa" w:w="80"/>
              <w:right w:type="dxa" w:w="100"/>
            </w:tcMar>
            <w:vAlign w:val="center"/>
          </w:tcPr>
          <w:p>
            <w:r>
              <w:rPr>
                <w:b/>
                <w:bCs/>
                <w:color w:val="1E7A3D"/>
                <w:sz w:val="20"/>
                <w:szCs w:val="20"/>
              </w:rPr>
              <w:t xml:space="preserve">PASS</w:t>
            </w:r>
          </w:p>
        </w:tc>
        <w:tc>
          <w:tcPr>
            <w:tcW w:type="dxa" w:w="3340"/>
            <w:shd w:fill="FBFAF6" w:color="auto" w:val="clear"/>
            <w:tcMar>
              <w:top w:type="dxa" w:w="80"/>
              <w:left w:type="dxa" w:w="100"/>
              <w:bottom w:type="dxa" w:w="80"/>
              <w:right w:type="dxa" w:w="100"/>
            </w:tcMar>
            <w:vAlign w:val="center"/>
          </w:tcPr>
          <w:p>
            <w:r>
              <w:rPr>
                <w:b w:val="false"/>
                <w:bCs w:val="false"/>
                <w:color w:val="1B1F27"/>
                <w:sz w:val="21"/>
                <w:szCs w:val="21"/>
              </w:rPr>
              <w:t xml:space="preserve">Tactile story time for children with visual impairments recognized as accessibility innovation.</w:t>
            </w:r>
          </w:p>
        </w:tc>
      </w:tr>
    </w:tbl>
    <w:p>
      <w:r>
        <w:br w:type="page"/>
      </w:r>
    </w:p>
    <w:p>
      <w:pPr>
        <w:pStyle w:val="Heading1"/>
        <w:spacing w:after="60"/>
      </w:pPr>
      <w:r>
        <w:rPr>
          <w:rFonts w:ascii="Georgia" w:cs="Georgia" w:eastAsia="Georgia" w:hAnsi="Georgia"/>
          <w:color w:val="101B2D"/>
        </w:rPr>
        <w:t xml:space="preserve">5. Prioritized Remediation Plan</w:t>
      </w:r>
    </w:p>
    <w:p>
      <w:pPr>
        <w:spacing w:after="200"/>
      </w:pPr>
      <w:r>
        <w:rPr>
          <w:b/>
          <w:bCs/>
          <w:color w:val="101B2D"/>
          <w:sz w:val="20"/>
          <w:szCs w:val="20"/>
        </w:rPr>
        <w:t xml:space="preserve">Total Estimated Remediation: $79,120 – $137,430 CAD (before applicable grants)</w:t>
      </w:r>
    </w:p>
    <w:p>
      <w:pPr>
        <w:spacing w:after="120" w:before="280"/>
      </w:pPr>
      <w:r>
        <w:rPr>
          <w:b/>
          <w:bCs/>
          <w:color w:val="101B2D"/>
          <w:sz w:val="20"/>
          <w:szCs w:val="20"/>
        </w:rPr>
        <w:t xml:space="preserve">Phase 0 — Critical Life Safety</w:t>
      </w:r>
      <w:r>
        <w:rPr>
          <w:i/>
          <w:iCs/>
          <w:color w:val="5B5A52"/>
          <w:sz w:val="21"/>
          <w:szCs w:val="21"/>
        </w:rPr>
        <w:t xml:space="preserve">  Complete within 30–60 days regardless of certification goals</w:t>
      </w:r>
    </w:p>
    <w:p>
      <w:pPr>
        <w:spacing w:after="160"/>
      </w:pPr>
      <w:r>
        <w:rPr>
          <w:i/>
          <w:iCs/>
          <w:color w:val="5B5A52"/>
          <w:sz w:val="24"/>
          <w:szCs w:val="24"/>
        </w:rPr>
        <w:t xml:space="preserve">Why this matters beyond compliance: the absence of visual fire alarms and an area of rescue assistance are life safety gaps, not scoring gaps. They carry exposure independent of certification status — under CSA/ASC B651:23, independent of provincial human rights or accessibility legislation, and under the municipality's own facility liability, regardless of whether certification is pursued at all.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1700"/>
        <w:gridCol w:w="1500"/>
        <w:gridCol w:w="2000"/>
      </w:tblGrid>
      <w:tr>
        <w:trPr>
          <w:tblHeader/>
        </w:trPr>
        <w:tc>
          <w:tcPr>
            <w:tcW w:type="dxa" w:w="4300"/>
            <w:shd w:fill="101B2D" w:color="auto" w:val="clear"/>
            <w:tcMar>
              <w:top w:type="dxa" w:w="90"/>
              <w:left w:type="dxa" w:w="100"/>
              <w:bottom w:type="dxa" w:w="90"/>
              <w:right w:type="dxa" w:w="100"/>
            </w:tcMar>
            <w:vAlign w:val="center"/>
          </w:tcPr>
          <w:p>
            <w:r>
              <w:rPr>
                <w:b/>
                <w:bCs/>
                <w:color w:val="FFFFFF"/>
                <w:sz w:val="20"/>
                <w:szCs w:val="20"/>
              </w:rPr>
              <w:t xml:space="preserve">Remediation Item</w:t>
            </w:r>
          </w:p>
        </w:tc>
        <w:tc>
          <w:tcPr>
            <w:tcW w:type="dxa" w:w="1300"/>
            <w:shd w:fill="101B2D" w:color="auto" w:val="clear"/>
            <w:tcMar>
              <w:top w:type="dxa" w:w="90"/>
              <w:left w:type="dxa" w:w="100"/>
              <w:bottom w:type="dxa" w:w="90"/>
              <w:right w:type="dxa" w:w="100"/>
            </w:tcMar>
            <w:vAlign w:val="center"/>
          </w:tcPr>
          <w:p>
            <w:r>
              <w:rPr>
                <w:b/>
                <w:bCs/>
                <w:color w:val="FFFFFF"/>
                <w:sz w:val="20"/>
                <w:szCs w:val="20"/>
              </w:rPr>
              <w:t xml:space="preserve">Priority</w:t>
            </w:r>
          </w:p>
        </w:tc>
        <w:tc>
          <w:tcPr>
            <w:tcW w:type="dxa" w:w="1700"/>
            <w:shd w:fill="101B2D" w:color="auto" w:val="clear"/>
            <w:tcMar>
              <w:top w:type="dxa" w:w="90"/>
              <w:left w:type="dxa" w:w="100"/>
              <w:bottom w:type="dxa" w:w="90"/>
              <w:right w:type="dxa" w:w="100"/>
            </w:tcMar>
            <w:vAlign w:val="center"/>
          </w:tcPr>
          <w:p>
            <w:r>
              <w:rPr>
                <w:b/>
                <w:bCs/>
                <w:color w:val="FFFFFF"/>
                <w:sz w:val="20"/>
                <w:szCs w:val="20"/>
              </w:rPr>
              <w:t xml:space="preserve">Est. Cost</w:t>
            </w:r>
          </w:p>
        </w:tc>
        <w:tc>
          <w:tcPr>
            <w:tcW w:type="dxa" w:w="1500"/>
            <w:shd w:fill="101B2D" w:color="auto" w:val="clear"/>
            <w:tcMar>
              <w:top w:type="dxa" w:w="90"/>
              <w:left w:type="dxa" w:w="100"/>
              <w:bottom w:type="dxa" w:w="90"/>
              <w:right w:type="dxa" w:w="100"/>
            </w:tcMar>
            <w:vAlign w:val="center"/>
          </w:tcPr>
          <w:p>
            <w:r>
              <w:rPr>
                <w:b/>
                <w:bCs/>
                <w:color w:val="FFFFFF"/>
                <w:sz w:val="20"/>
                <w:szCs w:val="20"/>
              </w:rPr>
              <w:t xml:space="preserve">Timeline</w:t>
            </w:r>
          </w:p>
        </w:tc>
        <w:tc>
          <w:tcPr>
            <w:tcW w:type="dxa" w:w="2000"/>
            <w:shd w:fill="101B2D" w:color="auto" w:val="clear"/>
            <w:tcMar>
              <w:top w:type="dxa" w:w="90"/>
              <w:left w:type="dxa" w:w="100"/>
              <w:bottom w:type="dxa" w:w="90"/>
              <w:right w:type="dxa" w:w="100"/>
            </w:tcMar>
            <w:vAlign w:val="center"/>
          </w:tcPr>
          <w:p>
            <w:r>
              <w:rPr>
                <w:b/>
                <w:bCs/>
                <w:color w:val="FFFFFF"/>
                <w:sz w:val="20"/>
                <w:szCs w:val="20"/>
              </w:rPr>
              <w:t xml:space="preserve">Category</w:t>
            </w:r>
          </w:p>
        </w:tc>
      </w:tr>
      <w:tr>
        <w:tc>
          <w:tcPr>
            <w:tcW w:type="dxa" w:w="4300"/>
            <w:shd w:fill="FFFFFF" w:color="auto" w:val="clear"/>
            <w:tcMar>
              <w:top w:type="dxa" w:w="80"/>
              <w:left w:type="dxa" w:w="100"/>
              <w:bottom w:type="dxa" w:w="80"/>
              <w:right w:type="dxa" w:w="100"/>
            </w:tcMar>
            <w:vAlign w:val="center"/>
          </w:tcPr>
          <w:p>
            <w:r>
              <w:rPr>
                <w:b w:val="false"/>
                <w:bCs w:val="false"/>
                <w:color w:val="1B1F27"/>
                <w:sz w:val="21"/>
                <w:szCs w:val="21"/>
              </w:rPr>
              <w:t xml:space="preserve">Install visual fire alarms — full facility, both levels</w:t>
            </w:r>
          </w:p>
        </w:tc>
        <w:tc>
          <w:tcPr>
            <w:tcW w:type="dxa" w:w="1300"/>
            <w:shd w:fill="FFFFFF" w:color="auto" w:val="clear"/>
            <w:tcMar>
              <w:top w:type="dxa" w:w="80"/>
              <w:left w:type="dxa" w:w="100"/>
              <w:bottom w:type="dxa" w:w="80"/>
              <w:right w:type="dxa" w:w="100"/>
            </w:tcMar>
            <w:vAlign w:val="center"/>
          </w:tcPr>
          <w:p>
            <w:r>
              <w:rPr>
                <w:b/>
                <w:bCs/>
                <w:color w:val="8C1D14"/>
                <w:sz w:val="21"/>
                <w:szCs w:val="21"/>
              </w:rPr>
              <w:t xml:space="preserve">Critical</w:t>
            </w:r>
          </w:p>
        </w:tc>
        <w:tc>
          <w:tcPr>
            <w:tcW w:type="dxa" w:w="1700"/>
            <w:shd w:fill="FFFFFF" w:color="auto" w:val="clear"/>
            <w:tcMar>
              <w:top w:type="dxa" w:w="80"/>
              <w:left w:type="dxa" w:w="100"/>
              <w:bottom w:type="dxa" w:w="80"/>
              <w:right w:type="dxa" w:w="100"/>
            </w:tcMar>
            <w:vAlign w:val="center"/>
          </w:tcPr>
          <w:p>
            <w:r>
              <w:rPr>
                <w:b w:val="false"/>
                <w:bCs w:val="false"/>
                <w:color w:val="1B1F27"/>
                <w:sz w:val="21"/>
                <w:szCs w:val="21"/>
              </w:rPr>
              <w:t xml:space="preserve">$8,500 – $14,000</w:t>
            </w:r>
          </w:p>
        </w:tc>
        <w:tc>
          <w:tcPr>
            <w:tcW w:type="dxa" w:w="1500"/>
            <w:shd w:fill="FFFFFF" w:color="auto" w:val="clear"/>
            <w:tcMar>
              <w:top w:type="dxa" w:w="80"/>
              <w:left w:type="dxa" w:w="100"/>
              <w:bottom w:type="dxa" w:w="80"/>
              <w:right w:type="dxa" w:w="100"/>
            </w:tcMar>
            <w:vAlign w:val="center"/>
          </w:tcPr>
          <w:p>
            <w:r>
              <w:rPr>
                <w:b w:val="false"/>
                <w:bCs w:val="false"/>
                <w:color w:val="1B1F27"/>
                <w:sz w:val="21"/>
                <w:szCs w:val="21"/>
              </w:rPr>
              <w:t xml:space="preserve">30 days</w:t>
            </w:r>
          </w:p>
        </w:tc>
        <w:tc>
          <w:tcPr>
            <w:tcW w:type="dxa" w:w="2000"/>
            <w:shd w:fill="FFFFFF" w:color="auto" w:val="clear"/>
            <w:tcMar>
              <w:top w:type="dxa" w:w="80"/>
              <w:left w:type="dxa" w:w="100"/>
              <w:bottom w:type="dxa" w:w="80"/>
              <w:right w:type="dxa" w:w="100"/>
            </w:tcMar>
            <w:vAlign w:val="center"/>
          </w:tcPr>
          <w:p>
            <w:r>
              <w:rPr>
                <w:b w:val="false"/>
                <w:bCs w:val="false"/>
                <w:color w:val="1B1F27"/>
                <w:sz w:val="21"/>
                <w:szCs w:val="21"/>
              </w:rPr>
              <w:t xml:space="preserve">Cat. 7</w:t>
            </w:r>
          </w:p>
        </w:tc>
      </w:tr>
      <w:tr>
        <w:tc>
          <w:tcPr>
            <w:tcW w:type="dxa" w:w="4300"/>
            <w:shd w:fill="FBFAF6" w:color="auto" w:val="clear"/>
            <w:tcMar>
              <w:top w:type="dxa" w:w="80"/>
              <w:left w:type="dxa" w:w="100"/>
              <w:bottom w:type="dxa" w:w="80"/>
              <w:right w:type="dxa" w:w="100"/>
            </w:tcMar>
            <w:vAlign w:val="center"/>
          </w:tcPr>
          <w:p>
            <w:r>
              <w:rPr>
                <w:b w:val="false"/>
                <w:bCs w:val="false"/>
                <w:color w:val="1B1F27"/>
                <w:sz w:val="21"/>
                <w:szCs w:val="21"/>
              </w:rPr>
              <w:t xml:space="preserve">Install area of rescue assistance — Level 2 with two-way communication system</w:t>
            </w:r>
          </w:p>
        </w:tc>
        <w:tc>
          <w:tcPr>
            <w:tcW w:type="dxa" w:w="1300"/>
            <w:shd w:fill="FBFAF6" w:color="auto" w:val="clear"/>
            <w:tcMar>
              <w:top w:type="dxa" w:w="80"/>
              <w:left w:type="dxa" w:w="100"/>
              <w:bottom w:type="dxa" w:w="80"/>
              <w:right w:type="dxa" w:w="100"/>
            </w:tcMar>
            <w:vAlign w:val="center"/>
          </w:tcPr>
          <w:p>
            <w:r>
              <w:rPr>
                <w:b/>
                <w:bCs/>
                <w:color w:val="8C1D14"/>
                <w:sz w:val="21"/>
                <w:szCs w:val="21"/>
              </w:rPr>
              <w:t xml:space="preserve">Critical</w:t>
            </w:r>
          </w:p>
        </w:tc>
        <w:tc>
          <w:tcPr>
            <w:tcW w:type="dxa" w:w="1700"/>
            <w:shd w:fill="FBFAF6" w:color="auto" w:val="clear"/>
            <w:tcMar>
              <w:top w:type="dxa" w:w="80"/>
              <w:left w:type="dxa" w:w="100"/>
              <w:bottom w:type="dxa" w:w="80"/>
              <w:right w:type="dxa" w:w="100"/>
            </w:tcMar>
            <w:vAlign w:val="center"/>
          </w:tcPr>
          <w:p>
            <w:r>
              <w:rPr>
                <w:b w:val="false"/>
                <w:bCs w:val="false"/>
                <w:color w:val="1B1F27"/>
                <w:sz w:val="21"/>
                <w:szCs w:val="21"/>
              </w:rPr>
              <w:t xml:space="preserve">$2,200 – $4,500</w:t>
            </w:r>
          </w:p>
        </w:tc>
        <w:tc>
          <w:tcPr>
            <w:tcW w:type="dxa" w:w="1500"/>
            <w:shd w:fill="FBFAF6" w:color="auto" w:val="clear"/>
            <w:tcMar>
              <w:top w:type="dxa" w:w="80"/>
              <w:left w:type="dxa" w:w="100"/>
              <w:bottom w:type="dxa" w:w="80"/>
              <w:right w:type="dxa" w:w="100"/>
            </w:tcMar>
            <w:vAlign w:val="center"/>
          </w:tcPr>
          <w:p>
            <w:r>
              <w:rPr>
                <w:b w:val="false"/>
                <w:bCs w:val="false"/>
                <w:color w:val="1B1F27"/>
                <w:sz w:val="21"/>
                <w:szCs w:val="21"/>
              </w:rPr>
              <w:t xml:space="preserve">60 days</w:t>
            </w:r>
          </w:p>
        </w:tc>
        <w:tc>
          <w:tcPr>
            <w:tcW w:type="dxa" w:w="2000"/>
            <w:shd w:fill="FBFAF6" w:color="auto" w:val="clear"/>
            <w:tcMar>
              <w:top w:type="dxa" w:w="80"/>
              <w:left w:type="dxa" w:w="100"/>
              <w:bottom w:type="dxa" w:w="80"/>
              <w:right w:type="dxa" w:w="100"/>
            </w:tcMar>
            <w:vAlign w:val="center"/>
          </w:tcPr>
          <w:p>
            <w:r>
              <w:rPr>
                <w:b w:val="false"/>
                <w:bCs w:val="false"/>
                <w:color w:val="1B1F27"/>
                <w:sz w:val="21"/>
                <w:szCs w:val="21"/>
              </w:rPr>
              <w:t xml:space="preserve">Cat. 7</w:t>
            </w:r>
          </w:p>
        </w:tc>
      </w:tr>
      <w:tr>
        <w:tc>
          <w:tcPr>
            <w:tcW w:type="dxa" w:w="4300"/>
            <w:shd w:fill="FFFFFF" w:color="auto" w:val="clear"/>
            <w:tcMar>
              <w:top w:type="dxa" w:w="80"/>
              <w:left w:type="dxa" w:w="100"/>
              <w:bottom w:type="dxa" w:w="80"/>
              <w:right w:type="dxa" w:w="100"/>
            </w:tcMar>
            <w:vAlign w:val="center"/>
          </w:tcPr>
          <w:p>
            <w:r>
              <w:rPr>
                <w:b w:val="false"/>
                <w:bCs w:val="false"/>
                <w:color w:val="1B1F27"/>
                <w:sz w:val="21"/>
                <w:szCs w:val="21"/>
              </w:rPr>
              <w:t xml:space="preserve">Relocate accessible washroom grab bars to 840–920mm height range</w:t>
            </w:r>
          </w:p>
        </w:tc>
        <w:tc>
          <w:tcPr>
            <w:tcW w:type="dxa" w:w="1300"/>
            <w:shd w:fill="FFFFFF" w:color="auto" w:val="clear"/>
            <w:tcMar>
              <w:top w:type="dxa" w:w="80"/>
              <w:left w:type="dxa" w:w="100"/>
              <w:bottom w:type="dxa" w:w="80"/>
              <w:right w:type="dxa" w:w="100"/>
            </w:tcMar>
            <w:vAlign w:val="center"/>
          </w:tcPr>
          <w:p>
            <w:r>
              <w:rPr>
                <w:b/>
                <w:bCs/>
                <w:color w:val="8C1D14"/>
                <w:sz w:val="21"/>
                <w:szCs w:val="21"/>
              </w:rPr>
              <w:t xml:space="preserve">Critical</w:t>
            </w:r>
          </w:p>
        </w:tc>
        <w:tc>
          <w:tcPr>
            <w:tcW w:type="dxa" w:w="1700"/>
            <w:shd w:fill="FFFFFF" w:color="auto" w:val="clear"/>
            <w:tcMar>
              <w:top w:type="dxa" w:w="80"/>
              <w:left w:type="dxa" w:w="100"/>
              <w:bottom w:type="dxa" w:w="80"/>
              <w:right w:type="dxa" w:w="100"/>
            </w:tcMar>
            <w:vAlign w:val="center"/>
          </w:tcPr>
          <w:p>
            <w:r>
              <w:rPr>
                <w:b w:val="false"/>
                <w:bCs w:val="false"/>
                <w:color w:val="1B1F27"/>
                <w:sz w:val="21"/>
                <w:szCs w:val="21"/>
              </w:rPr>
              <w:t xml:space="preserve">$760 – $1,360</w:t>
            </w:r>
          </w:p>
        </w:tc>
        <w:tc>
          <w:tcPr>
            <w:tcW w:type="dxa" w:w="1500"/>
            <w:shd w:fill="FFFFFF" w:color="auto" w:val="clear"/>
            <w:tcMar>
              <w:top w:type="dxa" w:w="80"/>
              <w:left w:type="dxa" w:w="100"/>
              <w:bottom w:type="dxa" w:w="80"/>
              <w:right w:type="dxa" w:w="100"/>
            </w:tcMar>
            <w:vAlign w:val="center"/>
          </w:tcPr>
          <w:p>
            <w:r>
              <w:rPr>
                <w:b w:val="false"/>
                <w:bCs w:val="false"/>
                <w:color w:val="1B1F27"/>
                <w:sz w:val="21"/>
                <w:szCs w:val="21"/>
              </w:rPr>
              <w:t xml:space="preserve">30 days</w:t>
            </w:r>
          </w:p>
        </w:tc>
        <w:tc>
          <w:tcPr>
            <w:tcW w:type="dxa" w:w="2000"/>
            <w:shd w:fill="FFFFFF" w:color="auto" w:val="clear"/>
            <w:tcMar>
              <w:top w:type="dxa" w:w="80"/>
              <w:left w:type="dxa" w:w="100"/>
              <w:bottom w:type="dxa" w:w="80"/>
              <w:right w:type="dxa" w:w="100"/>
            </w:tcMar>
            <w:vAlign w:val="center"/>
          </w:tcPr>
          <w:p>
            <w:r>
              <w:rPr>
                <w:b w:val="false"/>
                <w:bCs w:val="false"/>
                <w:color w:val="1B1F27"/>
                <w:sz w:val="21"/>
                <w:szCs w:val="21"/>
              </w:rPr>
              <w:t xml:space="preserve">Cat. 5</w:t>
            </w:r>
          </w:p>
        </w:tc>
      </w:tr>
    </w:tbl>
    <w:p>
      <w:pPr>
        <w:spacing w:after="120" w:before="280"/>
      </w:pPr>
      <w:r>
        <w:rPr>
          <w:b/>
          <w:bCs/>
          <w:color w:val="101B2D"/>
          <w:sz w:val="20"/>
          <w:szCs w:val="20"/>
        </w:rPr>
        <w:t xml:space="preserve">High Priority</w:t>
      </w:r>
      <w:r>
        <w:rPr>
          <w:i/>
          <w:iCs/>
          <w:color w:val="5B5A52"/>
          <w:sz w:val="21"/>
          <w:szCs w:val="21"/>
        </w:rPr>
        <w:t xml:space="preserve">  Within 90 days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1700"/>
        <w:gridCol w:w="1500"/>
        <w:gridCol w:w="2000"/>
      </w:tblGrid>
      <w:tr>
        <w:trPr>
          <w:tblHeader/>
        </w:trPr>
        <w:tc>
          <w:tcPr>
            <w:tcW w:type="dxa" w:w="4300"/>
            <w:shd w:fill="101B2D" w:color="auto" w:val="clear"/>
            <w:tcMar>
              <w:top w:type="dxa" w:w="90"/>
              <w:left w:type="dxa" w:w="100"/>
              <w:bottom w:type="dxa" w:w="90"/>
              <w:right w:type="dxa" w:w="100"/>
            </w:tcMar>
            <w:vAlign w:val="center"/>
          </w:tcPr>
          <w:p>
            <w:r>
              <w:rPr>
                <w:b/>
                <w:bCs/>
                <w:color w:val="FFFFFF"/>
                <w:sz w:val="20"/>
                <w:szCs w:val="20"/>
              </w:rPr>
              <w:t xml:space="preserve">Remediation Item</w:t>
            </w:r>
          </w:p>
        </w:tc>
        <w:tc>
          <w:tcPr>
            <w:tcW w:type="dxa" w:w="1300"/>
            <w:shd w:fill="101B2D" w:color="auto" w:val="clear"/>
            <w:tcMar>
              <w:top w:type="dxa" w:w="90"/>
              <w:left w:type="dxa" w:w="100"/>
              <w:bottom w:type="dxa" w:w="90"/>
              <w:right w:type="dxa" w:w="100"/>
            </w:tcMar>
            <w:vAlign w:val="center"/>
          </w:tcPr>
          <w:p>
            <w:r>
              <w:rPr>
                <w:b/>
                <w:bCs/>
                <w:color w:val="FFFFFF"/>
                <w:sz w:val="20"/>
                <w:szCs w:val="20"/>
              </w:rPr>
              <w:t xml:space="preserve">Priority</w:t>
            </w:r>
          </w:p>
        </w:tc>
        <w:tc>
          <w:tcPr>
            <w:tcW w:type="dxa" w:w="1700"/>
            <w:shd w:fill="101B2D" w:color="auto" w:val="clear"/>
            <w:tcMar>
              <w:top w:type="dxa" w:w="90"/>
              <w:left w:type="dxa" w:w="100"/>
              <w:bottom w:type="dxa" w:w="90"/>
              <w:right w:type="dxa" w:w="100"/>
            </w:tcMar>
            <w:vAlign w:val="center"/>
          </w:tcPr>
          <w:p>
            <w:r>
              <w:rPr>
                <w:b/>
                <w:bCs/>
                <w:color w:val="FFFFFF"/>
                <w:sz w:val="20"/>
                <w:szCs w:val="20"/>
              </w:rPr>
              <w:t xml:space="preserve">Est. Cost</w:t>
            </w:r>
          </w:p>
        </w:tc>
        <w:tc>
          <w:tcPr>
            <w:tcW w:type="dxa" w:w="1500"/>
            <w:shd w:fill="101B2D" w:color="auto" w:val="clear"/>
            <w:tcMar>
              <w:top w:type="dxa" w:w="90"/>
              <w:left w:type="dxa" w:w="100"/>
              <w:bottom w:type="dxa" w:w="90"/>
              <w:right w:type="dxa" w:w="100"/>
            </w:tcMar>
            <w:vAlign w:val="center"/>
          </w:tcPr>
          <w:p>
            <w:r>
              <w:rPr>
                <w:b/>
                <w:bCs/>
                <w:color w:val="FFFFFF"/>
                <w:sz w:val="20"/>
                <w:szCs w:val="20"/>
              </w:rPr>
              <w:t xml:space="preserve">Timeline</w:t>
            </w:r>
          </w:p>
        </w:tc>
        <w:tc>
          <w:tcPr>
            <w:tcW w:type="dxa" w:w="2000"/>
            <w:shd w:fill="101B2D" w:color="auto" w:val="clear"/>
            <w:tcMar>
              <w:top w:type="dxa" w:w="90"/>
              <w:left w:type="dxa" w:w="100"/>
              <w:bottom w:type="dxa" w:w="90"/>
              <w:right w:type="dxa" w:w="100"/>
            </w:tcMar>
            <w:vAlign w:val="center"/>
          </w:tcPr>
          <w:p>
            <w:r>
              <w:rPr>
                <w:b/>
                <w:bCs/>
                <w:color w:val="FFFFFF"/>
                <w:sz w:val="20"/>
                <w:szCs w:val="20"/>
              </w:rPr>
              <w:t xml:space="preserve">Category</w:t>
            </w:r>
          </w:p>
        </w:tc>
      </w:tr>
      <w:tr>
        <w:tc>
          <w:tcPr>
            <w:tcW w:type="dxa" w:w="4300"/>
            <w:shd w:fill="FFFFFF" w:color="auto" w:val="clear"/>
            <w:tcMar>
              <w:top w:type="dxa" w:w="80"/>
              <w:left w:type="dxa" w:w="100"/>
              <w:bottom w:type="dxa" w:w="80"/>
              <w:right w:type="dxa" w:w="100"/>
            </w:tcMar>
            <w:vAlign w:val="center"/>
          </w:tcPr>
          <w:p>
            <w:r>
              <w:rPr>
                <w:b w:val="false"/>
                <w:bCs w:val="false"/>
                <w:color w:val="1B1F27"/>
                <w:sz w:val="21"/>
                <w:szCs w:val="21"/>
              </w:rPr>
              <w:t xml:space="preserve">Exterior ramp rebuild — correct slope to 1:12 and width to 1,500mm</w:t>
            </w:r>
          </w:p>
        </w:tc>
        <w:tc>
          <w:tcPr>
            <w:tcW w:type="dxa" w:w="1300"/>
            <w:shd w:fill="FFFFFF" w:color="auto" w:val="clear"/>
            <w:tcMar>
              <w:top w:type="dxa" w:w="80"/>
              <w:left w:type="dxa" w:w="100"/>
              <w:bottom w:type="dxa" w:w="80"/>
              <w:right w:type="dxa" w:w="100"/>
            </w:tcMar>
            <w:vAlign w:val="center"/>
          </w:tcPr>
          <w:p>
            <w:r>
              <w:rPr>
                <w:b/>
                <w:bCs/>
                <w:color w:val="B3261E"/>
                <w:sz w:val="21"/>
                <w:szCs w:val="21"/>
              </w:rPr>
              <w:t xml:space="preserve">High</w:t>
            </w:r>
          </w:p>
        </w:tc>
        <w:tc>
          <w:tcPr>
            <w:tcW w:type="dxa" w:w="1700"/>
            <w:shd w:fill="FFFFFF" w:color="auto" w:val="clear"/>
            <w:tcMar>
              <w:top w:type="dxa" w:w="80"/>
              <w:left w:type="dxa" w:w="100"/>
              <w:bottom w:type="dxa" w:w="80"/>
              <w:right w:type="dxa" w:w="100"/>
            </w:tcMar>
            <w:vAlign w:val="center"/>
          </w:tcPr>
          <w:p>
            <w:r>
              <w:rPr>
                <w:b w:val="false"/>
                <w:bCs w:val="false"/>
                <w:color w:val="1B1F27"/>
                <w:sz w:val="21"/>
                <w:szCs w:val="21"/>
              </w:rPr>
              <w:t xml:space="preserve">$14,000 – $22,000</w:t>
            </w:r>
          </w:p>
        </w:tc>
        <w:tc>
          <w:tcPr>
            <w:tcW w:type="dxa" w:w="1500"/>
            <w:shd w:fill="FFFFFF" w:color="auto" w:val="clear"/>
            <w:tcMar>
              <w:top w:type="dxa" w:w="80"/>
              <w:left w:type="dxa" w:w="100"/>
              <w:bottom w:type="dxa" w:w="80"/>
              <w:right w:type="dxa" w:w="100"/>
            </w:tcMar>
            <w:vAlign w:val="center"/>
          </w:tcPr>
          <w:p>
            <w:r>
              <w:rPr>
                <w:b w:val="false"/>
                <w:bCs w:val="false"/>
                <w:color w:val="1B1F27"/>
                <w:sz w:val="21"/>
                <w:szCs w:val="21"/>
              </w:rPr>
              <w:t xml:space="preserve">60 days</w:t>
            </w:r>
          </w:p>
        </w:tc>
        <w:tc>
          <w:tcPr>
            <w:tcW w:type="dxa" w:w="2000"/>
            <w:shd w:fill="FFFFFF" w:color="auto" w:val="clear"/>
            <w:tcMar>
              <w:top w:type="dxa" w:w="80"/>
              <w:left w:type="dxa" w:w="100"/>
              <w:bottom w:type="dxa" w:w="80"/>
              <w:right w:type="dxa" w:w="100"/>
            </w:tcMar>
            <w:vAlign w:val="center"/>
          </w:tcPr>
          <w:p>
            <w:r>
              <w:rPr>
                <w:b w:val="false"/>
                <w:bCs w:val="false"/>
                <w:color w:val="1B1F27"/>
                <w:sz w:val="21"/>
                <w:szCs w:val="21"/>
              </w:rPr>
              <w:t xml:space="preserve">Cat. 2</w:t>
            </w:r>
          </w:p>
        </w:tc>
      </w:tr>
      <w:tr>
        <w:tc>
          <w:tcPr>
            <w:tcW w:type="dxa" w:w="4300"/>
            <w:shd w:fill="FBFAF6" w:color="auto" w:val="clear"/>
            <w:tcMar>
              <w:top w:type="dxa" w:w="80"/>
              <w:left w:type="dxa" w:w="100"/>
              <w:bottom w:type="dxa" w:w="80"/>
              <w:right w:type="dxa" w:w="100"/>
            </w:tcMar>
            <w:vAlign w:val="center"/>
          </w:tcPr>
          <w:p>
            <w:r>
              <w:rPr>
                <w:b w:val="false"/>
                <w:bCs w:val="false"/>
                <w:color w:val="1B1F27"/>
                <w:sz w:val="21"/>
                <w:szCs w:val="21"/>
              </w:rPr>
              <w:t xml:space="preserve">Replace non-compliant room ID signage with Braille and tactile characters</w:t>
            </w:r>
          </w:p>
        </w:tc>
        <w:tc>
          <w:tcPr>
            <w:tcW w:type="dxa" w:w="1300"/>
            <w:shd w:fill="FBFAF6" w:color="auto" w:val="clear"/>
            <w:tcMar>
              <w:top w:type="dxa" w:w="80"/>
              <w:left w:type="dxa" w:w="100"/>
              <w:bottom w:type="dxa" w:w="80"/>
              <w:right w:type="dxa" w:w="100"/>
            </w:tcMar>
            <w:vAlign w:val="center"/>
          </w:tcPr>
          <w:p>
            <w:r>
              <w:rPr>
                <w:b/>
                <w:bCs/>
                <w:color w:val="B3261E"/>
                <w:sz w:val="21"/>
                <w:szCs w:val="21"/>
              </w:rPr>
              <w:t xml:space="preserve">High</w:t>
            </w:r>
          </w:p>
        </w:tc>
        <w:tc>
          <w:tcPr>
            <w:tcW w:type="dxa" w:w="1700"/>
            <w:shd w:fill="FBFAF6" w:color="auto" w:val="clear"/>
            <w:tcMar>
              <w:top w:type="dxa" w:w="80"/>
              <w:left w:type="dxa" w:w="100"/>
              <w:bottom w:type="dxa" w:w="80"/>
              <w:right w:type="dxa" w:w="100"/>
            </w:tcMar>
            <w:vAlign w:val="center"/>
          </w:tcPr>
          <w:p>
            <w:r>
              <w:rPr>
                <w:b w:val="false"/>
                <w:bCs w:val="false"/>
                <w:color w:val="1B1F27"/>
                <w:sz w:val="21"/>
                <w:szCs w:val="21"/>
              </w:rPr>
              <w:t xml:space="preserve">$3,800 – $6,500</w:t>
            </w:r>
          </w:p>
        </w:tc>
        <w:tc>
          <w:tcPr>
            <w:tcW w:type="dxa" w:w="1500"/>
            <w:shd w:fill="FBFAF6" w:color="auto" w:val="clear"/>
            <w:tcMar>
              <w:top w:type="dxa" w:w="80"/>
              <w:left w:type="dxa" w:w="100"/>
              <w:bottom w:type="dxa" w:w="80"/>
              <w:right w:type="dxa" w:w="100"/>
            </w:tcMar>
            <w:vAlign w:val="center"/>
          </w:tcPr>
          <w:p>
            <w:r>
              <w:rPr>
                <w:b w:val="false"/>
                <w:bCs w:val="false"/>
                <w:color w:val="1B1F27"/>
                <w:sz w:val="21"/>
                <w:szCs w:val="21"/>
              </w:rPr>
              <w:t xml:space="preserve">90 days</w:t>
            </w:r>
          </w:p>
        </w:tc>
        <w:tc>
          <w:tcPr>
            <w:tcW w:type="dxa" w:w="2000"/>
            <w:shd w:fill="FBFAF6" w:color="auto" w:val="clear"/>
            <w:tcMar>
              <w:top w:type="dxa" w:w="80"/>
              <w:left w:type="dxa" w:w="100"/>
              <w:bottom w:type="dxa" w:w="80"/>
              <w:right w:type="dxa" w:w="100"/>
            </w:tcMar>
            <w:vAlign w:val="center"/>
          </w:tcPr>
          <w:p>
            <w:r>
              <w:rPr>
                <w:b w:val="false"/>
                <w:bCs w:val="false"/>
                <w:color w:val="1B1F27"/>
                <w:sz w:val="21"/>
                <w:szCs w:val="21"/>
              </w:rPr>
              <w:t xml:space="preserve">Cat. 6</w:t>
            </w:r>
          </w:p>
        </w:tc>
      </w:tr>
      <w:tr>
        <w:tc>
          <w:tcPr>
            <w:tcW w:type="dxa" w:w="4300"/>
            <w:shd w:fill="FFFFFF" w:color="auto" w:val="clear"/>
            <w:tcMar>
              <w:top w:type="dxa" w:w="80"/>
              <w:left w:type="dxa" w:w="100"/>
              <w:bottom w:type="dxa" w:w="80"/>
              <w:right w:type="dxa" w:w="100"/>
            </w:tcMar>
            <w:vAlign w:val="center"/>
          </w:tcPr>
          <w:p>
            <w:r>
              <w:rPr>
                <w:b w:val="false"/>
                <w:bCs w:val="false"/>
                <w:color w:val="1B1F27"/>
                <w:sz w:val="21"/>
                <w:szCs w:val="21"/>
              </w:rPr>
              <w:t xml:space="preserve">Install tactile attention indicators at entry decision points</w:t>
            </w:r>
          </w:p>
        </w:tc>
        <w:tc>
          <w:tcPr>
            <w:tcW w:type="dxa" w:w="1300"/>
            <w:shd w:fill="FFFFFF" w:color="auto" w:val="clear"/>
            <w:tcMar>
              <w:top w:type="dxa" w:w="80"/>
              <w:left w:type="dxa" w:w="100"/>
              <w:bottom w:type="dxa" w:w="80"/>
              <w:right w:type="dxa" w:w="100"/>
            </w:tcMar>
            <w:vAlign w:val="center"/>
          </w:tcPr>
          <w:p>
            <w:r>
              <w:rPr>
                <w:b/>
                <w:bCs/>
                <w:color w:val="B3261E"/>
                <w:sz w:val="21"/>
                <w:szCs w:val="21"/>
              </w:rPr>
              <w:t xml:space="preserve">High</w:t>
            </w:r>
          </w:p>
        </w:tc>
        <w:tc>
          <w:tcPr>
            <w:tcW w:type="dxa" w:w="1700"/>
            <w:shd w:fill="FFFFFF" w:color="auto" w:val="clear"/>
            <w:tcMar>
              <w:top w:type="dxa" w:w="80"/>
              <w:left w:type="dxa" w:w="100"/>
              <w:bottom w:type="dxa" w:w="80"/>
              <w:right w:type="dxa" w:w="100"/>
            </w:tcMar>
            <w:vAlign w:val="center"/>
          </w:tcPr>
          <w:p>
            <w:r>
              <w:rPr>
                <w:b w:val="false"/>
                <w:bCs w:val="false"/>
                <w:color w:val="1B1F27"/>
                <w:sz w:val="21"/>
                <w:szCs w:val="21"/>
              </w:rPr>
              <w:t xml:space="preserve">$6,000 – $11,000</w:t>
            </w:r>
          </w:p>
        </w:tc>
        <w:tc>
          <w:tcPr>
            <w:tcW w:type="dxa" w:w="1500"/>
            <w:shd w:fill="FFFFFF" w:color="auto" w:val="clear"/>
            <w:tcMar>
              <w:top w:type="dxa" w:w="80"/>
              <w:left w:type="dxa" w:w="100"/>
              <w:bottom w:type="dxa" w:w="80"/>
              <w:right w:type="dxa" w:w="100"/>
            </w:tcMar>
            <w:vAlign w:val="center"/>
          </w:tcPr>
          <w:p>
            <w:r>
              <w:rPr>
                <w:b w:val="false"/>
                <w:bCs w:val="false"/>
                <w:color w:val="1B1F27"/>
                <w:sz w:val="21"/>
                <w:szCs w:val="21"/>
              </w:rPr>
              <w:t xml:space="preserve">90 days</w:t>
            </w:r>
          </w:p>
        </w:tc>
        <w:tc>
          <w:tcPr>
            <w:tcW w:type="dxa" w:w="2000"/>
            <w:shd w:fill="FFFFFF" w:color="auto" w:val="clear"/>
            <w:tcMar>
              <w:top w:type="dxa" w:w="80"/>
              <w:left w:type="dxa" w:w="100"/>
              <w:bottom w:type="dxa" w:w="80"/>
              <w:right w:type="dxa" w:w="100"/>
            </w:tcMar>
            <w:vAlign w:val="center"/>
          </w:tcPr>
          <w:p>
            <w:r>
              <w:rPr>
                <w:b w:val="false"/>
                <w:bCs w:val="false"/>
                <w:color w:val="1B1F27"/>
                <w:sz w:val="21"/>
                <w:szCs w:val="21"/>
              </w:rPr>
              <w:t xml:space="preserve">Cat. 6</w:t>
            </w:r>
          </w:p>
        </w:tc>
      </w:tr>
      <w:tr>
        <w:tc>
          <w:tcPr>
            <w:tcW w:type="dxa" w:w="4300"/>
            <w:shd w:fill="FBFAF6" w:color="auto" w:val="clear"/>
            <w:tcMar>
              <w:top w:type="dxa" w:w="80"/>
              <w:left w:type="dxa" w:w="100"/>
              <w:bottom w:type="dxa" w:w="80"/>
              <w:right w:type="dxa" w:w="100"/>
            </w:tcMar>
            <w:vAlign w:val="center"/>
          </w:tcPr>
          <w:p>
            <w:r>
              <w:rPr>
                <w:b w:val="false"/>
                <w:bCs w:val="false"/>
                <w:color w:val="1B1F27"/>
                <w:sz w:val="21"/>
                <w:szCs w:val="21"/>
              </w:rPr>
              <w:t xml:space="preserve">Add accessible lowered counter section with knee clearance at service desk</w:t>
            </w:r>
          </w:p>
        </w:tc>
        <w:tc>
          <w:tcPr>
            <w:tcW w:type="dxa" w:w="1300"/>
            <w:shd w:fill="FBFAF6" w:color="auto" w:val="clear"/>
            <w:tcMar>
              <w:top w:type="dxa" w:w="80"/>
              <w:left w:type="dxa" w:w="100"/>
              <w:bottom w:type="dxa" w:w="80"/>
              <w:right w:type="dxa" w:w="100"/>
            </w:tcMar>
            <w:vAlign w:val="center"/>
          </w:tcPr>
          <w:p>
            <w:r>
              <w:rPr>
                <w:b/>
                <w:bCs/>
                <w:color w:val="B3261E"/>
                <w:sz w:val="21"/>
                <w:szCs w:val="21"/>
              </w:rPr>
              <w:t xml:space="preserve">High</w:t>
            </w:r>
          </w:p>
        </w:tc>
        <w:tc>
          <w:tcPr>
            <w:tcW w:type="dxa" w:w="1700"/>
            <w:shd w:fill="FBFAF6" w:color="auto" w:val="clear"/>
            <w:tcMar>
              <w:top w:type="dxa" w:w="80"/>
              <w:left w:type="dxa" w:w="100"/>
              <w:bottom w:type="dxa" w:w="80"/>
              <w:right w:type="dxa" w:w="100"/>
            </w:tcMar>
            <w:vAlign w:val="center"/>
          </w:tcPr>
          <w:p>
            <w:r>
              <w:rPr>
                <w:b w:val="false"/>
                <w:bCs w:val="false"/>
                <w:color w:val="1B1F27"/>
                <w:sz w:val="21"/>
                <w:szCs w:val="21"/>
              </w:rPr>
              <w:t xml:space="preserve">$2,800 – $4,500</w:t>
            </w:r>
          </w:p>
        </w:tc>
        <w:tc>
          <w:tcPr>
            <w:tcW w:type="dxa" w:w="1500"/>
            <w:shd w:fill="FBFAF6" w:color="auto" w:val="clear"/>
            <w:tcMar>
              <w:top w:type="dxa" w:w="80"/>
              <w:left w:type="dxa" w:w="100"/>
              <w:bottom w:type="dxa" w:w="80"/>
              <w:right w:type="dxa" w:w="100"/>
            </w:tcMar>
            <w:vAlign w:val="center"/>
          </w:tcPr>
          <w:p>
            <w:r>
              <w:rPr>
                <w:b w:val="false"/>
                <w:bCs w:val="false"/>
                <w:color w:val="1B1F27"/>
                <w:sz w:val="21"/>
                <w:szCs w:val="21"/>
              </w:rPr>
              <w:t xml:space="preserve">90 days</w:t>
            </w:r>
          </w:p>
        </w:tc>
        <w:tc>
          <w:tcPr>
            <w:tcW w:type="dxa" w:w="2000"/>
            <w:shd w:fill="FBFAF6" w:color="auto" w:val="clear"/>
            <w:tcMar>
              <w:top w:type="dxa" w:w="80"/>
              <w:left w:type="dxa" w:w="100"/>
              <w:bottom w:type="dxa" w:w="80"/>
              <w:right w:type="dxa" w:w="100"/>
            </w:tcMar>
            <w:vAlign w:val="center"/>
          </w:tcPr>
          <w:p>
            <w:r>
              <w:rPr>
                <w:b w:val="false"/>
                <w:bCs w:val="false"/>
                <w:color w:val="1B1F27"/>
                <w:sz w:val="21"/>
                <w:szCs w:val="21"/>
              </w:rPr>
              <w:t xml:space="preserve">Cat. 4</w:t>
            </w:r>
          </w:p>
        </w:tc>
      </w:tr>
      <w:tr>
        <w:tc>
          <w:tcPr>
            <w:tcW w:type="dxa" w:w="4300"/>
            <w:shd w:fill="FFFFFF" w:color="auto" w:val="clear"/>
            <w:tcMar>
              <w:top w:type="dxa" w:w="80"/>
              <w:left w:type="dxa" w:w="100"/>
              <w:bottom w:type="dxa" w:w="80"/>
              <w:right w:type="dxa" w:w="100"/>
            </w:tcMar>
            <w:vAlign w:val="center"/>
          </w:tcPr>
          <w:p>
            <w:r>
              <w:rPr>
                <w:b w:val="false"/>
                <w:bCs w:val="false"/>
                <w:color w:val="1B1F27"/>
                <w:sz w:val="21"/>
                <w:szCs w:val="21"/>
              </w:rPr>
              <w:t xml:space="preserve">Elevator control panel replacement or supplementary low panel to 1,200mm</w:t>
            </w:r>
          </w:p>
        </w:tc>
        <w:tc>
          <w:tcPr>
            <w:tcW w:type="dxa" w:w="1300"/>
            <w:shd w:fill="FFFFFF" w:color="auto" w:val="clear"/>
            <w:tcMar>
              <w:top w:type="dxa" w:w="80"/>
              <w:left w:type="dxa" w:w="100"/>
              <w:bottom w:type="dxa" w:w="80"/>
              <w:right w:type="dxa" w:w="100"/>
            </w:tcMar>
            <w:vAlign w:val="center"/>
          </w:tcPr>
          <w:p>
            <w:r>
              <w:rPr>
                <w:b/>
                <w:bCs/>
                <w:color w:val="B3261E"/>
                <w:sz w:val="21"/>
                <w:szCs w:val="21"/>
              </w:rPr>
              <w:t xml:space="preserve">High</w:t>
            </w:r>
          </w:p>
        </w:tc>
        <w:tc>
          <w:tcPr>
            <w:tcW w:type="dxa" w:w="1700"/>
            <w:shd w:fill="FFFFFF" w:color="auto" w:val="clear"/>
            <w:tcMar>
              <w:top w:type="dxa" w:w="80"/>
              <w:left w:type="dxa" w:w="100"/>
              <w:bottom w:type="dxa" w:w="80"/>
              <w:right w:type="dxa" w:w="100"/>
            </w:tcMar>
            <w:vAlign w:val="center"/>
          </w:tcPr>
          <w:p>
            <w:r>
              <w:rPr>
                <w:b w:val="false"/>
                <w:bCs w:val="false"/>
                <w:color w:val="1B1F27"/>
                <w:sz w:val="21"/>
                <w:szCs w:val="21"/>
              </w:rPr>
              <w:t xml:space="preserve">$3,500 – $6,500</w:t>
            </w:r>
          </w:p>
        </w:tc>
        <w:tc>
          <w:tcPr>
            <w:tcW w:type="dxa" w:w="1500"/>
            <w:shd w:fill="FFFFFF" w:color="auto" w:val="clear"/>
            <w:tcMar>
              <w:top w:type="dxa" w:w="80"/>
              <w:left w:type="dxa" w:w="100"/>
              <w:bottom w:type="dxa" w:w="80"/>
              <w:right w:type="dxa" w:w="100"/>
            </w:tcMar>
            <w:vAlign w:val="center"/>
          </w:tcPr>
          <w:p>
            <w:r>
              <w:rPr>
                <w:b w:val="false"/>
                <w:bCs w:val="false"/>
                <w:color w:val="1B1F27"/>
                <w:sz w:val="21"/>
                <w:szCs w:val="21"/>
              </w:rPr>
              <w:t xml:space="preserve">90 days</w:t>
            </w:r>
          </w:p>
        </w:tc>
        <w:tc>
          <w:tcPr>
            <w:tcW w:type="dxa" w:w="2000"/>
            <w:shd w:fill="FFFFFF" w:color="auto" w:val="clear"/>
            <w:tcMar>
              <w:top w:type="dxa" w:w="80"/>
              <w:left w:type="dxa" w:w="100"/>
              <w:bottom w:type="dxa" w:w="80"/>
              <w:right w:type="dxa" w:w="100"/>
            </w:tcMar>
            <w:vAlign w:val="center"/>
          </w:tcPr>
          <w:p>
            <w:r>
              <w:rPr>
                <w:b w:val="false"/>
                <w:bCs w:val="false"/>
                <w:color w:val="1B1F27"/>
                <w:sz w:val="21"/>
                <w:szCs w:val="21"/>
              </w:rPr>
              <w:t xml:space="preserve">Cat. 3</w:t>
            </w:r>
          </w:p>
        </w:tc>
      </w:tr>
      <w:tr>
        <w:tc>
          <w:tcPr>
            <w:tcW w:type="dxa" w:w="4300"/>
            <w:shd w:fill="FBFAF6" w:color="auto" w:val="clear"/>
            <w:tcMar>
              <w:top w:type="dxa" w:w="80"/>
              <w:left w:type="dxa" w:w="100"/>
              <w:bottom w:type="dxa" w:w="80"/>
              <w:right w:type="dxa" w:w="100"/>
            </w:tcMar>
            <w:vAlign w:val="center"/>
          </w:tcPr>
          <w:p>
            <w:r>
              <w:rPr>
                <w:b w:val="false"/>
                <w:bCs w:val="false"/>
                <w:color w:val="1B1F27"/>
                <w:sz w:val="21"/>
                <w:szCs w:val="21"/>
              </w:rPr>
              <w:t xml:space="preserve">Adjust entrance door closer to achieve maximum 38N force</w:t>
            </w:r>
          </w:p>
        </w:tc>
        <w:tc>
          <w:tcPr>
            <w:tcW w:type="dxa" w:w="1300"/>
            <w:shd w:fill="FBFAF6" w:color="auto" w:val="clear"/>
            <w:tcMar>
              <w:top w:type="dxa" w:w="80"/>
              <w:left w:type="dxa" w:w="100"/>
              <w:bottom w:type="dxa" w:w="80"/>
              <w:right w:type="dxa" w:w="100"/>
            </w:tcMar>
            <w:vAlign w:val="center"/>
          </w:tcPr>
          <w:p>
            <w:r>
              <w:rPr>
                <w:b/>
                <w:bCs/>
                <w:color w:val="B3261E"/>
                <w:sz w:val="21"/>
                <w:szCs w:val="21"/>
              </w:rPr>
              <w:t xml:space="preserve">High</w:t>
            </w:r>
          </w:p>
        </w:tc>
        <w:tc>
          <w:tcPr>
            <w:tcW w:type="dxa" w:w="1700"/>
            <w:shd w:fill="FBFAF6" w:color="auto" w:val="clear"/>
            <w:tcMar>
              <w:top w:type="dxa" w:w="80"/>
              <w:left w:type="dxa" w:w="100"/>
              <w:bottom w:type="dxa" w:w="80"/>
              <w:right w:type="dxa" w:w="100"/>
            </w:tcMar>
            <w:vAlign w:val="center"/>
          </w:tcPr>
          <w:p>
            <w:r>
              <w:rPr>
                <w:b w:val="false"/>
                <w:bCs w:val="false"/>
                <w:color w:val="1B1F27"/>
                <w:sz w:val="21"/>
                <w:szCs w:val="21"/>
              </w:rPr>
              <w:t xml:space="preserve">$180 – $350</w:t>
            </w:r>
          </w:p>
        </w:tc>
        <w:tc>
          <w:tcPr>
            <w:tcW w:type="dxa" w:w="1500"/>
            <w:shd w:fill="FBFAF6" w:color="auto" w:val="clear"/>
            <w:tcMar>
              <w:top w:type="dxa" w:w="80"/>
              <w:left w:type="dxa" w:w="100"/>
              <w:bottom w:type="dxa" w:w="80"/>
              <w:right w:type="dxa" w:w="100"/>
            </w:tcMar>
            <w:vAlign w:val="center"/>
          </w:tcPr>
          <w:p>
            <w:r>
              <w:rPr>
                <w:b w:val="false"/>
                <w:bCs w:val="false"/>
                <w:color w:val="1B1F27"/>
                <w:sz w:val="21"/>
                <w:szCs w:val="21"/>
              </w:rPr>
              <w:t xml:space="preserve">30 days</w:t>
            </w:r>
          </w:p>
        </w:tc>
        <w:tc>
          <w:tcPr>
            <w:tcW w:type="dxa" w:w="2000"/>
            <w:shd w:fill="FBFAF6" w:color="auto" w:val="clear"/>
            <w:tcMar>
              <w:top w:type="dxa" w:w="80"/>
              <w:left w:type="dxa" w:w="100"/>
              <w:bottom w:type="dxa" w:w="80"/>
              <w:right w:type="dxa" w:w="100"/>
            </w:tcMar>
            <w:vAlign w:val="center"/>
          </w:tcPr>
          <w:p>
            <w:r>
              <w:rPr>
                <w:b w:val="false"/>
                <w:bCs w:val="false"/>
                <w:color w:val="1B1F27"/>
                <w:sz w:val="21"/>
                <w:szCs w:val="21"/>
              </w:rPr>
              <w:t xml:space="preserve">Cat. 2</w:t>
            </w:r>
          </w:p>
        </w:tc>
      </w:tr>
      <w:tr>
        <w:tc>
          <w:tcPr>
            <w:tcW w:type="dxa" w:w="4300"/>
            <w:shd w:fill="FFFFFF" w:color="auto" w:val="clear"/>
            <w:tcMar>
              <w:top w:type="dxa" w:w="80"/>
              <w:left w:type="dxa" w:w="100"/>
              <w:bottom w:type="dxa" w:w="80"/>
              <w:right w:type="dxa" w:w="100"/>
            </w:tcMar>
            <w:vAlign w:val="center"/>
          </w:tcPr>
          <w:p>
            <w:r>
              <w:rPr>
                <w:b w:val="false"/>
                <w:bCs w:val="false"/>
                <w:color w:val="1B1F27"/>
                <w:sz w:val="21"/>
                <w:szCs w:val="21"/>
              </w:rPr>
              <w:t xml:space="preserve">Install tactile warning strip at top of exterior ramp</w:t>
            </w:r>
          </w:p>
        </w:tc>
        <w:tc>
          <w:tcPr>
            <w:tcW w:type="dxa" w:w="1300"/>
            <w:shd w:fill="FFFFFF" w:color="auto" w:val="clear"/>
            <w:tcMar>
              <w:top w:type="dxa" w:w="80"/>
              <w:left w:type="dxa" w:w="100"/>
              <w:bottom w:type="dxa" w:w="80"/>
              <w:right w:type="dxa" w:w="100"/>
            </w:tcMar>
            <w:vAlign w:val="center"/>
          </w:tcPr>
          <w:p>
            <w:r>
              <w:rPr>
                <w:b/>
                <w:bCs/>
                <w:color w:val="B3261E"/>
                <w:sz w:val="21"/>
                <w:szCs w:val="21"/>
              </w:rPr>
              <w:t xml:space="preserve">High</w:t>
            </w:r>
          </w:p>
        </w:tc>
        <w:tc>
          <w:tcPr>
            <w:tcW w:type="dxa" w:w="1700"/>
            <w:shd w:fill="FFFFFF" w:color="auto" w:val="clear"/>
            <w:tcMar>
              <w:top w:type="dxa" w:w="80"/>
              <w:left w:type="dxa" w:w="100"/>
              <w:bottom w:type="dxa" w:w="80"/>
              <w:right w:type="dxa" w:w="100"/>
            </w:tcMar>
            <w:vAlign w:val="center"/>
          </w:tcPr>
          <w:p>
            <w:r>
              <w:rPr>
                <w:b w:val="false"/>
                <w:bCs w:val="false"/>
                <w:color w:val="1B1F27"/>
                <w:sz w:val="21"/>
                <w:szCs w:val="21"/>
              </w:rPr>
              <w:t xml:space="preserve">$800 – $1,200</w:t>
            </w:r>
          </w:p>
        </w:tc>
        <w:tc>
          <w:tcPr>
            <w:tcW w:type="dxa" w:w="1500"/>
            <w:shd w:fill="FFFFFF" w:color="auto" w:val="clear"/>
            <w:tcMar>
              <w:top w:type="dxa" w:w="80"/>
              <w:left w:type="dxa" w:w="100"/>
              <w:bottom w:type="dxa" w:w="80"/>
              <w:right w:type="dxa" w:w="100"/>
            </w:tcMar>
            <w:vAlign w:val="center"/>
          </w:tcPr>
          <w:p>
            <w:r>
              <w:rPr>
                <w:b w:val="false"/>
                <w:bCs w:val="false"/>
                <w:color w:val="1B1F27"/>
                <w:sz w:val="21"/>
                <w:szCs w:val="21"/>
              </w:rPr>
              <w:t xml:space="preserve">30 days</w:t>
            </w:r>
          </w:p>
        </w:tc>
        <w:tc>
          <w:tcPr>
            <w:tcW w:type="dxa" w:w="2000"/>
            <w:shd w:fill="FFFFFF" w:color="auto" w:val="clear"/>
            <w:tcMar>
              <w:top w:type="dxa" w:w="80"/>
              <w:left w:type="dxa" w:w="100"/>
              <w:bottom w:type="dxa" w:w="80"/>
              <w:right w:type="dxa" w:w="100"/>
            </w:tcMar>
            <w:vAlign w:val="center"/>
          </w:tcPr>
          <w:p>
            <w:r>
              <w:rPr>
                <w:b w:val="false"/>
                <w:bCs w:val="false"/>
                <w:color w:val="1B1F27"/>
                <w:sz w:val="21"/>
                <w:szCs w:val="21"/>
              </w:rPr>
              <w:t xml:space="preserve">Cat. 2</w:t>
            </w:r>
          </w:p>
        </w:tc>
      </w:tr>
    </w:tbl>
    <w:p>
      <w:pPr>
        <w:spacing w:after="120" w:before="280"/>
      </w:pPr>
      <w:r>
        <w:rPr>
          <w:b/>
          <w:bCs/>
          <w:color w:val="101B2D"/>
          <w:sz w:val="20"/>
          <w:szCs w:val="20"/>
        </w:rPr>
        <w:t xml:space="preserve">Medium Priority</w:t>
      </w:r>
      <w:r>
        <w:rPr>
          <w:i/>
          <w:iCs/>
          <w:color w:val="5B5A52"/>
          <w:sz w:val="21"/>
          <w:szCs w:val="21"/>
        </w:rPr>
        <w:t xml:space="preserve">  Year 2 capital budget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1700"/>
        <w:gridCol w:w="1500"/>
        <w:gridCol w:w="2000"/>
      </w:tblGrid>
      <w:tr>
        <w:trPr>
          <w:tblHeader/>
        </w:trPr>
        <w:tc>
          <w:tcPr>
            <w:tcW w:type="dxa" w:w="4300"/>
            <w:shd w:fill="101B2D" w:color="auto" w:val="clear"/>
            <w:tcMar>
              <w:top w:type="dxa" w:w="90"/>
              <w:left w:type="dxa" w:w="100"/>
              <w:bottom w:type="dxa" w:w="90"/>
              <w:right w:type="dxa" w:w="100"/>
            </w:tcMar>
            <w:vAlign w:val="center"/>
          </w:tcPr>
          <w:p>
            <w:r>
              <w:rPr>
                <w:b/>
                <w:bCs/>
                <w:color w:val="FFFFFF"/>
                <w:sz w:val="20"/>
                <w:szCs w:val="20"/>
              </w:rPr>
              <w:t xml:space="preserve">Remediation Item</w:t>
            </w:r>
          </w:p>
        </w:tc>
        <w:tc>
          <w:tcPr>
            <w:tcW w:type="dxa" w:w="1300"/>
            <w:shd w:fill="101B2D" w:color="auto" w:val="clear"/>
            <w:tcMar>
              <w:top w:type="dxa" w:w="90"/>
              <w:left w:type="dxa" w:w="100"/>
              <w:bottom w:type="dxa" w:w="90"/>
              <w:right w:type="dxa" w:w="100"/>
            </w:tcMar>
            <w:vAlign w:val="center"/>
          </w:tcPr>
          <w:p>
            <w:r>
              <w:rPr>
                <w:b/>
                <w:bCs/>
                <w:color w:val="FFFFFF"/>
                <w:sz w:val="20"/>
                <w:szCs w:val="20"/>
              </w:rPr>
              <w:t xml:space="preserve">Priority</w:t>
            </w:r>
          </w:p>
        </w:tc>
        <w:tc>
          <w:tcPr>
            <w:tcW w:type="dxa" w:w="1700"/>
            <w:shd w:fill="101B2D" w:color="auto" w:val="clear"/>
            <w:tcMar>
              <w:top w:type="dxa" w:w="90"/>
              <w:left w:type="dxa" w:w="100"/>
              <w:bottom w:type="dxa" w:w="90"/>
              <w:right w:type="dxa" w:w="100"/>
            </w:tcMar>
            <w:vAlign w:val="center"/>
          </w:tcPr>
          <w:p>
            <w:r>
              <w:rPr>
                <w:b/>
                <w:bCs/>
                <w:color w:val="FFFFFF"/>
                <w:sz w:val="20"/>
                <w:szCs w:val="20"/>
              </w:rPr>
              <w:t xml:space="preserve">Est. Cost</w:t>
            </w:r>
          </w:p>
        </w:tc>
        <w:tc>
          <w:tcPr>
            <w:tcW w:type="dxa" w:w="1500"/>
            <w:shd w:fill="101B2D" w:color="auto" w:val="clear"/>
            <w:tcMar>
              <w:top w:type="dxa" w:w="90"/>
              <w:left w:type="dxa" w:w="100"/>
              <w:bottom w:type="dxa" w:w="90"/>
              <w:right w:type="dxa" w:w="100"/>
            </w:tcMar>
            <w:vAlign w:val="center"/>
          </w:tcPr>
          <w:p>
            <w:r>
              <w:rPr>
                <w:b/>
                <w:bCs/>
                <w:color w:val="FFFFFF"/>
                <w:sz w:val="20"/>
                <w:szCs w:val="20"/>
              </w:rPr>
              <w:t xml:space="preserve">Timeline</w:t>
            </w:r>
          </w:p>
        </w:tc>
        <w:tc>
          <w:tcPr>
            <w:tcW w:type="dxa" w:w="2000"/>
            <w:shd w:fill="101B2D" w:color="auto" w:val="clear"/>
            <w:tcMar>
              <w:top w:type="dxa" w:w="90"/>
              <w:left w:type="dxa" w:w="100"/>
              <w:bottom w:type="dxa" w:w="90"/>
              <w:right w:type="dxa" w:w="100"/>
            </w:tcMar>
            <w:vAlign w:val="center"/>
          </w:tcPr>
          <w:p>
            <w:r>
              <w:rPr>
                <w:b/>
                <w:bCs/>
                <w:color w:val="FFFFFF"/>
                <w:sz w:val="20"/>
                <w:szCs w:val="20"/>
              </w:rPr>
              <w:t xml:space="preserve">Category</w:t>
            </w:r>
          </w:p>
        </w:tc>
      </w:tr>
      <w:tr>
        <w:tc>
          <w:tcPr>
            <w:tcW w:type="dxa" w:w="4300"/>
            <w:shd w:fill="FFFFFF" w:color="auto" w:val="clear"/>
            <w:tcMar>
              <w:top w:type="dxa" w:w="80"/>
              <w:left w:type="dxa" w:w="100"/>
              <w:bottom w:type="dxa" w:w="80"/>
              <w:right w:type="dxa" w:w="100"/>
            </w:tcMar>
            <w:vAlign w:val="center"/>
          </w:tcPr>
          <w:p>
            <w:r>
              <w:rPr>
                <w:b w:val="false"/>
                <w:bCs w:val="false"/>
                <w:color w:val="1B1F27"/>
                <w:sz w:val="21"/>
                <w:szCs w:val="21"/>
              </w:rPr>
              <w:t xml:space="preserve">Accessible self-checkout terminal or supplementary accessible unit</w:t>
            </w:r>
          </w:p>
        </w:tc>
        <w:tc>
          <w:tcPr>
            <w:tcW w:type="dxa" w:w="1300"/>
            <w:shd w:fill="FFFFFF" w:color="auto" w:val="clear"/>
            <w:tcMar>
              <w:top w:type="dxa" w:w="80"/>
              <w:left w:type="dxa" w:w="100"/>
              <w:bottom w:type="dxa" w:w="80"/>
              <w:right w:type="dxa" w:w="100"/>
            </w:tcMar>
            <w:vAlign w:val="center"/>
          </w:tcPr>
          <w:p>
            <w:r>
              <w:rPr>
                <w:b/>
                <w:bCs/>
                <w:color w:val="9A6B12"/>
                <w:sz w:val="21"/>
                <w:szCs w:val="21"/>
              </w:rPr>
              <w:t xml:space="preserve">Medium</w:t>
            </w:r>
          </w:p>
        </w:tc>
        <w:tc>
          <w:tcPr>
            <w:tcW w:type="dxa" w:w="1700"/>
            <w:shd w:fill="FFFFFF" w:color="auto" w:val="clear"/>
            <w:tcMar>
              <w:top w:type="dxa" w:w="80"/>
              <w:left w:type="dxa" w:w="100"/>
              <w:bottom w:type="dxa" w:w="80"/>
              <w:right w:type="dxa" w:w="100"/>
            </w:tcMar>
            <w:vAlign w:val="center"/>
          </w:tcPr>
          <w:p>
            <w:r>
              <w:rPr>
                <w:b w:val="false"/>
                <w:bCs w:val="false"/>
                <w:color w:val="1B1F27"/>
                <w:sz w:val="21"/>
                <w:szCs w:val="21"/>
              </w:rPr>
              <w:t xml:space="preserve">$4,500 – $8,000</w:t>
            </w:r>
          </w:p>
        </w:tc>
        <w:tc>
          <w:tcPr>
            <w:tcW w:type="dxa" w:w="1500"/>
            <w:shd w:fill="FFFFFF" w:color="auto" w:val="clear"/>
            <w:tcMar>
              <w:top w:type="dxa" w:w="80"/>
              <w:left w:type="dxa" w:w="100"/>
              <w:bottom w:type="dxa" w:w="80"/>
              <w:right w:type="dxa" w:w="100"/>
            </w:tcMar>
            <w:vAlign w:val="center"/>
          </w:tcPr>
          <w:p>
            <w:r>
              <w:rPr>
                <w:b w:val="false"/>
                <w:bCs w:val="false"/>
                <w:color w:val="1B1F27"/>
                <w:sz w:val="21"/>
                <w:szCs w:val="21"/>
              </w:rPr>
              <w:t xml:space="preserve">Year 2</w:t>
            </w:r>
          </w:p>
        </w:tc>
        <w:tc>
          <w:tcPr>
            <w:tcW w:type="dxa" w:w="2000"/>
            <w:shd w:fill="FFFFFF" w:color="auto" w:val="clear"/>
            <w:tcMar>
              <w:top w:type="dxa" w:w="80"/>
              <w:left w:type="dxa" w:w="100"/>
              <w:bottom w:type="dxa" w:w="80"/>
              <w:right w:type="dxa" w:w="100"/>
            </w:tcMar>
            <w:vAlign w:val="center"/>
          </w:tcPr>
          <w:p>
            <w:r>
              <w:rPr>
                <w:b w:val="false"/>
                <w:bCs w:val="false"/>
                <w:color w:val="1B1F27"/>
                <w:sz w:val="21"/>
                <w:szCs w:val="21"/>
              </w:rPr>
              <w:t xml:space="preserve">Cat. 4/8</w:t>
            </w:r>
          </w:p>
        </w:tc>
      </w:tr>
      <w:tr>
        <w:tc>
          <w:tcPr>
            <w:tcW w:type="dxa" w:w="4300"/>
            <w:shd w:fill="FBFAF6" w:color="auto" w:val="clear"/>
            <w:tcMar>
              <w:top w:type="dxa" w:w="80"/>
              <w:left w:type="dxa" w:w="100"/>
              <w:bottom w:type="dxa" w:w="80"/>
              <w:right w:type="dxa" w:w="100"/>
            </w:tcMar>
            <w:vAlign w:val="center"/>
          </w:tcPr>
          <w:p>
            <w:r>
              <w:rPr>
                <w:b w:val="false"/>
                <w:bCs w:val="false"/>
                <w:color w:val="1B1F27"/>
                <w:sz w:val="21"/>
                <w:szCs w:val="21"/>
              </w:rPr>
              <w:t xml:space="preserve">Adjustable LED lighting zones — dimmable task lighting</w:t>
            </w:r>
          </w:p>
        </w:tc>
        <w:tc>
          <w:tcPr>
            <w:tcW w:type="dxa" w:w="1300"/>
            <w:shd w:fill="FBFAF6" w:color="auto" w:val="clear"/>
            <w:tcMar>
              <w:top w:type="dxa" w:w="80"/>
              <w:left w:type="dxa" w:w="100"/>
              <w:bottom w:type="dxa" w:w="80"/>
              <w:right w:type="dxa" w:w="100"/>
            </w:tcMar>
            <w:vAlign w:val="center"/>
          </w:tcPr>
          <w:p>
            <w:r>
              <w:rPr>
                <w:b/>
                <w:bCs/>
                <w:color w:val="9A6B12"/>
                <w:sz w:val="21"/>
                <w:szCs w:val="21"/>
              </w:rPr>
              <w:t xml:space="preserve">Medium</w:t>
            </w:r>
          </w:p>
        </w:tc>
        <w:tc>
          <w:tcPr>
            <w:tcW w:type="dxa" w:w="1700"/>
            <w:shd w:fill="FBFAF6" w:color="auto" w:val="clear"/>
            <w:tcMar>
              <w:top w:type="dxa" w:w="80"/>
              <w:left w:type="dxa" w:w="100"/>
              <w:bottom w:type="dxa" w:w="80"/>
              <w:right w:type="dxa" w:w="100"/>
            </w:tcMar>
            <w:vAlign w:val="center"/>
          </w:tcPr>
          <w:p>
            <w:r>
              <w:rPr>
                <w:b w:val="false"/>
                <w:bCs w:val="false"/>
                <w:color w:val="1B1F27"/>
                <w:sz w:val="21"/>
                <w:szCs w:val="21"/>
              </w:rPr>
              <w:t xml:space="preserve">$4,500 – $8,000</w:t>
            </w:r>
          </w:p>
        </w:tc>
        <w:tc>
          <w:tcPr>
            <w:tcW w:type="dxa" w:w="1500"/>
            <w:shd w:fill="FBFAF6" w:color="auto" w:val="clear"/>
            <w:tcMar>
              <w:top w:type="dxa" w:w="80"/>
              <w:left w:type="dxa" w:w="100"/>
              <w:bottom w:type="dxa" w:w="80"/>
              <w:right w:type="dxa" w:w="100"/>
            </w:tcMar>
            <w:vAlign w:val="center"/>
          </w:tcPr>
          <w:p>
            <w:r>
              <w:rPr>
                <w:b w:val="false"/>
                <w:bCs w:val="false"/>
                <w:color w:val="1B1F27"/>
                <w:sz w:val="21"/>
                <w:szCs w:val="21"/>
              </w:rPr>
              <w:t xml:space="preserve">Year 2</w:t>
            </w:r>
          </w:p>
        </w:tc>
        <w:tc>
          <w:tcPr>
            <w:tcW w:type="dxa" w:w="2000"/>
            <w:shd w:fill="FBFAF6" w:color="auto" w:val="clear"/>
            <w:tcMar>
              <w:top w:type="dxa" w:w="80"/>
              <w:left w:type="dxa" w:w="100"/>
              <w:bottom w:type="dxa" w:w="80"/>
              <w:right w:type="dxa" w:w="100"/>
            </w:tcMar>
            <w:vAlign w:val="center"/>
          </w:tcPr>
          <w:p>
            <w:r>
              <w:rPr>
                <w:b w:val="false"/>
                <w:bCs w:val="false"/>
                <w:color w:val="1B1F27"/>
                <w:sz w:val="21"/>
                <w:szCs w:val="21"/>
              </w:rPr>
              <w:t xml:space="preserve">Cat. 11</w:t>
            </w:r>
          </w:p>
        </w:tc>
      </w:tr>
      <w:tr>
        <w:tc>
          <w:tcPr>
            <w:tcW w:type="dxa" w:w="4300"/>
            <w:shd w:fill="FFFFFF" w:color="auto" w:val="clear"/>
            <w:tcMar>
              <w:top w:type="dxa" w:w="80"/>
              <w:left w:type="dxa" w:w="100"/>
              <w:bottom w:type="dxa" w:w="80"/>
              <w:right w:type="dxa" w:w="100"/>
            </w:tcMar>
            <w:vAlign w:val="center"/>
          </w:tcPr>
          <w:p>
            <w:r>
              <w:rPr>
                <w:b w:val="false"/>
                <w:bCs w:val="false"/>
                <w:color w:val="1B1F27"/>
                <w:sz w:val="21"/>
                <w:szCs w:val="21"/>
              </w:rPr>
              <w:t xml:space="preserve">Universal washroom addition — minimum 1,700 x 2,200mm including rough-in</w:t>
            </w:r>
          </w:p>
        </w:tc>
        <w:tc>
          <w:tcPr>
            <w:tcW w:type="dxa" w:w="1300"/>
            <w:shd w:fill="FFFFFF" w:color="auto" w:val="clear"/>
            <w:tcMar>
              <w:top w:type="dxa" w:w="80"/>
              <w:left w:type="dxa" w:w="100"/>
              <w:bottom w:type="dxa" w:w="80"/>
              <w:right w:type="dxa" w:w="100"/>
            </w:tcMar>
            <w:vAlign w:val="center"/>
          </w:tcPr>
          <w:p>
            <w:r>
              <w:rPr>
                <w:b/>
                <w:bCs/>
                <w:color w:val="9A6B12"/>
                <w:sz w:val="21"/>
                <w:szCs w:val="21"/>
              </w:rPr>
              <w:t xml:space="preserve">Medium</w:t>
            </w:r>
          </w:p>
        </w:tc>
        <w:tc>
          <w:tcPr>
            <w:tcW w:type="dxa" w:w="1700"/>
            <w:shd w:fill="FFFFFF" w:color="auto" w:val="clear"/>
            <w:tcMar>
              <w:top w:type="dxa" w:w="80"/>
              <w:left w:type="dxa" w:w="100"/>
              <w:bottom w:type="dxa" w:w="80"/>
              <w:right w:type="dxa" w:w="100"/>
            </w:tcMar>
            <w:vAlign w:val="center"/>
          </w:tcPr>
          <w:p>
            <w:r>
              <w:rPr>
                <w:b w:val="false"/>
                <w:bCs w:val="false"/>
                <w:color w:val="1B1F27"/>
                <w:sz w:val="21"/>
                <w:szCs w:val="21"/>
              </w:rPr>
              <w:t xml:space="preserve">$18,000 – $32,000</w:t>
            </w:r>
          </w:p>
        </w:tc>
        <w:tc>
          <w:tcPr>
            <w:tcW w:type="dxa" w:w="1500"/>
            <w:shd w:fill="FFFFFF" w:color="auto" w:val="clear"/>
            <w:tcMar>
              <w:top w:type="dxa" w:w="80"/>
              <w:left w:type="dxa" w:w="100"/>
              <w:bottom w:type="dxa" w:w="80"/>
              <w:right w:type="dxa" w:w="100"/>
            </w:tcMar>
            <w:vAlign w:val="center"/>
          </w:tcPr>
          <w:p>
            <w:r>
              <w:rPr>
                <w:b w:val="false"/>
                <w:bCs w:val="false"/>
                <w:color w:val="1B1F27"/>
                <w:sz w:val="21"/>
                <w:szCs w:val="21"/>
              </w:rPr>
              <w:t xml:space="preserve">Year 2</w:t>
            </w:r>
          </w:p>
        </w:tc>
        <w:tc>
          <w:tcPr>
            <w:tcW w:type="dxa" w:w="2000"/>
            <w:shd w:fill="FFFFFF" w:color="auto" w:val="clear"/>
            <w:tcMar>
              <w:top w:type="dxa" w:w="80"/>
              <w:left w:type="dxa" w:w="100"/>
              <w:bottom w:type="dxa" w:w="80"/>
              <w:right w:type="dxa" w:w="100"/>
            </w:tcMar>
            <w:vAlign w:val="center"/>
          </w:tcPr>
          <w:p>
            <w:r>
              <w:rPr>
                <w:b w:val="false"/>
                <w:bCs w:val="false"/>
                <w:color w:val="1B1F27"/>
                <w:sz w:val="21"/>
                <w:szCs w:val="21"/>
              </w:rPr>
              <w:t xml:space="preserve">Cat. 5</w:t>
            </w:r>
          </w:p>
        </w:tc>
      </w:tr>
      <w:tr>
        <w:tc>
          <w:tcPr>
            <w:tcW w:type="dxa" w:w="4300"/>
            <w:shd w:fill="FBFAF6" w:color="auto" w:val="clear"/>
            <w:tcMar>
              <w:top w:type="dxa" w:w="80"/>
              <w:left w:type="dxa" w:w="100"/>
              <w:bottom w:type="dxa" w:w="80"/>
              <w:right w:type="dxa" w:w="100"/>
            </w:tcMar>
            <w:vAlign w:val="center"/>
          </w:tcPr>
          <w:p>
            <w:r>
              <w:rPr>
                <w:b w:val="false"/>
                <w:bCs w:val="false"/>
                <w:color w:val="1B1F27"/>
                <w:sz w:val="21"/>
                <w:szCs w:val="21"/>
              </w:rPr>
              <w:t xml:space="preserve">Install canopy/shelter over accessible parking spaces</w:t>
            </w:r>
          </w:p>
        </w:tc>
        <w:tc>
          <w:tcPr>
            <w:tcW w:type="dxa" w:w="1300"/>
            <w:shd w:fill="FBFAF6" w:color="auto" w:val="clear"/>
            <w:tcMar>
              <w:top w:type="dxa" w:w="80"/>
              <w:left w:type="dxa" w:w="100"/>
              <w:bottom w:type="dxa" w:w="80"/>
              <w:right w:type="dxa" w:w="100"/>
            </w:tcMar>
            <w:vAlign w:val="center"/>
          </w:tcPr>
          <w:p>
            <w:r>
              <w:rPr>
                <w:b/>
                <w:bCs/>
                <w:color w:val="9A6B12"/>
                <w:sz w:val="21"/>
                <w:szCs w:val="21"/>
              </w:rPr>
              <w:t xml:space="preserve">Medium</w:t>
            </w:r>
          </w:p>
        </w:tc>
        <w:tc>
          <w:tcPr>
            <w:tcW w:type="dxa" w:w="1700"/>
            <w:shd w:fill="FBFAF6" w:color="auto" w:val="clear"/>
            <w:tcMar>
              <w:top w:type="dxa" w:w="80"/>
              <w:left w:type="dxa" w:w="100"/>
              <w:bottom w:type="dxa" w:w="80"/>
              <w:right w:type="dxa" w:w="100"/>
            </w:tcMar>
            <w:vAlign w:val="center"/>
          </w:tcPr>
          <w:p>
            <w:r>
              <w:rPr>
                <w:b w:val="false"/>
                <w:bCs w:val="false"/>
                <w:color w:val="1B1F27"/>
                <w:sz w:val="21"/>
                <w:szCs w:val="21"/>
              </w:rPr>
              <w:t xml:space="preserve">$8,000 – $14,000</w:t>
            </w:r>
          </w:p>
        </w:tc>
        <w:tc>
          <w:tcPr>
            <w:tcW w:type="dxa" w:w="1500"/>
            <w:shd w:fill="FBFAF6" w:color="auto" w:val="clear"/>
            <w:tcMar>
              <w:top w:type="dxa" w:w="80"/>
              <w:left w:type="dxa" w:w="100"/>
              <w:bottom w:type="dxa" w:w="80"/>
              <w:right w:type="dxa" w:w="100"/>
            </w:tcMar>
            <w:vAlign w:val="center"/>
          </w:tcPr>
          <w:p>
            <w:r>
              <w:rPr>
                <w:b w:val="false"/>
                <w:bCs w:val="false"/>
                <w:color w:val="1B1F27"/>
                <w:sz w:val="21"/>
                <w:szCs w:val="21"/>
              </w:rPr>
              <w:t xml:space="preserve">Year 2</w:t>
            </w:r>
          </w:p>
        </w:tc>
        <w:tc>
          <w:tcPr>
            <w:tcW w:type="dxa" w:w="2000"/>
            <w:shd w:fill="FBFAF6" w:color="auto" w:val="clear"/>
            <w:tcMar>
              <w:top w:type="dxa" w:w="80"/>
              <w:left w:type="dxa" w:w="100"/>
              <w:bottom w:type="dxa" w:w="80"/>
              <w:right w:type="dxa" w:w="100"/>
            </w:tcMar>
            <w:vAlign w:val="center"/>
          </w:tcPr>
          <w:p>
            <w:r>
              <w:rPr>
                <w:b w:val="false"/>
                <w:bCs w:val="false"/>
                <w:color w:val="1B1F27"/>
                <w:sz w:val="21"/>
                <w:szCs w:val="21"/>
              </w:rPr>
              <w:t xml:space="preserve">Cat. 1</w:t>
            </w:r>
          </w:p>
        </w:tc>
      </w:tr>
    </w:tbl>
    <w:p>
      <w:pPr>
        <w:spacing w:after="120" w:before="280"/>
      </w:pPr>
      <w:r>
        <w:rPr>
          <w:b/>
          <w:bCs/>
          <w:color w:val="101B2D"/>
          <w:sz w:val="20"/>
          <w:szCs w:val="20"/>
        </w:rPr>
        <w:t xml:space="preserve">Quick Wins</w:t>
      </w:r>
      <w:r>
        <w:rPr>
          <w:i/>
          <w:iCs/>
          <w:color w:val="5B5A52"/>
          <w:sz w:val="21"/>
          <w:szCs w:val="21"/>
        </w:rPr>
        <w:t xml:space="preserve">  Near-zero-cost fixes actionable inside 30 days — ahead of any capital-budget cycle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1700"/>
        <w:gridCol w:w="1500"/>
        <w:gridCol w:w="2000"/>
      </w:tblGrid>
      <w:tr>
        <w:trPr>
          <w:tblHeader/>
        </w:trPr>
        <w:tc>
          <w:tcPr>
            <w:tcW w:type="dxa" w:w="4300"/>
            <w:shd w:fill="101B2D" w:color="auto" w:val="clear"/>
            <w:tcMar>
              <w:top w:type="dxa" w:w="90"/>
              <w:left w:type="dxa" w:w="100"/>
              <w:bottom w:type="dxa" w:w="90"/>
              <w:right w:type="dxa" w:w="100"/>
            </w:tcMar>
            <w:vAlign w:val="center"/>
          </w:tcPr>
          <w:p>
            <w:r>
              <w:rPr>
                <w:b/>
                <w:bCs/>
                <w:color w:val="FFFFFF"/>
                <w:sz w:val="20"/>
                <w:szCs w:val="20"/>
              </w:rPr>
              <w:t xml:space="preserve">Remediation Item</w:t>
            </w:r>
          </w:p>
        </w:tc>
        <w:tc>
          <w:tcPr>
            <w:tcW w:type="dxa" w:w="1300"/>
            <w:shd w:fill="101B2D" w:color="auto" w:val="clear"/>
            <w:tcMar>
              <w:top w:type="dxa" w:w="90"/>
              <w:left w:type="dxa" w:w="100"/>
              <w:bottom w:type="dxa" w:w="90"/>
              <w:right w:type="dxa" w:w="100"/>
            </w:tcMar>
            <w:vAlign w:val="center"/>
          </w:tcPr>
          <w:p>
            <w:r>
              <w:rPr>
                <w:b/>
                <w:bCs/>
                <w:color w:val="FFFFFF"/>
                <w:sz w:val="20"/>
                <w:szCs w:val="20"/>
              </w:rPr>
              <w:t xml:space="preserve">Priority</w:t>
            </w:r>
          </w:p>
        </w:tc>
        <w:tc>
          <w:tcPr>
            <w:tcW w:type="dxa" w:w="1700"/>
            <w:shd w:fill="101B2D" w:color="auto" w:val="clear"/>
            <w:tcMar>
              <w:top w:type="dxa" w:w="90"/>
              <w:left w:type="dxa" w:w="100"/>
              <w:bottom w:type="dxa" w:w="90"/>
              <w:right w:type="dxa" w:w="100"/>
            </w:tcMar>
            <w:vAlign w:val="center"/>
          </w:tcPr>
          <w:p>
            <w:r>
              <w:rPr>
                <w:b/>
                <w:bCs/>
                <w:color w:val="FFFFFF"/>
                <w:sz w:val="20"/>
                <w:szCs w:val="20"/>
              </w:rPr>
              <w:t xml:space="preserve">Est. Cost</w:t>
            </w:r>
          </w:p>
        </w:tc>
        <w:tc>
          <w:tcPr>
            <w:tcW w:type="dxa" w:w="1500"/>
            <w:shd w:fill="101B2D" w:color="auto" w:val="clear"/>
            <w:tcMar>
              <w:top w:type="dxa" w:w="90"/>
              <w:left w:type="dxa" w:w="100"/>
              <w:bottom w:type="dxa" w:w="90"/>
              <w:right w:type="dxa" w:w="100"/>
            </w:tcMar>
            <w:vAlign w:val="center"/>
          </w:tcPr>
          <w:p>
            <w:r>
              <w:rPr>
                <w:b/>
                <w:bCs/>
                <w:color w:val="FFFFFF"/>
                <w:sz w:val="20"/>
                <w:szCs w:val="20"/>
              </w:rPr>
              <w:t xml:space="preserve">Timeline</w:t>
            </w:r>
          </w:p>
        </w:tc>
        <w:tc>
          <w:tcPr>
            <w:tcW w:type="dxa" w:w="2000"/>
            <w:shd w:fill="101B2D" w:color="auto" w:val="clear"/>
            <w:tcMar>
              <w:top w:type="dxa" w:w="90"/>
              <w:left w:type="dxa" w:w="100"/>
              <w:bottom w:type="dxa" w:w="90"/>
              <w:right w:type="dxa" w:w="100"/>
            </w:tcMar>
            <w:vAlign w:val="center"/>
          </w:tcPr>
          <w:p>
            <w:r>
              <w:rPr>
                <w:b/>
                <w:bCs/>
                <w:color w:val="FFFFFF"/>
                <w:sz w:val="20"/>
                <w:szCs w:val="20"/>
              </w:rPr>
              <w:t xml:space="preserve">Category</w:t>
            </w:r>
          </w:p>
        </w:tc>
      </w:tr>
      <w:tr>
        <w:tc>
          <w:tcPr>
            <w:tcW w:type="dxa" w:w="4300"/>
            <w:shd w:fill="FFFFFF" w:color="auto" w:val="clear"/>
            <w:tcMar>
              <w:top w:type="dxa" w:w="80"/>
              <w:left w:type="dxa" w:w="100"/>
              <w:bottom w:type="dxa" w:w="80"/>
              <w:right w:type="dxa" w:w="100"/>
            </w:tcMar>
            <w:vAlign w:val="center"/>
          </w:tcPr>
          <w:p>
            <w:r>
              <w:rPr>
                <w:b w:val="false"/>
                <w:bCs w:val="false"/>
                <w:color w:val="1B1F27"/>
                <w:sz w:val="21"/>
                <w:szCs w:val="21"/>
              </w:rPr>
              <w:t xml:space="preserve">Install directional signage to accessible washroom from lobby</w:t>
            </w:r>
          </w:p>
        </w:tc>
        <w:tc>
          <w:tcPr>
            <w:tcW w:type="dxa" w:w="1300"/>
            <w:shd w:fill="FFFFFF" w:color="auto" w:val="clear"/>
            <w:tcMar>
              <w:top w:type="dxa" w:w="80"/>
              <w:left w:type="dxa" w:w="100"/>
              <w:bottom w:type="dxa" w:w="80"/>
              <w:right w:type="dxa" w:w="100"/>
            </w:tcMar>
            <w:vAlign w:val="center"/>
          </w:tcPr>
          <w:p>
            <w:r>
              <w:rPr>
                <w:b/>
                <w:bCs/>
                <w:color w:val="1E7A3D"/>
                <w:sz w:val="21"/>
                <w:szCs w:val="21"/>
              </w:rPr>
              <w:t xml:space="preserve">Quick Win</w:t>
            </w:r>
          </w:p>
        </w:tc>
        <w:tc>
          <w:tcPr>
            <w:tcW w:type="dxa" w:w="1700"/>
            <w:shd w:fill="FFFFFF" w:color="auto" w:val="clear"/>
            <w:tcMar>
              <w:top w:type="dxa" w:w="80"/>
              <w:left w:type="dxa" w:w="100"/>
              <w:bottom w:type="dxa" w:w="80"/>
              <w:right w:type="dxa" w:w="100"/>
            </w:tcMar>
            <w:vAlign w:val="center"/>
          </w:tcPr>
          <w:p>
            <w:r>
              <w:rPr>
                <w:b w:val="false"/>
                <w:bCs w:val="false"/>
                <w:color w:val="1B1F27"/>
                <w:sz w:val="21"/>
                <w:szCs w:val="21"/>
              </w:rPr>
              <w:t xml:space="preserve">$180 – $320</w:t>
            </w:r>
          </w:p>
        </w:tc>
        <w:tc>
          <w:tcPr>
            <w:tcW w:type="dxa" w:w="1500"/>
            <w:shd w:fill="FFFFFF" w:color="auto" w:val="clear"/>
            <w:tcMar>
              <w:top w:type="dxa" w:w="80"/>
              <w:left w:type="dxa" w:w="100"/>
              <w:bottom w:type="dxa" w:w="80"/>
              <w:right w:type="dxa" w:w="100"/>
            </w:tcMar>
            <w:vAlign w:val="center"/>
          </w:tcPr>
          <w:p>
            <w:r>
              <w:rPr>
                <w:b w:val="false"/>
                <w:bCs w:val="false"/>
                <w:color w:val="1B1F27"/>
                <w:sz w:val="21"/>
                <w:szCs w:val="21"/>
              </w:rPr>
              <w:t xml:space="preserve">This week</w:t>
            </w:r>
          </w:p>
        </w:tc>
        <w:tc>
          <w:tcPr>
            <w:tcW w:type="dxa" w:w="2000"/>
            <w:shd w:fill="FFFFFF" w:color="auto" w:val="clear"/>
            <w:tcMar>
              <w:top w:type="dxa" w:w="80"/>
              <w:left w:type="dxa" w:w="100"/>
              <w:bottom w:type="dxa" w:w="80"/>
              <w:right w:type="dxa" w:w="100"/>
            </w:tcMar>
            <w:vAlign w:val="center"/>
          </w:tcPr>
          <w:p>
            <w:r>
              <w:rPr>
                <w:b w:val="false"/>
                <w:bCs w:val="false"/>
                <w:color w:val="1B1F27"/>
                <w:sz w:val="21"/>
                <w:szCs w:val="21"/>
              </w:rPr>
              <w:t xml:space="preserve">Cat. 6</w:t>
            </w:r>
          </w:p>
        </w:tc>
      </w:tr>
      <w:tr>
        <w:tc>
          <w:tcPr>
            <w:tcW w:type="dxa" w:w="4300"/>
            <w:shd w:fill="FBFAF6" w:color="auto" w:val="clear"/>
            <w:tcMar>
              <w:top w:type="dxa" w:w="80"/>
              <w:left w:type="dxa" w:w="100"/>
              <w:bottom w:type="dxa" w:w="80"/>
              <w:right w:type="dxa" w:w="100"/>
            </w:tcMar>
            <w:vAlign w:val="center"/>
          </w:tcPr>
          <w:p>
            <w:r>
              <w:rPr>
                <w:b w:val="false"/>
                <w:bCs w:val="false"/>
                <w:color w:val="1B1F27"/>
                <w:sz w:val="21"/>
                <w:szCs w:val="21"/>
              </w:rPr>
              <w:t xml:space="preserve">Reposition periodical shelving to restore 1,500mm aisle width</w:t>
            </w:r>
          </w:p>
        </w:tc>
        <w:tc>
          <w:tcPr>
            <w:tcW w:type="dxa" w:w="1300"/>
            <w:shd w:fill="FBFAF6" w:color="auto" w:val="clear"/>
            <w:tcMar>
              <w:top w:type="dxa" w:w="80"/>
              <w:left w:type="dxa" w:w="100"/>
              <w:bottom w:type="dxa" w:w="80"/>
              <w:right w:type="dxa" w:w="100"/>
            </w:tcMar>
            <w:vAlign w:val="center"/>
          </w:tcPr>
          <w:p>
            <w:r>
              <w:rPr>
                <w:b/>
                <w:bCs/>
                <w:color w:val="1E7A3D"/>
                <w:sz w:val="21"/>
                <w:szCs w:val="21"/>
              </w:rPr>
              <w:t xml:space="preserve">Quick Win</w:t>
            </w:r>
          </w:p>
        </w:tc>
        <w:tc>
          <w:tcPr>
            <w:tcW w:type="dxa" w:w="1700"/>
            <w:shd w:fill="FBFAF6" w:color="auto" w:val="clear"/>
            <w:tcMar>
              <w:top w:type="dxa" w:w="80"/>
              <w:left w:type="dxa" w:w="100"/>
              <w:bottom w:type="dxa" w:w="80"/>
              <w:right w:type="dxa" w:w="100"/>
            </w:tcMar>
            <w:vAlign w:val="center"/>
          </w:tcPr>
          <w:p>
            <w:r>
              <w:rPr>
                <w:b w:val="false"/>
                <w:bCs w:val="false"/>
                <w:color w:val="1B1F27"/>
                <w:sz w:val="21"/>
                <w:szCs w:val="21"/>
              </w:rPr>
              <w:t xml:space="preserve">$0 — staff action</w:t>
            </w:r>
          </w:p>
        </w:tc>
        <w:tc>
          <w:tcPr>
            <w:tcW w:type="dxa" w:w="1500"/>
            <w:shd w:fill="FBFAF6" w:color="auto" w:val="clear"/>
            <w:tcMar>
              <w:top w:type="dxa" w:w="80"/>
              <w:left w:type="dxa" w:w="100"/>
              <w:bottom w:type="dxa" w:w="80"/>
              <w:right w:type="dxa" w:w="100"/>
            </w:tcMar>
            <w:vAlign w:val="center"/>
          </w:tcPr>
          <w:p>
            <w:r>
              <w:rPr>
                <w:b w:val="false"/>
                <w:bCs w:val="false"/>
                <w:color w:val="1B1F27"/>
                <w:sz w:val="21"/>
                <w:szCs w:val="21"/>
              </w:rPr>
              <w:t xml:space="preserve">This week</w:t>
            </w:r>
          </w:p>
        </w:tc>
        <w:tc>
          <w:tcPr>
            <w:tcW w:type="dxa" w:w="2000"/>
            <w:shd w:fill="FBFAF6" w:color="auto" w:val="clear"/>
            <w:tcMar>
              <w:top w:type="dxa" w:w="80"/>
              <w:left w:type="dxa" w:w="100"/>
              <w:bottom w:type="dxa" w:w="80"/>
              <w:right w:type="dxa" w:w="100"/>
            </w:tcMar>
            <w:vAlign w:val="center"/>
          </w:tcPr>
          <w:p>
            <w:r>
              <w:rPr>
                <w:b w:val="false"/>
                <w:bCs w:val="false"/>
                <w:color w:val="1B1F27"/>
                <w:sz w:val="21"/>
                <w:szCs w:val="21"/>
              </w:rPr>
              <w:t xml:space="preserve">Cat. 3/8</w:t>
            </w:r>
          </w:p>
        </w:tc>
      </w:tr>
      <w:tr>
        <w:tc>
          <w:tcPr>
            <w:tcW w:type="dxa" w:w="4300"/>
            <w:shd w:fill="FFFFFF" w:color="auto" w:val="clear"/>
            <w:tcMar>
              <w:top w:type="dxa" w:w="80"/>
              <w:left w:type="dxa" w:w="100"/>
              <w:bottom w:type="dxa" w:w="80"/>
              <w:right w:type="dxa" w:w="100"/>
            </w:tcMar>
            <w:vAlign w:val="center"/>
          </w:tcPr>
          <w:p>
            <w:r>
              <w:rPr>
                <w:b w:val="false"/>
                <w:bCs w:val="false"/>
                <w:color w:val="1B1F27"/>
                <w:sz w:val="21"/>
                <w:szCs w:val="21"/>
              </w:rPr>
              <w:t xml:space="preserve">Remediate website — alt-text and colour contrast on events calendar</w:t>
            </w:r>
          </w:p>
        </w:tc>
        <w:tc>
          <w:tcPr>
            <w:tcW w:type="dxa" w:w="1300"/>
            <w:shd w:fill="FFFFFF" w:color="auto" w:val="clear"/>
            <w:tcMar>
              <w:top w:type="dxa" w:w="80"/>
              <w:left w:type="dxa" w:w="100"/>
              <w:bottom w:type="dxa" w:w="80"/>
              <w:right w:type="dxa" w:w="100"/>
            </w:tcMar>
            <w:vAlign w:val="center"/>
          </w:tcPr>
          <w:p>
            <w:r>
              <w:rPr>
                <w:b/>
                <w:bCs/>
                <w:color w:val="1E7A3D"/>
                <w:sz w:val="21"/>
                <w:szCs w:val="21"/>
              </w:rPr>
              <w:t xml:space="preserve">Quick Win</w:t>
            </w:r>
          </w:p>
        </w:tc>
        <w:tc>
          <w:tcPr>
            <w:tcW w:type="dxa" w:w="1700"/>
            <w:shd w:fill="FFFFFF" w:color="auto" w:val="clear"/>
            <w:tcMar>
              <w:top w:type="dxa" w:w="80"/>
              <w:left w:type="dxa" w:w="100"/>
              <w:bottom w:type="dxa" w:w="80"/>
              <w:right w:type="dxa" w:w="100"/>
            </w:tcMar>
            <w:vAlign w:val="center"/>
          </w:tcPr>
          <w:p>
            <w:r>
              <w:rPr>
                <w:b w:val="false"/>
                <w:bCs w:val="false"/>
                <w:color w:val="1B1F27"/>
                <w:sz w:val="21"/>
                <w:szCs w:val="21"/>
              </w:rPr>
              <w:t xml:space="preserve">$800 – $2,000</w:t>
            </w:r>
          </w:p>
        </w:tc>
        <w:tc>
          <w:tcPr>
            <w:tcW w:type="dxa" w:w="1500"/>
            <w:shd w:fill="FFFFFF" w:color="auto" w:val="clear"/>
            <w:tcMar>
              <w:top w:type="dxa" w:w="80"/>
              <w:left w:type="dxa" w:w="100"/>
              <w:bottom w:type="dxa" w:w="80"/>
              <w:right w:type="dxa" w:w="100"/>
            </w:tcMar>
            <w:vAlign w:val="center"/>
          </w:tcPr>
          <w:p>
            <w:r>
              <w:rPr>
                <w:b w:val="false"/>
                <w:bCs w:val="false"/>
                <w:color w:val="1B1F27"/>
                <w:sz w:val="21"/>
                <w:szCs w:val="21"/>
              </w:rPr>
              <w:t xml:space="preserve">90 days</w:t>
            </w:r>
          </w:p>
        </w:tc>
        <w:tc>
          <w:tcPr>
            <w:tcW w:type="dxa" w:w="2000"/>
            <w:shd w:fill="FFFFFF" w:color="auto" w:val="clear"/>
            <w:tcMar>
              <w:top w:type="dxa" w:w="80"/>
              <w:left w:type="dxa" w:w="100"/>
              <w:bottom w:type="dxa" w:w="80"/>
              <w:right w:type="dxa" w:w="100"/>
            </w:tcMar>
            <w:vAlign w:val="center"/>
          </w:tcPr>
          <w:p>
            <w:r>
              <w:rPr>
                <w:b w:val="false"/>
                <w:bCs w:val="false"/>
                <w:color w:val="1B1F27"/>
                <w:sz w:val="21"/>
                <w:szCs w:val="21"/>
              </w:rPr>
              <w:t xml:space="preserve">Cat. 12</w:t>
            </w:r>
          </w:p>
        </w:tc>
      </w:tr>
      <w:tr>
        <w:tc>
          <w:tcPr>
            <w:tcW w:type="dxa" w:w="4300"/>
            <w:shd w:fill="FBFAF6" w:color="auto" w:val="clear"/>
            <w:tcMar>
              <w:top w:type="dxa" w:w="80"/>
              <w:left w:type="dxa" w:w="100"/>
              <w:bottom w:type="dxa" w:w="80"/>
              <w:right w:type="dxa" w:w="100"/>
            </w:tcMar>
            <w:vAlign w:val="center"/>
          </w:tcPr>
          <w:p>
            <w:r>
              <w:rPr>
                <w:b w:val="false"/>
                <w:bCs w:val="false"/>
                <w:color w:val="1B1F27"/>
                <w:sz w:val="21"/>
                <w:szCs w:val="21"/>
              </w:rPr>
              <w:t xml:space="preserve">Reprogram elevator audio floor announcements</w:t>
            </w:r>
          </w:p>
        </w:tc>
        <w:tc>
          <w:tcPr>
            <w:tcW w:type="dxa" w:w="1300"/>
            <w:shd w:fill="FBFAF6" w:color="auto" w:val="clear"/>
            <w:tcMar>
              <w:top w:type="dxa" w:w="80"/>
              <w:left w:type="dxa" w:w="100"/>
              <w:bottom w:type="dxa" w:w="80"/>
              <w:right w:type="dxa" w:w="100"/>
            </w:tcMar>
            <w:vAlign w:val="center"/>
          </w:tcPr>
          <w:p>
            <w:r>
              <w:rPr>
                <w:b/>
                <w:bCs/>
                <w:color w:val="1E7A3D"/>
                <w:sz w:val="21"/>
                <w:szCs w:val="21"/>
              </w:rPr>
              <w:t xml:space="preserve">Quick Win</w:t>
            </w:r>
          </w:p>
        </w:tc>
        <w:tc>
          <w:tcPr>
            <w:tcW w:type="dxa" w:w="1700"/>
            <w:shd w:fill="FBFAF6" w:color="auto" w:val="clear"/>
            <w:tcMar>
              <w:top w:type="dxa" w:w="80"/>
              <w:left w:type="dxa" w:w="100"/>
              <w:bottom w:type="dxa" w:w="80"/>
              <w:right w:type="dxa" w:w="100"/>
            </w:tcMar>
            <w:vAlign w:val="center"/>
          </w:tcPr>
          <w:p>
            <w:r>
              <w:rPr>
                <w:b w:val="false"/>
                <w:bCs w:val="false"/>
                <w:color w:val="1B1F27"/>
                <w:sz w:val="21"/>
                <w:szCs w:val="21"/>
              </w:rPr>
              <w:t xml:space="preserve">$200 – $400</w:t>
            </w:r>
          </w:p>
        </w:tc>
        <w:tc>
          <w:tcPr>
            <w:tcW w:type="dxa" w:w="1500"/>
            <w:shd w:fill="FBFAF6" w:color="auto" w:val="clear"/>
            <w:tcMar>
              <w:top w:type="dxa" w:w="80"/>
              <w:left w:type="dxa" w:w="100"/>
              <w:bottom w:type="dxa" w:w="80"/>
              <w:right w:type="dxa" w:w="100"/>
            </w:tcMar>
            <w:vAlign w:val="center"/>
          </w:tcPr>
          <w:p>
            <w:r>
              <w:rPr>
                <w:b w:val="false"/>
                <w:bCs w:val="false"/>
                <w:color w:val="1B1F27"/>
                <w:sz w:val="21"/>
                <w:szCs w:val="21"/>
              </w:rPr>
              <w:t xml:space="preserve">30 days</w:t>
            </w:r>
          </w:p>
        </w:tc>
        <w:tc>
          <w:tcPr>
            <w:tcW w:type="dxa" w:w="2000"/>
            <w:shd w:fill="FBFAF6" w:color="auto" w:val="clear"/>
            <w:tcMar>
              <w:top w:type="dxa" w:w="80"/>
              <w:left w:type="dxa" w:w="100"/>
              <w:bottom w:type="dxa" w:w="80"/>
              <w:right w:type="dxa" w:w="100"/>
            </w:tcMar>
            <w:vAlign w:val="center"/>
          </w:tcPr>
          <w:p>
            <w:r>
              <w:rPr>
                <w:b w:val="false"/>
                <w:bCs w:val="false"/>
                <w:color w:val="1B1F27"/>
                <w:sz w:val="21"/>
                <w:szCs w:val="21"/>
              </w:rPr>
              <w:t xml:space="preserve">Cat. 3</w:t>
            </w:r>
          </w:p>
        </w:tc>
      </w:tr>
      <w:tr>
        <w:tc>
          <w:tcPr>
            <w:tcW w:type="dxa" w:w="4300"/>
            <w:shd w:fill="FFFFFF" w:color="auto" w:val="clear"/>
            <w:tcMar>
              <w:top w:type="dxa" w:w="80"/>
              <w:left w:type="dxa" w:w="100"/>
              <w:bottom w:type="dxa" w:w="80"/>
              <w:right w:type="dxa" w:w="100"/>
            </w:tcMar>
            <w:vAlign w:val="center"/>
          </w:tcPr>
          <w:p>
            <w:r>
              <w:rPr>
                <w:b w:val="false"/>
                <w:bCs w:val="false"/>
                <w:color w:val="1B1F27"/>
                <w:sz w:val="21"/>
                <w:szCs w:val="21"/>
              </w:rPr>
              <w:t xml:space="preserve">Repaint accessible parking crossing markings</w:t>
            </w:r>
          </w:p>
        </w:tc>
        <w:tc>
          <w:tcPr>
            <w:tcW w:type="dxa" w:w="1300"/>
            <w:shd w:fill="FFFFFF" w:color="auto" w:val="clear"/>
            <w:tcMar>
              <w:top w:type="dxa" w:w="80"/>
              <w:left w:type="dxa" w:w="100"/>
              <w:bottom w:type="dxa" w:w="80"/>
              <w:right w:type="dxa" w:w="100"/>
            </w:tcMar>
            <w:vAlign w:val="center"/>
          </w:tcPr>
          <w:p>
            <w:r>
              <w:rPr>
                <w:b/>
                <w:bCs/>
                <w:color w:val="1E7A3D"/>
                <w:sz w:val="21"/>
                <w:szCs w:val="21"/>
              </w:rPr>
              <w:t xml:space="preserve">Quick Win</w:t>
            </w:r>
          </w:p>
        </w:tc>
        <w:tc>
          <w:tcPr>
            <w:tcW w:type="dxa" w:w="1700"/>
            <w:shd w:fill="FFFFFF" w:color="auto" w:val="clear"/>
            <w:tcMar>
              <w:top w:type="dxa" w:w="80"/>
              <w:left w:type="dxa" w:w="100"/>
              <w:bottom w:type="dxa" w:w="80"/>
              <w:right w:type="dxa" w:w="100"/>
            </w:tcMar>
            <w:vAlign w:val="center"/>
          </w:tcPr>
          <w:p>
            <w:r>
              <w:rPr>
                <w:b w:val="false"/>
                <w:bCs w:val="false"/>
                <w:color w:val="1B1F27"/>
                <w:sz w:val="21"/>
                <w:szCs w:val="21"/>
              </w:rPr>
              <w:t xml:space="preserve">$400 – $800</w:t>
            </w:r>
          </w:p>
        </w:tc>
        <w:tc>
          <w:tcPr>
            <w:tcW w:type="dxa" w:w="1500"/>
            <w:shd w:fill="FFFFFF" w:color="auto" w:val="clear"/>
            <w:tcMar>
              <w:top w:type="dxa" w:w="80"/>
              <w:left w:type="dxa" w:w="100"/>
              <w:bottom w:type="dxa" w:w="80"/>
              <w:right w:type="dxa" w:w="100"/>
            </w:tcMar>
            <w:vAlign w:val="center"/>
          </w:tcPr>
          <w:p>
            <w:r>
              <w:rPr>
                <w:b w:val="false"/>
                <w:bCs w:val="false"/>
                <w:color w:val="1B1F27"/>
                <w:sz w:val="21"/>
                <w:szCs w:val="21"/>
              </w:rPr>
              <w:t xml:space="preserve">Spring 2027</w:t>
            </w:r>
          </w:p>
        </w:tc>
        <w:tc>
          <w:tcPr>
            <w:tcW w:type="dxa" w:w="2000"/>
            <w:shd w:fill="FFFFFF" w:color="auto" w:val="clear"/>
            <w:tcMar>
              <w:top w:type="dxa" w:w="80"/>
              <w:left w:type="dxa" w:w="100"/>
              <w:bottom w:type="dxa" w:w="80"/>
              <w:right w:type="dxa" w:w="100"/>
            </w:tcMar>
            <w:vAlign w:val="center"/>
          </w:tcPr>
          <w:p>
            <w:r>
              <w:rPr>
                <w:b w:val="false"/>
                <w:bCs w:val="false"/>
                <w:color w:val="1B1F27"/>
                <w:sz w:val="21"/>
                <w:szCs w:val="21"/>
              </w:rPr>
              <w:t xml:space="preserve">Cat. 1</w:t>
            </w:r>
          </w:p>
        </w:tc>
      </w:tr>
    </w:tbl>
    <w:p>
      <w:pPr>
        <w:spacing w:after="160"/>
      </w:pPr>
      <w:r>
        <w:rPr>
          <w:i/>
          <w:iCs/>
          <w:color w:val="5B5A52"/>
          <w:sz w:val="19"/>
          <w:szCs w:val="19"/>
        </w:rPr>
        <w:t xml:space="preserve">Note: the accessible-parking canopy (Category 1, currently a FAIL finding, est. $8,000–$14,000) is included above. It was identified in the detailed findings but omitted from the remediation plan in an earlier draft of this report — it is reconciled into the Medium Priority group here and reflected in the total below.</w:t>
      </w:r>
    </w:p>
    <w:p>
      <w:pPr>
        <w:pBdr>
          <w:top w:val="single" w:color="D9D2BF" w:sz="2"/>
          <w:bottom w:val="single" w:color="D9D2BF" w:sz="2"/>
          <w:left w:val="single" w:color="D9D2BF" w:sz="2"/>
          <w:right w:val="single" w:color="D9D2BF" w:sz="2"/>
        </w:pBdr>
        <w:shd w:fill="F5F1E8" w:color="auto" w:val="clear"/>
        <w:spacing w:before="240"/>
      </w:pPr>
      <w:r>
        <w:rPr>
          <w:b/>
          <w:bCs/>
          <w:color w:val="101B2D"/>
          <w:sz w:val="21"/>
          <w:szCs w:val="21"/>
        </w:rPr>
        <w:t xml:space="preserve">TOTAL ESTIMATED REMEDIATION: $79,120 – $137,430 CAD before grants  |  EAF Small Projects stream: up to $125,000 per project (Small Projects intake is periodic — confirm current call-for-proposals status before citing in a live application)</w:t>
      </w:r>
    </w:p>
    <w:p>
      <w:pPr>
        <w:pStyle w:val="Heading1"/>
        <w:spacing w:after="60"/>
      </w:pPr>
      <w:r>
        <w:rPr>
          <w:rFonts w:ascii="Georgia" w:cs="Georgia" w:eastAsia="Georgia" w:hAnsi="Georgia"/>
          <w:color w:val="101B2D"/>
        </w:rPr>
        <w:t xml:space="preserve">6. Next Dollar Impact — Certification Pathway</w:t>
      </w:r>
    </w:p>
    <w:p>
      <w:pPr>
        <w:spacing w:after="160"/>
      </w:pPr>
      <w:r>
        <w:rPr>
          <w:color w:val="1B1F27"/>
          <w:sz w:val="24"/>
          <w:szCs w:val="24"/>
        </w:rPr>
        <w:t xml:space="preserve">What this section answers: if the Town of Clearwater can only spend a limited amount right now, this section identifies which actions deliver the most compliance improvement per dollar spent. Life safety items are flagged separately — they are mandatory regardless of cost or score impact. All other items are ranked by points recovered per dollar invested.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2160"/>
        <w:gridCol w:w="1620"/>
        <w:gridCol w:w="2160"/>
      </w:tblGrid>
      <w:tr>
        <w:trPr>
          <w:tblHeader/>
        </w:trPr>
        <w:tc>
          <w:tcPr>
            <w:tcW w:type="dxa" w:w="2700"/>
            <w:shd w:fill="101B2D" w:color="auto" w:val="clear"/>
            <w:tcMar>
              <w:top w:type="dxa" w:w="90"/>
              <w:left w:type="dxa" w:w="100"/>
              <w:bottom w:type="dxa" w:w="90"/>
              <w:right w:type="dxa" w:w="100"/>
            </w:tcMar>
            <w:vAlign w:val="center"/>
          </w:tcPr>
          <w:p>
            <w:r>
              <w:rPr>
                <w:b/>
                <w:bCs/>
                <w:color w:val="FFFFFF"/>
                <w:sz w:val="20"/>
                <w:szCs w:val="20"/>
              </w:rPr>
              <w:t xml:space="preserve">Certification Status</w:t>
            </w:r>
          </w:p>
        </w:tc>
        <w:tc>
          <w:tcPr>
            <w:tcW w:type="dxa" w:w="2160"/>
            <w:shd w:fill="101B2D" w:color="auto" w:val="clear"/>
            <w:tcMar>
              <w:top w:type="dxa" w:w="90"/>
              <w:left w:type="dxa" w:w="100"/>
              <w:bottom w:type="dxa" w:w="90"/>
              <w:right w:type="dxa" w:w="100"/>
            </w:tcMar>
            <w:vAlign w:val="center"/>
          </w:tcPr>
          <w:p>
            <w:r>
              <w:rPr>
                <w:b/>
                <w:bCs/>
                <w:color w:val="FFFFFF"/>
                <w:sz w:val="20"/>
                <w:szCs w:val="20"/>
              </w:rPr>
              <w:t xml:space="preserve">Points Required</w:t>
            </w:r>
          </w:p>
        </w:tc>
        <w:tc>
          <w:tcPr>
            <w:tcW w:type="dxa" w:w="2160"/>
            <w:shd w:fill="101B2D" w:color="auto" w:val="clear"/>
            <w:tcMar>
              <w:top w:type="dxa" w:w="90"/>
              <w:left w:type="dxa" w:w="100"/>
              <w:bottom w:type="dxa" w:w="90"/>
              <w:right w:type="dxa" w:w="100"/>
            </w:tcMar>
            <w:vAlign w:val="center"/>
          </w:tcPr>
          <w:p>
            <w:r>
              <w:rPr>
                <w:b/>
                <w:bCs/>
                <w:color w:val="FFFFFF"/>
                <w:sz w:val="20"/>
                <w:szCs w:val="20"/>
              </w:rPr>
              <w:t xml:space="preserve">Current Points</w:t>
            </w:r>
          </w:p>
        </w:tc>
        <w:tc>
          <w:tcPr>
            <w:tcW w:type="dxa" w:w="1620"/>
            <w:shd w:fill="101B2D" w:color="auto" w:val="clear"/>
            <w:tcMar>
              <w:top w:type="dxa" w:w="90"/>
              <w:left w:type="dxa" w:w="100"/>
              <w:bottom w:type="dxa" w:w="90"/>
              <w:right w:type="dxa" w:w="100"/>
            </w:tcMar>
            <w:vAlign w:val="center"/>
          </w:tcPr>
          <w:p>
            <w:r>
              <w:rPr>
                <w:b/>
                <w:bCs/>
                <w:color w:val="FFFFFF"/>
                <w:sz w:val="20"/>
                <w:szCs w:val="20"/>
              </w:rPr>
              <w:t xml:space="preserve">Gap</w:t>
            </w:r>
          </w:p>
        </w:tc>
        <w:tc>
          <w:tcPr>
            <w:tcW w:type="dxa" w:w="2160"/>
            <w:shd w:fill="101B2D" w:color="auto" w:val="clear"/>
            <w:tcMar>
              <w:top w:type="dxa" w:w="90"/>
              <w:left w:type="dxa" w:w="100"/>
              <w:bottom w:type="dxa" w:w="90"/>
              <w:right w:type="dxa" w:w="100"/>
            </w:tcMar>
            <w:vAlign w:val="center"/>
          </w:tcPr>
          <w:p>
            <w:r>
              <w:rPr>
                <w:b/>
                <w:bCs/>
                <w:color w:val="FFFFFF"/>
                <w:sz w:val="20"/>
                <w:szCs w:val="20"/>
              </w:rPr>
              <w:t xml:space="preserve">Minimum Spend to Close Gap</w:t>
            </w:r>
          </w:p>
        </w:tc>
      </w:tr>
      <w:tr>
        <w:tc>
          <w:tcPr>
            <w:tcW w:type="dxa" w:w="2700"/>
            <w:shd w:fill="FFFFFF" w:color="auto" w:val="clear"/>
            <w:tcMar>
              <w:top w:type="dxa" w:w="80"/>
              <w:left w:type="dxa" w:w="100"/>
              <w:bottom w:type="dxa" w:w="80"/>
              <w:right w:type="dxa" w:w="100"/>
            </w:tcMar>
            <w:vAlign w:val="center"/>
          </w:tcPr>
          <w:p>
            <w:r>
              <w:rPr>
                <w:b/>
                <w:bCs/>
                <w:color w:val="101B2D"/>
                <w:sz w:val="21"/>
                <w:szCs w:val="21"/>
              </w:rPr>
              <w:t xml:space="preserve">RHF Accessibility Certified</w:t>
            </w:r>
          </w:p>
        </w:tc>
        <w:tc>
          <w:tcPr>
            <w:tcW w:type="dxa" w:w="2160"/>
            <w:shd w:fill="FFFFFF" w:color="auto" w:val="clear"/>
            <w:tcMar>
              <w:top w:type="dxa" w:w="80"/>
              <w:left w:type="dxa" w:w="100"/>
              <w:bottom w:type="dxa" w:w="80"/>
              <w:right w:type="dxa" w:w="100"/>
            </w:tcMar>
            <w:vAlign w:val="center"/>
          </w:tcPr>
          <w:p>
            <w:r>
              <w:rPr>
                <w:b w:val="false"/>
                <w:bCs w:val="false"/>
                <w:color w:val="1B1F27"/>
                <w:sz w:val="21"/>
                <w:szCs w:val="21"/>
              </w:rPr>
              <w:t xml:space="preserve">751 pts (60%)</w:t>
            </w:r>
          </w:p>
        </w:tc>
        <w:tc>
          <w:tcPr>
            <w:tcW w:type="dxa" w:w="2160"/>
            <w:shd w:fill="FFFFFF" w:color="auto" w:val="clear"/>
            <w:tcMar>
              <w:top w:type="dxa" w:w="80"/>
              <w:left w:type="dxa" w:w="100"/>
              <w:bottom w:type="dxa" w:w="80"/>
              <w:right w:type="dxa" w:w="100"/>
            </w:tcMar>
            <w:vAlign w:val="center"/>
          </w:tcPr>
          <w:p>
            <w:r>
              <w:rPr>
                <w:b w:val="false"/>
                <w:bCs w:val="false"/>
                <w:color w:val="1B1F27"/>
                <w:sz w:val="21"/>
                <w:szCs w:val="21"/>
              </w:rPr>
              <w:t xml:space="preserve">709 pts (56%)</w:t>
            </w:r>
          </w:p>
        </w:tc>
        <w:tc>
          <w:tcPr>
            <w:tcW w:type="dxa" w:w="1620"/>
            <w:shd w:fill="FFFFFF" w:color="auto" w:val="clear"/>
            <w:tcMar>
              <w:top w:type="dxa" w:w="80"/>
              <w:left w:type="dxa" w:w="100"/>
              <w:bottom w:type="dxa" w:w="80"/>
              <w:right w:type="dxa" w:w="100"/>
            </w:tcMar>
            <w:vAlign w:val="center"/>
          </w:tcPr>
          <w:p>
            <w:r>
              <w:rPr>
                <w:b w:val="false"/>
                <w:bCs w:val="false"/>
                <w:color w:val="1B1F27"/>
                <w:sz w:val="21"/>
                <w:szCs w:val="21"/>
              </w:rPr>
              <w:t xml:space="preserve">42 pts</w:t>
            </w:r>
          </w:p>
        </w:tc>
        <w:tc>
          <w:tcPr>
            <w:tcW w:type="dxa" w:w="2160"/>
            <w:shd w:fill="FFFFFF" w:color="auto" w:val="clear"/>
            <w:tcMar>
              <w:top w:type="dxa" w:w="80"/>
              <w:left w:type="dxa" w:w="100"/>
              <w:bottom w:type="dxa" w:w="80"/>
              <w:right w:type="dxa" w:w="100"/>
            </w:tcMar>
            <w:vAlign w:val="center"/>
          </w:tcPr>
          <w:p>
            <w:r>
              <w:rPr>
                <w:b w:val="false"/>
                <w:bCs w:val="false"/>
                <w:color w:val="1B1F27"/>
                <w:sz w:val="21"/>
                <w:szCs w:val="21"/>
              </w:rPr>
              <w:t xml:space="preserve">$1,360–$3,070 across five ranked low-cost actions — shelving repositioning alone is free and closes 18 of the 42 points</w:t>
            </w:r>
          </w:p>
        </w:tc>
      </w:tr>
      <w:tr>
        <w:tc>
          <w:tcPr>
            <w:tcW w:type="dxa" w:w="2700"/>
            <w:shd w:fill="FBFAF6" w:color="auto" w:val="clear"/>
            <w:tcMar>
              <w:top w:type="dxa" w:w="80"/>
              <w:left w:type="dxa" w:w="100"/>
              <w:bottom w:type="dxa" w:w="80"/>
              <w:right w:type="dxa" w:w="100"/>
            </w:tcMar>
            <w:vAlign w:val="center"/>
          </w:tcPr>
          <w:p>
            <w:r>
              <w:rPr>
                <w:b/>
                <w:bCs/>
                <w:color w:val="101B2D"/>
                <w:sz w:val="21"/>
                <w:szCs w:val="21"/>
              </w:rPr>
              <w:t xml:space="preserve">RHF Accessibility Certified Gold</w:t>
            </w:r>
          </w:p>
        </w:tc>
        <w:tc>
          <w:tcPr>
            <w:tcW w:type="dxa" w:w="2160"/>
            <w:shd w:fill="FBFAF6" w:color="auto" w:val="clear"/>
            <w:tcMar>
              <w:top w:type="dxa" w:w="80"/>
              <w:left w:type="dxa" w:w="100"/>
              <w:bottom w:type="dxa" w:w="80"/>
              <w:right w:type="dxa" w:w="100"/>
            </w:tcMar>
            <w:vAlign w:val="center"/>
          </w:tcPr>
          <w:p>
            <w:r>
              <w:rPr>
                <w:b w:val="false"/>
                <w:bCs w:val="false"/>
                <w:color w:val="1B1F27"/>
                <w:sz w:val="21"/>
                <w:szCs w:val="21"/>
              </w:rPr>
              <w:t xml:space="preserve">1,007 pts (80%)</w:t>
            </w:r>
          </w:p>
        </w:tc>
        <w:tc>
          <w:tcPr>
            <w:tcW w:type="dxa" w:w="2160"/>
            <w:shd w:fill="FBFAF6" w:color="auto" w:val="clear"/>
            <w:tcMar>
              <w:top w:type="dxa" w:w="80"/>
              <w:left w:type="dxa" w:w="100"/>
              <w:bottom w:type="dxa" w:w="80"/>
              <w:right w:type="dxa" w:w="100"/>
            </w:tcMar>
            <w:vAlign w:val="center"/>
          </w:tcPr>
          <w:p>
            <w:r>
              <w:rPr>
                <w:b w:val="false"/>
                <w:bCs w:val="false"/>
                <w:color w:val="1B1F27"/>
                <w:sz w:val="21"/>
                <w:szCs w:val="21"/>
              </w:rPr>
              <w:t xml:space="preserve">709 pts (56%)</w:t>
            </w:r>
          </w:p>
        </w:tc>
        <w:tc>
          <w:tcPr>
            <w:tcW w:type="dxa" w:w="1620"/>
            <w:shd w:fill="FBFAF6" w:color="auto" w:val="clear"/>
            <w:tcMar>
              <w:top w:type="dxa" w:w="80"/>
              <w:left w:type="dxa" w:w="100"/>
              <w:bottom w:type="dxa" w:w="80"/>
              <w:right w:type="dxa" w:w="100"/>
            </w:tcMar>
            <w:vAlign w:val="center"/>
          </w:tcPr>
          <w:p>
            <w:r>
              <w:rPr>
                <w:b w:val="false"/>
                <w:bCs w:val="false"/>
                <w:color w:val="1B1F27"/>
                <w:sz w:val="21"/>
                <w:szCs w:val="21"/>
              </w:rPr>
              <w:t xml:space="preserve">298 pts</w:t>
            </w:r>
          </w:p>
        </w:tc>
        <w:tc>
          <w:tcPr>
            <w:tcW w:type="dxa" w:w="2160"/>
            <w:shd w:fill="FBFAF6" w:color="auto" w:val="clear"/>
            <w:tcMar>
              <w:top w:type="dxa" w:w="80"/>
              <w:left w:type="dxa" w:w="100"/>
              <w:bottom w:type="dxa" w:w="80"/>
              <w:right w:type="dxa" w:w="100"/>
            </w:tcMar>
            <w:vAlign w:val="center"/>
          </w:tcPr>
          <w:p>
            <w:r>
              <w:rPr>
                <w:b w:val="false"/>
                <w:bCs w:val="false"/>
                <w:color w:val="1B1F27"/>
                <w:sz w:val="21"/>
                <w:szCs w:val="21"/>
              </w:rPr>
              <w:t xml:space="preserve">Requires full Phase 0 + Phase 1 + Phase 2 remediation. Achievable over two capital budget cycles.</w:t>
            </w:r>
          </w:p>
        </w:tc>
      </w:tr>
    </w:tbl>
    <w:p>
      <w:pPr>
        <w:pStyle w:val="Heading2"/>
        <w:spacing w:after="120" w:before="320"/>
      </w:pPr>
      <w:r>
        <w:rPr>
          <w:rFonts w:ascii="Georgia" w:cs="Georgia" w:eastAsia="Georgia" w:hAnsi="Georgia"/>
          <w:color w:val="101B2D"/>
        </w:rPr>
        <w:t xml:space="preserve">6.1 — Path to Certification (751 points / 60%) — Minimum Spend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20"/>
        <w:gridCol w:w="5000"/>
        <w:gridCol w:w="1680"/>
        <w:gridCol w:w="1680"/>
        <w:gridCol w:w="1820"/>
      </w:tblGrid>
      <w:tr>
        <w:trPr>
          <w:tblHeader/>
        </w:trPr>
        <w:tc>
          <w:tcPr>
            <w:tcW w:type="dxa" w:w="620"/>
            <w:shd w:fill="101B2D" w:color="auto" w:val="clear"/>
            <w:tcMar>
              <w:top w:type="dxa" w:w="90"/>
              <w:left w:type="dxa" w:w="100"/>
              <w:bottom w:type="dxa" w:w="90"/>
              <w:right w:type="dxa" w:w="100"/>
            </w:tcMar>
            <w:vAlign w:val="center"/>
          </w:tcPr>
          <w:p>
            <w:r>
              <w:rPr>
                <w:b/>
                <w:bCs/>
                <w:color w:val="FFFFFF"/>
                <w:sz w:val="20"/>
                <w:szCs w:val="20"/>
              </w:rPr>
              <w:t xml:space="preserve">Rank</w:t>
            </w:r>
          </w:p>
        </w:tc>
        <w:tc>
          <w:tcPr>
            <w:tcW w:type="dxa" w:w="5000"/>
            <w:shd w:fill="101B2D" w:color="auto" w:val="clear"/>
            <w:tcMar>
              <w:top w:type="dxa" w:w="90"/>
              <w:left w:type="dxa" w:w="100"/>
              <w:bottom w:type="dxa" w:w="90"/>
              <w:right w:type="dxa" w:w="100"/>
            </w:tcMar>
            <w:vAlign w:val="center"/>
          </w:tcPr>
          <w:p>
            <w:r>
              <w:rPr>
                <w:b/>
                <w:bCs/>
                <w:color w:val="FFFFFF"/>
                <w:sz w:val="20"/>
                <w:szCs w:val="20"/>
              </w:rPr>
              <w:t xml:space="preserve">Action</w:t>
            </w:r>
          </w:p>
        </w:tc>
        <w:tc>
          <w:tcPr>
            <w:tcW w:type="dxa" w:w="1680"/>
            <w:shd w:fill="101B2D" w:color="auto" w:val="clear"/>
            <w:tcMar>
              <w:top w:type="dxa" w:w="90"/>
              <w:left w:type="dxa" w:w="100"/>
              <w:bottom w:type="dxa" w:w="90"/>
              <w:right w:type="dxa" w:w="100"/>
            </w:tcMar>
            <w:vAlign w:val="center"/>
          </w:tcPr>
          <w:p>
            <w:r>
              <w:rPr>
                <w:b/>
                <w:bCs/>
                <w:color w:val="FFFFFF"/>
                <w:sz w:val="20"/>
                <w:szCs w:val="20"/>
              </w:rPr>
              <w:t xml:space="preserve">Est. Cost</w:t>
            </w:r>
          </w:p>
        </w:tc>
        <w:tc>
          <w:tcPr>
            <w:tcW w:type="dxa" w:w="1680"/>
            <w:shd w:fill="101B2D" w:color="auto" w:val="clear"/>
            <w:tcMar>
              <w:top w:type="dxa" w:w="90"/>
              <w:left w:type="dxa" w:w="100"/>
              <w:bottom w:type="dxa" w:w="90"/>
              <w:right w:type="dxa" w:w="100"/>
            </w:tcMar>
            <w:vAlign w:val="center"/>
          </w:tcPr>
          <w:p>
            <w:r>
              <w:rPr>
                <w:b/>
                <w:bCs/>
                <w:color w:val="FFFFFF"/>
                <w:sz w:val="20"/>
                <w:szCs w:val="20"/>
              </w:rPr>
              <w:t xml:space="preserve">Points Recovered</w:t>
            </w:r>
          </w:p>
        </w:tc>
        <w:tc>
          <w:tcPr>
            <w:tcW w:type="dxa" w:w="1820"/>
            <w:shd w:fill="101B2D" w:color="auto" w:val="clear"/>
            <w:tcMar>
              <w:top w:type="dxa" w:w="90"/>
              <w:left w:type="dxa" w:w="100"/>
              <w:bottom w:type="dxa" w:w="90"/>
              <w:right w:type="dxa" w:w="100"/>
            </w:tcMar>
            <w:vAlign w:val="center"/>
          </w:tcPr>
          <w:p>
            <w:r>
              <w:rPr>
                <w:b/>
                <w:bCs/>
                <w:color w:val="FFFFFF"/>
                <w:sz w:val="20"/>
                <w:szCs w:val="20"/>
              </w:rPr>
              <w:t xml:space="preserve">Running Total</w:t>
            </w:r>
          </w:p>
        </w:tc>
      </w:tr>
      <w:tr>
        <w:tc>
          <w:tcPr>
            <w:tcW w:type="dxa" w:w="620"/>
            <w:shd w:fill="FFFFFF" w:color="auto" w:val="clear"/>
            <w:tcMar>
              <w:top w:type="dxa" w:w="80"/>
              <w:left w:type="dxa" w:w="100"/>
              <w:bottom w:type="dxa" w:w="80"/>
              <w:right w:type="dxa" w:w="100"/>
            </w:tcMar>
            <w:vAlign w:val="center"/>
          </w:tcPr>
          <w:p>
            <w:r>
              <w:rPr>
                <w:b/>
                <w:bCs/>
                <w:color w:val="101B2D"/>
                <w:sz w:val="21"/>
                <w:szCs w:val="21"/>
              </w:rPr>
              <w:t xml:space="preserve">1</w:t>
            </w:r>
          </w:p>
        </w:tc>
        <w:tc>
          <w:tcPr>
            <w:tcW w:type="dxa" w:w="5000"/>
            <w:shd w:fill="FFFFFF" w:color="auto" w:val="clear"/>
            <w:tcMar>
              <w:top w:type="dxa" w:w="80"/>
              <w:left w:type="dxa" w:w="100"/>
              <w:bottom w:type="dxa" w:w="80"/>
              <w:right w:type="dxa" w:w="100"/>
            </w:tcMar>
            <w:vAlign w:val="center"/>
          </w:tcPr>
          <w:p>
            <w:r>
              <w:rPr>
                <w:b w:val="false"/>
                <w:bCs w:val="false"/>
                <w:color w:val="1B1F27"/>
                <w:sz w:val="21"/>
                <w:szCs w:val="21"/>
              </w:rPr>
              <w:t xml:space="preserve">Reposition periodical shelving to restore 1,500mm aisle width. Zero cost. Staff action. Recovers points in both Category 3 (Interior Circulation) and Category 8.21 (Libraries) simultaneously. The highest points-per-dollar action available — closes 18 of the 42-point gap on its own, at no cost.</w:t>
            </w:r>
          </w:p>
        </w:tc>
        <w:tc>
          <w:tcPr>
            <w:tcW w:type="dxa" w:w="1680"/>
            <w:shd w:fill="FFFFFF" w:color="auto" w:val="clear"/>
            <w:tcMar>
              <w:top w:type="dxa" w:w="80"/>
              <w:left w:type="dxa" w:w="100"/>
              <w:bottom w:type="dxa" w:w="80"/>
              <w:right w:type="dxa" w:w="100"/>
            </w:tcMar>
            <w:vAlign w:val="center"/>
          </w:tcPr>
          <w:p>
            <w:r>
              <w:rPr>
                <w:b w:val="false"/>
                <w:bCs w:val="false"/>
                <w:color w:val="1B1F27"/>
                <w:sz w:val="21"/>
                <w:szCs w:val="21"/>
              </w:rPr>
              <w:t xml:space="preserve">$0</w:t>
            </w:r>
          </w:p>
        </w:tc>
        <w:tc>
          <w:tcPr>
            <w:tcW w:type="dxa" w:w="1680"/>
            <w:shd w:fill="FFFFFF" w:color="auto" w:val="clear"/>
            <w:tcMar>
              <w:top w:type="dxa" w:w="80"/>
              <w:left w:type="dxa" w:w="100"/>
              <w:bottom w:type="dxa" w:w="80"/>
              <w:right w:type="dxa" w:w="100"/>
            </w:tcMar>
            <w:vAlign w:val="center"/>
          </w:tcPr>
          <w:p>
            <w:r>
              <w:rPr>
                <w:b/>
                <w:bCs/>
                <w:color w:val="101B2D"/>
                <w:sz w:val="21"/>
                <w:szCs w:val="21"/>
              </w:rPr>
              <w:t xml:space="preserve">+18 pts</w:t>
            </w:r>
          </w:p>
        </w:tc>
        <w:tc>
          <w:tcPr>
            <w:tcW w:type="dxa" w:w="1820"/>
            <w:shd w:fill="FFFFFF" w:color="auto" w:val="clear"/>
            <w:tcMar>
              <w:top w:type="dxa" w:w="80"/>
              <w:left w:type="dxa" w:w="100"/>
              <w:bottom w:type="dxa" w:w="80"/>
              <w:right w:type="dxa" w:w="100"/>
            </w:tcMar>
            <w:vAlign w:val="center"/>
          </w:tcPr>
          <w:p>
            <w:r>
              <w:rPr>
                <w:b w:val="false"/>
                <w:bCs w:val="false"/>
                <w:color w:val="1B1F27"/>
                <w:sz w:val="21"/>
                <w:szCs w:val="21"/>
              </w:rPr>
              <w:t xml:space="preserve">727 / 1,259 (57.7%)</w:t>
            </w:r>
          </w:p>
        </w:tc>
      </w:tr>
      <w:tr>
        <w:tc>
          <w:tcPr>
            <w:tcW w:type="dxa" w:w="620"/>
            <w:shd w:fill="FBFAF6" w:color="auto" w:val="clear"/>
            <w:tcMar>
              <w:top w:type="dxa" w:w="80"/>
              <w:left w:type="dxa" w:w="100"/>
              <w:bottom w:type="dxa" w:w="80"/>
              <w:right w:type="dxa" w:w="100"/>
            </w:tcMar>
            <w:vAlign w:val="center"/>
          </w:tcPr>
          <w:p>
            <w:r>
              <w:rPr>
                <w:b/>
                <w:bCs/>
                <w:color w:val="101B2D"/>
                <w:sz w:val="21"/>
                <w:szCs w:val="21"/>
              </w:rPr>
              <w:t xml:space="preserve">2</w:t>
            </w:r>
          </w:p>
        </w:tc>
        <w:tc>
          <w:tcPr>
            <w:tcW w:type="dxa" w:w="5000"/>
            <w:shd w:fill="FBFAF6" w:color="auto" w:val="clear"/>
            <w:tcMar>
              <w:top w:type="dxa" w:w="80"/>
              <w:left w:type="dxa" w:w="100"/>
              <w:bottom w:type="dxa" w:w="80"/>
              <w:right w:type="dxa" w:w="100"/>
            </w:tcMar>
            <w:vAlign w:val="center"/>
          </w:tcPr>
          <w:p>
            <w:r>
              <w:rPr>
                <w:b w:val="false"/>
                <w:bCs w:val="false"/>
                <w:color w:val="1B1F27"/>
                <w:sz w:val="21"/>
                <w:szCs w:val="21"/>
              </w:rPr>
              <w:t xml:space="preserve">Install directional signage to accessible washroom from lobby. Simple sign. Resolves Category 6 FAIL. High points-per-dollar ratio.</w:t>
            </w:r>
          </w:p>
        </w:tc>
        <w:tc>
          <w:tcPr>
            <w:tcW w:type="dxa" w:w="1680"/>
            <w:shd w:fill="FBFAF6" w:color="auto" w:val="clear"/>
            <w:tcMar>
              <w:top w:type="dxa" w:w="80"/>
              <w:left w:type="dxa" w:w="100"/>
              <w:bottom w:type="dxa" w:w="80"/>
              <w:right w:type="dxa" w:w="100"/>
            </w:tcMar>
            <w:vAlign w:val="center"/>
          </w:tcPr>
          <w:p>
            <w:r>
              <w:rPr>
                <w:b w:val="false"/>
                <w:bCs w:val="false"/>
                <w:color w:val="1B1F27"/>
                <w:sz w:val="21"/>
                <w:szCs w:val="21"/>
              </w:rPr>
              <w:t xml:space="preserve">$180 – $320</w:t>
            </w:r>
          </w:p>
        </w:tc>
        <w:tc>
          <w:tcPr>
            <w:tcW w:type="dxa" w:w="1680"/>
            <w:shd w:fill="FBFAF6" w:color="auto" w:val="clear"/>
            <w:tcMar>
              <w:top w:type="dxa" w:w="80"/>
              <w:left w:type="dxa" w:w="100"/>
              <w:bottom w:type="dxa" w:w="80"/>
              <w:right w:type="dxa" w:w="100"/>
            </w:tcMar>
            <w:vAlign w:val="center"/>
          </w:tcPr>
          <w:p>
            <w:r>
              <w:rPr>
                <w:b/>
                <w:bCs/>
                <w:color w:val="101B2D"/>
                <w:sz w:val="21"/>
                <w:szCs w:val="21"/>
              </w:rPr>
              <w:t xml:space="preserve">+6 pts</w:t>
            </w:r>
          </w:p>
        </w:tc>
        <w:tc>
          <w:tcPr>
            <w:tcW w:type="dxa" w:w="1820"/>
            <w:shd w:fill="FBFAF6" w:color="auto" w:val="clear"/>
            <w:tcMar>
              <w:top w:type="dxa" w:w="80"/>
              <w:left w:type="dxa" w:w="100"/>
              <w:bottom w:type="dxa" w:w="80"/>
              <w:right w:type="dxa" w:w="100"/>
            </w:tcMar>
            <w:vAlign w:val="center"/>
          </w:tcPr>
          <w:p>
            <w:r>
              <w:rPr>
                <w:b w:val="false"/>
                <w:bCs w:val="false"/>
                <w:color w:val="1B1F27"/>
                <w:sz w:val="21"/>
                <w:szCs w:val="21"/>
              </w:rPr>
              <w:t xml:space="preserve">733 / 1,259 (58.2%)</w:t>
            </w:r>
          </w:p>
        </w:tc>
      </w:tr>
      <w:tr>
        <w:tc>
          <w:tcPr>
            <w:tcW w:type="dxa" w:w="620"/>
            <w:shd w:fill="FFFFFF" w:color="auto" w:val="clear"/>
            <w:tcMar>
              <w:top w:type="dxa" w:w="80"/>
              <w:left w:type="dxa" w:w="100"/>
              <w:bottom w:type="dxa" w:w="80"/>
              <w:right w:type="dxa" w:w="100"/>
            </w:tcMar>
            <w:vAlign w:val="center"/>
          </w:tcPr>
          <w:p>
            <w:r>
              <w:rPr>
                <w:b/>
                <w:bCs/>
                <w:color w:val="101B2D"/>
                <w:sz w:val="21"/>
                <w:szCs w:val="21"/>
              </w:rPr>
              <w:t xml:space="preserve">3</w:t>
            </w:r>
          </w:p>
        </w:tc>
        <w:tc>
          <w:tcPr>
            <w:tcW w:type="dxa" w:w="5000"/>
            <w:shd w:fill="FFFFFF" w:color="auto" w:val="clear"/>
            <w:tcMar>
              <w:top w:type="dxa" w:w="80"/>
              <w:left w:type="dxa" w:w="100"/>
              <w:bottom w:type="dxa" w:w="80"/>
              <w:right w:type="dxa" w:w="100"/>
            </w:tcMar>
            <w:vAlign w:val="center"/>
          </w:tcPr>
          <w:p>
            <w:r>
              <w:rPr>
                <w:b w:val="false"/>
                <w:bCs w:val="false"/>
                <w:color w:val="1B1F27"/>
                <w:sz w:val="21"/>
                <w:szCs w:val="21"/>
              </w:rPr>
              <w:t xml:space="preserve">Adjust entrance door closer to 38N maximum. Mechanical adjustment or closer replacement. Resolves Category 2 FAIL and removes a certification prerequisite barrier.</w:t>
            </w:r>
          </w:p>
        </w:tc>
        <w:tc>
          <w:tcPr>
            <w:tcW w:type="dxa" w:w="1680"/>
            <w:shd w:fill="FFFFFF" w:color="auto" w:val="clear"/>
            <w:tcMar>
              <w:top w:type="dxa" w:w="80"/>
              <w:left w:type="dxa" w:w="100"/>
              <w:bottom w:type="dxa" w:w="80"/>
              <w:right w:type="dxa" w:w="100"/>
            </w:tcMar>
            <w:vAlign w:val="center"/>
          </w:tcPr>
          <w:p>
            <w:r>
              <w:rPr>
                <w:b w:val="false"/>
                <w:bCs w:val="false"/>
                <w:color w:val="1B1F27"/>
                <w:sz w:val="21"/>
                <w:szCs w:val="21"/>
              </w:rPr>
              <w:t xml:space="preserve">$180 – $350</w:t>
            </w:r>
          </w:p>
        </w:tc>
        <w:tc>
          <w:tcPr>
            <w:tcW w:type="dxa" w:w="1680"/>
            <w:shd w:fill="FFFFFF" w:color="auto" w:val="clear"/>
            <w:tcMar>
              <w:top w:type="dxa" w:w="80"/>
              <w:left w:type="dxa" w:w="100"/>
              <w:bottom w:type="dxa" w:w="80"/>
              <w:right w:type="dxa" w:w="100"/>
            </w:tcMar>
            <w:vAlign w:val="center"/>
          </w:tcPr>
          <w:p>
            <w:r>
              <w:rPr>
                <w:b/>
                <w:bCs/>
                <w:color w:val="101B2D"/>
                <w:sz w:val="21"/>
                <w:szCs w:val="21"/>
              </w:rPr>
              <w:t xml:space="preserve">+8 pts</w:t>
            </w:r>
          </w:p>
        </w:tc>
        <w:tc>
          <w:tcPr>
            <w:tcW w:type="dxa" w:w="1820"/>
            <w:shd w:fill="FFFFFF" w:color="auto" w:val="clear"/>
            <w:tcMar>
              <w:top w:type="dxa" w:w="80"/>
              <w:left w:type="dxa" w:w="100"/>
              <w:bottom w:type="dxa" w:w="80"/>
              <w:right w:type="dxa" w:w="100"/>
            </w:tcMar>
            <w:vAlign w:val="center"/>
          </w:tcPr>
          <w:p>
            <w:r>
              <w:rPr>
                <w:b w:val="false"/>
                <w:bCs w:val="false"/>
                <w:color w:val="1B1F27"/>
                <w:sz w:val="21"/>
                <w:szCs w:val="21"/>
              </w:rPr>
              <w:t xml:space="preserve">741 / 1,259 (58.9%)</w:t>
            </w:r>
          </w:p>
        </w:tc>
      </w:tr>
      <w:tr>
        <w:tc>
          <w:tcPr>
            <w:tcW w:type="dxa" w:w="620"/>
            <w:shd w:fill="FBFAF6" w:color="auto" w:val="clear"/>
            <w:tcMar>
              <w:top w:type="dxa" w:w="80"/>
              <w:left w:type="dxa" w:w="100"/>
              <w:bottom w:type="dxa" w:w="80"/>
              <w:right w:type="dxa" w:w="100"/>
            </w:tcMar>
            <w:vAlign w:val="center"/>
          </w:tcPr>
          <w:p>
            <w:r>
              <w:rPr>
                <w:b/>
                <w:bCs/>
                <w:color w:val="101B2D"/>
                <w:sz w:val="21"/>
                <w:szCs w:val="21"/>
              </w:rPr>
              <w:t xml:space="preserve">4</w:t>
            </w:r>
          </w:p>
        </w:tc>
        <w:tc>
          <w:tcPr>
            <w:tcW w:type="dxa" w:w="5000"/>
            <w:shd w:fill="FBFAF6" w:color="auto" w:val="clear"/>
            <w:tcMar>
              <w:top w:type="dxa" w:w="80"/>
              <w:left w:type="dxa" w:w="100"/>
              <w:bottom w:type="dxa" w:w="80"/>
              <w:right w:type="dxa" w:w="100"/>
            </w:tcMar>
            <w:vAlign w:val="center"/>
          </w:tcPr>
          <w:p>
            <w:r>
              <w:rPr>
                <w:b w:val="false"/>
                <w:bCs w:val="false"/>
                <w:color w:val="1B1F27"/>
                <w:sz w:val="21"/>
                <w:szCs w:val="21"/>
              </w:rPr>
              <w:t xml:space="preserve">Reprogram elevator audio floor announcements. One technician visit. Resolves Category 3 MARGINAL. Elevator audio is a Gold prerequisite item.</w:t>
            </w:r>
          </w:p>
        </w:tc>
        <w:tc>
          <w:tcPr>
            <w:tcW w:type="dxa" w:w="1680"/>
            <w:shd w:fill="FBFAF6" w:color="auto" w:val="clear"/>
            <w:tcMar>
              <w:top w:type="dxa" w:w="80"/>
              <w:left w:type="dxa" w:w="100"/>
              <w:bottom w:type="dxa" w:w="80"/>
              <w:right w:type="dxa" w:w="100"/>
            </w:tcMar>
            <w:vAlign w:val="center"/>
          </w:tcPr>
          <w:p>
            <w:r>
              <w:rPr>
                <w:b w:val="false"/>
                <w:bCs w:val="false"/>
                <w:color w:val="1B1F27"/>
                <w:sz w:val="21"/>
                <w:szCs w:val="21"/>
              </w:rPr>
              <w:t xml:space="preserve">$200 – $400</w:t>
            </w:r>
          </w:p>
        </w:tc>
        <w:tc>
          <w:tcPr>
            <w:tcW w:type="dxa" w:w="1680"/>
            <w:shd w:fill="FBFAF6" w:color="auto" w:val="clear"/>
            <w:tcMar>
              <w:top w:type="dxa" w:w="80"/>
              <w:left w:type="dxa" w:w="100"/>
              <w:bottom w:type="dxa" w:w="80"/>
              <w:right w:type="dxa" w:w="100"/>
            </w:tcMar>
            <w:vAlign w:val="center"/>
          </w:tcPr>
          <w:p>
            <w:r>
              <w:rPr>
                <w:b/>
                <w:bCs/>
                <w:color w:val="101B2D"/>
                <w:sz w:val="21"/>
                <w:szCs w:val="21"/>
              </w:rPr>
              <w:t xml:space="preserve">+5 pts</w:t>
            </w:r>
          </w:p>
        </w:tc>
        <w:tc>
          <w:tcPr>
            <w:tcW w:type="dxa" w:w="1820"/>
            <w:shd w:fill="FBFAF6" w:color="auto" w:val="clear"/>
            <w:tcMar>
              <w:top w:type="dxa" w:w="80"/>
              <w:left w:type="dxa" w:w="100"/>
              <w:bottom w:type="dxa" w:w="80"/>
              <w:right w:type="dxa" w:w="100"/>
            </w:tcMar>
            <w:vAlign w:val="center"/>
          </w:tcPr>
          <w:p>
            <w:r>
              <w:rPr>
                <w:b w:val="false"/>
                <w:bCs w:val="false"/>
                <w:color w:val="1B1F27"/>
                <w:sz w:val="21"/>
                <w:szCs w:val="21"/>
              </w:rPr>
              <w:t xml:space="preserve">746 / 1,259 (59.3%)</w:t>
            </w:r>
          </w:p>
        </w:tc>
      </w:tr>
      <w:tr>
        <w:tc>
          <w:tcPr>
            <w:tcW w:type="dxa" w:w="620"/>
            <w:shd w:fill="FFFFFF" w:color="auto" w:val="clear"/>
            <w:tcMar>
              <w:top w:type="dxa" w:w="80"/>
              <w:left w:type="dxa" w:w="100"/>
              <w:bottom w:type="dxa" w:w="80"/>
              <w:right w:type="dxa" w:w="100"/>
            </w:tcMar>
            <w:vAlign w:val="center"/>
          </w:tcPr>
          <w:p>
            <w:r>
              <w:rPr>
                <w:b/>
                <w:bCs/>
                <w:color w:val="101B2D"/>
                <w:sz w:val="21"/>
                <w:szCs w:val="21"/>
              </w:rPr>
              <w:t xml:space="preserve">5</w:t>
            </w:r>
          </w:p>
        </w:tc>
        <w:tc>
          <w:tcPr>
            <w:tcW w:type="dxa" w:w="5000"/>
            <w:shd w:fill="FFFFFF" w:color="auto" w:val="clear"/>
            <w:tcMar>
              <w:top w:type="dxa" w:w="80"/>
              <w:left w:type="dxa" w:w="100"/>
              <w:bottom w:type="dxa" w:w="80"/>
              <w:right w:type="dxa" w:w="100"/>
            </w:tcMar>
            <w:vAlign w:val="center"/>
          </w:tcPr>
          <w:p>
            <w:r>
              <w:rPr>
                <w:b w:val="false"/>
                <w:bCs w:val="false"/>
                <w:color w:val="1B1F27"/>
                <w:sz w:val="21"/>
                <w:szCs w:val="21"/>
              </w:rPr>
              <w:t xml:space="preserve">Remediate website — alt-text and colour contrast. Developer or accessibility consultant. Resolves Category 12 FAIL.</w:t>
            </w:r>
          </w:p>
        </w:tc>
        <w:tc>
          <w:tcPr>
            <w:tcW w:type="dxa" w:w="1680"/>
            <w:shd w:fill="FFFFFF" w:color="auto" w:val="clear"/>
            <w:tcMar>
              <w:top w:type="dxa" w:w="80"/>
              <w:left w:type="dxa" w:w="100"/>
              <w:bottom w:type="dxa" w:w="80"/>
              <w:right w:type="dxa" w:w="100"/>
            </w:tcMar>
            <w:vAlign w:val="center"/>
          </w:tcPr>
          <w:p>
            <w:r>
              <w:rPr>
                <w:b w:val="false"/>
                <w:bCs w:val="false"/>
                <w:color w:val="1B1F27"/>
                <w:sz w:val="21"/>
                <w:szCs w:val="21"/>
              </w:rPr>
              <w:t xml:space="preserve">$800 – $2,000</w:t>
            </w:r>
          </w:p>
        </w:tc>
        <w:tc>
          <w:tcPr>
            <w:tcW w:type="dxa" w:w="1680"/>
            <w:shd w:fill="FFFFFF" w:color="auto" w:val="clear"/>
            <w:tcMar>
              <w:top w:type="dxa" w:w="80"/>
              <w:left w:type="dxa" w:w="100"/>
              <w:bottom w:type="dxa" w:w="80"/>
              <w:right w:type="dxa" w:w="100"/>
            </w:tcMar>
            <w:vAlign w:val="center"/>
          </w:tcPr>
          <w:p>
            <w:r>
              <w:rPr>
                <w:b/>
                <w:bCs/>
                <w:color w:val="101B2D"/>
                <w:sz w:val="21"/>
                <w:szCs w:val="21"/>
              </w:rPr>
              <w:t xml:space="preserve">+6 pts</w:t>
            </w:r>
          </w:p>
        </w:tc>
        <w:tc>
          <w:tcPr>
            <w:tcW w:type="dxa" w:w="1820"/>
            <w:shd w:fill="E1EEE3" w:color="auto" w:val="clear"/>
            <w:tcMar>
              <w:top w:type="dxa" w:w="80"/>
              <w:left w:type="dxa" w:w="100"/>
              <w:bottom w:type="dxa" w:w="80"/>
              <w:right w:type="dxa" w:w="100"/>
            </w:tcMar>
            <w:vAlign w:val="center"/>
          </w:tcPr>
          <w:p>
            <w:r>
              <w:rPr>
                <w:b/>
                <w:bCs/>
                <w:color w:val="101B2D"/>
                <w:sz w:val="21"/>
                <w:szCs w:val="21"/>
              </w:rPr>
              <w:t xml:space="preserve">752 / 1,259 — CERTIFIED THRESHOLD CROSSED</w:t>
            </w:r>
          </w:p>
        </w:tc>
      </w:tr>
    </w:tbl>
    <w:p>
      <w:pPr>
        <w:spacing w:after="160"/>
      </w:pPr>
      <w:r>
        <w:rPr>
          <w:i/>
          <w:iCs/>
          <w:color w:val="5B5A52"/>
          <w:sz w:val="24"/>
          <w:szCs w:val="24"/>
        </w:rPr>
        <w:t xml:space="preserve">Total spend for all five ranked actions: $1,360 – $3,070. This is the minimum-cost path to cross the 751-point RHF Accessibility Certified threshold — none of the five items individually reaches it; the shelving fix alone closes 18 of the 42-point gap for zero cost, and the remaining four close the rest. Phase 0 life safety items must be completed in parallel regardless of this path — they are mandatory prerequisites for formal certification submission to the RHFAC Registry regardless of score achieved.</w:t>
      </w:r>
    </w:p>
    <w:p>
      <w:pPr>
        <w:pStyle w:val="Heading2"/>
        <w:spacing w:after="120" w:before="320"/>
      </w:pPr>
      <w:r>
        <w:rPr>
          <w:rFonts w:ascii="Georgia" w:cs="Georgia" w:eastAsia="Georgia" w:hAnsi="Georgia"/>
          <w:color w:val="101B2D"/>
        </w:rPr>
        <w:t xml:space="preserve">6.2 — Two-Year Capital Plan to Gold Certification (80%)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gridCol w:w="1800"/>
        <w:gridCol w:w="2200"/>
      </w:tblGrid>
      <w:tr>
        <w:trPr>
          <w:tblHeader/>
        </w:trPr>
        <w:tc>
          <w:tcPr>
            <w:tcW w:type="dxa" w:w="1700"/>
            <w:shd w:fill="101B2D" w:color="auto" w:val="clear"/>
            <w:tcMar>
              <w:top w:type="dxa" w:w="90"/>
              <w:left w:type="dxa" w:w="100"/>
              <w:bottom w:type="dxa" w:w="90"/>
              <w:right w:type="dxa" w:w="100"/>
            </w:tcMar>
            <w:vAlign w:val="center"/>
          </w:tcPr>
          <w:p>
            <w:r>
              <w:rPr>
                <w:b/>
                <w:bCs/>
                <w:color w:val="FFFFFF"/>
                <w:sz w:val="20"/>
                <w:szCs w:val="20"/>
              </w:rPr>
              <w:t xml:space="preserve">Phase</w:t>
            </w:r>
          </w:p>
        </w:tc>
        <w:tc>
          <w:tcPr>
            <w:tcW w:type="dxa" w:w="5100"/>
            <w:shd w:fill="101B2D" w:color="auto" w:val="clear"/>
            <w:tcMar>
              <w:top w:type="dxa" w:w="90"/>
              <w:left w:type="dxa" w:w="100"/>
              <w:bottom w:type="dxa" w:w="90"/>
              <w:right w:type="dxa" w:w="100"/>
            </w:tcMar>
            <w:vAlign w:val="center"/>
          </w:tcPr>
          <w:p>
            <w:r>
              <w:rPr>
                <w:b/>
                <w:bCs/>
                <w:color w:val="FFFFFF"/>
                <w:sz w:val="20"/>
                <w:szCs w:val="20"/>
              </w:rPr>
              <w:t xml:space="preserve">Actions</w:t>
            </w:r>
          </w:p>
        </w:tc>
        <w:tc>
          <w:tcPr>
            <w:tcW w:type="dxa" w:w="1800"/>
            <w:shd w:fill="101B2D" w:color="auto" w:val="clear"/>
            <w:tcMar>
              <w:top w:type="dxa" w:w="90"/>
              <w:left w:type="dxa" w:w="100"/>
              <w:bottom w:type="dxa" w:w="90"/>
              <w:right w:type="dxa" w:w="100"/>
            </w:tcMar>
            <w:vAlign w:val="center"/>
          </w:tcPr>
          <w:p>
            <w:r>
              <w:rPr>
                <w:b/>
                <w:bCs/>
                <w:color w:val="FFFFFF"/>
                <w:sz w:val="20"/>
                <w:szCs w:val="20"/>
              </w:rPr>
              <w:t xml:space="preserve">Est. Cost</w:t>
            </w:r>
          </w:p>
        </w:tc>
        <w:tc>
          <w:tcPr>
            <w:tcW w:type="dxa" w:w="2200"/>
            <w:shd w:fill="101B2D" w:color="auto" w:val="clear"/>
            <w:tcMar>
              <w:top w:type="dxa" w:w="90"/>
              <w:left w:type="dxa" w:w="100"/>
              <w:bottom w:type="dxa" w:w="90"/>
              <w:right w:type="dxa" w:w="100"/>
            </w:tcMar>
            <w:vAlign w:val="center"/>
          </w:tcPr>
          <w:p>
            <w:r>
              <w:rPr>
                <w:b/>
                <w:bCs/>
                <w:color w:val="FFFFFF"/>
                <w:sz w:val="20"/>
                <w:szCs w:val="20"/>
              </w:rPr>
              <w:t xml:space="preserve">Running Score</w:t>
            </w:r>
          </w:p>
        </w:tc>
      </w:tr>
      <w:tr>
        <w:tc>
          <w:tcPr>
            <w:tcW w:type="dxa" w:w="1700"/>
            <w:shd w:fill="FFFFFF" w:color="auto" w:val="clear"/>
            <w:tcMar>
              <w:top w:type="dxa" w:w="80"/>
              <w:left w:type="dxa" w:w="100"/>
              <w:bottom w:type="dxa" w:w="80"/>
              <w:right w:type="dxa" w:w="100"/>
            </w:tcMar>
            <w:vAlign w:val="center"/>
          </w:tcPr>
          <w:p>
            <w:r>
              <w:rPr>
                <w:b/>
                <w:bCs/>
                <w:color w:val="101B2D"/>
                <w:sz w:val="21"/>
                <w:szCs w:val="21"/>
              </w:rPr>
              <w:t xml:space="preserve">Phase 0
Immediate</w:t>
            </w:r>
          </w:p>
        </w:tc>
        <w:tc>
          <w:tcPr>
            <w:tcW w:type="dxa" w:w="5100"/>
            <w:shd w:fill="FFFFFF" w:color="auto" w:val="clear"/>
            <w:tcMar>
              <w:top w:type="dxa" w:w="80"/>
              <w:left w:type="dxa" w:w="100"/>
              <w:bottom w:type="dxa" w:w="80"/>
              <w:right w:type="dxa" w:w="100"/>
            </w:tcMar>
            <w:vAlign w:val="center"/>
          </w:tcPr>
          <w:p>
            <w:r>
              <w:rPr>
                <w:b w:val="false"/>
                <w:bCs w:val="false"/>
                <w:color w:val="1B1F27"/>
                <w:sz w:val="21"/>
                <w:szCs w:val="21"/>
              </w:rPr>
              <w:t xml:space="preserve">Life safety: visual fire alarms + area of rescue + grab bar relocation. Mandatory regardless of score. Must be completed before certification submission is possible.</w:t>
            </w:r>
          </w:p>
        </w:tc>
        <w:tc>
          <w:tcPr>
            <w:tcW w:type="dxa" w:w="1800"/>
            <w:shd w:fill="FFFFFF" w:color="auto" w:val="clear"/>
            <w:tcMar>
              <w:top w:type="dxa" w:w="80"/>
              <w:left w:type="dxa" w:w="100"/>
              <w:bottom w:type="dxa" w:w="80"/>
              <w:right w:type="dxa" w:w="100"/>
            </w:tcMar>
            <w:vAlign w:val="center"/>
          </w:tcPr>
          <w:p>
            <w:r>
              <w:rPr>
                <w:b w:val="false"/>
                <w:bCs w:val="false"/>
                <w:color w:val="1B1F27"/>
                <w:sz w:val="21"/>
                <w:szCs w:val="21"/>
              </w:rPr>
              <w:t xml:space="preserve">$11,460 – $19,860</w:t>
            </w:r>
          </w:p>
        </w:tc>
        <w:tc>
          <w:tcPr>
            <w:tcW w:type="dxa" w:w="2200"/>
            <w:shd w:fill="FFFFFF" w:color="auto" w:val="clear"/>
            <w:tcMar>
              <w:top w:type="dxa" w:w="80"/>
              <w:left w:type="dxa" w:w="100"/>
              <w:bottom w:type="dxa" w:w="80"/>
              <w:right w:type="dxa" w:w="100"/>
            </w:tcMar>
            <w:vAlign w:val="center"/>
          </w:tcPr>
          <w:p>
            <w:r>
              <w:rPr>
                <w:b/>
                <w:bCs/>
                <w:color w:val="101B2D"/>
                <w:sz w:val="21"/>
                <w:szCs w:val="21"/>
              </w:rPr>
              <w:t xml:space="preserve">728 / 1,259 = 58%</w:t>
            </w:r>
          </w:p>
        </w:tc>
      </w:tr>
      <w:tr>
        <w:tc>
          <w:tcPr>
            <w:tcW w:type="dxa" w:w="1700"/>
            <w:shd w:fill="FBFAF6" w:color="auto" w:val="clear"/>
            <w:tcMar>
              <w:top w:type="dxa" w:w="80"/>
              <w:left w:type="dxa" w:w="100"/>
              <w:bottom w:type="dxa" w:w="80"/>
              <w:right w:type="dxa" w:w="100"/>
            </w:tcMar>
            <w:vAlign w:val="center"/>
          </w:tcPr>
          <w:p>
            <w:r>
              <w:rPr>
                <w:b/>
                <w:bCs/>
                <w:color w:val="101B2D"/>
                <w:sz w:val="21"/>
                <w:szCs w:val="21"/>
              </w:rPr>
              <w:t xml:space="preserve">Phase 1
Year 1 2026</w:t>
            </w:r>
          </w:p>
        </w:tc>
        <w:tc>
          <w:tcPr>
            <w:tcW w:type="dxa" w:w="5100"/>
            <w:shd w:fill="FBFAF6" w:color="auto" w:val="clear"/>
            <w:tcMar>
              <w:top w:type="dxa" w:w="80"/>
              <w:left w:type="dxa" w:w="100"/>
              <w:bottom w:type="dxa" w:w="80"/>
              <w:right w:type="dxa" w:w="100"/>
            </w:tcMar>
            <w:vAlign w:val="center"/>
          </w:tcPr>
          <w:p>
            <w:r>
              <w:rPr>
                <w:b w:val="false"/>
                <w:bCs w:val="false"/>
                <w:color w:val="1B1F27"/>
                <w:sz w:val="21"/>
                <w:szCs w:val="21"/>
              </w:rPr>
              <w:t xml:space="preserve">Ramp rebuild + full Braille signage + tactile indicators + service counter + elevator panel + door closer + tactile ramp strip. Addresses the largest compliance gaps.</w:t>
            </w:r>
          </w:p>
        </w:tc>
        <w:tc>
          <w:tcPr>
            <w:tcW w:type="dxa" w:w="1800"/>
            <w:shd w:fill="FBFAF6" w:color="auto" w:val="clear"/>
            <w:tcMar>
              <w:top w:type="dxa" w:w="80"/>
              <w:left w:type="dxa" w:w="100"/>
              <w:bottom w:type="dxa" w:w="80"/>
              <w:right w:type="dxa" w:w="100"/>
            </w:tcMar>
            <w:vAlign w:val="center"/>
          </w:tcPr>
          <w:p>
            <w:r>
              <w:rPr>
                <w:b w:val="false"/>
                <w:bCs w:val="false"/>
                <w:color w:val="1B1F27"/>
                <w:sz w:val="21"/>
                <w:szCs w:val="21"/>
              </w:rPr>
              <w:t xml:space="preserve">$31,080 – $52,050</w:t>
            </w:r>
          </w:p>
        </w:tc>
        <w:tc>
          <w:tcPr>
            <w:tcW w:type="dxa" w:w="2200"/>
            <w:shd w:fill="FBFAF6" w:color="auto" w:val="clear"/>
            <w:tcMar>
              <w:top w:type="dxa" w:w="80"/>
              <w:left w:type="dxa" w:w="100"/>
              <w:bottom w:type="dxa" w:w="80"/>
              <w:right w:type="dxa" w:w="100"/>
            </w:tcMar>
            <w:vAlign w:val="center"/>
          </w:tcPr>
          <w:p>
            <w:r>
              <w:rPr>
                <w:b/>
                <w:bCs/>
                <w:color w:val="101B2D"/>
                <w:sz w:val="21"/>
                <w:szCs w:val="21"/>
              </w:rPr>
              <w:t xml:space="preserve">823 / 1,259 = 65% — RHF Accessibility Certified</w:t>
            </w:r>
          </w:p>
        </w:tc>
      </w:tr>
      <w:tr>
        <w:tc>
          <w:tcPr>
            <w:tcW w:type="dxa" w:w="1700"/>
            <w:shd w:fill="FFFFFF" w:color="auto" w:val="clear"/>
            <w:tcMar>
              <w:top w:type="dxa" w:w="80"/>
              <w:left w:type="dxa" w:w="100"/>
              <w:bottom w:type="dxa" w:w="80"/>
              <w:right w:type="dxa" w:w="100"/>
            </w:tcMar>
            <w:vAlign w:val="center"/>
          </w:tcPr>
          <w:p>
            <w:r>
              <w:rPr>
                <w:b/>
                <w:bCs/>
                <w:color w:val="101B2D"/>
                <w:sz w:val="21"/>
                <w:szCs w:val="21"/>
              </w:rPr>
              <w:t xml:space="preserve">Phase 2
Year 2 2027</w:t>
            </w:r>
          </w:p>
        </w:tc>
        <w:tc>
          <w:tcPr>
            <w:tcW w:type="dxa" w:w="5100"/>
            <w:shd w:fill="FFFFFF" w:color="auto" w:val="clear"/>
            <w:tcMar>
              <w:top w:type="dxa" w:w="80"/>
              <w:left w:type="dxa" w:w="100"/>
              <w:bottom w:type="dxa" w:w="80"/>
              <w:right w:type="dxa" w:w="100"/>
            </w:tcMar>
            <w:vAlign w:val="center"/>
          </w:tcPr>
          <w:p>
            <w:r>
              <w:rPr>
                <w:b w:val="false"/>
                <w:bCs w:val="false"/>
                <w:color w:val="1B1F27"/>
                <w:sz w:val="21"/>
                <w:szCs w:val="21"/>
              </w:rPr>
              <w:t xml:space="preserve">Self-checkout terminal + LED lighting + universal washroom + parking canopy + website + elevator audio. Addresses medium-priority and Gold-specific items including universal washroom, mandatory for Gold.</w:t>
            </w:r>
          </w:p>
        </w:tc>
        <w:tc>
          <w:tcPr>
            <w:tcW w:type="dxa" w:w="1800"/>
            <w:shd w:fill="FFFFFF" w:color="auto" w:val="clear"/>
            <w:tcMar>
              <w:top w:type="dxa" w:w="80"/>
              <w:left w:type="dxa" w:w="100"/>
              <w:bottom w:type="dxa" w:w="80"/>
              <w:right w:type="dxa" w:w="100"/>
            </w:tcMar>
            <w:vAlign w:val="center"/>
          </w:tcPr>
          <w:p>
            <w:r>
              <w:rPr>
                <w:b w:val="false"/>
                <w:bCs w:val="false"/>
                <w:color w:val="1B1F27"/>
                <w:sz w:val="21"/>
                <w:szCs w:val="21"/>
              </w:rPr>
              <w:t xml:space="preserve">$36,000 – $64,400</w:t>
            </w:r>
          </w:p>
        </w:tc>
        <w:tc>
          <w:tcPr>
            <w:tcW w:type="dxa" w:w="2200"/>
            <w:shd w:fill="FFFFFF" w:color="auto" w:val="clear"/>
            <w:tcMar>
              <w:top w:type="dxa" w:w="80"/>
              <w:left w:type="dxa" w:w="100"/>
              <w:bottom w:type="dxa" w:w="80"/>
              <w:right w:type="dxa" w:w="100"/>
            </w:tcMar>
            <w:vAlign w:val="center"/>
          </w:tcPr>
          <w:p>
            <w:r>
              <w:rPr>
                <w:b/>
                <w:bCs/>
                <w:color w:val="101B2D"/>
                <w:sz w:val="21"/>
                <w:szCs w:val="21"/>
              </w:rPr>
              <w:t xml:space="preserve">1,002 / 1,259 = 80% — RHF Accessibility Certified Gold</w:t>
            </w:r>
          </w:p>
        </w:tc>
      </w:tr>
    </w:tbl>
    <w:p>
      <w:pPr>
        <w:spacing w:after="160"/>
      </w:pPr>
      <w:r>
        <w:rPr>
          <w:i/>
          <w:iCs/>
          <w:color w:val="5B5A52"/>
          <w:sz w:val="19"/>
          <w:szCs w:val="19"/>
        </w:rPr>
        <w:t xml:space="preserve">This phased total ($78,540–$136,310) differs by roughly 1% from the full itemized total in Section 5 ($79,120–$137,430) because the two sections group a small number of shared-fix items slightly differently. Both are internally consistent with their own itemized lists.</w:t>
      </w:r>
    </w:p>
    <w:p>
      <w:pPr>
        <w:pBdr>
          <w:top w:val="single" w:color="D9D2BF" w:sz="2"/>
          <w:bottom w:val="single" w:color="D9D2BF" w:sz="2"/>
          <w:left w:val="single" w:color="D9D2BF" w:sz="2"/>
          <w:right w:val="single" w:color="D9D2BF" w:sz="2"/>
        </w:pBdr>
        <w:shd w:fill="F5F1E8" w:color="auto" w:val="clear"/>
        <w:spacing w:before="220"/>
      </w:pPr>
      <w:r>
        <w:rPr>
          <w:b/>
          <w:bCs/>
          <w:color w:val="101B2D"/>
          <w:sz w:val="21"/>
          <w:szCs w:val="21"/>
        </w:rPr>
        <w:t xml:space="preserve">TOTAL TWO-YEAR INVESTMENT FOR GOLD: $78,540 – $136,310 CAD before grants. Available funding: Enabling Accessibility Fund — Small Projects stream, up to $125,000 per project (periodic intake; last round closed 2024, next call not yet announced — confirm current status before citing to a client); RBC Barrier Buster Grants Program, up to $40,000 per project (2026 round closed March 2026, 40 recipients announced June 2026 — confirm whether a future round is planned before citing to a client).</w:t>
      </w:r>
    </w:p>
    <w:p>
      <w:pPr>
        <w:spacing w:before="420"/>
        <w:jc w:val="center"/>
      </w:pPr>
      <w:r>
        <w:rPr>
          <w:b/>
          <w:bCs/>
          <w:color w:val="101B2D"/>
          <w:sz w:val="21"/>
          <w:szCs w:val="21"/>
        </w:rPr>
        <w:t xml:space="preserve">Novo Accessibility  |  novoaccessibility.com  |  carl@novoaccessibility.com  |  587-355-4677</w:t>
      </w:r>
    </w:p>
    <w:p>
      <w:pPr>
        <w:jc w:val="center"/>
      </w:pPr>
      <w:r>
        <w:rPr>
          <w:color w:val="5B5A52"/>
          <w:sz w:val="18"/>
          <w:szCs w:val="18"/>
        </w:rPr>
        <w:t xml:space="preserve">RHFAC v4.0 Rating Survey (September 2024) | CSA/ASC B651:23 | April 14, 2026 | Carl Christie, RHFAC Professional</w:t>
      </w:r>
    </w:p>
    <w:p>
      <w:pPr>
        <w:spacing w:before="100"/>
        <w:jc w:val="center"/>
      </w:pPr>
      <w:r>
        <w:rPr>
          <w:i/>
          <w:iCs/>
          <w:color w:val="5B5A52"/>
          <w:sz w:val="18"/>
          <w:szCs w:val="18"/>
        </w:rPr>
        <w:t xml:space="preserve">This is a Novo Accessibility Assessment using RHFAC methodology. It does not confer RHF certification. Confidential — Town of Clearwater.</w:t>
      </w:r>
    </w:p>
    <w:p>
      <w:pPr>
        <w:spacing w:before="100"/>
        <w:jc w:val="center"/>
      </w:pPr>
      <w:r>
        <w:rPr>
          <w:b/>
          <w:bCs/>
          <w:i/>
          <w:iCs/>
          <w:color w:val="B3261E"/>
          <w:sz w:val="18"/>
          <w:szCs w:val="18"/>
        </w:rPr>
        <w:t xml:space="preserve">SAMPLE REPORT — Illustrative data for demonstration purposes only.</w:t>
      </w:r>
    </w:p>
    <w:sectPr>
      <w:headerReference w:type="default" r:id="rId7"/>
      <w:footerReference w:type="default" r:id="rId8"/>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A52"/>
        <w:sz w:val="16"/>
        <w:szCs w:val="16"/>
      </w:rPr>
      <w:t xml:space="preserve">Novo Accessibility  |  </w:t>
    </w:r>
    <w:r>
      <w:rPr>
        <w:color w:val="5B5A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5A52"/>
        <w:sz w:val="16"/>
        <w:szCs w:val="16"/>
      </w:rPr>
      <w:t xml:space="preserve">NOVO ACCESSIBILITY — SAMPLE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2026-08-09T21:01:44.599Z</dcterms:created>
  <dcterms:modified xsi:type="dcterms:W3CDTF">2026-08-09T21:01:44.626Z</dcterms:modified>
</cp:coreProperties>
</file>

<file path=docProps/custom.xml><?xml version="1.0" encoding="utf-8"?>
<Properties xmlns="http://schemas.openxmlformats.org/officeDocument/2006/custom-properties" xmlns:vt="http://schemas.openxmlformats.org/officeDocument/2006/docPropsVTypes"/>
</file>