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36"/>
          <w:szCs w:val="36"/>
        </w:rPr>
        <w:t xml:space="preserve">Evaluación Final Transversal</w:t>
      </w:r>
    </w:p>
    <w:p>
      <w:pPr>
        <w:spacing w:after="240"/>
        <w:jc w:val="center"/>
      </w:pPr>
      <w:r>
        <w:rPr>
          <w:b/>
          <w:bCs/>
          <w:sz w:val="26"/>
          <w:szCs w:val="26"/>
        </w:rPr>
        <w:t xml:space="preserve">Contexto del caso y enunciados — FORMA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D9E2F3" w:val="clear"/>
            <w:tcMar>
              <w:top w:type="dxa" w:w="80"/>
              <w:left w:type="dxa" w:w="120"/>
              <w:bottom w:type="dxa" w:w="80"/>
              <w:right w:type="dxa" w:w="120"/>
            </w:tcMar>
          </w:tcPr>
          <w:p>
            <w:pPr>
              <w:spacing w:after="40"/>
            </w:pPr>
            <w:r>
              <w:rPr>
                <w:b/>
                <w:bCs/>
                <w:sz w:val="20"/>
                <w:szCs w:val="20"/>
              </w:rPr>
              <w:t xml:space="preserve">Sigla</w:t>
            </w:r>
          </w:p>
        </w:tc>
        <w:tc>
          <w:tcPr>
            <w:tcW w:type="dxa" w:w="6960"/>
            <w:tcMar>
              <w:top w:type="dxa" w:w="80"/>
              <w:left w:type="dxa" w:w="120"/>
              <w:bottom w:type="dxa" w:w="80"/>
              <w:right w:type="dxa" w:w="120"/>
            </w:tcMar>
          </w:tcPr>
          <w:p>
            <w:pPr>
              <w:spacing w:after="40"/>
            </w:pPr>
            <w:r>
              <w:rPr>
                <w:b w:val="false"/>
                <w:bCs w:val="false"/>
                <w:sz w:val="20"/>
                <w:szCs w:val="20"/>
              </w:rPr>
              <w:t xml:space="preserve">BDY1102</w:t>
            </w:r>
          </w:p>
        </w:tc>
      </w:tr>
      <w:tr>
        <w:tc>
          <w:tcPr>
            <w:tcW w:type="dxa" w:w="2400"/>
            <w:shd w:fill="D9E2F3" w:val="clear"/>
            <w:tcMar>
              <w:top w:type="dxa" w:w="80"/>
              <w:left w:type="dxa" w:w="120"/>
              <w:bottom w:type="dxa" w:w="80"/>
              <w:right w:type="dxa" w:w="120"/>
            </w:tcMar>
          </w:tcPr>
          <w:p>
            <w:pPr>
              <w:spacing w:after="40"/>
            </w:pPr>
            <w:r>
              <w:rPr>
                <w:b/>
                <w:bCs/>
                <w:sz w:val="20"/>
                <w:szCs w:val="20"/>
              </w:rPr>
              <w:t xml:space="preserve">Nombre Asignatura</w:t>
            </w:r>
          </w:p>
        </w:tc>
        <w:tc>
          <w:tcPr>
            <w:tcW w:type="dxa" w:w="6960"/>
            <w:tcMar>
              <w:top w:type="dxa" w:w="80"/>
              <w:left w:type="dxa" w:w="120"/>
              <w:bottom w:type="dxa" w:w="80"/>
              <w:right w:type="dxa" w:w="120"/>
            </w:tcMar>
          </w:tcPr>
          <w:p>
            <w:pPr>
              <w:spacing w:after="40"/>
            </w:pPr>
            <w:r>
              <w:rPr>
                <w:b w:val="false"/>
                <w:bCs w:val="false"/>
                <w:sz w:val="20"/>
                <w:szCs w:val="20"/>
              </w:rPr>
              <w:t xml:space="preserve">BASE DE DATOS APLICADA II</w:t>
            </w:r>
          </w:p>
        </w:tc>
      </w:tr>
    </w:tbl>
    <w:p>
      <w:pPr>
        <w:spacing w:after="240"/>
      </w:pPr>
    </w:p>
    <w:p>
      <w:pPr>
        <w:pStyle w:val="Heading1"/>
        <w:spacing w:after="200" w:before="320"/>
      </w:pPr>
      <w:r>
        <w:rPr>
          <w:b/>
          <w:bCs/>
          <w:color w:val="1F4E79"/>
          <w:sz w:val="28"/>
          <w:szCs w:val="28"/>
        </w:rPr>
        <w:t xml:space="preserve">CASO: EVALUACIÓN DE SOLICITUDES DE CRÉDITO HIPOTECARIO — BANCO AUSTRAL</w:t>
      </w:r>
    </w:p>
    <w:p>
      <w:pPr>
        <w:spacing w:after="160" w:line="276"/>
        <w:jc w:val="both"/>
      </w:pPr>
      <w:r>
        <w:rPr>
          <w:sz w:val="22"/>
          <w:szCs w:val="22"/>
        </w:rPr>
        <w:t xml:space="preserve">Banco Austral es una institución financiera con presencia en las principales regiones del país, cuya misión es facilitar el acceso a la vivienda mediante el otorgamiento de créditos hipotecarios. En un mercado inmobiliario cada vez más dinámico, el banco ha definido como objetivo estratégico agilizar la evaluación de sus clientes, entregando una respuesta preliminar (pre-aprobación) en el menor tiempo posible y con criterios objetivos y transparentes.</w:t>
      </w:r>
    </w:p>
    <w:p>
      <w:pPr>
        <w:spacing w:after="160" w:line="276"/>
        <w:jc w:val="both"/>
      </w:pPr>
      <w:r>
        <w:rPr>
          <w:sz w:val="22"/>
          <w:szCs w:val="22"/>
        </w:rPr>
        <w:t xml:space="preserve">Con este objetivo, Banco Austral pone a disposición de sus clientes un Sistema de Solicitud en Línea, mediante el cual el cliente ingresa todos sus antecedentes por vía electrónica, pudiendo realizar </w:t>
      </w:r>
      <w:r>
        <w:rPr>
          <w:b/>
          <w:bCs/>
          <w:sz w:val="22"/>
          <w:szCs w:val="22"/>
        </w:rPr>
        <w:t xml:space="preserve">solo una solicitud de crédito hipotecario</w:t>
      </w:r>
      <w:r>
        <w:rPr>
          <w:sz w:val="22"/>
          <w:szCs w:val="22"/>
        </w:rPr>
        <w:t xml:space="preserve"> en el presente período de evaluación. En el apartado de Antecedentes Laborales, el cliente debe ingresar </w:t>
      </w:r>
      <w:r>
        <w:rPr>
          <w:b/>
          <w:bCs/>
          <w:sz w:val="22"/>
          <w:szCs w:val="22"/>
        </w:rPr>
        <w:t xml:space="preserve">todos los empleos</w:t>
      </w:r>
      <w:r>
        <w:rPr>
          <w:sz w:val="22"/>
          <w:szCs w:val="22"/>
        </w:rPr>
        <w:t xml:space="preserve"> en los cuales se desempeña o se ha desempeñado, indicando la fecha de contrato, la renta mensual y el empleador. Además, cada solicitud queda asociada a una propiedad específica, la que pertenece a un proyecto inmobiliario con un tipo de propiedad determinado (casa nueva, departamento nuevo, casa usada, etc.).</w:t>
      </w:r>
    </w:p>
    <w:p>
      <w:pPr>
        <w:spacing w:after="160" w:line="276"/>
        <w:jc w:val="both"/>
      </w:pPr>
      <w:r>
        <w:rPr>
          <w:sz w:val="22"/>
          <w:szCs w:val="22"/>
        </w:rPr>
        <w:t xml:space="preserve">La publicación de los resultados de la pre-aprobación se realiza en el sitio privado de cada cliente y en ella se detallan los puntajes que cada solicitante obtuvo en los criterios estándares definidos por la Gerencia de Riesgo para esta evaluación:</w:t>
      </w:r>
    </w:p>
    <w:p>
      <w:pPr>
        <w:pStyle w:val="ListParagraph"/>
        <w:numPr>
          <w:ilvl w:val="0"/>
          <w:numId w:val="2"/>
        </w:numPr>
        <w:spacing w:after="80" w:line="276"/>
      </w:pPr>
      <w:r>
        <w:rPr>
          <w:sz w:val="22"/>
          <w:szCs w:val="22"/>
        </w:rPr>
        <w:t xml:space="preserve">Tipo de trabajador (situación laboral del cliente).</w:t>
      </w:r>
    </w:p>
    <w:p>
      <w:pPr>
        <w:pStyle w:val="ListParagraph"/>
        <w:numPr>
          <w:ilvl w:val="0"/>
          <w:numId w:val="2"/>
        </w:numPr>
        <w:spacing w:after="80" w:line="276"/>
      </w:pPr>
      <w:r>
        <w:rPr>
          <w:sz w:val="22"/>
          <w:szCs w:val="22"/>
        </w:rPr>
        <w:t xml:space="preserve">Años de antigüedad laboral.</w:t>
      </w:r>
    </w:p>
    <w:p>
      <w:pPr>
        <w:pStyle w:val="ListParagraph"/>
        <w:numPr>
          <w:ilvl w:val="0"/>
          <w:numId w:val="2"/>
        </w:numPr>
        <w:spacing w:after="80" w:line="276"/>
      </w:pPr>
      <w:r>
        <w:rPr>
          <w:sz w:val="22"/>
          <w:szCs w:val="22"/>
        </w:rPr>
        <w:t xml:space="preserve">Tipo de propiedad que se desea financiar.</w:t>
      </w:r>
    </w:p>
    <w:p>
      <w:pPr>
        <w:spacing w:after="160" w:line="276"/>
        <w:jc w:val="both"/>
      </w:pPr>
      <w:r>
        <w:rPr>
          <w:sz w:val="22"/>
          <w:szCs w:val="22"/>
        </w:rPr>
        <w:t xml:space="preserve">Además, esta información se envía a los correos personales de cada cliente y en ella también se les comunica el puntaje final que obtuvo y si su solicitud fue </w:t>
      </w:r>
      <w:r>
        <w:rPr>
          <w:b/>
          <w:bCs/>
          <w:sz w:val="22"/>
          <w:szCs w:val="22"/>
        </w:rPr>
        <w:t xml:space="preserve">aprobada o rechazada</w:t>
      </w:r>
      <w:r>
        <w:rPr>
          <w:sz w:val="22"/>
          <w:szCs w:val="22"/>
        </w:rPr>
        <w:t xml:space="preserve"> en la etapa de pre-evaluación.</w:t>
      </w:r>
    </w:p>
    <w:p>
      <w:pPr>
        <w:spacing w:after="160" w:line="276"/>
        <w:jc w:val="both"/>
      </w:pPr>
      <w:r>
        <w:rPr>
          <w:sz w:val="22"/>
          <w:szCs w:val="22"/>
        </w:rPr>
        <w:t xml:space="preserve">La creciente necesidad de agilizar, optimizar, flexibilizar y transparentar los procesos de evaluación crediticia ha motivado al banco a utilizar en forma acelerada y sustancial las tecnologías de información para el desarrollo de aplicaciones cada vez más complejas, necesariamente apoyadas por arquitecturas dedicadas, especialmente diseñadas para trabajar de manera óptima, integrando sistemas, utilizando las mejores herramientas de gestión y desarrollando modelos adecuados a las exigencias de la Comisión para el Mercado Financiero (CMF). Por esta razón, el Directorio ha definido que todos los sistemas críticos sean rediseñados con el objetivo de contar con procesos confiables, eficientes y eficaces.</w:t>
      </w:r>
    </w:p>
    <w:p>
      <w:pPr>
        <w:spacing w:after="160" w:line="276"/>
        <w:jc w:val="both"/>
      </w:pPr>
      <w:r>
        <w:rPr>
          <w:sz w:val="22"/>
          <w:szCs w:val="22"/>
        </w:rPr>
        <w:t xml:space="preserve">En este contexto, Banco Austral ha decidido licitar el rediseño y la construcción de todos los sistemas informáticos que tengan relación con la evaluación y el otorgamiento de créditos hipotecarios. Uno de los sistemas que se deben rediseñar es el que gestiona la información de las solicitudes de crédito hipotecario de los clientes del banco. Según los resultados de la licitación, la consultora responsable de llevar a cabo este trabajo será </w:t>
      </w:r>
      <w:r>
        <w:rPr>
          <w:b/>
          <w:bCs/>
          <w:sz w:val="22"/>
          <w:szCs w:val="22"/>
        </w:rPr>
        <w:t xml:space="preserve">FINTECSOFT</w:t>
      </w:r>
      <w:r>
        <w:rPr>
          <w:sz w:val="22"/>
          <w:szCs w:val="22"/>
        </w:rPr>
        <w:t xml:space="preserve">, en la cual usted trabaja.</w:t>
      </w:r>
    </w:p>
    <w:p>
      <w:pPr>
        <w:spacing w:after="160" w:line="276"/>
        <w:jc w:val="both"/>
      </w:pPr>
      <w:r>
        <w:rPr>
          <w:sz w:val="22"/>
          <w:szCs w:val="22"/>
        </w:rPr>
        <w:t xml:space="preserve">De acuerdo con la prioridad definida por el usuario, el primer proceso a rediseñar es el que genera la información de los puntajes de pre-aprobación.</w:t>
      </w:r>
    </w:p>
    <w:p>
      <w:pPr>
        <w:pStyle w:val="Heading1"/>
        <w:spacing w:after="200" w:before="320"/>
      </w:pPr>
      <w:r>
        <w:rPr>
          <w:b/>
          <w:bCs/>
          <w:color w:val="1F4E79"/>
          <w:sz w:val="28"/>
          <w:szCs w:val="28"/>
        </w:rPr>
        <w:t xml:space="preserve">1. REGLAS DE NEGOCIO</w:t>
      </w:r>
    </w:p>
    <w:p>
      <w:pPr>
        <w:spacing w:after="160" w:line="276"/>
        <w:jc w:val="both"/>
      </w:pPr>
      <w:r>
        <w:rPr>
          <w:b/>
          <w:bCs/>
          <w:sz w:val="22"/>
          <w:szCs w:val="22"/>
        </w:rPr>
        <w:t xml:space="preserve">1.1</w:t>
      </w:r>
      <w:r>
        <w:rPr>
          <w:sz w:val="22"/>
          <w:szCs w:val="22"/>
        </w:rPr>
        <w:t xml:space="preserve"> El puntaje que se asigna por </w:t>
      </w:r>
      <w:r>
        <w:rPr>
          <w:b/>
          <w:bCs/>
          <w:sz w:val="22"/>
          <w:szCs w:val="22"/>
        </w:rPr>
        <w:t xml:space="preserve">tipo de trabajador</w:t>
      </w:r>
      <w:r>
        <w:rPr>
          <w:sz w:val="22"/>
          <w:szCs w:val="22"/>
        </w:rPr>
        <w:t xml:space="preserve"> está relacionado con la situación laboral del cliente (dependiente con contrato indefinido, dependiente con contrato a plazo fijo, independiente con boletas de honorarios, independiente empresario o pensionado). El puntaje se debe obtener desde la tabla </w:t>
      </w:r>
      <w:r>
        <w:rPr>
          <w:rFonts w:ascii="Consolas" w:cs="Consolas" w:eastAsia="Consolas" w:hAnsi="Consolas"/>
          <w:sz w:val="20"/>
          <w:szCs w:val="20"/>
        </w:rPr>
        <w:t xml:space="preserve">PTJE_TIPO_TRABAJADOR</w:t>
      </w:r>
      <w:r>
        <w:rPr>
          <w:sz w:val="22"/>
          <w:szCs w:val="22"/>
        </w:rPr>
        <w:t xml:space="preserve">.</w:t>
      </w:r>
    </w:p>
    <w:p>
      <w:pPr>
        <w:spacing w:after="160" w:line="276"/>
        <w:jc w:val="both"/>
      </w:pPr>
      <w:r>
        <w:rPr>
          <w:b/>
          <w:bCs/>
          <w:sz w:val="22"/>
          <w:szCs w:val="22"/>
        </w:rPr>
        <w:t xml:space="preserve">1.2</w:t>
      </w:r>
      <w:r>
        <w:rPr>
          <w:sz w:val="22"/>
          <w:szCs w:val="22"/>
        </w:rPr>
        <w:t xml:space="preserve"> El puntaje que se asigna por </w:t>
      </w:r>
      <w:r>
        <w:rPr>
          <w:b/>
          <w:bCs/>
          <w:sz w:val="22"/>
          <w:szCs w:val="22"/>
        </w:rPr>
        <w:t xml:space="preserve">antigüedad laboral</w:t>
      </w:r>
      <w:r>
        <w:rPr>
          <w:sz w:val="22"/>
          <w:szCs w:val="22"/>
        </w:rPr>
        <w:t xml:space="preserve"> está relacionado directamente con los años que el cliente lleva trabajando. Como es factible que el cliente registre más de un empleo, se considera siempre la </w:t>
      </w:r>
      <w:r>
        <w:rPr>
          <w:b/>
          <w:bCs/>
          <w:sz w:val="22"/>
          <w:szCs w:val="22"/>
        </w:rPr>
        <w:t xml:space="preserve">fecha de contrato más antigua</w:t>
      </w:r>
      <w:r>
        <w:rPr>
          <w:sz w:val="22"/>
          <w:szCs w:val="22"/>
        </w:rPr>
        <w:t xml:space="preserve">. Los años de antigüedad se calculan a la fecha de ejecución del proceso. El puntaje se debe obtener desde la tabla </w:t>
      </w:r>
      <w:r>
        <w:rPr>
          <w:rFonts w:ascii="Consolas" w:cs="Consolas" w:eastAsia="Consolas" w:hAnsi="Consolas"/>
          <w:sz w:val="20"/>
          <w:szCs w:val="20"/>
        </w:rPr>
        <w:t xml:space="preserve">PTJE_ANNOS_ANTIGUEDAD</w:t>
      </w:r>
      <w:r>
        <w:rPr>
          <w:sz w:val="22"/>
          <w:szCs w:val="22"/>
        </w:rPr>
        <w:t xml:space="preserve">.</w:t>
      </w:r>
    </w:p>
    <w:p>
      <w:pPr>
        <w:spacing w:after="160" w:line="276"/>
        <w:jc w:val="both"/>
      </w:pPr>
      <w:r>
        <w:rPr>
          <w:b/>
          <w:bCs/>
          <w:sz w:val="22"/>
          <w:szCs w:val="22"/>
        </w:rPr>
        <w:t xml:space="preserve">1.3</w:t>
      </w:r>
      <w:r>
        <w:rPr>
          <w:sz w:val="22"/>
          <w:szCs w:val="22"/>
        </w:rPr>
        <w:t xml:space="preserve"> El puntaje que se asigna por </w:t>
      </w:r>
      <w:r>
        <w:rPr>
          <w:b/>
          <w:bCs/>
          <w:sz w:val="22"/>
          <w:szCs w:val="22"/>
        </w:rPr>
        <w:t xml:space="preserve">tipo de propiedad</w:t>
      </w:r>
      <w:r>
        <w:rPr>
          <w:sz w:val="22"/>
          <w:szCs w:val="22"/>
        </w:rPr>
        <w:t xml:space="preserve"> está relacionado con el tipo de propiedad del proyecto inmobiliario al que pertenece la propiedad que el cliente desea financiar con su solicitud de crédito. El puntaje se debe obtener desde la tabla </w:t>
      </w:r>
      <w:r>
        <w:rPr>
          <w:rFonts w:ascii="Consolas" w:cs="Consolas" w:eastAsia="Consolas" w:hAnsi="Consolas"/>
          <w:sz w:val="20"/>
          <w:szCs w:val="20"/>
        </w:rPr>
        <w:t xml:space="preserve">PTJE_TIPO_PROPIEDAD</w:t>
      </w:r>
      <w:r>
        <w:rPr>
          <w:sz w:val="22"/>
          <w:szCs w:val="22"/>
        </w:rPr>
        <w:t xml:space="preserve">.</w:t>
      </w:r>
    </w:p>
    <w:p>
      <w:pPr>
        <w:spacing w:after="160" w:line="276"/>
        <w:jc w:val="both"/>
      </w:pPr>
      <w:r>
        <w:rPr>
          <w:b/>
          <w:bCs/>
          <w:sz w:val="22"/>
          <w:szCs w:val="22"/>
        </w:rPr>
        <w:t xml:space="preserve">1.4</w:t>
      </w:r>
      <w:r>
        <w:rPr>
          <w:sz w:val="22"/>
          <w:szCs w:val="22"/>
        </w:rPr>
        <w:t xml:space="preserve"> A los clientes que tienen </w:t>
      </w:r>
      <w:r>
        <w:rPr>
          <w:b/>
          <w:bCs/>
          <w:sz w:val="22"/>
          <w:szCs w:val="22"/>
        </w:rPr>
        <w:t xml:space="preserve">40 años o menos</w:t>
      </w:r>
      <w:r>
        <w:rPr>
          <w:sz w:val="22"/>
          <w:szCs w:val="22"/>
        </w:rPr>
        <w:t xml:space="preserve"> se les asigna un puntaje adicional que corresponde al </w:t>
      </w:r>
      <w:r>
        <w:rPr>
          <w:b/>
          <w:bCs/>
          <w:sz w:val="22"/>
          <w:szCs w:val="22"/>
        </w:rPr>
        <w:t xml:space="preserve">12% de la sumatoria</w:t>
      </w:r>
      <w:r>
        <w:rPr>
          <w:sz w:val="22"/>
          <w:szCs w:val="22"/>
        </w:rPr>
        <w:t xml:space="preserve"> de los puntajes especificados en las reglas de negocio definidas anteriormente, ya que representan un horizonte de pago de largo plazo para el banco. La edad del cliente se calcula a la fecha de ejecución del proceso.</w:t>
      </w:r>
    </w:p>
    <w:p>
      <w:pPr>
        <w:pStyle w:val="Heading1"/>
        <w:spacing w:after="200" w:before="320"/>
      </w:pPr>
      <w:r>
        <w:rPr>
          <w:b/>
          <w:bCs/>
          <w:color w:val="1F4E79"/>
          <w:sz w:val="28"/>
          <w:szCs w:val="28"/>
        </w:rPr>
        <w:t xml:space="preserve">2. PERFILAMIENTO DE USUARIOS Y ASIGNACIÓN DE PERMISOS (entregado en semana 17)</w:t>
      </w:r>
    </w:p>
    <w:p>
      <w:pPr>
        <w:spacing w:after="160" w:line="276"/>
        <w:jc w:val="both"/>
      </w:pPr>
      <w:r>
        <w:rPr>
          <w:sz w:val="22"/>
          <w:szCs w:val="22"/>
        </w:rPr>
        <w:t xml:space="preserve">El área de Seguridad de la Información, de acuerdo con los estándares de seguridad del banco, le solicita poder restringir las acciones de los usuarios en la base de datos, es decir, que existan distintos perfiles de usuario según el rol que desempeñan. Desde esta perspectiva, se ha llevado a cabo un trabajo exhaustivo para poder definir y acotar las acciones que los diferentes usuarios pueden realizar en la base de datos. El resultado de este trabajo se detalla a continuación, y debe ser implementado en la base de datos considerando la </w:t>
      </w:r>
      <w:r>
        <w:rPr>
          <w:b/>
          <w:bCs/>
          <w:sz w:val="22"/>
          <w:szCs w:val="22"/>
        </w:rPr>
        <w:t xml:space="preserve">gestión de contraseñas, la gestión de espacio (tablespace y cuotas), los límites de recursos (perfiles) y la gestión del estado de las cuentas</w:t>
      </w:r>
      <w:r>
        <w:rPr>
          <w:sz w:val="22"/>
          <w:szCs w:val="22"/>
        </w:rPr>
        <w:t xml:space="preserve">.</w:t>
      </w:r>
    </w:p>
    <w:p>
      <w:pPr>
        <w:pStyle w:val="Heading2"/>
        <w:spacing w:after="160" w:before="260"/>
      </w:pPr>
      <w:r>
        <w:rPr>
          <w:b/>
          <w:bCs/>
          <w:color w:val="1F4E79"/>
          <w:sz w:val="24"/>
          <w:szCs w:val="24"/>
        </w:rPr>
        <w:t xml:space="preserve">2.1 Usuarios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shd w:fill="D9E2F3" w:val="clear"/>
            <w:tcMar>
              <w:top w:type="dxa" w:w="80"/>
              <w:left w:type="dxa" w:w="120"/>
              <w:bottom w:type="dxa" w:w="80"/>
              <w:right w:type="dxa" w:w="120"/>
            </w:tcMar>
          </w:tcPr>
          <w:p>
            <w:pPr>
              <w:spacing w:after="40"/>
            </w:pPr>
            <w:r>
              <w:rPr>
                <w:b/>
                <w:bCs/>
                <w:sz w:val="20"/>
                <w:szCs w:val="20"/>
              </w:rPr>
              <w:t xml:space="preserve">Usuario</w:t>
            </w:r>
          </w:p>
        </w:tc>
        <w:tc>
          <w:tcPr>
            <w:tcW w:type="dxa" w:w="4360"/>
            <w:shd w:fill="D9E2F3" w:val="clear"/>
            <w:tcMar>
              <w:top w:type="dxa" w:w="80"/>
              <w:left w:type="dxa" w:w="120"/>
              <w:bottom w:type="dxa" w:w="80"/>
              <w:right w:type="dxa" w:w="120"/>
            </w:tcMar>
          </w:tcPr>
          <w:p>
            <w:pPr>
              <w:spacing w:after="40"/>
            </w:pPr>
            <w:r>
              <w:rPr>
                <w:b/>
                <w:bCs/>
                <w:sz w:val="20"/>
                <w:szCs w:val="20"/>
              </w:rPr>
              <w:t xml:space="preserve">Tareas que realiza</w:t>
            </w:r>
          </w:p>
        </w:tc>
        <w:tc>
          <w:tcPr>
            <w:tcW w:type="dxa" w:w="2800"/>
            <w:shd w:fill="D9E2F3" w:val="clear"/>
            <w:tcMar>
              <w:top w:type="dxa" w:w="80"/>
              <w:left w:type="dxa" w:w="120"/>
              <w:bottom w:type="dxa" w:w="80"/>
              <w:right w:type="dxa" w:w="120"/>
            </w:tcMar>
          </w:tcPr>
          <w:p>
            <w:pPr>
              <w:spacing w:after="40"/>
            </w:pPr>
            <w:r>
              <w:rPr>
                <w:b/>
                <w:bCs/>
                <w:sz w:val="20"/>
                <w:szCs w:val="20"/>
              </w:rPr>
              <w:t xml:space="preserve">Acciones que puede realizar</w:t>
            </w:r>
          </w:p>
        </w:tc>
      </w:tr>
      <w:tr>
        <w:tc>
          <w:tcPr>
            <w:tcW w:type="dxa" w:w="2200"/>
            <w:tcMar>
              <w:top w:type="dxa" w:w="80"/>
              <w:left w:type="dxa" w:w="120"/>
              <w:bottom w:type="dxa" w:w="80"/>
              <w:right w:type="dxa" w:w="120"/>
            </w:tcMar>
          </w:tcPr>
          <w:p>
            <w:pPr>
              <w:spacing w:after="40"/>
            </w:pPr>
            <w:r>
              <w:rPr>
                <w:b w:val="false"/>
                <w:bCs w:val="false"/>
                <w:sz w:val="20"/>
                <w:szCs w:val="20"/>
              </w:rPr>
              <w:t xml:space="preserve">BDY1102_ET_FD</w:t>
            </w:r>
          </w:p>
        </w:tc>
        <w:tc>
          <w:tcPr>
            <w:tcW w:type="dxa" w:w="4360"/>
            <w:tcMar>
              <w:top w:type="dxa" w:w="80"/>
              <w:left w:type="dxa" w:w="120"/>
              <w:bottom w:type="dxa" w:w="80"/>
              <w:right w:type="dxa" w:w="120"/>
            </w:tcMar>
          </w:tcPr>
          <w:p>
            <w:pPr>
              <w:spacing w:after="40"/>
            </w:pPr>
            <w:r>
              <w:rPr>
                <w:b w:val="false"/>
                <w:bCs w:val="false"/>
                <w:sz w:val="20"/>
                <w:szCs w:val="20"/>
              </w:rPr>
              <w:t xml:space="preserve">Usuario dueño de las tablas definidas en el modelo del caso, y que se crean en la base de datos ejecutando los scripts base_de_datos.sql y poblado_tablas.sql.</w:t>
            </w:r>
          </w:p>
        </w:tc>
        <w:tc>
          <w:tcPr>
            <w:tcW w:type="dxa" w:w="2800"/>
            <w:tcMar>
              <w:top w:type="dxa" w:w="80"/>
              <w:left w:type="dxa" w:w="120"/>
              <w:bottom w:type="dxa" w:w="80"/>
              <w:right w:type="dxa" w:w="120"/>
            </w:tcMar>
          </w:tcPr>
          <w:p>
            <w:pPr>
              <w:spacing w:after="40"/>
            </w:pPr>
            <w:r>
              <w:rPr>
                <w:b w:val="false"/>
                <w:bCs w:val="false"/>
                <w:sz w:val="20"/>
                <w:szCs w:val="20"/>
              </w:rPr>
              <w:t xml:space="preserve">• Crear tablas</w:t>
            </w:r>
          </w:p>
          <w:p>
            <w:pPr>
              <w:spacing w:after="40"/>
            </w:pPr>
            <w:r>
              <w:rPr>
                <w:b w:val="false"/>
                <w:bCs w:val="false"/>
                <w:sz w:val="20"/>
                <w:szCs w:val="20"/>
              </w:rPr>
              <w:t xml:space="preserve">• Modificar la estructura de las tablas</w:t>
            </w:r>
          </w:p>
          <w:p>
            <w:pPr>
              <w:spacing w:after="40"/>
            </w:pPr>
            <w:r>
              <w:rPr>
                <w:b w:val="false"/>
                <w:bCs w:val="false"/>
                <w:sz w:val="20"/>
                <w:szCs w:val="20"/>
              </w:rPr>
              <w:t xml:space="preserve">• Eliminar tablas</w:t>
            </w:r>
          </w:p>
          <w:p>
            <w:pPr>
              <w:spacing w:after="40"/>
            </w:pPr>
            <w:r>
              <w:rPr>
                <w:b w:val="false"/>
                <w:bCs w:val="false"/>
                <w:sz w:val="20"/>
                <w:szCs w:val="20"/>
              </w:rPr>
              <w:t xml:space="preserve">• Crear secuencias</w:t>
            </w:r>
          </w:p>
          <w:p>
            <w:pPr>
              <w:spacing w:after="40"/>
            </w:pPr>
            <w:r>
              <w:rPr>
                <w:b w:val="false"/>
                <w:bCs w:val="false"/>
                <w:sz w:val="20"/>
                <w:szCs w:val="20"/>
              </w:rPr>
              <w:t xml:space="preserve">• Crear índices</w:t>
            </w:r>
          </w:p>
        </w:tc>
      </w:tr>
      <w:tr>
        <w:tc>
          <w:tcPr>
            <w:tcW w:type="dxa" w:w="2200"/>
            <w:tcMar>
              <w:top w:type="dxa" w:w="80"/>
              <w:left w:type="dxa" w:w="120"/>
              <w:bottom w:type="dxa" w:w="80"/>
              <w:right w:type="dxa" w:w="120"/>
            </w:tcMar>
          </w:tcPr>
          <w:p>
            <w:pPr>
              <w:spacing w:after="40"/>
            </w:pPr>
            <w:r>
              <w:rPr>
                <w:b w:val="false"/>
                <w:bCs w:val="false"/>
                <w:sz w:val="20"/>
                <w:szCs w:val="20"/>
              </w:rPr>
              <w:t xml:space="preserve">BDY1102_ET_FD_DES</w:t>
            </w:r>
          </w:p>
        </w:tc>
        <w:tc>
          <w:tcPr>
            <w:tcW w:type="dxa" w:w="4360"/>
            <w:tcMar>
              <w:top w:type="dxa" w:w="80"/>
              <w:left w:type="dxa" w:w="120"/>
              <w:bottom w:type="dxa" w:w="80"/>
              <w:right w:type="dxa" w:w="120"/>
            </w:tcMar>
          </w:tcPr>
          <w:p>
            <w:pPr>
              <w:spacing w:after="40"/>
            </w:pPr>
            <w:r>
              <w:rPr>
                <w:b w:val="false"/>
                <w:bCs w:val="false"/>
                <w:sz w:val="20"/>
                <w:szCs w:val="20"/>
              </w:rPr>
              <w:t xml:space="preserve">Usuario genérico que será usado por el Desarrollador del Sistema Informático para construir la solución de los requerimientos nro. 3 (GENERACIÓN DE INFORME DE LOS SOLICITANTES) y nro. 4 (PROCESO PL/SQL Y OBTENER INFORME PARA REVISIÓN).</w:t>
            </w:r>
          </w:p>
        </w:tc>
        <w:tc>
          <w:tcPr>
            <w:tcW w:type="dxa" w:w="2800"/>
            <w:tcMar>
              <w:top w:type="dxa" w:w="80"/>
              <w:left w:type="dxa" w:w="120"/>
              <w:bottom w:type="dxa" w:w="80"/>
              <w:right w:type="dxa" w:w="120"/>
            </w:tcMar>
          </w:tcPr>
          <w:p>
            <w:pPr>
              <w:spacing w:after="40"/>
            </w:pPr>
            <w:r>
              <w:rPr>
                <w:b w:val="false"/>
                <w:bCs w:val="false"/>
                <w:sz w:val="20"/>
                <w:szCs w:val="20"/>
              </w:rPr>
              <w:t xml:space="preserve">• Crear vistas</w:t>
            </w:r>
          </w:p>
          <w:p>
            <w:pPr>
              <w:spacing w:after="40"/>
            </w:pPr>
            <w:r>
              <w:rPr>
                <w:b w:val="false"/>
                <w:bCs w:val="false"/>
                <w:sz w:val="20"/>
                <w:szCs w:val="20"/>
              </w:rPr>
              <w:t xml:space="preserve">• Crear vistas materializadas</w:t>
            </w:r>
          </w:p>
        </w:tc>
      </w:tr>
    </w:tbl>
    <w:p>
      <w:pPr>
        <w:spacing w:after="160"/>
      </w:pPr>
    </w:p>
    <w:p>
      <w:pPr>
        <w:pStyle w:val="Heading2"/>
        <w:spacing w:after="160" w:before="260"/>
      </w:pPr>
      <w:r>
        <w:rPr>
          <w:b/>
          <w:bCs/>
          <w:color w:val="1F4E79"/>
          <w:sz w:val="24"/>
          <w:szCs w:val="24"/>
        </w:rPr>
        <w:t xml:space="preserve">2.2 Acceso a datos y objetos</w:t>
      </w:r>
    </w:p>
    <w:p>
      <w:pPr>
        <w:spacing w:after="160" w:line="276"/>
        <w:jc w:val="both"/>
      </w:pPr>
      <w:r>
        <w:rPr>
          <w:sz w:val="22"/>
          <w:szCs w:val="22"/>
        </w:rPr>
        <w:t xml:space="preserve">Usuario </w:t>
      </w:r>
      <w:r>
        <w:rPr>
          <w:rFonts w:ascii="Consolas" w:cs="Consolas" w:eastAsia="Consolas" w:hAnsi="Consolas"/>
          <w:sz w:val="20"/>
          <w:szCs w:val="20"/>
        </w:rPr>
        <w:t xml:space="preserve">BDY1102_ET_FD_DES</w:t>
      </w:r>
      <w:r>
        <w:rPr>
          <w:sz w:val="22"/>
          <w:szCs w:val="22"/>
        </w:rPr>
        <w:t xml:space="preserve"> — Consultar información de las tablas del usuario </w:t>
      </w:r>
      <w:r>
        <w:rPr>
          <w:rFonts w:ascii="Consolas" w:cs="Consolas" w:eastAsia="Consolas" w:hAnsi="Consolas"/>
          <w:sz w:val="20"/>
          <w:szCs w:val="20"/>
        </w:rPr>
        <w:t xml:space="preserve">BDY1102_ET_FD</w:t>
      </w:r>
      <w:r>
        <w:rPr>
          <w:sz w:val="22"/>
          <w:szCs w:val="22"/>
        </w:rPr>
        <w:t xml:space="preserve">:</w:t>
      </w:r>
    </w:p>
    <w:p>
      <w:pPr>
        <w:pStyle w:val="ListParagraph"/>
        <w:numPr>
          <w:ilvl w:val="0"/>
          <w:numId w:val="2"/>
        </w:numPr>
        <w:spacing w:after="80" w:line="276"/>
      </w:pPr>
      <w:r>
        <w:rPr>
          <w:sz w:val="22"/>
          <w:szCs w:val="22"/>
        </w:rPr>
        <w:t xml:space="preserve">ANTECEDENTES_CLIENTE</w:t>
      </w:r>
    </w:p>
    <w:p>
      <w:pPr>
        <w:pStyle w:val="ListParagraph"/>
        <w:numPr>
          <w:ilvl w:val="0"/>
          <w:numId w:val="2"/>
        </w:numPr>
        <w:spacing w:after="80" w:line="276"/>
      </w:pPr>
      <w:r>
        <w:rPr>
          <w:sz w:val="22"/>
          <w:szCs w:val="22"/>
        </w:rPr>
        <w:t xml:space="preserve">ANTECEDENTES_LABORALES</w:t>
      </w:r>
    </w:p>
    <w:p>
      <w:pPr>
        <w:pStyle w:val="ListParagraph"/>
        <w:numPr>
          <w:ilvl w:val="0"/>
          <w:numId w:val="2"/>
        </w:numPr>
        <w:spacing w:after="80" w:line="276"/>
      </w:pPr>
      <w:r>
        <w:rPr>
          <w:sz w:val="22"/>
          <w:szCs w:val="22"/>
        </w:rPr>
        <w:t xml:space="preserve">COMUNA</w:t>
      </w:r>
    </w:p>
    <w:p>
      <w:pPr>
        <w:pStyle w:val="ListParagraph"/>
        <w:numPr>
          <w:ilvl w:val="0"/>
          <w:numId w:val="2"/>
        </w:numPr>
        <w:spacing w:after="80" w:line="276"/>
      </w:pPr>
      <w:r>
        <w:rPr>
          <w:sz w:val="22"/>
          <w:szCs w:val="22"/>
        </w:rPr>
        <w:t xml:space="preserve">PROPIEDAD</w:t>
      </w:r>
    </w:p>
    <w:p>
      <w:pPr>
        <w:pStyle w:val="ListParagraph"/>
        <w:numPr>
          <w:ilvl w:val="0"/>
          <w:numId w:val="2"/>
        </w:numPr>
        <w:spacing w:after="80" w:line="276"/>
      </w:pPr>
      <w:r>
        <w:rPr>
          <w:sz w:val="22"/>
          <w:szCs w:val="22"/>
        </w:rPr>
        <w:t xml:space="preserve">PROYECTO_INMOBILIARIO</w:t>
      </w:r>
    </w:p>
    <w:p>
      <w:pPr>
        <w:pStyle w:val="ListParagraph"/>
        <w:numPr>
          <w:ilvl w:val="0"/>
          <w:numId w:val="2"/>
        </w:numPr>
        <w:spacing w:after="80" w:line="276"/>
      </w:pPr>
      <w:r>
        <w:rPr>
          <w:sz w:val="22"/>
          <w:szCs w:val="22"/>
        </w:rPr>
        <w:t xml:space="preserve">PTJE_ANNOS_ANTIGUEDAD</w:t>
      </w:r>
    </w:p>
    <w:p>
      <w:pPr>
        <w:pStyle w:val="ListParagraph"/>
        <w:numPr>
          <w:ilvl w:val="0"/>
          <w:numId w:val="2"/>
        </w:numPr>
        <w:spacing w:after="80" w:line="276"/>
      </w:pPr>
      <w:r>
        <w:rPr>
          <w:sz w:val="22"/>
          <w:szCs w:val="22"/>
        </w:rPr>
        <w:t xml:space="preserve">PTJE_TIPO_PROPIEDAD</w:t>
      </w:r>
    </w:p>
    <w:p>
      <w:pPr>
        <w:pStyle w:val="ListParagraph"/>
        <w:numPr>
          <w:ilvl w:val="0"/>
          <w:numId w:val="2"/>
        </w:numPr>
        <w:spacing w:after="80" w:line="276"/>
      </w:pPr>
      <w:r>
        <w:rPr>
          <w:sz w:val="22"/>
          <w:szCs w:val="22"/>
        </w:rPr>
        <w:t xml:space="preserve">PTJE_TIPO_TRABAJADOR</w:t>
      </w:r>
    </w:p>
    <w:p>
      <w:pPr>
        <w:pStyle w:val="ListParagraph"/>
        <w:numPr>
          <w:ilvl w:val="0"/>
          <w:numId w:val="2"/>
        </w:numPr>
        <w:spacing w:after="80" w:line="276"/>
      </w:pPr>
      <w:r>
        <w:rPr>
          <w:sz w:val="22"/>
          <w:szCs w:val="22"/>
        </w:rPr>
        <w:t xml:space="preserve">REGION</w:t>
      </w:r>
    </w:p>
    <w:p>
      <w:pPr>
        <w:pStyle w:val="ListParagraph"/>
        <w:numPr>
          <w:ilvl w:val="0"/>
          <w:numId w:val="2"/>
        </w:numPr>
        <w:spacing w:after="80" w:line="276"/>
      </w:pPr>
      <w:r>
        <w:rPr>
          <w:sz w:val="22"/>
          <w:szCs w:val="22"/>
        </w:rPr>
        <w:t xml:space="preserve">SOLICITUD_CREDITO</w:t>
      </w:r>
    </w:p>
    <w:p>
      <w:pPr>
        <w:pStyle w:val="ListParagraph"/>
        <w:numPr>
          <w:ilvl w:val="0"/>
          <w:numId w:val="2"/>
        </w:numPr>
        <w:spacing w:after="80" w:line="276"/>
      </w:pPr>
      <w:r>
        <w:rPr>
          <w:sz w:val="22"/>
          <w:szCs w:val="22"/>
        </w:rPr>
        <w:t xml:space="preserve">SUCURSAL</w:t>
      </w:r>
    </w:p>
    <w:p>
      <w:pPr>
        <w:pStyle w:val="ListParagraph"/>
        <w:numPr>
          <w:ilvl w:val="0"/>
          <w:numId w:val="2"/>
        </w:numPr>
        <w:spacing w:after="80" w:line="276"/>
      </w:pPr>
      <w:r>
        <w:rPr>
          <w:sz w:val="22"/>
          <w:szCs w:val="22"/>
        </w:rPr>
        <w:t xml:space="preserve">TIPO_PROPIEDAD</w:t>
      </w:r>
    </w:p>
    <w:p>
      <w:pPr>
        <w:pStyle w:val="ListParagraph"/>
        <w:numPr>
          <w:ilvl w:val="0"/>
          <w:numId w:val="2"/>
        </w:numPr>
        <w:spacing w:after="80" w:line="276"/>
      </w:pPr>
      <w:r>
        <w:rPr>
          <w:sz w:val="22"/>
          <w:szCs w:val="22"/>
        </w:rPr>
        <w:t xml:space="preserve">TIPO_TRABAJADOR</w:t>
      </w:r>
    </w:p>
    <w:p>
      <w:pPr>
        <w:spacing w:after="160" w:line="276"/>
        <w:jc w:val="both"/>
      </w:pPr>
      <w:r>
        <w:rPr>
          <w:sz w:val="22"/>
          <w:szCs w:val="22"/>
        </w:rPr>
        <w:t xml:space="preserve">Modificar, insertar y eliminar información en las tablas del usuario </w:t>
      </w:r>
      <w:r>
        <w:rPr>
          <w:rFonts w:ascii="Consolas" w:cs="Consolas" w:eastAsia="Consolas" w:hAnsi="Consolas"/>
          <w:sz w:val="20"/>
          <w:szCs w:val="20"/>
        </w:rPr>
        <w:t xml:space="preserve">BDY1102_ET_FD</w:t>
      </w:r>
      <w:r>
        <w:rPr>
          <w:sz w:val="22"/>
          <w:szCs w:val="22"/>
        </w:rPr>
        <w:t xml:space="preserve">:</w:t>
      </w:r>
    </w:p>
    <w:p>
      <w:pPr>
        <w:pStyle w:val="ListParagraph"/>
        <w:numPr>
          <w:ilvl w:val="0"/>
          <w:numId w:val="2"/>
        </w:numPr>
        <w:spacing w:after="80" w:line="276"/>
      </w:pPr>
      <w:r>
        <w:rPr>
          <w:sz w:val="22"/>
          <w:szCs w:val="22"/>
        </w:rPr>
        <w:t xml:space="preserve">DETALLE_PUNTAJE_SOLICITUD</w:t>
      </w:r>
    </w:p>
    <w:p>
      <w:pPr>
        <w:pStyle w:val="ListParagraph"/>
        <w:numPr>
          <w:ilvl w:val="0"/>
          <w:numId w:val="2"/>
        </w:numPr>
        <w:spacing w:after="80" w:line="276"/>
      </w:pPr>
      <w:r>
        <w:rPr>
          <w:sz w:val="22"/>
          <w:szCs w:val="22"/>
        </w:rPr>
        <w:t xml:space="preserve">RESULTADO_SOLICITUD</w:t>
      </w:r>
    </w:p>
    <w:p>
      <w:pPr>
        <w:pStyle w:val="Heading2"/>
        <w:spacing w:after="160" w:before="260"/>
      </w:pPr>
      <w:r>
        <w:rPr>
          <w:b/>
          <w:bCs/>
          <w:color w:val="1F4E79"/>
          <w:sz w:val="24"/>
          <w:szCs w:val="24"/>
        </w:rPr>
        <w:t xml:space="preserve">2.3 Estrategia de asignación de privilegios</w:t>
      </w:r>
    </w:p>
    <w:p>
      <w:pPr>
        <w:spacing w:after="160" w:line="276"/>
        <w:jc w:val="both"/>
      </w:pPr>
      <w:r>
        <w:rPr>
          <w:sz w:val="22"/>
          <w:szCs w:val="22"/>
        </w:rPr>
        <w:t xml:space="preserve">Para la implementación, se debe considerar la eficiencia en la asignación de privilegios a los diferentes usuarios. Esto significa que se debe tener presente:</w:t>
      </w:r>
    </w:p>
    <w:p>
      <w:pPr>
        <w:pStyle w:val="ListParagraph"/>
        <w:numPr>
          <w:ilvl w:val="0"/>
          <w:numId w:val="2"/>
        </w:numPr>
        <w:spacing w:after="80" w:line="276"/>
      </w:pPr>
      <w:r>
        <w:rPr>
          <w:sz w:val="22"/>
          <w:szCs w:val="22"/>
        </w:rPr>
        <w:t xml:space="preserve">En qué escenario es mejor asignar privilegios individuales a los usuarios.</w:t>
      </w:r>
    </w:p>
    <w:p>
      <w:pPr>
        <w:pStyle w:val="ListParagraph"/>
        <w:numPr>
          <w:ilvl w:val="0"/>
          <w:numId w:val="2"/>
        </w:numPr>
        <w:spacing w:after="80" w:line="276"/>
      </w:pPr>
      <w:r>
        <w:rPr>
          <w:sz w:val="22"/>
          <w:szCs w:val="22"/>
        </w:rPr>
        <w:t xml:space="preserve">En qué escenario es mejor asignar un conjunto de privilegios relacionados (ROLES) a los usuarios.</w:t>
      </w:r>
    </w:p>
    <w:p>
      <w:pPr>
        <w:pStyle w:val="ListParagraph"/>
        <w:numPr>
          <w:ilvl w:val="0"/>
          <w:numId w:val="2"/>
        </w:numPr>
        <w:spacing w:after="80" w:line="276"/>
      </w:pPr>
      <w:r>
        <w:rPr>
          <w:sz w:val="22"/>
          <w:szCs w:val="22"/>
        </w:rPr>
        <w:t xml:space="preserve">Seguir el principio de Menor Privilegio.</w:t>
      </w:r>
    </w:p>
    <w:p>
      <w:pPr>
        <w:pStyle w:val="Heading1"/>
        <w:spacing w:after="200" w:before="320"/>
      </w:pPr>
      <w:r>
        <w:rPr>
          <w:b/>
          <w:bCs/>
          <w:color w:val="1F4E79"/>
          <w:sz w:val="28"/>
          <w:szCs w:val="28"/>
        </w:rPr>
        <w:t xml:space="preserve">3. GENERACIÓN DE INFORME DE LOS SOLICITANTES</w:t>
      </w:r>
    </w:p>
    <w:p>
      <w:pPr>
        <w:spacing w:after="160" w:line="276"/>
        <w:jc w:val="both"/>
      </w:pPr>
      <w:r>
        <w:rPr>
          <w:sz w:val="22"/>
          <w:szCs w:val="22"/>
        </w:rPr>
        <w:t xml:space="preserve">A medida que los clientes van registrando sus solicitudes, la Gerencia de Operaciones debe generar un informe que debe ser consultado por otros departamentos para realizar labores de creación de usuarios de banca en línea y cuentas de correo para la comunicación con los solicitantes mientras dure el proceso de evaluación. El informe es el resultado de ejecutar una sentencia SQL que posteriormente la Gerencia exporta a Excel y distribuye al resto de las áreas que lo necesitan. La información que este reporte debe contener es la siguiente: </w:t>
      </w:r>
      <w:r>
        <w:rPr>
          <w:b/>
          <w:bCs/>
          <w:sz w:val="22"/>
          <w:szCs w:val="22"/>
        </w:rPr>
        <w:t xml:space="preserve">el run y dígito verificador, el apellido paterno, el apellido materno, los nombres, la fecha de nacimiento, el tipo de trabajador del cliente y la cantidad de empleos registrados</w:t>
      </w:r>
      <w:r>
        <w:rPr>
          <w:sz w:val="22"/>
          <w:szCs w:val="22"/>
        </w:rPr>
        <w:t xml:space="preserve"> en sus antecedentes laborales. Todo esto </w:t>
      </w:r>
      <w:r>
        <w:rPr>
          <w:b/>
          <w:bCs/>
          <w:sz w:val="22"/>
          <w:szCs w:val="22"/>
        </w:rPr>
        <w:t xml:space="preserve">ordenado por apellido paterno, apellido materno y nombres</w:t>
      </w:r>
      <w:r>
        <w:rPr>
          <w:sz w:val="22"/>
          <w:szCs w:val="22"/>
        </w:rPr>
        <w:t xml:space="preserve">.</w:t>
      </w:r>
    </w:p>
    <w:p>
      <w:pPr>
        <w:spacing w:after="160" w:line="276"/>
        <w:jc w:val="both"/>
      </w:pPr>
      <w:r>
        <w:rPr>
          <w:sz w:val="22"/>
          <w:szCs w:val="22"/>
        </w:rPr>
        <w:t xml:space="preserve">Se debe considerar que la dirección de correo de banca en línea generada por el informe corresponde a la concatenación de:</w:t>
      </w:r>
    </w:p>
    <w:p>
      <w:pPr>
        <w:pStyle w:val="ListParagraph"/>
        <w:numPr>
          <w:ilvl w:val="0"/>
          <w:numId w:val="2"/>
        </w:numPr>
        <w:spacing w:after="80" w:line="276"/>
      </w:pPr>
      <w:r>
        <w:rPr>
          <w:sz w:val="22"/>
          <w:szCs w:val="22"/>
        </w:rPr>
        <w:t xml:space="preserve">Si el cliente es un trabajador dependiente (contrato indefinido o a plazo fijo), las tres primeras letras de su apellido paterno en minúscula. Por el contrario, si el cliente no es un trabajador dependiente, se deben utilizar las tres primeras letras de su apellido materno en minúscula.</w:t>
      </w:r>
    </w:p>
    <w:p>
      <w:pPr>
        <w:pStyle w:val="ListParagraph"/>
        <w:numPr>
          <w:ilvl w:val="0"/>
          <w:numId w:val="2"/>
        </w:numPr>
        <w:spacing w:after="80" w:line="276"/>
      </w:pPr>
      <w:r>
        <w:rPr>
          <w:sz w:val="22"/>
          <w:szCs w:val="22"/>
        </w:rPr>
        <w:t xml:space="preserve">Un guion (-).</w:t>
      </w:r>
    </w:p>
    <w:p>
      <w:pPr>
        <w:pStyle w:val="ListParagraph"/>
        <w:numPr>
          <w:ilvl w:val="0"/>
          <w:numId w:val="2"/>
        </w:numPr>
        <w:spacing w:after="80" w:line="276"/>
      </w:pPr>
      <w:r>
        <w:rPr>
          <w:sz w:val="22"/>
          <w:szCs w:val="22"/>
        </w:rPr>
        <w:t xml:space="preserve">El año de la fecha de nacimiento del cliente aumentado en un 25% (sin decimales, truncado).</w:t>
      </w:r>
    </w:p>
    <w:p>
      <w:pPr>
        <w:pStyle w:val="ListParagraph"/>
        <w:numPr>
          <w:ilvl w:val="0"/>
          <w:numId w:val="2"/>
        </w:numPr>
        <w:spacing w:after="80" w:line="276"/>
      </w:pPr>
      <w:r>
        <w:rPr>
          <w:sz w:val="22"/>
          <w:szCs w:val="22"/>
        </w:rPr>
        <w:t xml:space="preserve">Los dos últimos dígitos del run del cliente aumentados en dos.</w:t>
      </w:r>
    </w:p>
    <w:p>
      <w:pPr>
        <w:pStyle w:val="ListParagraph"/>
        <w:numPr>
          <w:ilvl w:val="0"/>
          <w:numId w:val="2"/>
        </w:numPr>
        <w:spacing w:after="80" w:line="276"/>
      </w:pPr>
      <w:r>
        <w:rPr>
          <w:sz w:val="22"/>
          <w:szCs w:val="22"/>
        </w:rPr>
        <w:t xml:space="preserve">El texto @bancoaustral.cl</w:t>
      </w:r>
    </w:p>
    <w:p>
      <w:pPr>
        <w:spacing w:after="160" w:line="276"/>
        <w:jc w:val="both"/>
      </w:pPr>
      <w:r>
        <w:rPr>
          <w:sz w:val="22"/>
          <w:szCs w:val="22"/>
        </w:rPr>
        <w:t xml:space="preserve">La Gerencia de Operaciones, en su afán de automatizar cada vez más sus procesos, se dio cuenta de que la generación del informe de solicitantes a través de Excel no estaba siendo una opción muy eficiente. Como resultado de ese estudio, le solicita a usted, en su calidad de desarrollador, crear un </w:t>
      </w:r>
      <w:r>
        <w:rPr>
          <w:b/>
          <w:bCs/>
          <w:sz w:val="22"/>
          <w:szCs w:val="22"/>
        </w:rPr>
        <w:t xml:space="preserve">informe automático, que se vaya actualizando a medida que se van registrando solicitantes</w:t>
      </w:r>
      <w:r>
        <w:rPr>
          <w:sz w:val="22"/>
          <w:szCs w:val="22"/>
        </w:rPr>
        <w:t xml:space="preserve">. Debe elegir la alternativa que mejor se adecue al requerimiento.</w:t>
      </w:r>
    </w:p>
    <w:p>
      <w:pPr>
        <w:spacing w:after="160" w:line="276"/>
        <w:jc w:val="both"/>
      </w:pPr>
      <w:r>
        <w:rPr>
          <w:sz w:val="22"/>
          <w:szCs w:val="22"/>
        </w:rPr>
        <w:t xml:space="preserve">La consulta del informe debe quedar almacenada en la base de datos en el esquema </w:t>
      </w:r>
      <w:r>
        <w:rPr>
          <w:rFonts w:ascii="Consolas" w:cs="Consolas" w:eastAsia="Consolas" w:hAnsi="Consolas"/>
          <w:sz w:val="20"/>
          <w:szCs w:val="20"/>
        </w:rPr>
        <w:t xml:space="preserve">BDY1102_ET_FD_DES</w:t>
      </w:r>
      <w:r>
        <w:rPr>
          <w:sz w:val="22"/>
          <w:szCs w:val="22"/>
        </w:rPr>
        <w:t xml:space="preserve">, ya que solo él está autorizado a consultar y modificar este informe.</w:t>
      </w:r>
    </w:p>
    <w:p>
      <w:pPr>
        <w:pStyle w:val="Heading1"/>
        <w:spacing w:after="200" w:before="320"/>
      </w:pPr>
      <w:r>
        <w:rPr>
          <w:b/>
          <w:bCs/>
          <w:color w:val="1F4E79"/>
          <w:sz w:val="28"/>
          <w:szCs w:val="28"/>
        </w:rPr>
        <w:t xml:space="preserve">4. PROCESO PL/SQL Y OBTENER INFORME PARA REVISIÓN</w:t>
      </w:r>
    </w:p>
    <w:p>
      <w:pPr>
        <w:pStyle w:val="Heading2"/>
        <w:spacing w:after="160" w:before="260"/>
      </w:pPr>
      <w:r>
        <w:rPr>
          <w:b/>
          <w:bCs/>
          <w:color w:val="1F4E79"/>
          <w:sz w:val="24"/>
          <w:szCs w:val="24"/>
        </w:rPr>
        <w:t xml:space="preserve">4.1 Cálculo del puntaje de pre-aprobación</w:t>
      </w:r>
    </w:p>
    <w:p>
      <w:pPr>
        <w:spacing w:after="160" w:line="276"/>
        <w:jc w:val="both"/>
      </w:pPr>
      <w:r>
        <w:rPr>
          <w:sz w:val="22"/>
          <w:szCs w:val="22"/>
        </w:rPr>
        <w:t xml:space="preserve">El cálculo del puntaje total de todos los solicitantes se deberá realizar a través de un </w:t>
      </w:r>
      <w:r>
        <w:rPr>
          <w:b/>
          <w:bCs/>
          <w:sz w:val="22"/>
          <w:szCs w:val="22"/>
        </w:rPr>
        <w:t xml:space="preserve">proceso PL/SQL</w:t>
      </w:r>
      <w:r>
        <w:rPr>
          <w:sz w:val="22"/>
          <w:szCs w:val="22"/>
        </w:rPr>
        <w:t xml:space="preserve">. Para ello debe considerar lo siguiente:</w:t>
      </w:r>
    </w:p>
    <w:p>
      <w:pPr>
        <w:spacing w:after="160" w:line="276"/>
        <w:jc w:val="both"/>
      </w:pPr>
      <w:r>
        <w:rPr>
          <w:b/>
          <w:bCs/>
          <w:sz w:val="22"/>
          <w:szCs w:val="22"/>
        </w:rPr>
        <w:t xml:space="preserve">4.1.1 Consideraciones en términos de diseño</w:t>
      </w:r>
    </w:p>
    <w:p>
      <w:pPr>
        <w:pStyle w:val="ListParagraph"/>
        <w:numPr>
          <w:ilvl w:val="0"/>
          <w:numId w:val="2"/>
        </w:numPr>
        <w:spacing w:after="80" w:line="276"/>
      </w:pPr>
      <w:r>
        <w:rPr>
          <w:sz w:val="22"/>
          <w:szCs w:val="22"/>
        </w:rPr>
        <w:t xml:space="preserve">Se deben procesar todos los clientes que registran una solicitud de crédito hipotecario.</w:t>
      </w:r>
    </w:p>
    <w:p>
      <w:pPr>
        <w:pStyle w:val="ListParagraph"/>
        <w:numPr>
          <w:ilvl w:val="0"/>
          <w:numId w:val="2"/>
        </w:numPr>
        <w:spacing w:after="80" w:line="276"/>
      </w:pPr>
      <w:r>
        <w:rPr>
          <w:sz w:val="22"/>
          <w:szCs w:val="22"/>
        </w:rPr>
        <w:t xml:space="preserve">Cada puntaje SE DEBE OBTENER EN SENTENCIAS SELECT INDIVIDUALES en la sección de EJECUCIÓN del bloque PL/SQL (ESTO ES OBLIGATORIO).</w:t>
      </w:r>
    </w:p>
    <w:p>
      <w:pPr>
        <w:pStyle w:val="ListParagraph"/>
        <w:numPr>
          <w:ilvl w:val="0"/>
          <w:numId w:val="2"/>
        </w:numPr>
        <w:spacing w:after="80" w:line="276"/>
      </w:pPr>
      <w:r>
        <w:rPr>
          <w:sz w:val="22"/>
          <w:szCs w:val="22"/>
        </w:rPr>
        <w:t xml:space="preserve">Se deben TRUNCAR, en tiempo de ejecución, las tablas de resultado del proceso: DETALLE_PUNTAJE_SOLICITUD y RESULTADO_SOLICITUD.</w:t>
      </w:r>
    </w:p>
    <w:p>
      <w:pPr>
        <w:pStyle w:val="ListParagraph"/>
        <w:numPr>
          <w:ilvl w:val="0"/>
          <w:numId w:val="2"/>
        </w:numPr>
        <w:spacing w:after="80" w:line="276"/>
      </w:pPr>
      <w:r>
        <w:rPr>
          <w:sz w:val="22"/>
          <w:szCs w:val="22"/>
        </w:rPr>
        <w:t xml:space="preserve">La información del detalle del puntaje obtenido por cada solicitante se debe almacenar en la tabla DETALLE_PUNTAJE_SOLICITUD. La información requerida es: run del cliente, nombre del cliente, puntaje por tipo de trabajador, puntaje por antigüedad laboral, puntaje por el tipo de propiedad que desea financiar y el puntaje extra por tener 40 años o menos.</w:t>
      </w:r>
    </w:p>
    <w:p>
      <w:pPr>
        <w:pStyle w:val="ListParagraph"/>
        <w:numPr>
          <w:ilvl w:val="0"/>
          <w:numId w:val="2"/>
        </w:numPr>
        <w:spacing w:after="80" w:line="276"/>
      </w:pPr>
      <w:r>
        <w:rPr>
          <w:sz w:val="22"/>
          <w:szCs w:val="22"/>
        </w:rPr>
        <w:t xml:space="preserve">Cuando se genere la información de cada solicitante en la tabla DETALLE_PUNTAJE_SOLICITUD, también se deberá almacenar la información en la tabla RESULTADO_SOLICITUD: run del cliente, el puntaje final y si su solicitud quedó o no pre-aprobada.</w:t>
      </w:r>
    </w:p>
    <w:p>
      <w:pPr>
        <w:pStyle w:val="ListParagraph"/>
        <w:numPr>
          <w:ilvl w:val="0"/>
          <w:numId w:val="2"/>
        </w:numPr>
        <w:spacing w:after="80" w:line="276"/>
      </w:pPr>
      <w:r>
        <w:rPr>
          <w:sz w:val="22"/>
          <w:szCs w:val="22"/>
        </w:rPr>
        <w:t xml:space="preserve">Todos los cálculos se deben redondear.</w:t>
      </w:r>
    </w:p>
    <w:p>
      <w:pPr>
        <w:spacing w:after="160" w:line="276"/>
        <w:jc w:val="both"/>
      </w:pPr>
      <w:r>
        <w:rPr>
          <w:b/>
          <w:bCs/>
          <w:sz w:val="22"/>
          <w:szCs w:val="22"/>
        </w:rPr>
        <w:t xml:space="preserve">4.1.2 Consideraciones para generar la información del proceso</w:t>
      </w:r>
    </w:p>
    <w:p>
      <w:pPr>
        <w:pStyle w:val="ListParagraph"/>
        <w:numPr>
          <w:ilvl w:val="0"/>
          <w:numId w:val="2"/>
        </w:numPr>
        <w:spacing w:after="80" w:line="276"/>
      </w:pPr>
      <w:r>
        <w:rPr>
          <w:sz w:val="22"/>
          <w:szCs w:val="22"/>
        </w:rPr>
        <w:t xml:space="preserve">Obtener el puntaje por el tipo de trabajador del cliente (regla de negocio 1.1).</w:t>
      </w:r>
    </w:p>
    <w:p>
      <w:pPr>
        <w:pStyle w:val="ListParagraph"/>
        <w:numPr>
          <w:ilvl w:val="0"/>
          <w:numId w:val="2"/>
        </w:numPr>
        <w:spacing w:after="80" w:line="276"/>
      </w:pPr>
      <w:r>
        <w:rPr>
          <w:sz w:val="22"/>
          <w:szCs w:val="22"/>
        </w:rPr>
        <w:t xml:space="preserve">Obtener el puntaje por los años de antigüedad laboral del cliente. Como el cliente puede registrar más de un empleo, se debe considerar la fecha de contrato más antigua (regla de negocio 1.2).</w:t>
      </w:r>
    </w:p>
    <w:p>
      <w:pPr>
        <w:pStyle w:val="ListParagraph"/>
        <w:numPr>
          <w:ilvl w:val="0"/>
          <w:numId w:val="2"/>
        </w:numPr>
        <w:spacing w:after="80" w:line="276"/>
      </w:pPr>
      <w:r>
        <w:rPr>
          <w:sz w:val="22"/>
          <w:szCs w:val="22"/>
        </w:rPr>
        <w:t xml:space="preserve">Obtener el puntaje por el tipo de propiedad del proyecto inmobiliario asociado a la propiedad que el cliente desea financiar (regla de negocio 1.3).</w:t>
      </w:r>
    </w:p>
    <w:p>
      <w:pPr>
        <w:pStyle w:val="ListParagraph"/>
        <w:numPr>
          <w:ilvl w:val="0"/>
          <w:numId w:val="2"/>
        </w:numPr>
        <w:spacing w:after="80" w:line="276"/>
      </w:pPr>
      <w:r>
        <w:rPr>
          <w:sz w:val="22"/>
          <w:szCs w:val="22"/>
        </w:rPr>
        <w:t xml:space="preserve">A los clientes que tienen 40 años o menos se les asigna un puntaje adicional (regla de negocio 1.4).</w:t>
      </w:r>
    </w:p>
    <w:p>
      <w:pPr>
        <w:pStyle w:val="ListParagraph"/>
        <w:numPr>
          <w:ilvl w:val="0"/>
          <w:numId w:val="2"/>
        </w:numPr>
        <w:spacing w:after="80" w:line="276"/>
      </w:pPr>
      <w:r>
        <w:rPr>
          <w:sz w:val="22"/>
          <w:szCs w:val="22"/>
        </w:rPr>
        <w:t xml:space="preserve">Para la pre-aprobación de la solicitud debe tener en consideración lo siguiente:</w:t>
      </w:r>
    </w:p>
    <w:p>
      <w:pPr>
        <w:pStyle w:val="ListParagraph"/>
        <w:numPr>
          <w:ilvl w:val="1"/>
          <w:numId w:val="2"/>
        </w:numPr>
        <w:spacing w:after="80" w:line="276"/>
      </w:pPr>
      <w:r>
        <w:rPr>
          <w:sz w:val="22"/>
          <w:szCs w:val="22"/>
        </w:rPr>
        <w:t xml:space="preserve">Para que la solicitud de un cliente sea pre-aprobada, este debe tener un puntaje final mayor o igual a 2.500.</w:t>
      </w:r>
    </w:p>
    <w:p>
      <w:pPr>
        <w:pStyle w:val="ListParagraph"/>
        <w:numPr>
          <w:ilvl w:val="1"/>
          <w:numId w:val="2"/>
        </w:numPr>
        <w:spacing w:after="80" w:line="276"/>
      </w:pPr>
      <w:r>
        <w:rPr>
          <w:sz w:val="22"/>
          <w:szCs w:val="22"/>
        </w:rPr>
        <w:t xml:space="preserve">Si el puntaje final del cliente es igual o mayor a 2.500, se debe almacenar el mensaje APROBADO.</w:t>
      </w:r>
    </w:p>
    <w:p>
      <w:pPr>
        <w:pStyle w:val="ListParagraph"/>
        <w:numPr>
          <w:ilvl w:val="1"/>
          <w:numId w:val="2"/>
        </w:numPr>
        <w:spacing w:after="80" w:line="276"/>
      </w:pPr>
      <w:r>
        <w:rPr>
          <w:sz w:val="22"/>
          <w:szCs w:val="22"/>
        </w:rPr>
        <w:t xml:space="preserve">Si el puntaje final del cliente es menor a 2.500, se debe almacenar el mensaje RECHAZADO.</w:t>
      </w:r>
    </w:p>
    <w:p>
      <w:pPr>
        <w:pStyle w:val="Heading2"/>
        <w:spacing w:after="160" w:before="260"/>
      </w:pPr>
      <w:r>
        <w:rPr>
          <w:b/>
          <w:bCs/>
          <w:color w:val="1F4E79"/>
          <w:sz w:val="24"/>
          <w:szCs w:val="24"/>
        </w:rPr>
        <w:t xml:space="preserve">4.2 Informe para revisión y optimización de consulta</w:t>
      </w:r>
    </w:p>
    <w:p>
      <w:pPr>
        <w:spacing w:after="160" w:line="276"/>
        <w:jc w:val="both"/>
      </w:pPr>
      <w:r>
        <w:rPr>
          <w:sz w:val="22"/>
          <w:szCs w:val="22"/>
        </w:rPr>
        <w:t xml:space="preserve">Después de completar el proceso de evaluación, la Gerencia de Riesgo necesita hacer una revisión estadística de los puntajes obtenidos y cómo estos se relacionan con el promedio de los puntajes para el total de los solicitantes, por lo que le solicita crear una </w:t>
      </w:r>
      <w:r>
        <w:rPr>
          <w:b/>
          <w:bCs/>
          <w:sz w:val="22"/>
          <w:szCs w:val="22"/>
        </w:rPr>
        <w:t xml:space="preserve">consulta que obtenga a los clientes cuyo puntaje final sea mayor al promedio del puntaje de todos los solicitantes del proceso</w:t>
      </w:r>
      <w:r>
        <w:rPr>
          <w:sz w:val="22"/>
          <w:szCs w:val="22"/>
        </w:rPr>
        <w:t xml:space="preserve">. Esta consulta debe presentar el apellido paterno, el apellido materno, el nombre del cliente, el puntaje final obtenido y los detalles sobre cómo se calculó ese puntaje total. El informe debe estar </w:t>
      </w:r>
      <w:r>
        <w:rPr>
          <w:b/>
          <w:bCs/>
          <w:sz w:val="22"/>
          <w:szCs w:val="22"/>
        </w:rPr>
        <w:t xml:space="preserve">organizado por el puntaje total obtenido de manera descendente</w:t>
      </w:r>
      <w:r>
        <w:rPr>
          <w:sz w:val="22"/>
          <w:szCs w:val="22"/>
        </w:rPr>
        <w:t xml:space="preserve">.</w:t>
      </w:r>
    </w:p>
    <w:p>
      <w:pPr>
        <w:spacing w:after="160" w:line="276"/>
        <w:jc w:val="both"/>
      </w:pPr>
      <w:r>
        <w:rPr>
          <w:sz w:val="22"/>
          <w:szCs w:val="22"/>
        </w:rPr>
        <w:t xml:space="preserve">Además, con el objetivo de optimizar el rendimiento del informe requerido, se le solicita que analice el plan de ejecución de la consulta (EXPLAIN PLAN) y establezca el o los </w:t>
      </w:r>
      <w:r>
        <w:rPr>
          <w:b/>
          <w:bCs/>
          <w:sz w:val="22"/>
          <w:szCs w:val="22"/>
        </w:rPr>
        <w:t xml:space="preserve">índices</w:t>
      </w:r>
      <w:r>
        <w:rPr>
          <w:sz w:val="22"/>
          <w:szCs w:val="22"/>
        </w:rPr>
        <w:t xml:space="preserve"> pertinentes en la o las tablas que considere necesarias para garantizar que la consulta responda de la manera más eficiente posible.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2026-07-09T16:31:06.060Z</dcterms:created>
  <dcterms:modified xsi:type="dcterms:W3CDTF">2026-07-09T16:31:06.075Z</dcterms:modified>
</cp:coreProperties>
</file>

<file path=docProps/custom.xml><?xml version="1.0" encoding="utf-8"?>
<Properties xmlns="http://schemas.openxmlformats.org/officeDocument/2006/custom-properties" xmlns:vt="http://schemas.openxmlformats.org/officeDocument/2006/docPropsVTypes"/>
</file>