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aps/>
          <w:color w:val="1B2A4A"/>
          <w:sz w:val="34"/>
          <w:szCs w:val="34"/>
        </w:rPr>
        <w:t xml:space="preserve">INPLAY FOOTBALL TRADING CHALLENGE</w:t>
      </w:r>
    </w:p>
    <w:p>
      <w:pPr>
        <w:spacing w:after="40"/>
      </w:pPr>
      <w:r>
        <w:rPr>
          <w:rFonts w:ascii="Arial" w:cs="Arial" w:eastAsia="Arial" w:hAnsi="Arial"/>
          <w:b/>
          <w:bCs/>
          <w:caps/>
          <w:color w:val="F47C20"/>
          <w:sz w:val="26"/>
          <w:szCs w:val="26"/>
        </w:rPr>
        <w:t xml:space="preserve">IPO PRICING &amp; SUBSCRIPTION SUPPLEMENT</w:t>
      </w:r>
    </w:p>
    <w:p>
      <w:pPr>
        <w:spacing w:after="120" w:line="276"/>
      </w:pPr>
      <w:r>
        <w:rPr>
          <w:rFonts w:ascii="Arial" w:cs="Arial" w:eastAsia="Arial" w:hAnsi="Arial"/>
          <w:color w:val="666666"/>
          <w:sz w:val="18"/>
          <w:szCs w:val="18"/>
        </w:rPr>
        <w:t xml:space="preserve">Supplement A to the Consolidated Novosapien Build Specification v1.3 FINAL  |  Version 1.3  |  July 24, 2026</w:t>
      </w:r>
    </w:p>
    <w:p>
      <w:pPr>
        <w:spacing w:after="120" w:line="276"/>
      </w:pPr>
      <w:r>
        <w:rPr>
          <w:rFonts w:ascii="Arial" w:cs="Arial" w:eastAsia="Arial" w:hAnsi="Arial"/>
          <w:i/>
          <w:iCs/>
          <w:sz w:val="18"/>
          <w:szCs w:val="18"/>
        </w:rPr>
        <w:t xml:space="preserve">Status of each provision is marked [DECIDED] (approved by InPlay, build to this), [RECOMMENDED] (Claude/engine recommendation awaiting InPlay sign-off), or [OPEN] (decision required before build freeze).</w:t>
      </w:r>
    </w:p>
    <w:p>
      <w:pPr>
        <w:pStyle w:val="Heading1"/>
        <w:pBdr>
          <w:bottom w:val="single" w:color="F47C20" w:sz="8"/>
        </w:pBdr>
        <w:spacing w:after="140" w:before="320"/>
      </w:pPr>
      <w:r>
        <w:rPr>
          <w:rFonts w:ascii="Arial" w:cs="Arial" w:eastAsia="Arial" w:hAnsi="Arial"/>
          <w:b/>
          <w:bCs/>
          <w:caps/>
          <w:color w:val="1B2A4A"/>
          <w:sz w:val="26"/>
          <w:szCs w:val="26"/>
        </w:rPr>
        <w:t xml:space="preserve">1. Scope and Definitions</w:t>
      </w:r>
    </w:p>
    <w:p>
      <w:pPr>
        <w:spacing w:after="120" w:line="276"/>
      </w:pPr>
      <w:r>
        <w:rPr>
          <w:rFonts w:ascii="Arial" w:cs="Arial" w:eastAsia="Arial" w:hAnsi="Arial"/>
          <w:sz w:val="20"/>
          <w:szCs w:val="20"/>
        </w:rPr>
        <w:t xml:space="preserve">This supplement specifies (a) how the IPO listing price of each of the 170 Team Company securities (32 NFL, 138 NCAA universe) is determined, and (b) the mechanics of the primary offering process. It supersedes nothing in v1.3; where v1.3 is silent on primary issuance, this document governs. Terms not defined here carry their v1.3 meanings.</w:t>
      </w:r>
    </w:p>
    <w:p>
      <w:pPr>
        <w:pStyle w:val="ListParagraph"/>
        <w:numPr>
          <w:ilvl w:val="0"/>
          <w:numId w:val="2"/>
        </w:numPr>
        <w:spacing w:after="80" w:line="276"/>
      </w:pPr>
      <w:r>
        <w:rPr>
          <w:rFonts w:ascii="Arial" w:cs="Arial" w:eastAsia="Arial" w:hAnsi="Arial"/>
          <w:sz w:val="20"/>
          <w:szCs w:val="20"/>
        </w:rPr>
        <w:t xml:space="preserve">Allotment: the maximum shares a Team Company may sell in a single offering window. [DECIDED] Base allotment 50,000 shares per team per round; this is a per-round quantity, not a total float cap.</w:t>
      </w:r>
    </w:p>
    <w:p>
      <w:pPr>
        <w:pStyle w:val="ListParagraph"/>
        <w:numPr>
          <w:ilvl w:val="0"/>
          <w:numId w:val="2"/>
        </w:numPr>
        <w:spacing w:after="80" w:line="276"/>
      </w:pPr>
      <w:r>
        <w:rPr>
          <w:rFonts w:ascii="Arial" w:cs="Arial" w:eastAsia="Arial" w:hAnsi="Arial"/>
          <w:sz w:val="20"/>
          <w:szCs w:val="20"/>
        </w:rPr>
        <w:t xml:space="preserve">Water Line (W): the cumulative per-team sales cap in force for a round, per Section 4.</w:t>
      </w:r>
    </w:p>
    <w:p>
      <w:pPr>
        <w:pStyle w:val="ListParagraph"/>
        <w:numPr>
          <w:ilvl w:val="0"/>
          <w:numId w:val="2"/>
        </w:numPr>
        <w:spacing w:after="80" w:line="276"/>
      </w:pPr>
      <w:r>
        <w:rPr>
          <w:rFonts w:ascii="Arial" w:cs="Arial" w:eastAsia="Arial" w:hAnsi="Arial"/>
          <w:sz w:val="20"/>
          <w:szCs w:val="20"/>
        </w:rPr>
        <w:t xml:space="preserve">Pre-Buy Book: binding limit-quantity orders at the fixed listing price submitted before a team's window opens.</w:t>
      </w:r>
    </w:p>
    <w:p>
      <w:pPr>
        <w:pStyle w:val="ListParagraph"/>
        <w:numPr>
          <w:ilvl w:val="0"/>
          <w:numId w:val="2"/>
        </w:numPr>
        <w:spacing w:after="80" w:line="276"/>
      </w:pPr>
      <w:r>
        <w:rPr>
          <w:rFonts w:ascii="Arial" w:cs="Arial" w:eastAsia="Arial" w:hAnsi="Arial"/>
          <w:sz w:val="20"/>
          <w:szCs w:val="20"/>
        </w:rPr>
        <w:t xml:space="preserve">Guaranteed Accrual: POOL x (out-of-universe games), the portion of a team's terminal value not contingent on game outcomes or volume competition (v1.2 non-universe rule).</w:t>
      </w:r>
    </w:p>
    <w:p>
      <w:pPr>
        <w:pStyle w:val="Heading1"/>
        <w:pBdr>
          <w:bottom w:val="single" w:color="F47C20" w:sz="8"/>
        </w:pBdr>
        <w:spacing w:after="140" w:before="320"/>
      </w:pPr>
      <w:r>
        <w:rPr>
          <w:rFonts w:ascii="Arial" w:cs="Arial" w:eastAsia="Arial" w:hAnsi="Arial"/>
          <w:b/>
          <w:bCs/>
          <w:caps/>
          <w:color w:val="1B2A4A"/>
          <w:sz w:val="26"/>
          <w:szCs w:val="26"/>
        </w:rPr>
        <w:t xml:space="preserve">2. IPO Price Determination</w:t>
      </w:r>
    </w:p>
    <w:p>
      <w:pPr>
        <w:pStyle w:val="Heading2"/>
        <w:spacing w:after="100" w:before="220"/>
      </w:pPr>
      <w:r>
        <w:rPr>
          <w:rFonts w:ascii="Arial" w:cs="Arial" w:eastAsia="Arial" w:hAnsi="Arial"/>
          <w:b/>
          <w:bCs/>
          <w:color w:val="1B2A4A"/>
          <w:sz w:val="22"/>
          <w:szCs w:val="22"/>
        </w:rPr>
        <w:t xml:space="preserve">2.1 Expected Value</w:t>
      </w:r>
    </w:p>
    <w:p>
      <w:pPr>
        <w:spacing w:after="120" w:line="276"/>
      </w:pPr>
      <w:r>
        <w:rPr>
          <w:rFonts w:ascii="Arial" w:cs="Arial" w:eastAsia="Arial" w:hAnsi="Arial"/>
          <w:sz w:val="20"/>
          <w:szCs w:val="20"/>
        </w:rPr>
        <w:t xml:space="preserve">Each security's IPO EV equals its expected terminal liquidating distribution per share under the v1.3 accrual rules:</w:t>
      </w:r>
    </w:p>
    <w:p>
      <w:pPr>
        <w:spacing w:after="120" w:line="276"/>
      </w:pPr>
      <w:r>
        <w:rPr>
          <w:rFonts w:ascii="Arial" w:cs="Arial" w:eastAsia="Arial" w:hAnsi="Arial"/>
          <w:b/>
          <w:bCs/>
          <w:sz w:val="20"/>
          <w:szCs w:val="20"/>
        </w:rPr>
        <w:t xml:space="preserve">IPO EV = $5.00 x E[Wins] + $2.50 x E[Ties] (NFL only) + $2.50/game x E[Volume Capture Share]</w:t>
      </w:r>
    </w:p>
    <w:p>
      <w:pPr>
        <w:pStyle w:val="ListParagraph"/>
        <w:numPr>
          <w:ilvl w:val="0"/>
          <w:numId w:val="2"/>
        </w:numPr>
        <w:spacing w:after="80" w:line="276"/>
      </w:pPr>
      <w:r>
        <w:rPr>
          <w:rFonts w:ascii="Arial" w:cs="Arial" w:eastAsia="Arial" w:hAnsi="Arial"/>
          <w:sz w:val="20"/>
          <w:szCs w:val="20"/>
        </w:rPr>
        <w:t xml:space="preserve">On-field: BetMGM season win-total prices at the freeze date (single-book, per InPlay decision) are devigged proportionally to P(over); E[Wins] = line + sigma x InvNorm(P_over), sigma = 2.7 (NFL) / 2.2 (NCAA). [DECIDED]</w:t>
      </w:r>
    </w:p>
    <w:p>
      <w:pPr>
        <w:pStyle w:val="ListParagraph"/>
        <w:numPr>
          <w:ilvl w:val="0"/>
          <w:numId w:val="2"/>
        </w:numPr>
        <w:spacing w:after="80" w:line="276"/>
      </w:pPr>
      <w:r>
        <w:rPr>
          <w:rFonts w:ascii="Arial" w:cs="Arial" w:eastAsia="Arial" w:hAnsi="Arial"/>
          <w:sz w:val="20"/>
          <w:szCs w:val="20"/>
        </w:rPr>
        <w:t xml:space="preserve">Off-field: Popularity Index at IPO = 0.6 x Brand + 0.4 x Performance; per-game expected capture is Bradley-Terry share clamped to [0.20, 0.80]; out-of-universe games accrue the full $2.50 (v1.2). Exact 2026 schedules replace the schedule approximation before freeze. [DECIDED as method; schedule load OPEN]</w:t>
      </w:r>
    </w:p>
    <w:p>
      <w:pPr>
        <w:spacing w:after="120" w:line="276"/>
      </w:pPr>
      <w:r>
        <w:rPr>
          <w:rFonts w:ascii="Arial" w:cs="Arial" w:eastAsia="Arial" w:hAnsi="Arial"/>
          <w:sz w:val="20"/>
          <w:szCs w:val="20"/>
        </w:rPr>
        <w:t xml:space="preserve">The computation is implemented in engine.py and reproduced formula-for-formula in InPlay_IPO_Pricing.xlsx (verified equal on all 170 names). The workbook's Parameters tab is the single source of tunable values.</w:t>
      </w:r>
    </w:p>
    <w:p>
      <w:pPr>
        <w:pStyle w:val="Heading2"/>
        <w:spacing w:after="100" w:before="220"/>
      </w:pPr>
      <w:r>
        <w:rPr>
          <w:rFonts w:ascii="Arial" w:cs="Arial" w:eastAsia="Arial" w:hAnsi="Arial"/>
          <w:b/>
          <w:bCs/>
          <w:color w:val="1B2A4A"/>
          <w:sz w:val="22"/>
          <w:szCs w:val="22"/>
        </w:rPr>
        <w:t xml:space="preserve">2.2 Listing Price [DECIDED]</w:t>
      </w:r>
    </w:p>
    <w:p>
      <w:pPr>
        <w:pStyle w:val="ListParagraph"/>
        <w:numPr>
          <w:ilvl w:val="0"/>
          <w:numId w:val="2"/>
        </w:numPr>
        <w:spacing w:after="80" w:line="276"/>
      </w:pPr>
      <w:r>
        <w:rPr>
          <w:rFonts w:ascii="Arial" w:cs="Arial" w:eastAsia="Arial" w:hAnsi="Arial"/>
          <w:sz w:val="20"/>
          <w:szCs w:val="20"/>
        </w:rPr>
        <w:t xml:space="preserve">Static pricing: the listed price is fixed for the entire offering. No repricing under any circumstance, including post-freeze news events.</w:t>
      </w:r>
    </w:p>
    <w:p>
      <w:pPr>
        <w:pStyle w:val="ListParagraph"/>
        <w:numPr>
          <w:ilvl w:val="0"/>
          <w:numId w:val="2"/>
        </w:numPr>
        <w:spacing w:after="80" w:line="276"/>
      </w:pPr>
      <w:r>
        <w:rPr>
          <w:rFonts w:ascii="Arial" w:cs="Arial" w:eastAsia="Arial" w:hAnsi="Arial"/>
          <w:sz w:val="20"/>
          <w:szCs w:val="20"/>
        </w:rPr>
        <w:t xml:space="preserve">Tick: $0.01.</w:t>
      </w:r>
    </w:p>
    <w:p>
      <w:pPr>
        <w:pStyle w:val="ListParagraph"/>
        <w:numPr>
          <w:ilvl w:val="0"/>
          <w:numId w:val="2"/>
        </w:numPr>
        <w:spacing w:after="80" w:line="276"/>
      </w:pPr>
      <w:r>
        <w:rPr>
          <w:rFonts w:ascii="Arial" w:cs="Arial" w:eastAsia="Arial" w:hAnsi="Arial"/>
          <w:sz w:val="20"/>
          <w:szCs w:val="20"/>
        </w:rPr>
        <w:t xml:space="preserve">Variable discount: Listed = IPO EV x (1 - d), where d = 1% + 2% x (normalized contested off-field EV share, per league). Contested off-field share excludes Guaranteed Accrual. Band bounds are live parameters (1% / 3%).</w:t>
      </w:r>
    </w:p>
    <w:p>
      <w:pPr>
        <w:pStyle w:val="ListParagraph"/>
        <w:numPr>
          <w:ilvl w:val="0"/>
          <w:numId w:val="2"/>
        </w:numPr>
        <w:spacing w:after="80" w:line="276"/>
      </w:pPr>
      <w:r>
        <w:rPr>
          <w:rFonts w:ascii="Arial" w:cs="Arial" w:eastAsia="Arial" w:hAnsi="Arial"/>
          <w:sz w:val="20"/>
          <w:szCs w:val="20"/>
        </w:rPr>
        <w:t xml:space="preserve">No-discount rule: any name whose Guaranteed Accrual exceeds 20% of IPO EV lists at full EV (d = 0). At current data this applies to North Dakota State ($70.63) and Sacramento State ($49.94). Threshold is a live parameter.</w:t>
      </w:r>
    </w:p>
    <w:p>
      <w:pPr>
        <w:pStyle w:val="Heading2"/>
        <w:spacing w:after="100" w:before="220"/>
      </w:pPr>
      <w:r>
        <w:rPr>
          <w:rFonts w:ascii="Arial" w:cs="Arial" w:eastAsia="Arial" w:hAnsi="Arial"/>
          <w:b/>
          <w:bCs/>
          <w:color w:val="1B2A4A"/>
          <w:sz w:val="22"/>
          <w:szCs w:val="22"/>
        </w:rPr>
        <w:t xml:space="preserve">2.3 Price Freeze [DECIDED]</w:t>
      </w:r>
    </w:p>
    <w:p>
      <w:pPr>
        <w:spacing w:after="120" w:line="276"/>
      </w:pPr>
      <w:r>
        <w:rPr>
          <w:rFonts w:ascii="Arial" w:cs="Arial" w:eastAsia="Arial" w:hAnsi="Arial"/>
          <w:sz w:val="20"/>
          <w:szCs w:val="20"/>
        </w:rPr>
        <w:t xml:space="preserve">Prices are computed once per league on that league's freeze date, T-3 days before its first subscription window — NCAA: Wednesday, August 19, 2026; NFL: Wednesday, September 2, 2026 (capturing post-roster-cutdown lines) — published, and never revised. Post-freeze news is resolved by the secondary market, not by reprice.</w:t>
      </w:r>
    </w:p>
    <w:p>
      <w:pPr>
        <w:pStyle w:val="Heading1"/>
        <w:pBdr>
          <w:bottom w:val="single" w:color="F47C20" w:sz="8"/>
        </w:pBdr>
        <w:spacing w:after="140" w:before="320"/>
      </w:pPr>
      <w:r>
        <w:rPr>
          <w:rFonts w:ascii="Arial" w:cs="Arial" w:eastAsia="Arial" w:hAnsi="Arial"/>
          <w:b/>
          <w:bCs/>
          <w:caps/>
          <w:color w:val="1B2A4A"/>
          <w:sz w:val="26"/>
          <w:szCs w:val="26"/>
        </w:rPr>
        <w:t xml:space="preserve">3. Offering Format [DECIDED]</w:t>
      </w:r>
    </w:p>
    <w:p>
      <w:pPr>
        <w:pStyle w:val="ListParagraph"/>
        <w:numPr>
          <w:ilvl w:val="0"/>
          <w:numId w:val="2"/>
        </w:numPr>
        <w:spacing w:after="80" w:line="276"/>
      </w:pPr>
      <w:r>
        <w:rPr>
          <w:rFonts w:ascii="Arial" w:cs="Arial" w:eastAsia="Arial" w:hAnsi="Arial"/>
          <w:sz w:val="20"/>
          <w:szCs w:val="20"/>
        </w:rPr>
        <w:t xml:space="preserve">Sequential per-team offering windows, one team at a time, alphabetical within league in Round 1.</w:t>
      </w:r>
    </w:p>
    <w:p>
      <w:pPr>
        <w:pStyle w:val="ListParagraph"/>
        <w:numPr>
          <w:ilvl w:val="0"/>
          <w:numId w:val="2"/>
        </w:numPr>
        <w:spacing w:after="80" w:line="276"/>
      </w:pPr>
      <w:r>
        <w:rPr>
          <w:rFonts w:ascii="Arial" w:cs="Arial" w:eastAsia="Arial" w:hAnsi="Arial"/>
          <w:sz w:val="20"/>
          <w:szCs w:val="20"/>
        </w:rPr>
        <w:t xml:space="preserve">Window length: 1 minute maximum per team.</w:t>
      </w:r>
    </w:p>
    <w:p>
      <w:pPr>
        <w:pStyle w:val="ListParagraph"/>
        <w:numPr>
          <w:ilvl w:val="0"/>
          <w:numId w:val="2"/>
        </w:numPr>
        <w:spacing w:after="80" w:line="276"/>
      </w:pPr>
      <w:r>
        <w:rPr>
          <w:rFonts w:ascii="Arial" w:cs="Arial" w:eastAsia="Arial" w:hAnsi="Arial"/>
          <w:sz w:val="20"/>
          <w:szCs w:val="20"/>
        </w:rPr>
        <w:t xml:space="preserve">Pre-Buy instant fill: if the Pre-Buy Book at window open covers the full available allotment, the allotment fills immediately from the book and the process advances to the next team without running the window.</w:t>
      </w:r>
    </w:p>
    <w:p>
      <w:pPr>
        <w:pStyle w:val="ListParagraph"/>
        <w:numPr>
          <w:ilvl w:val="0"/>
          <w:numId w:val="2"/>
        </w:numPr>
        <w:spacing w:after="80" w:line="276"/>
      </w:pPr>
      <w:r>
        <w:rPr>
          <w:rFonts w:ascii="Arial" w:cs="Arial" w:eastAsia="Arial" w:hAnsi="Arial"/>
          <w:sz w:val="20"/>
          <w:szCs w:val="20"/>
        </w:rPr>
        <w:t xml:space="preserve">If the Pre-Buy Book covers less than the allotment, pre-buys fill first and the remainder is available for live purchase for the balance of the 1-minute window (live orders fill first-come).</w:t>
      </w:r>
    </w:p>
    <w:p>
      <w:pPr>
        <w:pStyle w:val="ListParagraph"/>
        <w:numPr>
          <w:ilvl w:val="0"/>
          <w:numId w:val="2"/>
        </w:numPr>
        <w:spacing w:after="80" w:line="276"/>
      </w:pPr>
      <w:r>
        <w:rPr>
          <w:rFonts w:ascii="Arial" w:cs="Arial" w:eastAsia="Arial" w:hAnsi="Arial"/>
          <w:sz w:val="20"/>
          <w:szCs w:val="20"/>
        </w:rPr>
        <w:t xml:space="preserve">MM completion sweep (Rounds 1-10): at window close — the earlier of the 1-minute mark or a participant sellout — the Market Maker purchases every remaining share of the allotment, bringing the window fill to exactly 50,000, and the process advances immediately. Example: participants buy 32,500 Air Force; the MM buys the remaining 17,500; window closes filled at 50,000; next team. The sweep executes at close, not at open, so the live window remains available to participants. [DECIDED]</w:t>
      </w:r>
    </w:p>
    <w:p>
      <w:pPr>
        <w:pStyle w:val="ListParagraph"/>
        <w:numPr>
          <w:ilvl w:val="0"/>
          <w:numId w:val="2"/>
        </w:numPr>
        <w:spacing w:after="80" w:line="276"/>
      </w:pPr>
      <w:r>
        <w:rPr>
          <w:rFonts w:ascii="Arial" w:cs="Arial" w:eastAsia="Arial" w:hAnsi="Arial"/>
          <w:sz w:val="20"/>
          <w:szCs w:val="20"/>
        </w:rPr>
        <w:t xml:space="preserve">NFL and NCAA run as separate tracks. [RECOMMENDED: run them in parallel]</w:t>
      </w:r>
    </w:p>
    <w:p>
      <w:pPr>
        <w:pStyle w:val="ListParagraph"/>
        <w:numPr>
          <w:ilvl w:val="0"/>
          <w:numId w:val="2"/>
        </w:numPr>
        <w:spacing w:after="80" w:line="276"/>
      </w:pPr>
      <w:r>
        <w:rPr>
          <w:rFonts w:ascii="Arial" w:cs="Arial" w:eastAsia="Arial" w:hAnsi="Arial"/>
          <w:sz w:val="20"/>
          <w:szCs w:val="20"/>
        </w:rPr>
        <w:t xml:space="preserve">Round ordering after Round 1: reverse alphabetical in Round 2, alternating thereafter, to symmetrize time-of-day effects. [DECIDED]</w:t>
      </w:r>
    </w:p>
    <w:p>
      <w:pPr>
        <w:pStyle w:val="Heading2"/>
        <w:spacing w:after="100" w:before="220"/>
      </w:pPr>
      <w:r>
        <w:rPr>
          <w:rFonts w:ascii="Arial" w:cs="Arial" w:eastAsia="Arial" w:hAnsi="Arial"/>
          <w:b/>
          <w:bCs/>
          <w:color w:val="1B2A4A"/>
          <w:sz w:val="22"/>
          <w:szCs w:val="22"/>
        </w:rPr>
        <w:t xml:space="preserve">3.1 NCAA Offering Calendar [DECIDED]</w:t>
      </w:r>
    </w:p>
    <w:p>
      <w:pPr>
        <w:spacing w:after="120" w:line="276"/>
      </w:pPr>
      <w:r>
        <w:rPr>
          <w:rFonts w:ascii="Arial" w:cs="Arial" w:eastAsia="Arial" w:hAnsi="Arial"/>
          <w:sz w:val="20"/>
          <w:szCs w:val="20"/>
        </w:rPr>
        <w:t xml:space="preserve">All times Central Time (CT). Total scheduled offering time: 25 hours, against a worst-case mandate budget of ~23 hours (10 rounds x 138 one-minute windows); pre-buy instant fills compress actual usage below the worst case.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200"/>
        <w:gridCol w:w="1000"/>
      </w:tblGrid>
      <w:tr>
        <w:trPr>
          <w:tblHeader/>
        </w:trPr>
        <w:tc>
          <w:tcPr>
            <w:tcW w:type="dxa" w:w="2000"/>
            <w:shd w:fill="1B2A4A" w:val="clear"/>
            <w:tcMar>
              <w:top w:type="dxa" w:w="60"/>
              <w:left w:type="dxa" w:w="100"/>
              <w:bottom w:type="dxa" w:w="60"/>
              <w:right w:type="dxa" w:w="100"/>
            </w:tcMar>
          </w:tcPr>
          <w:p>
            <w:r>
              <w:rPr>
                <w:rFonts w:ascii="Arial" w:cs="Arial" w:eastAsia="Arial" w:hAnsi="Arial"/>
                <w:b/>
                <w:bCs/>
                <w:color w:val="FFFFFF"/>
                <w:sz w:val="18"/>
                <w:szCs w:val="18"/>
              </w:rPr>
              <w:t xml:space="preserve">Date</w:t>
            </w:r>
          </w:p>
        </w:tc>
        <w:tc>
          <w:tcPr>
            <w:tcW w:type="dxa" w:w="1800"/>
            <w:shd w:fill="1B2A4A" w:val="clear"/>
            <w:tcMar>
              <w:top w:type="dxa" w:w="60"/>
              <w:left w:type="dxa" w:w="100"/>
              <w:bottom w:type="dxa" w:w="60"/>
              <w:right w:type="dxa" w:w="100"/>
            </w:tcMar>
          </w:tcPr>
          <w:p>
            <w:r>
              <w:rPr>
                <w:rFonts w:ascii="Arial" w:cs="Arial" w:eastAsia="Arial" w:hAnsi="Arial"/>
                <w:b/>
                <w:bCs/>
                <w:color w:val="FFFFFF"/>
                <w:sz w:val="18"/>
                <w:szCs w:val="18"/>
              </w:rPr>
              <w:t xml:space="preserve">Day</w:t>
            </w:r>
          </w:p>
        </w:tc>
        <w:tc>
          <w:tcPr>
            <w:tcW w:type="dxa" w:w="3200"/>
            <w:shd w:fill="1B2A4A" w:val="clear"/>
            <w:tcMar>
              <w:top w:type="dxa" w:w="60"/>
              <w:left w:type="dxa" w:w="100"/>
              <w:bottom w:type="dxa" w:w="60"/>
              <w:right w:type="dxa" w:w="100"/>
            </w:tcMar>
          </w:tcPr>
          <w:p>
            <w:r>
              <w:rPr>
                <w:rFonts w:ascii="Arial" w:cs="Arial" w:eastAsia="Arial" w:hAnsi="Arial"/>
                <w:b/>
                <w:bCs/>
                <w:color w:val="FFFFFF"/>
                <w:sz w:val="18"/>
                <w:szCs w:val="18"/>
              </w:rPr>
              <w:t xml:space="preserve">Window (CT)</w:t>
            </w:r>
          </w:p>
        </w:tc>
        <w:tc>
          <w:tcPr>
            <w:tcW w:type="dxa" w:w="1000"/>
            <w:shd w:fill="1B2A4A" w:val="clear"/>
            <w:tcMar>
              <w:top w:type="dxa" w:w="60"/>
              <w:left w:type="dxa" w:w="100"/>
              <w:bottom w:type="dxa" w:w="60"/>
              <w:right w:type="dxa" w:w="100"/>
            </w:tcMar>
          </w:tcPr>
          <w:p>
            <w:r>
              <w:rPr>
                <w:rFonts w:ascii="Arial" w:cs="Arial" w:eastAsia="Arial" w:hAnsi="Arial"/>
                <w:b/>
                <w:bCs/>
                <w:color w:val="FFFFFF"/>
                <w:sz w:val="18"/>
                <w:szCs w:val="18"/>
              </w:rPr>
              <w:t xml:space="preserve">Hours</w:t>
            </w:r>
          </w:p>
        </w:tc>
      </w:tr>
      <w:tr>
        <w:tc>
          <w:tcPr>
            <w:tcW w:type="dxa" w:w="2000"/>
            <w:tcMar>
              <w:top w:type="dxa" w:w="60"/>
              <w:left w:type="dxa" w:w="100"/>
              <w:bottom w:type="dxa" w:w="60"/>
              <w:right w:type="dxa" w:w="100"/>
            </w:tcMar>
          </w:tcPr>
          <w:p>
            <w:r>
              <w:rPr>
                <w:rFonts w:ascii="Arial" w:cs="Arial" w:eastAsia="Arial" w:hAnsi="Arial"/>
                <w:b w:val="false"/>
                <w:bCs w:val="false"/>
                <w:color w:val="000000"/>
                <w:sz w:val="18"/>
                <w:szCs w:val="18"/>
              </w:rPr>
              <w:t xml:space="preserve">Aug 22, 2026</w:t>
            </w:r>
          </w:p>
        </w:tc>
        <w:tc>
          <w:tcPr>
            <w:tcW w:type="dxa" w:w="1800"/>
            <w:tcMar>
              <w:top w:type="dxa" w:w="60"/>
              <w:left w:type="dxa" w:w="100"/>
              <w:bottom w:type="dxa" w:w="60"/>
              <w:right w:type="dxa" w:w="100"/>
            </w:tcMar>
          </w:tcPr>
          <w:p>
            <w:r>
              <w:rPr>
                <w:rFonts w:ascii="Arial" w:cs="Arial" w:eastAsia="Arial" w:hAnsi="Arial"/>
                <w:b w:val="false"/>
                <w:bCs w:val="false"/>
                <w:color w:val="000000"/>
                <w:sz w:val="18"/>
                <w:szCs w:val="18"/>
              </w:rPr>
              <w:t xml:space="preserve">Saturday</w:t>
            </w:r>
          </w:p>
        </w:tc>
        <w:tc>
          <w:tcPr>
            <w:tcW w:type="dxa" w:w="3200"/>
            <w:tcMar>
              <w:top w:type="dxa" w:w="60"/>
              <w:left w:type="dxa" w:w="100"/>
              <w:bottom w:type="dxa" w:w="60"/>
              <w:right w:type="dxa" w:w="100"/>
            </w:tcMar>
          </w:tcPr>
          <w:p>
            <w:r>
              <w:rPr>
                <w:rFonts w:ascii="Arial" w:cs="Arial" w:eastAsia="Arial" w:hAnsi="Arial"/>
                <w:b w:val="false"/>
                <w:bCs w:val="false"/>
                <w:color w:val="000000"/>
                <w:sz w:val="18"/>
                <w:szCs w:val="18"/>
              </w:rPr>
              <w:t xml:space="preserve">12:00 PM – 5:00 PM</w:t>
            </w:r>
          </w:p>
        </w:tc>
        <w:tc>
          <w:tcPr>
            <w:tcW w:type="dxa" w:w="1000"/>
            <w:tcMar>
              <w:top w:type="dxa" w:w="60"/>
              <w:left w:type="dxa" w:w="100"/>
              <w:bottom w:type="dxa" w:w="60"/>
              <w:right w:type="dxa" w:w="100"/>
            </w:tcMar>
          </w:tcPr>
          <w:p>
            <w:r>
              <w:rPr>
                <w:rFonts w:ascii="Arial" w:cs="Arial" w:eastAsia="Arial" w:hAnsi="Arial"/>
                <w:b w:val="false"/>
                <w:bCs w:val="false"/>
                <w:color w:val="000000"/>
                <w:sz w:val="18"/>
                <w:szCs w:val="18"/>
              </w:rPr>
              <w:t xml:space="preserve">5</w:t>
            </w:r>
          </w:p>
        </w:tc>
      </w:tr>
      <w:tr>
        <w:tc>
          <w:tcPr>
            <w:tcW w:type="dxa" w:w="2000"/>
            <w:shd w:fill="F2F4F8" w:val="clear"/>
            <w:tcMar>
              <w:top w:type="dxa" w:w="60"/>
              <w:left w:type="dxa" w:w="100"/>
              <w:bottom w:type="dxa" w:w="60"/>
              <w:right w:type="dxa" w:w="100"/>
            </w:tcMar>
          </w:tcPr>
          <w:p>
            <w:r>
              <w:rPr>
                <w:rFonts w:ascii="Arial" w:cs="Arial" w:eastAsia="Arial" w:hAnsi="Arial"/>
                <w:b w:val="false"/>
                <w:bCs w:val="false"/>
                <w:color w:val="000000"/>
                <w:sz w:val="18"/>
                <w:szCs w:val="18"/>
              </w:rPr>
              <w:t xml:space="preserve">Aug 23, 2026</w:t>
            </w:r>
          </w:p>
        </w:tc>
        <w:tc>
          <w:tcPr>
            <w:tcW w:type="dxa" w:w="1800"/>
            <w:shd w:fill="F2F4F8" w:val="clear"/>
            <w:tcMar>
              <w:top w:type="dxa" w:w="60"/>
              <w:left w:type="dxa" w:w="100"/>
              <w:bottom w:type="dxa" w:w="60"/>
              <w:right w:type="dxa" w:w="100"/>
            </w:tcMar>
          </w:tcPr>
          <w:p>
            <w:r>
              <w:rPr>
                <w:rFonts w:ascii="Arial" w:cs="Arial" w:eastAsia="Arial" w:hAnsi="Arial"/>
                <w:b w:val="false"/>
                <w:bCs w:val="false"/>
                <w:color w:val="000000"/>
                <w:sz w:val="18"/>
                <w:szCs w:val="18"/>
              </w:rPr>
              <w:t xml:space="preserve">Sunday</w:t>
            </w:r>
          </w:p>
        </w:tc>
        <w:tc>
          <w:tcPr>
            <w:tcW w:type="dxa" w:w="3200"/>
            <w:shd w:fill="F2F4F8" w:val="clear"/>
            <w:tcMar>
              <w:top w:type="dxa" w:w="60"/>
              <w:left w:type="dxa" w:w="100"/>
              <w:bottom w:type="dxa" w:w="60"/>
              <w:right w:type="dxa" w:w="100"/>
            </w:tcMar>
          </w:tcPr>
          <w:p>
            <w:r>
              <w:rPr>
                <w:rFonts w:ascii="Arial" w:cs="Arial" w:eastAsia="Arial" w:hAnsi="Arial"/>
                <w:b w:val="false"/>
                <w:bCs w:val="false"/>
                <w:color w:val="000000"/>
                <w:sz w:val="18"/>
                <w:szCs w:val="18"/>
              </w:rPr>
              <w:t xml:space="preserve">12:00 PM – 5:00 PM</w:t>
            </w:r>
          </w:p>
        </w:tc>
        <w:tc>
          <w:tcPr>
            <w:tcW w:type="dxa" w:w="1000"/>
            <w:shd w:fill="F2F4F8" w:val="clear"/>
            <w:tcMar>
              <w:top w:type="dxa" w:w="60"/>
              <w:left w:type="dxa" w:w="100"/>
              <w:bottom w:type="dxa" w:w="60"/>
              <w:right w:type="dxa" w:w="100"/>
            </w:tcMar>
          </w:tcPr>
          <w:p>
            <w:r>
              <w:rPr>
                <w:rFonts w:ascii="Arial" w:cs="Arial" w:eastAsia="Arial" w:hAnsi="Arial"/>
                <w:b w:val="false"/>
                <w:bCs w:val="false"/>
                <w:color w:val="000000"/>
                <w:sz w:val="18"/>
                <w:szCs w:val="18"/>
              </w:rPr>
              <w:t xml:space="preserve">5</w:t>
            </w:r>
          </w:p>
        </w:tc>
      </w:tr>
      <w:tr>
        <w:tc>
          <w:tcPr>
            <w:tcW w:type="dxa" w:w="2000"/>
            <w:tcMar>
              <w:top w:type="dxa" w:w="60"/>
              <w:left w:type="dxa" w:w="100"/>
              <w:bottom w:type="dxa" w:w="60"/>
              <w:right w:type="dxa" w:w="100"/>
            </w:tcMar>
          </w:tcPr>
          <w:p>
            <w:r>
              <w:rPr>
                <w:rFonts w:ascii="Arial" w:cs="Arial" w:eastAsia="Arial" w:hAnsi="Arial"/>
                <w:b w:val="false"/>
                <w:bCs w:val="false"/>
                <w:color w:val="000000"/>
                <w:sz w:val="18"/>
                <w:szCs w:val="18"/>
              </w:rPr>
              <w:t xml:space="preserve">Aug 24, 2026</w:t>
            </w:r>
          </w:p>
        </w:tc>
        <w:tc>
          <w:tcPr>
            <w:tcW w:type="dxa" w:w="1800"/>
            <w:tcMar>
              <w:top w:type="dxa" w:w="60"/>
              <w:left w:type="dxa" w:w="100"/>
              <w:bottom w:type="dxa" w:w="60"/>
              <w:right w:type="dxa" w:w="100"/>
            </w:tcMar>
          </w:tcPr>
          <w:p>
            <w:r>
              <w:rPr>
                <w:rFonts w:ascii="Arial" w:cs="Arial" w:eastAsia="Arial" w:hAnsi="Arial"/>
                <w:b w:val="false"/>
                <w:bCs w:val="false"/>
                <w:color w:val="000000"/>
                <w:sz w:val="18"/>
                <w:szCs w:val="18"/>
              </w:rPr>
              <w:t xml:space="preserve">Monday</w:t>
            </w:r>
          </w:p>
        </w:tc>
        <w:tc>
          <w:tcPr>
            <w:tcW w:type="dxa" w:w="3200"/>
            <w:tcMar>
              <w:top w:type="dxa" w:w="60"/>
              <w:left w:type="dxa" w:w="100"/>
              <w:bottom w:type="dxa" w:w="60"/>
              <w:right w:type="dxa" w:w="100"/>
            </w:tcMar>
          </w:tcPr>
          <w:p>
            <w:r>
              <w:rPr>
                <w:rFonts w:ascii="Arial" w:cs="Arial" w:eastAsia="Arial" w:hAnsi="Arial"/>
                <w:b w:val="false"/>
                <w:bCs w:val="false"/>
                <w:color w:val="000000"/>
                <w:sz w:val="18"/>
                <w:szCs w:val="18"/>
              </w:rPr>
              <w:t xml:space="preserve">7:00 PM – 10:00 PM</w:t>
            </w:r>
          </w:p>
        </w:tc>
        <w:tc>
          <w:tcPr>
            <w:tcW w:type="dxa" w:w="1000"/>
            <w:tcMar>
              <w:top w:type="dxa" w:w="60"/>
              <w:left w:type="dxa" w:w="100"/>
              <w:bottom w:type="dxa" w:w="60"/>
              <w:right w:type="dxa" w:w="100"/>
            </w:tcMar>
          </w:tcPr>
          <w:p>
            <w:r>
              <w:rPr>
                <w:rFonts w:ascii="Arial" w:cs="Arial" w:eastAsia="Arial" w:hAnsi="Arial"/>
                <w:b w:val="false"/>
                <w:bCs w:val="false"/>
                <w:color w:val="000000"/>
                <w:sz w:val="18"/>
                <w:szCs w:val="18"/>
              </w:rPr>
              <w:t xml:space="preserve">3</w:t>
            </w:r>
          </w:p>
        </w:tc>
      </w:tr>
      <w:tr>
        <w:tc>
          <w:tcPr>
            <w:tcW w:type="dxa" w:w="2000"/>
            <w:shd w:fill="F2F4F8" w:val="clear"/>
            <w:tcMar>
              <w:top w:type="dxa" w:w="60"/>
              <w:left w:type="dxa" w:w="100"/>
              <w:bottom w:type="dxa" w:w="60"/>
              <w:right w:type="dxa" w:w="100"/>
            </w:tcMar>
          </w:tcPr>
          <w:p>
            <w:r>
              <w:rPr>
                <w:rFonts w:ascii="Arial" w:cs="Arial" w:eastAsia="Arial" w:hAnsi="Arial"/>
                <w:b w:val="false"/>
                <w:bCs w:val="false"/>
                <w:color w:val="000000"/>
                <w:sz w:val="18"/>
                <w:szCs w:val="18"/>
              </w:rPr>
              <w:t xml:space="preserve">Aug 25, 2026</w:t>
            </w:r>
          </w:p>
        </w:tc>
        <w:tc>
          <w:tcPr>
            <w:tcW w:type="dxa" w:w="1800"/>
            <w:shd w:fill="F2F4F8" w:val="clear"/>
            <w:tcMar>
              <w:top w:type="dxa" w:w="60"/>
              <w:left w:type="dxa" w:w="100"/>
              <w:bottom w:type="dxa" w:w="60"/>
              <w:right w:type="dxa" w:w="100"/>
            </w:tcMar>
          </w:tcPr>
          <w:p>
            <w:r>
              <w:rPr>
                <w:rFonts w:ascii="Arial" w:cs="Arial" w:eastAsia="Arial" w:hAnsi="Arial"/>
                <w:b w:val="false"/>
                <w:bCs w:val="false"/>
                <w:color w:val="000000"/>
                <w:sz w:val="18"/>
                <w:szCs w:val="18"/>
              </w:rPr>
              <w:t xml:space="preserve">Tuesday</w:t>
            </w:r>
          </w:p>
        </w:tc>
        <w:tc>
          <w:tcPr>
            <w:tcW w:type="dxa" w:w="3200"/>
            <w:shd w:fill="F2F4F8" w:val="clear"/>
            <w:tcMar>
              <w:top w:type="dxa" w:w="60"/>
              <w:left w:type="dxa" w:w="100"/>
              <w:bottom w:type="dxa" w:w="60"/>
              <w:right w:type="dxa" w:w="100"/>
            </w:tcMar>
          </w:tcPr>
          <w:p>
            <w:r>
              <w:rPr>
                <w:rFonts w:ascii="Arial" w:cs="Arial" w:eastAsia="Arial" w:hAnsi="Arial"/>
                <w:b w:val="false"/>
                <w:bCs w:val="false"/>
                <w:color w:val="000000"/>
                <w:sz w:val="18"/>
                <w:szCs w:val="18"/>
              </w:rPr>
              <w:t xml:space="preserve">7:00 PM – 10:00 PM</w:t>
            </w:r>
          </w:p>
        </w:tc>
        <w:tc>
          <w:tcPr>
            <w:tcW w:type="dxa" w:w="1000"/>
            <w:shd w:fill="F2F4F8" w:val="clear"/>
            <w:tcMar>
              <w:top w:type="dxa" w:w="60"/>
              <w:left w:type="dxa" w:w="100"/>
              <w:bottom w:type="dxa" w:w="60"/>
              <w:right w:type="dxa" w:w="100"/>
            </w:tcMar>
          </w:tcPr>
          <w:p>
            <w:r>
              <w:rPr>
                <w:rFonts w:ascii="Arial" w:cs="Arial" w:eastAsia="Arial" w:hAnsi="Arial"/>
                <w:b w:val="false"/>
                <w:bCs w:val="false"/>
                <w:color w:val="000000"/>
                <w:sz w:val="18"/>
                <w:szCs w:val="18"/>
              </w:rPr>
              <w:t xml:space="preserve">3</w:t>
            </w:r>
          </w:p>
        </w:tc>
      </w:tr>
      <w:tr>
        <w:tc>
          <w:tcPr>
            <w:tcW w:type="dxa" w:w="2000"/>
            <w:tcMar>
              <w:top w:type="dxa" w:w="60"/>
              <w:left w:type="dxa" w:w="100"/>
              <w:bottom w:type="dxa" w:w="60"/>
              <w:right w:type="dxa" w:w="100"/>
            </w:tcMar>
          </w:tcPr>
          <w:p>
            <w:r>
              <w:rPr>
                <w:rFonts w:ascii="Arial" w:cs="Arial" w:eastAsia="Arial" w:hAnsi="Arial"/>
                <w:b w:val="false"/>
                <w:bCs w:val="false"/>
                <w:color w:val="000000"/>
                <w:sz w:val="18"/>
                <w:szCs w:val="18"/>
              </w:rPr>
              <w:t xml:space="preserve">Aug 26, 2026</w:t>
            </w:r>
          </w:p>
        </w:tc>
        <w:tc>
          <w:tcPr>
            <w:tcW w:type="dxa" w:w="1800"/>
            <w:tcMar>
              <w:top w:type="dxa" w:w="60"/>
              <w:left w:type="dxa" w:w="100"/>
              <w:bottom w:type="dxa" w:w="60"/>
              <w:right w:type="dxa" w:w="100"/>
            </w:tcMar>
          </w:tcPr>
          <w:p>
            <w:r>
              <w:rPr>
                <w:rFonts w:ascii="Arial" w:cs="Arial" w:eastAsia="Arial" w:hAnsi="Arial"/>
                <w:b w:val="false"/>
                <w:bCs w:val="false"/>
                <w:color w:val="000000"/>
                <w:sz w:val="18"/>
                <w:szCs w:val="18"/>
              </w:rPr>
              <w:t xml:space="preserve">Wednesday</w:t>
            </w:r>
          </w:p>
        </w:tc>
        <w:tc>
          <w:tcPr>
            <w:tcW w:type="dxa" w:w="3200"/>
            <w:tcMar>
              <w:top w:type="dxa" w:w="60"/>
              <w:left w:type="dxa" w:w="100"/>
              <w:bottom w:type="dxa" w:w="60"/>
              <w:right w:type="dxa" w:w="100"/>
            </w:tcMar>
          </w:tcPr>
          <w:p>
            <w:r>
              <w:rPr>
                <w:rFonts w:ascii="Arial" w:cs="Arial" w:eastAsia="Arial" w:hAnsi="Arial"/>
                <w:b w:val="false"/>
                <w:bCs w:val="false"/>
                <w:color w:val="000000"/>
                <w:sz w:val="18"/>
                <w:szCs w:val="18"/>
              </w:rPr>
              <w:t xml:space="preserve">7:00 PM – 10:00 PM</w:t>
            </w:r>
          </w:p>
        </w:tc>
        <w:tc>
          <w:tcPr>
            <w:tcW w:type="dxa" w:w="1000"/>
            <w:tcMar>
              <w:top w:type="dxa" w:w="60"/>
              <w:left w:type="dxa" w:w="100"/>
              <w:bottom w:type="dxa" w:w="60"/>
              <w:right w:type="dxa" w:w="100"/>
            </w:tcMar>
          </w:tcPr>
          <w:p>
            <w:r>
              <w:rPr>
                <w:rFonts w:ascii="Arial" w:cs="Arial" w:eastAsia="Arial" w:hAnsi="Arial"/>
                <w:b w:val="false"/>
                <w:bCs w:val="false"/>
                <w:color w:val="000000"/>
                <w:sz w:val="18"/>
                <w:szCs w:val="18"/>
              </w:rPr>
              <w:t xml:space="preserve">3</w:t>
            </w:r>
          </w:p>
        </w:tc>
      </w:tr>
      <w:tr>
        <w:tc>
          <w:tcPr>
            <w:tcW w:type="dxa" w:w="2000"/>
            <w:shd w:fill="F2F4F8" w:val="clear"/>
            <w:tcMar>
              <w:top w:type="dxa" w:w="60"/>
              <w:left w:type="dxa" w:w="100"/>
              <w:bottom w:type="dxa" w:w="60"/>
              <w:right w:type="dxa" w:w="100"/>
            </w:tcMar>
          </w:tcPr>
          <w:p>
            <w:r>
              <w:rPr>
                <w:rFonts w:ascii="Arial" w:cs="Arial" w:eastAsia="Arial" w:hAnsi="Arial"/>
                <w:b w:val="false"/>
                <w:bCs w:val="false"/>
                <w:color w:val="000000"/>
                <w:sz w:val="18"/>
                <w:szCs w:val="18"/>
              </w:rPr>
              <w:t xml:space="preserve">Aug 27, 2026</w:t>
            </w:r>
          </w:p>
        </w:tc>
        <w:tc>
          <w:tcPr>
            <w:tcW w:type="dxa" w:w="1800"/>
            <w:shd w:fill="F2F4F8" w:val="clear"/>
            <w:tcMar>
              <w:top w:type="dxa" w:w="60"/>
              <w:left w:type="dxa" w:w="100"/>
              <w:bottom w:type="dxa" w:w="60"/>
              <w:right w:type="dxa" w:w="100"/>
            </w:tcMar>
          </w:tcPr>
          <w:p>
            <w:r>
              <w:rPr>
                <w:rFonts w:ascii="Arial" w:cs="Arial" w:eastAsia="Arial" w:hAnsi="Arial"/>
                <w:b w:val="false"/>
                <w:bCs w:val="false"/>
                <w:color w:val="000000"/>
                <w:sz w:val="18"/>
                <w:szCs w:val="18"/>
              </w:rPr>
              <w:t xml:space="preserve">Thursday</w:t>
            </w:r>
          </w:p>
        </w:tc>
        <w:tc>
          <w:tcPr>
            <w:tcW w:type="dxa" w:w="3200"/>
            <w:shd w:fill="F2F4F8" w:val="clear"/>
            <w:tcMar>
              <w:top w:type="dxa" w:w="60"/>
              <w:left w:type="dxa" w:w="100"/>
              <w:bottom w:type="dxa" w:w="60"/>
              <w:right w:type="dxa" w:w="100"/>
            </w:tcMar>
          </w:tcPr>
          <w:p>
            <w:r>
              <w:rPr>
                <w:rFonts w:ascii="Arial" w:cs="Arial" w:eastAsia="Arial" w:hAnsi="Arial"/>
                <w:b w:val="false"/>
                <w:bCs w:val="false"/>
                <w:color w:val="000000"/>
                <w:sz w:val="18"/>
                <w:szCs w:val="18"/>
              </w:rPr>
              <w:t xml:space="preserve">7:00 PM – 10:00 PM</w:t>
            </w:r>
          </w:p>
        </w:tc>
        <w:tc>
          <w:tcPr>
            <w:tcW w:type="dxa" w:w="1000"/>
            <w:shd w:fill="F2F4F8" w:val="clear"/>
            <w:tcMar>
              <w:top w:type="dxa" w:w="60"/>
              <w:left w:type="dxa" w:w="100"/>
              <w:bottom w:type="dxa" w:w="60"/>
              <w:right w:type="dxa" w:w="100"/>
            </w:tcMar>
          </w:tcPr>
          <w:p>
            <w:r>
              <w:rPr>
                <w:rFonts w:ascii="Arial" w:cs="Arial" w:eastAsia="Arial" w:hAnsi="Arial"/>
                <w:b w:val="false"/>
                <w:bCs w:val="false"/>
                <w:color w:val="000000"/>
                <w:sz w:val="18"/>
                <w:szCs w:val="18"/>
              </w:rPr>
              <w:t xml:space="preserve">3</w:t>
            </w:r>
          </w:p>
        </w:tc>
      </w:tr>
      <w:tr>
        <w:tc>
          <w:tcPr>
            <w:tcW w:type="dxa" w:w="2000"/>
            <w:tcMar>
              <w:top w:type="dxa" w:w="60"/>
              <w:left w:type="dxa" w:w="100"/>
              <w:bottom w:type="dxa" w:w="60"/>
              <w:right w:type="dxa" w:w="100"/>
            </w:tcMar>
          </w:tcPr>
          <w:p>
            <w:r>
              <w:rPr>
                <w:rFonts w:ascii="Arial" w:cs="Arial" w:eastAsia="Arial" w:hAnsi="Arial"/>
                <w:b w:val="false"/>
                <w:bCs w:val="false"/>
                <w:color w:val="000000"/>
                <w:sz w:val="18"/>
                <w:szCs w:val="18"/>
              </w:rPr>
              <w:t xml:space="preserve">Aug 28, 2026</w:t>
            </w:r>
          </w:p>
        </w:tc>
        <w:tc>
          <w:tcPr>
            <w:tcW w:type="dxa" w:w="1800"/>
            <w:tcMar>
              <w:top w:type="dxa" w:w="60"/>
              <w:left w:type="dxa" w:w="100"/>
              <w:bottom w:type="dxa" w:w="60"/>
              <w:right w:type="dxa" w:w="100"/>
            </w:tcMar>
          </w:tcPr>
          <w:p>
            <w:r>
              <w:rPr>
                <w:rFonts w:ascii="Arial" w:cs="Arial" w:eastAsia="Arial" w:hAnsi="Arial"/>
                <w:b w:val="false"/>
                <w:bCs w:val="false"/>
                <w:color w:val="000000"/>
                <w:sz w:val="18"/>
                <w:szCs w:val="18"/>
              </w:rPr>
              <w:t xml:space="preserve">Friday</w:t>
            </w:r>
          </w:p>
        </w:tc>
        <w:tc>
          <w:tcPr>
            <w:tcW w:type="dxa" w:w="3200"/>
            <w:tcMar>
              <w:top w:type="dxa" w:w="60"/>
              <w:left w:type="dxa" w:w="100"/>
              <w:bottom w:type="dxa" w:w="60"/>
              <w:right w:type="dxa" w:w="100"/>
            </w:tcMar>
          </w:tcPr>
          <w:p>
            <w:r>
              <w:rPr>
                <w:rFonts w:ascii="Arial" w:cs="Arial" w:eastAsia="Arial" w:hAnsi="Arial"/>
                <w:b w:val="false"/>
                <w:bCs w:val="false"/>
                <w:color w:val="000000"/>
                <w:sz w:val="18"/>
                <w:szCs w:val="18"/>
              </w:rPr>
              <w:t xml:space="preserve">7:00 PM – 10:00 PM</w:t>
            </w:r>
          </w:p>
        </w:tc>
        <w:tc>
          <w:tcPr>
            <w:tcW w:type="dxa" w:w="1000"/>
            <w:tcMar>
              <w:top w:type="dxa" w:w="60"/>
              <w:left w:type="dxa" w:w="100"/>
              <w:bottom w:type="dxa" w:w="60"/>
              <w:right w:type="dxa" w:w="100"/>
            </w:tcMar>
          </w:tcPr>
          <w:p>
            <w:r>
              <w:rPr>
                <w:rFonts w:ascii="Arial" w:cs="Arial" w:eastAsia="Arial" w:hAnsi="Arial"/>
                <w:b w:val="false"/>
                <w:bCs w:val="false"/>
                <w:color w:val="000000"/>
                <w:sz w:val="18"/>
                <w:szCs w:val="18"/>
              </w:rPr>
              <w:t xml:space="preserve">3</w:t>
            </w:r>
          </w:p>
        </w:tc>
      </w:tr>
    </w:tbl>
    <w:p>
      <w:pPr>
        <w:pStyle w:val="ListParagraph"/>
        <w:numPr>
          <w:ilvl w:val="0"/>
          <w:numId w:val="2"/>
        </w:numPr>
        <w:spacing w:after="80" w:line="276"/>
      </w:pPr>
      <w:r>
        <w:rPr>
          <w:rFonts w:ascii="Arial" w:cs="Arial" w:eastAsia="Arial" w:hAnsi="Arial"/>
          <w:sz w:val="20"/>
          <w:szCs w:val="20"/>
        </w:rPr>
        <w:t xml:space="preserve">NCAA price freeze: T-3 from the first NCAA window = Wednesday, August 19, 2026.</w:t>
      </w:r>
    </w:p>
    <w:p>
      <w:pPr>
        <w:pStyle w:val="ListParagraph"/>
        <w:numPr>
          <w:ilvl w:val="0"/>
          <w:numId w:val="2"/>
        </w:numPr>
        <w:spacing w:after="80" w:line="276"/>
      </w:pPr>
      <w:r>
        <w:rPr>
          <w:rFonts w:ascii="Arial" w:cs="Arial" w:eastAsia="Arial" w:hAnsi="Arial"/>
          <w:sz w:val="20"/>
          <w:szCs w:val="20"/>
        </w:rPr>
        <w:t xml:space="preserve">Day-boundary rule [DECIDED]: rounds do not align with daily windows. At each day's close the process pauses mid-round; it resumes at the next day's open with the next team in sequence. Water Line advances occur on round completion regardless of calendar day.</w:t>
      </w:r>
    </w:p>
    <w:p>
      <w:pPr>
        <w:pStyle w:val="ListParagraph"/>
        <w:numPr>
          <w:ilvl w:val="0"/>
          <w:numId w:val="2"/>
        </w:numPr>
        <w:spacing w:after="80" w:line="276"/>
      </w:pPr>
      <w:r>
        <w:rPr>
          <w:rFonts w:ascii="Arial" w:cs="Arial" w:eastAsia="Arial" w:hAnsi="Arial"/>
          <w:sz w:val="20"/>
          <w:szCs w:val="20"/>
        </w:rPr>
        <w:t xml:space="preserve">Hard calendar close [DECIDED]: the offering terminates at the earlier of the Section 4 termination rule or 10:00 PM CT on August 28, 2026. No extension.</w:t>
      </w:r>
    </w:p>
    <w:p>
      <w:pPr>
        <w:pStyle w:val="ListParagraph"/>
        <w:numPr>
          <w:ilvl w:val="0"/>
          <w:numId w:val="2"/>
        </w:numPr>
        <w:spacing w:after="80" w:line="276"/>
      </w:pPr>
      <w:r>
        <w:rPr>
          <w:rFonts w:ascii="Arial" w:cs="Arial" w:eastAsia="Arial" w:hAnsi="Arial"/>
          <w:sz w:val="20"/>
          <w:szCs w:val="20"/>
        </w:rPr>
        <w:t xml:space="preserve">Round 11+ inactivity close [RECOMMENDED: 15 seconds]: post-mandate windows with no resting pre-buy and no live order for the inactivity interval close early and advance, protecting the calendar budget.</w:t>
      </w:r>
    </w:p>
    <w:p>
      <w:pPr>
        <w:pStyle w:val="Heading2"/>
        <w:spacing w:after="100" w:before="220"/>
      </w:pPr>
      <w:r>
        <w:rPr>
          <w:rFonts w:ascii="Arial" w:cs="Arial" w:eastAsia="Arial" w:hAnsi="Arial"/>
          <w:b/>
          <w:bCs/>
          <w:color w:val="1B2A4A"/>
          <w:sz w:val="22"/>
          <w:szCs w:val="22"/>
        </w:rPr>
        <w:t xml:space="preserve">3.2 NFL Offering Calendar [DECIDED]</w:t>
      </w:r>
    </w:p>
    <w:p>
      <w:pPr>
        <w:pStyle w:val="ListParagraph"/>
        <w:numPr>
          <w:ilvl w:val="0"/>
          <w:numId w:val="2"/>
        </w:numPr>
        <w:spacing w:after="80" w:line="276"/>
      </w:pPr>
      <w:r>
        <w:rPr>
          <w:rFonts w:ascii="Arial" w:cs="Arial" w:eastAsia="Arial" w:hAnsi="Arial"/>
          <w:sz w:val="20"/>
          <w:szCs w:val="20"/>
        </w:rPr>
        <w:t xml:space="preserve">Single-day offering: Saturday, September 5, 2026, beginning 12:00 PM CT and running continuously to completion the same day. Worst-case mandate budget ~5.5 hours (10 rounds x 32 one-minute windows) plus Round 11+; expected completion by early evening.</w:t>
      </w:r>
    </w:p>
    <w:p>
      <w:pPr>
        <w:pStyle w:val="ListParagraph"/>
        <w:numPr>
          <w:ilvl w:val="0"/>
          <w:numId w:val="2"/>
        </w:numPr>
        <w:spacing w:after="80" w:line="276"/>
      </w:pPr>
      <w:r>
        <w:rPr>
          <w:rFonts w:ascii="Arial" w:cs="Arial" w:eastAsia="Arial" w:hAnsi="Arial"/>
          <w:sz w:val="20"/>
          <w:szCs w:val="20"/>
        </w:rPr>
        <w:t xml:space="preserve">Hard calendar close: the NFL offering terminates at the earlier of the Section 4 termination rule or 11:59 PM CT on September 5, 2026. No extension.</w:t>
      </w:r>
    </w:p>
    <w:p>
      <w:pPr>
        <w:pStyle w:val="ListParagraph"/>
        <w:numPr>
          <w:ilvl w:val="0"/>
          <w:numId w:val="2"/>
        </w:numPr>
        <w:spacing w:after="80" w:line="276"/>
      </w:pPr>
      <w:r>
        <w:rPr>
          <w:rFonts w:ascii="Arial" w:cs="Arial" w:eastAsia="Arial" w:hAnsi="Arial"/>
          <w:sz w:val="20"/>
          <w:szCs w:val="20"/>
        </w:rPr>
        <w:t xml:space="preserve">NFL price freeze: T-3 = Wednesday, September 2, 2026.</w:t>
      </w:r>
    </w:p>
    <w:p>
      <w:pPr>
        <w:pStyle w:val="ListParagraph"/>
        <w:numPr>
          <w:ilvl w:val="0"/>
          <w:numId w:val="2"/>
        </w:numPr>
        <w:spacing w:after="80" w:line="276"/>
      </w:pPr>
      <w:r>
        <w:rPr>
          <w:rFonts w:ascii="Arial" w:cs="Arial" w:eastAsia="Arial" w:hAnsi="Arial"/>
          <w:sz w:val="20"/>
          <w:szCs w:val="20"/>
        </w:rPr>
        <w:t xml:space="preserve">All Section 3-6 mechanics (mandate, sweep, water line, notifications, data capture) apply identically to the NFL track.</w:t>
      </w:r>
    </w:p>
    <w:p>
      <w:pPr>
        <w:pStyle w:val="Heading1"/>
        <w:pBdr>
          <w:bottom w:val="single" w:color="F47C20" w:sz="8"/>
        </w:pBdr>
        <w:spacing w:after="140" w:before="320"/>
      </w:pPr>
      <w:r>
        <w:rPr>
          <w:rFonts w:ascii="Arial" w:cs="Arial" w:eastAsia="Arial" w:hAnsi="Arial"/>
          <w:b/>
          <w:bCs/>
          <w:caps/>
          <w:color w:val="1B2A4A"/>
          <w:sz w:val="26"/>
          <w:szCs w:val="26"/>
        </w:rPr>
        <w:t xml:space="preserve">4. Load Balancing — Water-Line Mechanism [DECIDED]</w:t>
      </w:r>
    </w:p>
    <w:p>
      <w:pPr>
        <w:spacing w:after="120" w:line="276"/>
      </w:pPr>
      <w:r>
        <w:rPr>
          <w:rFonts w:ascii="Arial" w:cs="Arial" w:eastAsia="Arial" w:hAnsi="Arial"/>
          <w:sz w:val="20"/>
          <w:szCs w:val="20"/>
        </w:rPr>
        <w:t xml:space="preserve">Objective: approximately equal shares outstanding per team within each league, without sacrificing total shares sold. The mid-round ratchet originally proposed is replaced by the water line, which achieves the equalization goal without alphabetical-order artifacts (simulation on Popularity-Index demand: ~3.4x total volume, tighter float dispersion).</w:t>
      </w:r>
    </w:p>
    <w:p>
      <w:pPr>
        <w:pStyle w:val="ListParagraph"/>
        <w:numPr>
          <w:ilvl w:val="0"/>
          <w:numId w:val="2"/>
        </w:numPr>
        <w:spacing w:after="80" w:line="276"/>
      </w:pPr>
      <w:r>
        <w:rPr>
          <w:rFonts w:ascii="Arial" w:cs="Arial" w:eastAsia="Arial" w:hAnsi="Arial"/>
          <w:sz w:val="20"/>
          <w:szCs w:val="20"/>
        </w:rPr>
        <w:t xml:space="preserve">Round 1: every team's available allotment is 50,000.</w:t>
      </w:r>
    </w:p>
    <w:p>
      <w:pPr>
        <w:pStyle w:val="ListParagraph"/>
        <w:numPr>
          <w:ilvl w:val="0"/>
          <w:numId w:val="2"/>
        </w:numPr>
        <w:spacing w:after="80" w:line="276"/>
      </w:pPr>
      <w:r>
        <w:rPr>
          <w:rFonts w:ascii="Arial" w:cs="Arial" w:eastAsia="Arial" w:hAnsi="Arial"/>
          <w:sz w:val="20"/>
          <w:szCs w:val="20"/>
        </w:rPr>
        <w:t xml:space="preserve">Rounds 1-10 (MM Primary Mandate in force): every window closes filled at exactly 50,000, so cumulative sold is identical across all teams (r x 50,000) and the Water Line advances 50,000 per round mechanically. Float equality through Round 10 is exact by construction.</w:t>
      </w:r>
    </w:p>
    <w:p>
      <w:pPr>
        <w:pStyle w:val="ListParagraph"/>
        <w:numPr>
          <w:ilvl w:val="0"/>
          <w:numId w:val="2"/>
        </w:numPr>
        <w:spacing w:after="80" w:line="276"/>
      </w:pPr>
      <w:r>
        <w:rPr>
          <w:rFonts w:ascii="Arial" w:cs="Arial" w:eastAsia="Arial" w:hAnsi="Arial"/>
          <w:sz w:val="20"/>
          <w:szCs w:val="20"/>
        </w:rPr>
        <w:t xml:space="preserve">Rounds 11+ (mandate expired): W(r+1) = min over all teams of cumulative TOTAL shares sold + 50,000; team i's available allotment = max(0, W(r) - cumulative sold_i), capped at 50,000; participant orders only, no MM sweep. Teams at the line are skipped instantly.</w:t>
      </w:r>
    </w:p>
    <w:p>
      <w:pPr>
        <w:pStyle w:val="ListParagraph"/>
        <w:numPr>
          <w:ilvl w:val="0"/>
          <w:numId w:val="2"/>
        </w:numPr>
        <w:spacing w:after="80" w:line="276"/>
      </w:pPr>
      <w:r>
        <w:rPr>
          <w:rFonts w:ascii="Arial" w:cs="Arial" w:eastAsia="Arial" w:hAnsi="Arial"/>
          <w:sz w:val="20"/>
          <w:szCs w:val="20"/>
        </w:rPr>
        <w:t xml:space="preserve">Zero-sale windows never reduce any other team's allotment (no mid-round ratchet).</w:t>
      </w:r>
    </w:p>
    <w:p>
      <w:pPr>
        <w:pStyle w:val="ListParagraph"/>
        <w:numPr>
          <w:ilvl w:val="0"/>
          <w:numId w:val="2"/>
        </w:numPr>
        <w:spacing w:after="80" w:line="276"/>
      </w:pPr>
      <w:r>
        <w:rPr>
          <w:rFonts w:ascii="Arial" w:cs="Arial" w:eastAsia="Arial" w:hAnsi="Arial"/>
          <w:sz w:val="20"/>
          <w:szCs w:val="20"/>
        </w:rPr>
        <w:t xml:space="preserve">Termination: evaluated from Round 11 onward only — Rounds 1-10 always run in full under the mandate. The offering closes after the first complete round (r &gt;= 11) in which aggregate participant fills are below 1% of aggregate available allotments. MM purchases never count toward the termination metric. [DECIDED]</w:t>
      </w:r>
    </w:p>
    <w:p>
      <w:pPr>
        <w:pStyle w:val="ListParagraph"/>
        <w:numPr>
          <w:ilvl w:val="0"/>
          <w:numId w:val="2"/>
        </w:numPr>
        <w:spacing w:after="80" w:line="276"/>
      </w:pPr>
      <w:r>
        <w:rPr>
          <w:rFonts w:ascii="Arial" w:cs="Arial" w:eastAsia="Arial" w:hAnsi="Arial"/>
          <w:sz w:val="20"/>
          <w:szCs w:val="20"/>
        </w:rPr>
        <w:t xml:space="preserve">Terminal float equalization: approximate equality is sufficient; no trimming or refunds at close. [DECIDED] (Exact equality already holds through Round 10 under the mandate; Rounds 11+ may diverge by at most one round-step under the water line.)</w:t>
      </w:r>
    </w:p>
    <w:p>
      <w:pPr>
        <w:pStyle w:val="Heading1"/>
        <w:pBdr>
          <w:bottom w:val="single" w:color="F47C20" w:sz="8"/>
        </w:pBdr>
        <w:spacing w:after="140" w:before="320"/>
      </w:pPr>
      <w:r>
        <w:rPr>
          <w:rFonts w:ascii="Arial" w:cs="Arial" w:eastAsia="Arial" w:hAnsi="Arial"/>
          <w:b/>
          <w:bCs/>
          <w:caps/>
          <w:color w:val="1B2A4A"/>
          <w:sz w:val="26"/>
          <w:szCs w:val="26"/>
        </w:rPr>
        <w:t xml:space="preserve">5. Allocation and Caps</w:t>
      </w:r>
    </w:p>
    <w:p>
      <w:pPr>
        <w:pStyle w:val="ListParagraph"/>
        <w:numPr>
          <w:ilvl w:val="0"/>
          <w:numId w:val="2"/>
        </w:numPr>
        <w:spacing w:after="80" w:line="276"/>
      </w:pPr>
      <w:r>
        <w:rPr>
          <w:rFonts w:ascii="Arial" w:cs="Arial" w:eastAsia="Arial" w:hAnsi="Arial"/>
          <w:sz w:val="20"/>
          <w:szCs w:val="20"/>
        </w:rPr>
        <w:t xml:space="preserve">Oversubscribed Pre-Buy Books allocate pro-rata by order size, rounded down to whole shares; residual shares by random draw among unfilled orders. FIFO is expressly rejected (latency race). [RECOMMENDED — OPEN for approval]</w:t>
      </w:r>
    </w:p>
    <w:p>
      <w:pPr>
        <w:pStyle w:val="ListParagraph"/>
        <w:numPr>
          <w:ilvl w:val="0"/>
          <w:numId w:val="2"/>
        </w:numPr>
        <w:spacing w:after="80" w:line="276"/>
      </w:pPr>
      <w:r>
        <w:rPr>
          <w:rFonts w:ascii="Arial" w:cs="Arial" w:eastAsia="Arial" w:hAnsi="Arial"/>
          <w:sz w:val="20"/>
          <w:szCs w:val="20"/>
        </w:rPr>
        <w:t xml:space="preserve">Per-participant cap: 2,500 shares (5% of base allotment) per team per round, applied to pre-buy and live orders combined. Purpose: spread ownership; prevent single-name anchoring (see NDSU, Section 7). [DECIDED]</w:t>
      </w:r>
    </w:p>
    <w:p>
      <w:pPr>
        <w:pStyle w:val="ListParagraph"/>
        <w:numPr>
          <w:ilvl w:val="0"/>
          <w:numId w:val="2"/>
        </w:numPr>
        <w:spacing w:after="80" w:line="276"/>
      </w:pPr>
      <w:r>
        <w:rPr>
          <w:rFonts w:ascii="Arial" w:cs="Arial" w:eastAsia="Arial" w:hAnsi="Arial"/>
          <w:sz w:val="20"/>
          <w:szCs w:val="20"/>
        </w:rPr>
        <w:t xml:space="preserve">Market Maker exemption [DECIDED]: the Market Maker is exempt from the per-participant cap and has no limit on the number of shares it may buy in any round. MM participation is residual only: participant orders (pre-buy and live) fill first; the MM never competes in pro-rata allocation of an oversubscribed book.</w:t>
      </w:r>
    </w:p>
    <w:p>
      <w:pPr>
        <w:pStyle w:val="ListParagraph"/>
        <w:numPr>
          <w:ilvl w:val="0"/>
          <w:numId w:val="2"/>
        </w:numPr>
        <w:spacing w:after="80" w:line="276"/>
      </w:pPr>
      <w:r>
        <w:rPr>
          <w:rFonts w:ascii="Arial" w:cs="Arial" w:eastAsia="Arial" w:hAnsi="Arial"/>
          <w:sz w:val="20"/>
          <w:szCs w:val="20"/>
        </w:rPr>
        <w:t xml:space="preserve">MM Primary Mandate [DECIDED]: for Rounds 1 through 10 of every issue, the MM MUST purchase all shares of the allotment remaining after participant demand (the completion sweep, Section 3). From Round 11, the mandate expires and the MM purchases nothing in the primary. Consequence: guaranteed primary float of 500,000 shares per team after Round 10; maximum MM opening inventory 85,000,000 shares across 170 names (~$4.26B notional at current listed prices) less cumulative participant demand. MM primary purchases execute at the listed price.</w:t>
      </w:r>
    </w:p>
    <w:p>
      <w:pPr>
        <w:pStyle w:val="ListParagraph"/>
        <w:numPr>
          <w:ilvl w:val="0"/>
          <w:numId w:val="2"/>
        </w:numPr>
        <w:spacing w:after="80" w:line="276"/>
      </w:pPr>
      <w:r>
        <w:rPr>
          <w:rFonts w:ascii="Arial" w:cs="Arial" w:eastAsia="Arial" w:hAnsi="Arial"/>
          <w:sz w:val="20"/>
          <w:szCs w:val="20"/>
        </w:rPr>
        <w:t xml:space="preserve">Unsold inventory: shares available but unsold at offering close seed the Market Maker's opening inventory at the listed price. [RECOMMENDED — OPEN for approval; interacts with MM inventory limits in v1.3]</w:t>
      </w:r>
    </w:p>
    <w:p>
      <w:pPr>
        <w:pStyle w:val="Heading1"/>
        <w:pBdr>
          <w:bottom w:val="single" w:color="F47C20" w:sz="8"/>
        </w:pBdr>
        <w:spacing w:after="140" w:before="320"/>
      </w:pPr>
      <w:r>
        <w:rPr>
          <w:rFonts w:ascii="Arial" w:cs="Arial" w:eastAsia="Arial" w:hAnsi="Arial"/>
          <w:b/>
          <w:bCs/>
          <w:caps/>
          <w:color w:val="1B2A4A"/>
          <w:sz w:val="26"/>
          <w:szCs w:val="26"/>
        </w:rPr>
        <w:t xml:space="preserve">6. Data Capture Requirements [DECIDED — build to this]</w:t>
      </w:r>
    </w:p>
    <w:p>
      <w:pPr>
        <w:spacing w:after="120" w:line="276"/>
      </w:pPr>
      <w:r>
        <w:rPr>
          <w:rFonts w:ascii="Arial" w:cs="Arial" w:eastAsia="Arial" w:hAnsi="Arial"/>
          <w:sz w:val="20"/>
          <w:szCs w:val="20"/>
        </w:rPr>
        <w:t xml:space="preserve">The offering process is the primary calibration event for the Popularity Index. The build MUST log, per team per round:</w:t>
      </w:r>
    </w:p>
    <w:p>
      <w:pPr>
        <w:pStyle w:val="ListParagraph"/>
        <w:numPr>
          <w:ilvl w:val="0"/>
          <w:numId w:val="2"/>
        </w:numPr>
        <w:spacing w:after="80" w:line="276"/>
      </w:pPr>
      <w:r>
        <w:rPr>
          <w:rFonts w:ascii="Arial" w:cs="Arial" w:eastAsia="Arial" w:hAnsi="Arial"/>
          <w:sz w:val="20"/>
          <w:szCs w:val="20"/>
        </w:rPr>
        <w:t xml:space="preserve">Full Pre-Buy Book: every order's size and submission timestamp — including unfilled excess demand. Total pre-buy demand, not executed fills, is the Base Demand Index input; capped fills censor the signal.</w:t>
      </w:r>
    </w:p>
    <w:p>
      <w:pPr>
        <w:pStyle w:val="ListParagraph"/>
        <w:numPr>
          <w:ilvl w:val="0"/>
          <w:numId w:val="2"/>
        </w:numPr>
        <w:spacing w:after="80" w:line="276"/>
      </w:pPr>
      <w:r>
        <w:rPr>
          <w:rFonts w:ascii="Arial" w:cs="Arial" w:eastAsia="Arial" w:hAnsi="Arial"/>
          <w:sz w:val="20"/>
          <w:szCs w:val="20"/>
        </w:rPr>
        <w:t xml:space="preserve">Subscription ratio (pre-buy demand / available allotment) — the headline popularity metric.</w:t>
      </w:r>
    </w:p>
    <w:p>
      <w:pPr>
        <w:pStyle w:val="ListParagraph"/>
        <w:numPr>
          <w:ilvl w:val="0"/>
          <w:numId w:val="2"/>
        </w:numPr>
        <w:spacing w:after="80" w:line="276"/>
      </w:pPr>
      <w:r>
        <w:rPr>
          <w:rFonts w:ascii="Arial" w:cs="Arial" w:eastAsia="Arial" w:hAnsi="Arial"/>
          <w:sz w:val="20"/>
          <w:szCs w:val="20"/>
        </w:rPr>
        <w:t xml:space="preserve">Live-window fill timestamps (demand velocity for under-subscribed names).</w:t>
      </w:r>
    </w:p>
    <w:p>
      <w:pPr>
        <w:pStyle w:val="ListParagraph"/>
        <w:numPr>
          <w:ilvl w:val="0"/>
          <w:numId w:val="2"/>
        </w:numPr>
        <w:spacing w:after="80" w:line="276"/>
      </w:pPr>
      <w:r>
        <w:rPr>
          <w:rFonts w:ascii="Arial" w:cs="Arial" w:eastAsia="Arial" w:hAnsi="Arial"/>
          <w:sz w:val="20"/>
          <w:szCs w:val="20"/>
        </w:rPr>
        <w:t xml:space="preserve">Unique participant counts per book (breadth vs. concentration).</w:t>
      </w:r>
    </w:p>
    <w:p>
      <w:pPr>
        <w:pStyle w:val="ListParagraph"/>
        <w:numPr>
          <w:ilvl w:val="0"/>
          <w:numId w:val="2"/>
        </w:numPr>
        <w:spacing w:after="80" w:line="276"/>
      </w:pPr>
      <w:r>
        <w:rPr>
          <w:rFonts w:ascii="Arial" w:cs="Arial" w:eastAsia="Arial" w:hAnsi="Arial"/>
          <w:sz w:val="20"/>
          <w:szCs w:val="20"/>
        </w:rPr>
        <w:t xml:space="preserve">Market Maker orders tagged and excluded from subscription ratios and all Base Demand Index inputs — consistent with the v1.3 participant-side-only counting principle. MM IPO purchases are logged separately.</w:t>
      </w:r>
    </w:p>
    <w:p>
      <w:pPr>
        <w:pStyle w:val="Heading1"/>
        <w:pBdr>
          <w:bottom w:val="single" w:color="F47C20" w:sz="8"/>
        </w:pBdr>
        <w:spacing w:after="140" w:before="320"/>
      </w:pPr>
      <w:r>
        <w:rPr>
          <w:rFonts w:ascii="Arial" w:cs="Arial" w:eastAsia="Arial" w:hAnsi="Arial"/>
          <w:b/>
          <w:bCs/>
          <w:caps/>
          <w:color w:val="1B2A4A"/>
          <w:sz w:val="26"/>
          <w:szCs w:val="26"/>
        </w:rPr>
        <w:t xml:space="preserve">8. Interactions With the v1.3 Specification</w:t>
      </w:r>
    </w:p>
    <w:p>
      <w:pPr>
        <w:pStyle w:val="ListParagraph"/>
        <w:numPr>
          <w:ilvl w:val="0"/>
          <w:numId w:val="2"/>
        </w:numPr>
        <w:spacing w:after="80" w:line="276"/>
      </w:pPr>
      <w:r>
        <w:rPr>
          <w:rFonts w:ascii="Arial" w:cs="Arial" w:eastAsia="Arial" w:hAnsi="Arial"/>
          <w:sz w:val="20"/>
          <w:szCs w:val="20"/>
        </w:rPr>
        <w:t xml:space="preserve">Reference Price seeding [OPEN — decision required]: if RP seeds at IPO EV while shares list at the discount, the MM quotes around EV from the open and every discounted name gaps up ~1-3% immediately, with the MM as counterparty to one-sided buy flow. Alternative: seed RP at the listed price and let it converge to EV over early weeks. Either is buildable; it must be specified, not discovered in test.</w:t>
      </w:r>
    </w:p>
    <w:p>
      <w:pPr>
        <w:pStyle w:val="ListParagraph"/>
        <w:numPr>
          <w:ilvl w:val="0"/>
          <w:numId w:val="2"/>
        </w:numPr>
        <w:spacing w:after="80" w:line="276"/>
      </w:pPr>
      <w:r>
        <w:rPr>
          <w:rFonts w:ascii="Arial" w:cs="Arial" w:eastAsia="Arial" w:hAnsi="Arial"/>
          <w:sz w:val="20"/>
          <w:szCs w:val="20"/>
        </w:rPr>
        <w:t xml:space="preserve">North Dakota State / Sacramento State: the v1.2 non-universe rule stands for the Challenge [DECIDED]. Both names list at full EV (Section 2.2). Expected behavior: bond-like, high guaranteed floor, buy-and-hold attraction. Instrumentation should tag these names for the season-long natural experiment informing the 2027 production rule (pin-to-floor behavior, max-cap holder share, secondary volume percentile).</w:t>
      </w:r>
    </w:p>
    <w:p>
      <w:pPr>
        <w:pStyle w:val="ListParagraph"/>
        <w:numPr>
          <w:ilvl w:val="0"/>
          <w:numId w:val="2"/>
        </w:numPr>
        <w:spacing w:after="80" w:line="276"/>
      </w:pPr>
      <w:r>
        <w:rPr>
          <w:rFonts w:ascii="Arial" w:cs="Arial" w:eastAsia="Arial" w:hAnsi="Arial"/>
          <w:sz w:val="20"/>
          <w:szCs w:val="20"/>
        </w:rPr>
        <w:t xml:space="preserve">Off-field capture in-season is governed by v1.3 (realized volume splits); nothing in this supplement alters it.</w:t>
      </w:r>
    </w:p>
    <w:p>
      <w:pPr>
        <w:pStyle w:val="Heading1"/>
        <w:pBdr>
          <w:bottom w:val="single" w:color="F47C20" w:sz="8"/>
        </w:pBdr>
        <w:spacing w:after="140" w:before="320"/>
      </w:pPr>
      <w:r>
        <w:rPr>
          <w:rFonts w:ascii="Arial" w:cs="Arial" w:eastAsia="Arial" w:hAnsi="Arial"/>
          <w:b/>
          <w:bCs/>
          <w:caps/>
          <w:color w:val="1B2A4A"/>
          <w:sz w:val="26"/>
          <w:szCs w:val="26"/>
        </w:rPr>
        <w:t xml:space="preserve">9. Open Items Summary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3200"/>
        <w:gridCol w:w="1820"/>
      </w:tblGrid>
      <w:tr>
        <w:trPr>
          <w:tblHeader/>
        </w:trPr>
        <w:tc>
          <w:tcPr>
            <w:tcW w:type="dxa" w:w="500"/>
            <w:shd w:fill="1B2A4A"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4200"/>
            <w:shd w:fill="1B2A4A" w:val="clear"/>
            <w:tcMar>
              <w:top w:type="dxa" w:w="60"/>
              <w:left w:type="dxa" w:w="100"/>
              <w:bottom w:type="dxa" w:w="60"/>
              <w:right w:type="dxa" w:w="100"/>
            </w:tcMar>
          </w:tcPr>
          <w:p>
            <w:r>
              <w:rPr>
                <w:rFonts w:ascii="Arial" w:cs="Arial" w:eastAsia="Arial" w:hAnsi="Arial"/>
                <w:b/>
                <w:bCs/>
                <w:color w:val="FFFFFF"/>
                <w:sz w:val="18"/>
                <w:szCs w:val="18"/>
              </w:rPr>
              <w:t xml:space="preserve">Item</w:t>
            </w:r>
          </w:p>
        </w:tc>
        <w:tc>
          <w:tcPr>
            <w:tcW w:type="dxa" w:w="3200"/>
            <w:shd w:fill="1B2A4A"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1820"/>
            <w:shd w:fill="1B2A4A" w:val="clear"/>
            <w:tcMar>
              <w:top w:type="dxa" w:w="60"/>
              <w:left w:type="dxa" w:w="100"/>
              <w:bottom w:type="dxa" w:w="60"/>
              <w:right w:type="dxa" w:w="100"/>
            </w:tcMar>
          </w:tcPr>
          <w:p>
            <w:r>
              <w:rPr>
                <w:rFonts w:ascii="Arial" w:cs="Arial" w:eastAsia="Arial" w:hAnsi="Arial"/>
                <w:b/>
                <w:bCs/>
                <w:color w:val="FFFFFF"/>
                <w:sz w:val="18"/>
                <w:szCs w:val="18"/>
              </w:rPr>
              <w:t xml:space="preserve">Owner</w:t>
            </w:r>
          </w:p>
        </w:tc>
      </w:tr>
      <w:tr>
        <w:tc>
          <w:tcPr>
            <w:tcW w:type="dxa" w:w="500"/>
            <w:tcMar>
              <w:top w:type="dxa" w:w="60"/>
              <w:left w:type="dxa" w:w="100"/>
              <w:bottom w:type="dxa" w:w="60"/>
              <w:right w:type="dxa" w:w="100"/>
            </w:tcMar>
          </w:tcPr>
          <w:p>
            <w:r>
              <w:rPr>
                <w:rFonts w:ascii="Arial" w:cs="Arial" w:eastAsia="Arial" w:hAnsi="Arial"/>
                <w:b w:val="false"/>
                <w:bCs w:val="false"/>
                <w:color w:val="000000"/>
                <w:sz w:val="18"/>
                <w:szCs w:val="18"/>
              </w:rPr>
              <w:t xml:space="preserve">1</w:t>
            </w:r>
          </w:p>
        </w:tc>
        <w:tc>
          <w:tcPr>
            <w:tcW w:type="dxa" w:w="4200"/>
            <w:tcMar>
              <w:top w:type="dxa" w:w="60"/>
              <w:left w:type="dxa" w:w="100"/>
              <w:bottom w:type="dxa" w:w="60"/>
              <w:right w:type="dxa" w:w="100"/>
            </w:tcMar>
          </w:tcPr>
          <w:p>
            <w:r>
              <w:rPr>
                <w:rFonts w:ascii="Arial" w:cs="Arial" w:eastAsia="Arial" w:hAnsi="Arial"/>
                <w:b w:val="false"/>
                <w:bCs w:val="false"/>
                <w:color w:val="000000"/>
                <w:sz w:val="18"/>
                <w:szCs w:val="18"/>
              </w:rPr>
              <w:t xml:space="preserve">2026 schedules loaded; OOU counts exact</w:t>
            </w:r>
          </w:p>
        </w:tc>
        <w:tc>
          <w:tcPr>
            <w:tcW w:type="dxa" w:w="3200"/>
            <w:tcMar>
              <w:top w:type="dxa" w:w="60"/>
              <w:left w:type="dxa" w:w="100"/>
              <w:bottom w:type="dxa" w:w="60"/>
              <w:right w:type="dxa" w:w="100"/>
            </w:tcMar>
          </w:tcPr>
          <w:p>
            <w:r>
              <w:rPr>
                <w:rFonts w:ascii="Arial" w:cs="Arial" w:eastAsia="Arial" w:hAnsi="Arial"/>
                <w:b w:val="false"/>
                <w:bCs w:val="false"/>
                <w:color w:val="000000"/>
                <w:sz w:val="18"/>
                <w:szCs w:val="18"/>
              </w:rPr>
              <w:t xml:space="preserve">OPEN — gating for price freeze</w:t>
            </w:r>
          </w:p>
        </w:tc>
        <w:tc>
          <w:tcPr>
            <w:tcW w:type="dxa" w:w="1820"/>
            <w:tcMar>
              <w:top w:type="dxa" w:w="60"/>
              <w:left w:type="dxa" w:w="100"/>
              <w:bottom w:type="dxa" w:w="60"/>
              <w:right w:type="dxa" w:w="100"/>
            </w:tcMar>
          </w:tcPr>
          <w:p>
            <w:r>
              <w:rPr>
                <w:rFonts w:ascii="Arial" w:cs="Arial" w:eastAsia="Arial" w:hAnsi="Arial"/>
                <w:b w:val="false"/>
                <w:bCs w:val="false"/>
                <w:color w:val="000000"/>
                <w:sz w:val="18"/>
                <w:szCs w:val="18"/>
              </w:rPr>
              <w:t xml:space="preserve">InPlay (data) / engine</w:t>
            </w:r>
          </w:p>
        </w:tc>
      </w:tr>
      <w:tr>
        <w:tc>
          <w:tcPr>
            <w:tcW w:type="dxa" w:w="500"/>
            <w:shd w:fill="F2F4F8" w:val="clear"/>
            <w:tcMar>
              <w:top w:type="dxa" w:w="60"/>
              <w:left w:type="dxa" w:w="100"/>
              <w:bottom w:type="dxa" w:w="60"/>
              <w:right w:type="dxa" w:w="100"/>
            </w:tcMar>
          </w:tcPr>
          <w:p>
            <w:r>
              <w:rPr>
                <w:rFonts w:ascii="Arial" w:cs="Arial" w:eastAsia="Arial" w:hAnsi="Arial"/>
                <w:b w:val="false"/>
                <w:bCs w:val="false"/>
                <w:color w:val="000000"/>
                <w:sz w:val="18"/>
                <w:szCs w:val="18"/>
              </w:rPr>
              <w:t xml:space="preserve">2</w:t>
            </w:r>
          </w:p>
        </w:tc>
        <w:tc>
          <w:tcPr>
            <w:tcW w:type="dxa" w:w="4200"/>
            <w:shd w:fill="F2F4F8" w:val="clear"/>
            <w:tcMar>
              <w:top w:type="dxa" w:w="60"/>
              <w:left w:type="dxa" w:w="100"/>
              <w:bottom w:type="dxa" w:w="60"/>
              <w:right w:type="dxa" w:w="100"/>
            </w:tcMar>
          </w:tcPr>
          <w:p>
            <w:r>
              <w:rPr>
                <w:rFonts w:ascii="Arial" w:cs="Arial" w:eastAsia="Arial" w:hAnsi="Arial"/>
                <w:b w:val="false"/>
                <w:bCs w:val="false"/>
                <w:color w:val="000000"/>
                <w:sz w:val="18"/>
                <w:szCs w:val="18"/>
              </w:rPr>
              <w:t xml:space="preserve">Consensus odds + power devig at freeze</w:t>
            </w:r>
          </w:p>
        </w:tc>
        <w:tc>
          <w:tcPr>
            <w:tcW w:type="dxa" w:w="3200"/>
            <w:shd w:fill="F2F4F8" w:val="clear"/>
            <w:tcMar>
              <w:top w:type="dxa" w:w="60"/>
              <w:left w:type="dxa" w:w="100"/>
              <w:bottom w:type="dxa" w:w="60"/>
              <w:right w:type="dxa" w:w="100"/>
            </w:tcMar>
          </w:tcPr>
          <w:p>
            <w:r>
              <w:rPr>
                <w:rFonts w:ascii="Arial" w:cs="Arial" w:eastAsia="Arial" w:hAnsi="Arial"/>
                <w:b w:val="false"/>
                <w:bCs w:val="false"/>
                <w:color w:val="000000"/>
                <w:sz w:val="18"/>
                <w:szCs w:val="18"/>
              </w:rPr>
              <w:t xml:space="preserve">RECOMMENDED</w:t>
            </w:r>
          </w:p>
        </w:tc>
        <w:tc>
          <w:tcPr>
            <w:tcW w:type="dxa" w:w="1820"/>
            <w:shd w:fill="F2F4F8" w:val="clear"/>
            <w:tcMar>
              <w:top w:type="dxa" w:w="60"/>
              <w:left w:type="dxa" w:w="100"/>
              <w:bottom w:type="dxa" w:w="60"/>
              <w:right w:type="dxa" w:w="100"/>
            </w:tcMar>
          </w:tcPr>
          <w:p>
            <w:r>
              <w:rPr>
                <w:rFonts w:ascii="Arial" w:cs="Arial" w:eastAsia="Arial" w:hAnsi="Arial"/>
                <w:b w:val="false"/>
                <w:bCs w:val="false"/>
                <w:color w:val="000000"/>
                <w:sz w:val="18"/>
                <w:szCs w:val="18"/>
              </w:rPr>
              <w:t xml:space="preserve">engine</w:t>
            </w:r>
          </w:p>
        </w:tc>
      </w:tr>
      <w:tr>
        <w:tc>
          <w:tcPr>
            <w:tcW w:type="dxa" w:w="500"/>
            <w:tcMar>
              <w:top w:type="dxa" w:w="60"/>
              <w:left w:type="dxa" w:w="100"/>
              <w:bottom w:type="dxa" w:w="60"/>
              <w:right w:type="dxa" w:w="100"/>
            </w:tcMar>
          </w:tcPr>
          <w:p>
            <w:r>
              <w:rPr>
                <w:rFonts w:ascii="Arial" w:cs="Arial" w:eastAsia="Arial" w:hAnsi="Arial"/>
                <w:b w:val="false"/>
                <w:bCs w:val="false"/>
                <w:color w:val="000000"/>
                <w:sz w:val="18"/>
                <w:szCs w:val="18"/>
              </w:rPr>
              <w:t xml:space="preserve">3</w:t>
            </w:r>
          </w:p>
        </w:tc>
        <w:tc>
          <w:tcPr>
            <w:tcW w:type="dxa" w:w="4200"/>
            <w:tcMar>
              <w:top w:type="dxa" w:w="60"/>
              <w:left w:type="dxa" w:w="100"/>
              <w:bottom w:type="dxa" w:w="60"/>
              <w:right w:type="dxa" w:w="100"/>
            </w:tcMar>
          </w:tcPr>
          <w:p>
            <w:r>
              <w:rPr>
                <w:rFonts w:ascii="Arial" w:cs="Arial" w:eastAsia="Arial" w:hAnsi="Arial"/>
                <w:b w:val="false"/>
                <w:bCs w:val="false"/>
                <w:color w:val="000000"/>
                <w:sz w:val="18"/>
                <w:szCs w:val="18"/>
              </w:rPr>
              <w:t xml:space="preserve">Freeze date (T-3 to T-5)</w:t>
            </w:r>
          </w:p>
        </w:tc>
        <w:tc>
          <w:tcPr>
            <w:tcW w:type="dxa" w:w="3200"/>
            <w:tcMar>
              <w:top w:type="dxa" w:w="60"/>
              <w:left w:type="dxa" w:w="100"/>
              <w:bottom w:type="dxa" w:w="60"/>
              <w:right w:type="dxa" w:w="100"/>
            </w:tcMar>
          </w:tcPr>
          <w:p>
            <w:r>
              <w:rPr>
                <w:rFonts w:ascii="Arial" w:cs="Arial" w:eastAsia="Arial" w:hAnsi="Arial"/>
                <w:b w:val="false"/>
                <w:bCs w:val="false"/>
                <w:color w:val="000000"/>
                <w:sz w:val="18"/>
                <w:szCs w:val="18"/>
              </w:rPr>
              <w:t xml:space="preserve">OPEN</w:t>
            </w:r>
          </w:p>
        </w:tc>
        <w:tc>
          <w:tcPr>
            <w:tcW w:type="dxa" w:w="1820"/>
            <w:tcMar>
              <w:top w:type="dxa" w:w="60"/>
              <w:left w:type="dxa" w:w="100"/>
              <w:bottom w:type="dxa" w:w="60"/>
              <w:right w:type="dxa" w:w="100"/>
            </w:tcMar>
          </w:tcPr>
          <w:p>
            <w:r>
              <w:rPr>
                <w:rFonts w:ascii="Arial" w:cs="Arial" w:eastAsia="Arial" w:hAnsi="Arial"/>
                <w:b w:val="false"/>
                <w:bCs w:val="false"/>
                <w:color w:val="000000"/>
                <w:sz w:val="18"/>
                <w:szCs w:val="18"/>
              </w:rPr>
              <w:t xml:space="preserve">InPlay</w:t>
            </w:r>
          </w:p>
        </w:tc>
      </w:tr>
      <w:tr>
        <w:tc>
          <w:tcPr>
            <w:tcW w:type="dxa" w:w="500"/>
            <w:shd w:fill="F2F4F8" w:val="clear"/>
            <w:tcMar>
              <w:top w:type="dxa" w:w="60"/>
              <w:left w:type="dxa" w:w="100"/>
              <w:bottom w:type="dxa" w:w="60"/>
              <w:right w:type="dxa" w:w="100"/>
            </w:tcMar>
          </w:tcPr>
          <w:p>
            <w:r>
              <w:rPr>
                <w:rFonts w:ascii="Arial" w:cs="Arial" w:eastAsia="Arial" w:hAnsi="Arial"/>
                <w:b w:val="false"/>
                <w:bCs w:val="false"/>
                <w:color w:val="000000"/>
                <w:sz w:val="18"/>
                <w:szCs w:val="18"/>
              </w:rPr>
              <w:t xml:space="preserve">4</w:t>
            </w:r>
          </w:p>
        </w:tc>
        <w:tc>
          <w:tcPr>
            <w:tcW w:type="dxa" w:w="4200"/>
            <w:shd w:fill="F2F4F8" w:val="clear"/>
            <w:tcMar>
              <w:top w:type="dxa" w:w="60"/>
              <w:left w:type="dxa" w:w="100"/>
              <w:bottom w:type="dxa" w:w="60"/>
              <w:right w:type="dxa" w:w="100"/>
            </w:tcMar>
          </w:tcPr>
          <w:p>
            <w:r>
              <w:rPr>
                <w:rFonts w:ascii="Arial" w:cs="Arial" w:eastAsia="Arial" w:hAnsi="Arial"/>
                <w:b w:val="false"/>
                <w:bCs w:val="false"/>
                <w:color w:val="000000"/>
                <w:sz w:val="18"/>
                <w:szCs w:val="18"/>
              </w:rPr>
              <w:t xml:space="preserve">Round-2+ ordering (reverse alternating)</w:t>
            </w:r>
          </w:p>
        </w:tc>
        <w:tc>
          <w:tcPr>
            <w:tcW w:type="dxa" w:w="3200"/>
            <w:shd w:fill="F2F4F8" w:val="clear"/>
            <w:tcMar>
              <w:top w:type="dxa" w:w="60"/>
              <w:left w:type="dxa" w:w="100"/>
              <w:bottom w:type="dxa" w:w="60"/>
              <w:right w:type="dxa" w:w="100"/>
            </w:tcMar>
          </w:tcPr>
          <w:p>
            <w:r>
              <w:rPr>
                <w:rFonts w:ascii="Arial" w:cs="Arial" w:eastAsia="Arial" w:hAnsi="Arial"/>
                <w:b w:val="false"/>
                <w:bCs w:val="false"/>
                <w:color w:val="000000"/>
                <w:sz w:val="18"/>
                <w:szCs w:val="18"/>
              </w:rPr>
              <w:t xml:space="preserve">DECIDED</w:t>
            </w:r>
          </w:p>
        </w:tc>
        <w:tc>
          <w:tcPr>
            <w:tcW w:type="dxa" w:w="1820"/>
            <w:shd w:fill="F2F4F8"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500"/>
            <w:tcMar>
              <w:top w:type="dxa" w:w="60"/>
              <w:left w:type="dxa" w:w="100"/>
              <w:bottom w:type="dxa" w:w="60"/>
              <w:right w:type="dxa" w:w="100"/>
            </w:tcMar>
          </w:tcPr>
          <w:p>
            <w:r>
              <w:rPr>
                <w:rFonts w:ascii="Arial" w:cs="Arial" w:eastAsia="Arial" w:hAnsi="Arial"/>
                <w:b w:val="false"/>
                <w:bCs w:val="false"/>
                <w:color w:val="000000"/>
                <w:sz w:val="18"/>
                <w:szCs w:val="18"/>
              </w:rPr>
              <w:t xml:space="preserve">5</w:t>
            </w:r>
          </w:p>
        </w:tc>
        <w:tc>
          <w:tcPr>
            <w:tcW w:type="dxa" w:w="4200"/>
            <w:tcMar>
              <w:top w:type="dxa" w:w="60"/>
              <w:left w:type="dxa" w:w="100"/>
              <w:bottom w:type="dxa" w:w="60"/>
              <w:right w:type="dxa" w:w="100"/>
            </w:tcMar>
          </w:tcPr>
          <w:p>
            <w:r>
              <w:rPr>
                <w:rFonts w:ascii="Arial" w:cs="Arial" w:eastAsia="Arial" w:hAnsi="Arial"/>
                <w:b w:val="false"/>
                <w:bCs w:val="false"/>
                <w:color w:val="000000"/>
                <w:sz w:val="18"/>
                <w:szCs w:val="18"/>
              </w:rPr>
              <w:t xml:space="preserve">Termination: 1% participant-fill threshold</w:t>
            </w:r>
          </w:p>
        </w:tc>
        <w:tc>
          <w:tcPr>
            <w:tcW w:type="dxa" w:w="3200"/>
            <w:tcMar>
              <w:top w:type="dxa" w:w="60"/>
              <w:left w:type="dxa" w:w="100"/>
              <w:bottom w:type="dxa" w:w="60"/>
              <w:right w:type="dxa" w:w="100"/>
            </w:tcMar>
          </w:tcPr>
          <w:p>
            <w:r>
              <w:rPr>
                <w:rFonts w:ascii="Arial" w:cs="Arial" w:eastAsia="Arial" w:hAnsi="Arial"/>
                <w:b w:val="false"/>
                <w:bCs w:val="false"/>
                <w:color w:val="000000"/>
                <w:sz w:val="18"/>
                <w:szCs w:val="18"/>
              </w:rPr>
              <w:t xml:space="preserve">DECIDED (MM fills excluded)</w:t>
            </w:r>
          </w:p>
        </w:tc>
        <w:tc>
          <w:tcPr>
            <w:tcW w:type="dxa" w:w="1820"/>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500"/>
            <w:shd w:fill="F2F4F8" w:val="clear"/>
            <w:tcMar>
              <w:top w:type="dxa" w:w="60"/>
              <w:left w:type="dxa" w:w="100"/>
              <w:bottom w:type="dxa" w:w="60"/>
              <w:right w:type="dxa" w:w="100"/>
            </w:tcMar>
          </w:tcPr>
          <w:p>
            <w:r>
              <w:rPr>
                <w:rFonts w:ascii="Arial" w:cs="Arial" w:eastAsia="Arial" w:hAnsi="Arial"/>
                <w:b w:val="false"/>
                <w:bCs w:val="false"/>
                <w:color w:val="000000"/>
                <w:sz w:val="18"/>
                <w:szCs w:val="18"/>
              </w:rPr>
              <w:t xml:space="preserve">6</w:t>
            </w:r>
          </w:p>
        </w:tc>
        <w:tc>
          <w:tcPr>
            <w:tcW w:type="dxa" w:w="4200"/>
            <w:shd w:fill="F2F4F8" w:val="clear"/>
            <w:tcMar>
              <w:top w:type="dxa" w:w="60"/>
              <w:left w:type="dxa" w:w="100"/>
              <w:bottom w:type="dxa" w:w="60"/>
              <w:right w:type="dxa" w:w="100"/>
            </w:tcMar>
          </w:tcPr>
          <w:p>
            <w:r>
              <w:rPr>
                <w:rFonts w:ascii="Arial" w:cs="Arial" w:eastAsia="Arial" w:hAnsi="Arial"/>
                <w:b w:val="false"/>
                <w:bCs w:val="false"/>
                <w:color w:val="000000"/>
                <w:sz w:val="18"/>
                <w:szCs w:val="18"/>
              </w:rPr>
              <w:t xml:space="preserve">Strict terminal float equalization on/off</w:t>
            </w:r>
          </w:p>
        </w:tc>
        <w:tc>
          <w:tcPr>
            <w:tcW w:type="dxa" w:w="3200"/>
            <w:shd w:fill="F2F4F8" w:val="clear"/>
            <w:tcMar>
              <w:top w:type="dxa" w:w="60"/>
              <w:left w:type="dxa" w:w="100"/>
              <w:bottom w:type="dxa" w:w="60"/>
              <w:right w:type="dxa" w:w="100"/>
            </w:tcMar>
          </w:tcPr>
          <w:p>
            <w:r>
              <w:rPr>
                <w:rFonts w:ascii="Arial" w:cs="Arial" w:eastAsia="Arial" w:hAnsi="Arial"/>
                <w:b w:val="false"/>
                <w:bCs w:val="false"/>
                <w:color w:val="000000"/>
                <w:sz w:val="18"/>
                <w:szCs w:val="18"/>
              </w:rPr>
              <w:t xml:space="preserve">OPEN</w:t>
            </w:r>
          </w:p>
        </w:tc>
        <w:tc>
          <w:tcPr>
            <w:tcW w:type="dxa" w:w="1820"/>
            <w:shd w:fill="F2F4F8" w:val="clear"/>
            <w:tcMar>
              <w:top w:type="dxa" w:w="60"/>
              <w:left w:type="dxa" w:w="100"/>
              <w:bottom w:type="dxa" w:w="60"/>
              <w:right w:type="dxa" w:w="100"/>
            </w:tcMar>
          </w:tcPr>
          <w:p>
            <w:r>
              <w:rPr>
                <w:rFonts w:ascii="Arial" w:cs="Arial" w:eastAsia="Arial" w:hAnsi="Arial"/>
                <w:b w:val="false"/>
                <w:bCs w:val="false"/>
                <w:color w:val="000000"/>
                <w:sz w:val="18"/>
                <w:szCs w:val="18"/>
              </w:rPr>
              <w:t xml:space="preserve">InPlay</w:t>
            </w:r>
          </w:p>
        </w:tc>
      </w:tr>
      <w:tr>
        <w:tc>
          <w:tcPr>
            <w:tcW w:type="dxa" w:w="500"/>
            <w:tcMar>
              <w:top w:type="dxa" w:w="60"/>
              <w:left w:type="dxa" w:w="100"/>
              <w:bottom w:type="dxa" w:w="60"/>
              <w:right w:type="dxa" w:w="100"/>
            </w:tcMar>
          </w:tcPr>
          <w:p>
            <w:r>
              <w:rPr>
                <w:rFonts w:ascii="Arial" w:cs="Arial" w:eastAsia="Arial" w:hAnsi="Arial"/>
                <w:b w:val="false"/>
                <w:bCs w:val="false"/>
                <w:color w:val="000000"/>
                <w:sz w:val="18"/>
                <w:szCs w:val="18"/>
              </w:rPr>
              <w:t xml:space="preserve">7</w:t>
            </w:r>
          </w:p>
        </w:tc>
        <w:tc>
          <w:tcPr>
            <w:tcW w:type="dxa" w:w="4200"/>
            <w:tcMar>
              <w:top w:type="dxa" w:w="60"/>
              <w:left w:type="dxa" w:w="100"/>
              <w:bottom w:type="dxa" w:w="60"/>
              <w:right w:type="dxa" w:w="100"/>
            </w:tcMar>
          </w:tcPr>
          <w:p>
            <w:r>
              <w:rPr>
                <w:rFonts w:ascii="Arial" w:cs="Arial" w:eastAsia="Arial" w:hAnsi="Arial"/>
                <w:b w:val="false"/>
                <w:bCs w:val="false"/>
                <w:color w:val="000000"/>
                <w:sz w:val="18"/>
                <w:szCs w:val="18"/>
              </w:rPr>
              <w:t xml:space="preserve">Pro-rata allocation rule</w:t>
            </w:r>
          </w:p>
        </w:tc>
        <w:tc>
          <w:tcPr>
            <w:tcW w:type="dxa" w:w="3200"/>
            <w:tcMar>
              <w:top w:type="dxa" w:w="60"/>
              <w:left w:type="dxa" w:w="100"/>
              <w:bottom w:type="dxa" w:w="60"/>
              <w:right w:type="dxa" w:w="100"/>
            </w:tcMar>
          </w:tcPr>
          <w:p>
            <w:r>
              <w:rPr>
                <w:rFonts w:ascii="Arial" w:cs="Arial" w:eastAsia="Arial" w:hAnsi="Arial"/>
                <w:b w:val="false"/>
                <w:bCs w:val="false"/>
                <w:color w:val="000000"/>
                <w:sz w:val="18"/>
                <w:szCs w:val="18"/>
              </w:rPr>
              <w:t xml:space="preserve">OPEN</w:t>
            </w:r>
          </w:p>
        </w:tc>
        <w:tc>
          <w:tcPr>
            <w:tcW w:type="dxa" w:w="1820"/>
            <w:tcMar>
              <w:top w:type="dxa" w:w="60"/>
              <w:left w:type="dxa" w:w="100"/>
              <w:bottom w:type="dxa" w:w="60"/>
              <w:right w:type="dxa" w:w="100"/>
            </w:tcMar>
          </w:tcPr>
          <w:p>
            <w:r>
              <w:rPr>
                <w:rFonts w:ascii="Arial" w:cs="Arial" w:eastAsia="Arial" w:hAnsi="Arial"/>
                <w:b w:val="false"/>
                <w:bCs w:val="false"/>
                <w:color w:val="000000"/>
                <w:sz w:val="18"/>
                <w:szCs w:val="18"/>
              </w:rPr>
              <w:t xml:space="preserve">InPlay</w:t>
            </w:r>
          </w:p>
        </w:tc>
      </w:tr>
      <w:tr>
        <w:tc>
          <w:tcPr>
            <w:tcW w:type="dxa" w:w="500"/>
            <w:shd w:fill="F2F4F8" w:val="clear"/>
            <w:tcMar>
              <w:top w:type="dxa" w:w="60"/>
              <w:left w:type="dxa" w:w="100"/>
              <w:bottom w:type="dxa" w:w="60"/>
              <w:right w:type="dxa" w:w="100"/>
            </w:tcMar>
          </w:tcPr>
          <w:p>
            <w:r>
              <w:rPr>
                <w:rFonts w:ascii="Arial" w:cs="Arial" w:eastAsia="Arial" w:hAnsi="Arial"/>
                <w:b w:val="false"/>
                <w:bCs w:val="false"/>
                <w:color w:val="000000"/>
                <w:sz w:val="18"/>
                <w:szCs w:val="18"/>
              </w:rPr>
              <w:t xml:space="preserve">8</w:t>
            </w:r>
          </w:p>
        </w:tc>
        <w:tc>
          <w:tcPr>
            <w:tcW w:type="dxa" w:w="4200"/>
            <w:shd w:fill="F2F4F8" w:val="clear"/>
            <w:tcMar>
              <w:top w:type="dxa" w:w="60"/>
              <w:left w:type="dxa" w:w="100"/>
              <w:bottom w:type="dxa" w:w="60"/>
              <w:right w:type="dxa" w:w="100"/>
            </w:tcMar>
          </w:tcPr>
          <w:p>
            <w:r>
              <w:rPr>
                <w:rFonts w:ascii="Arial" w:cs="Arial" w:eastAsia="Arial" w:hAnsi="Arial"/>
                <w:b w:val="false"/>
                <w:bCs w:val="false"/>
                <w:color w:val="000000"/>
                <w:sz w:val="18"/>
                <w:szCs w:val="18"/>
              </w:rPr>
              <w:t xml:space="preserve">Per-participant cap (2,500/team/round)</w:t>
            </w:r>
          </w:p>
        </w:tc>
        <w:tc>
          <w:tcPr>
            <w:tcW w:type="dxa" w:w="3200"/>
            <w:shd w:fill="F2F4F8" w:val="clear"/>
            <w:tcMar>
              <w:top w:type="dxa" w:w="60"/>
              <w:left w:type="dxa" w:w="100"/>
              <w:bottom w:type="dxa" w:w="60"/>
              <w:right w:type="dxa" w:w="100"/>
            </w:tcMar>
          </w:tcPr>
          <w:p>
            <w:r>
              <w:rPr>
                <w:rFonts w:ascii="Arial" w:cs="Arial" w:eastAsia="Arial" w:hAnsi="Arial"/>
                <w:b w:val="false"/>
                <w:bCs w:val="false"/>
                <w:color w:val="000000"/>
                <w:sz w:val="18"/>
                <w:szCs w:val="18"/>
              </w:rPr>
              <w:t xml:space="preserve">OPEN</w:t>
            </w:r>
          </w:p>
        </w:tc>
        <w:tc>
          <w:tcPr>
            <w:tcW w:type="dxa" w:w="1820"/>
            <w:shd w:fill="F2F4F8" w:val="clear"/>
            <w:tcMar>
              <w:top w:type="dxa" w:w="60"/>
              <w:left w:type="dxa" w:w="100"/>
              <w:bottom w:type="dxa" w:w="60"/>
              <w:right w:type="dxa" w:w="100"/>
            </w:tcMar>
          </w:tcPr>
          <w:p>
            <w:r>
              <w:rPr>
                <w:rFonts w:ascii="Arial" w:cs="Arial" w:eastAsia="Arial" w:hAnsi="Arial"/>
                <w:b w:val="false"/>
                <w:bCs w:val="false"/>
                <w:color w:val="000000"/>
                <w:sz w:val="18"/>
                <w:szCs w:val="18"/>
              </w:rPr>
              <w:t xml:space="preserve">InPlay</w:t>
            </w:r>
          </w:p>
        </w:tc>
      </w:tr>
      <w:tr>
        <w:tc>
          <w:tcPr>
            <w:tcW w:type="dxa" w:w="500"/>
            <w:tcMar>
              <w:top w:type="dxa" w:w="60"/>
              <w:left w:type="dxa" w:w="100"/>
              <w:bottom w:type="dxa" w:w="60"/>
              <w:right w:type="dxa" w:w="100"/>
            </w:tcMar>
          </w:tcPr>
          <w:p>
            <w:r>
              <w:rPr>
                <w:rFonts w:ascii="Arial" w:cs="Arial" w:eastAsia="Arial" w:hAnsi="Arial"/>
                <w:b w:val="false"/>
                <w:bCs w:val="false"/>
                <w:color w:val="000000"/>
                <w:sz w:val="18"/>
                <w:szCs w:val="18"/>
              </w:rPr>
              <w:t xml:space="preserve">9</w:t>
            </w:r>
          </w:p>
        </w:tc>
        <w:tc>
          <w:tcPr>
            <w:tcW w:type="dxa" w:w="4200"/>
            <w:tcMar>
              <w:top w:type="dxa" w:w="60"/>
              <w:left w:type="dxa" w:w="100"/>
              <w:bottom w:type="dxa" w:w="60"/>
              <w:right w:type="dxa" w:w="100"/>
            </w:tcMar>
          </w:tcPr>
          <w:p>
            <w:r>
              <w:rPr>
                <w:rFonts w:ascii="Arial" w:cs="Arial" w:eastAsia="Arial" w:hAnsi="Arial"/>
                <w:b w:val="false"/>
                <w:bCs w:val="false"/>
                <w:color w:val="000000"/>
                <w:sz w:val="18"/>
                <w:szCs w:val="18"/>
              </w:rPr>
              <w:t xml:space="preserve">MM residual buying vs. v1.3 inventory limits reconciliation</w:t>
            </w:r>
          </w:p>
        </w:tc>
        <w:tc>
          <w:tcPr>
            <w:tcW w:type="dxa" w:w="3200"/>
            <w:tcMar>
              <w:top w:type="dxa" w:w="60"/>
              <w:left w:type="dxa" w:w="100"/>
              <w:bottom w:type="dxa" w:w="60"/>
              <w:right w:type="dxa" w:w="100"/>
            </w:tcMar>
          </w:tcPr>
          <w:p>
            <w:r>
              <w:rPr>
                <w:rFonts w:ascii="Arial" w:cs="Arial" w:eastAsia="Arial" w:hAnsi="Arial"/>
                <w:b w:val="false"/>
                <w:bCs w:val="false"/>
                <w:color w:val="000000"/>
                <w:sz w:val="18"/>
                <w:szCs w:val="18"/>
              </w:rPr>
              <w:t xml:space="preserve">OPEN</w:t>
            </w:r>
          </w:p>
        </w:tc>
        <w:tc>
          <w:tcPr>
            <w:tcW w:type="dxa" w:w="1820"/>
            <w:tcMar>
              <w:top w:type="dxa" w:w="60"/>
              <w:left w:type="dxa" w:w="100"/>
              <w:bottom w:type="dxa" w:w="60"/>
              <w:right w:type="dxa" w:w="100"/>
            </w:tcMar>
          </w:tcPr>
          <w:p>
            <w:r>
              <w:rPr>
                <w:rFonts w:ascii="Arial" w:cs="Arial" w:eastAsia="Arial" w:hAnsi="Arial"/>
                <w:b w:val="false"/>
                <w:bCs w:val="false"/>
                <w:color w:val="000000"/>
                <w:sz w:val="18"/>
                <w:szCs w:val="18"/>
              </w:rPr>
              <w:t xml:space="preserve">InPlay / Novosapien</w:t>
            </w:r>
          </w:p>
        </w:tc>
      </w:tr>
      <w:tr>
        <w:tc>
          <w:tcPr>
            <w:tcW w:type="dxa" w:w="500"/>
            <w:shd w:fill="F2F4F8" w:val="clear"/>
            <w:tcMar>
              <w:top w:type="dxa" w:w="60"/>
              <w:left w:type="dxa" w:w="100"/>
              <w:bottom w:type="dxa" w:w="60"/>
              <w:right w:type="dxa" w:w="100"/>
            </w:tcMar>
          </w:tcPr>
          <w:p>
            <w:r>
              <w:rPr>
                <w:rFonts w:ascii="Arial" w:cs="Arial" w:eastAsia="Arial" w:hAnsi="Arial"/>
                <w:b w:val="false"/>
                <w:bCs w:val="false"/>
                <w:color w:val="000000"/>
                <w:sz w:val="18"/>
                <w:szCs w:val="18"/>
              </w:rPr>
              <w:t xml:space="preserve">10</w:t>
            </w:r>
          </w:p>
        </w:tc>
        <w:tc>
          <w:tcPr>
            <w:tcW w:type="dxa" w:w="4200"/>
            <w:shd w:fill="F2F4F8" w:val="clear"/>
            <w:tcMar>
              <w:top w:type="dxa" w:w="60"/>
              <w:left w:type="dxa" w:w="100"/>
              <w:bottom w:type="dxa" w:w="60"/>
              <w:right w:type="dxa" w:w="100"/>
            </w:tcMar>
          </w:tcPr>
          <w:p>
            <w:r>
              <w:rPr>
                <w:rFonts w:ascii="Arial" w:cs="Arial" w:eastAsia="Arial" w:hAnsi="Arial"/>
                <w:b w:val="false"/>
                <w:bCs w:val="false"/>
                <w:color w:val="000000"/>
                <w:sz w:val="18"/>
                <w:szCs w:val="18"/>
              </w:rPr>
              <w:t xml:space="preserve">RP seeding: EV vs listed price</w:t>
            </w:r>
          </w:p>
        </w:tc>
        <w:tc>
          <w:tcPr>
            <w:tcW w:type="dxa" w:w="3200"/>
            <w:shd w:fill="F2F4F8" w:val="clear"/>
            <w:tcMar>
              <w:top w:type="dxa" w:w="60"/>
              <w:left w:type="dxa" w:w="100"/>
              <w:bottom w:type="dxa" w:w="60"/>
              <w:right w:type="dxa" w:w="100"/>
            </w:tcMar>
          </w:tcPr>
          <w:p>
            <w:r>
              <w:rPr>
                <w:rFonts w:ascii="Arial" w:cs="Arial" w:eastAsia="Arial" w:hAnsi="Arial"/>
                <w:b w:val="false"/>
                <w:bCs w:val="false"/>
                <w:color w:val="000000"/>
                <w:sz w:val="18"/>
                <w:szCs w:val="18"/>
              </w:rPr>
              <w:t xml:space="preserve">OPEN</w:t>
            </w:r>
          </w:p>
        </w:tc>
        <w:tc>
          <w:tcPr>
            <w:tcW w:type="dxa" w:w="1820"/>
            <w:shd w:fill="F2F4F8" w:val="clear"/>
            <w:tcMar>
              <w:top w:type="dxa" w:w="60"/>
              <w:left w:type="dxa" w:w="100"/>
              <w:bottom w:type="dxa" w:w="60"/>
              <w:right w:type="dxa" w:w="100"/>
            </w:tcMar>
          </w:tcPr>
          <w:p>
            <w:r>
              <w:rPr>
                <w:rFonts w:ascii="Arial" w:cs="Arial" w:eastAsia="Arial" w:hAnsi="Arial"/>
                <w:b w:val="false"/>
                <w:bCs w:val="false"/>
                <w:color w:val="000000"/>
                <w:sz w:val="18"/>
                <w:szCs w:val="18"/>
              </w:rPr>
              <w:t xml:space="preserve">InPlay / Novosapien</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Confidential — InPlay Global | Consolidated Novosapien Build Specification, Supplement A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720"/>
      </w:tabs>
    </w:pPr>
    <w:r>
      <w:rPr>
        <w:rFonts w:ascii="Arial" w:cs="Arial" w:eastAsia="Arial" w:hAnsi="Arial"/>
        <w:b/>
        <w:bCs/>
        <w:color w:val="F47C20"/>
        <w:sz w:val="22"/>
        <w:szCs w:val="22"/>
      </w:rPr>
      <w:t xml:space="preserve">inplay</w:t>
    </w:r>
    <w:r>
      <w:rPr>
        <w:rFonts w:ascii="Arial" w:cs="Arial" w:eastAsia="Arial" w:hAnsi="Arial"/>
        <w:b/>
        <w:bCs/>
        <w:color w:val="1B2A4A"/>
        <w:sz w:val="18"/>
        <w:szCs w:val="18"/>
      </w:rPr>
      <w:t xml:space="preserve"> GLOBAL</w:t>
    </w:r>
    <w:r>
      <w:rPr>
        <w:rFonts w:ascii="Arial" w:cs="Arial" w:eastAsia="Arial" w:hAnsi="Arial"/>
        <w:color w:val="666666"/>
        <w:sz w:val="16"/>
        <w:szCs w:val="16"/>
      </w:rPr>
      <w:t xml:space="preserve">	IPO Pricing &amp; Subscription Supplement —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2026-07-24T16:49:40.455Z</dcterms:created>
  <dcterms:modified xsi:type="dcterms:W3CDTF">2026-07-24T16:49:40.480Z</dcterms:modified>
</cp:coreProperties>
</file>

<file path=docProps/custom.xml><?xml version="1.0" encoding="utf-8"?>
<Properties xmlns="http://schemas.openxmlformats.org/officeDocument/2006/custom-properties" xmlns:vt="http://schemas.openxmlformats.org/officeDocument/2006/docPropsVTypes"/>
</file>