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5FBCB0" w14:textId="77777777" w:rsidR="00C67A8F" w:rsidRDefault="00C67A8F" w:rsidP="00844363">
      <w:r>
        <w:rPr>
          <w:noProof/>
        </w:rPr>
        <w:drawing>
          <wp:anchor distT="0" distB="0" distL="114300" distR="114300" simplePos="0" relativeHeight="251658240" behindDoc="1" locked="0" layoutInCell="1" allowOverlap="1" wp14:anchorId="5D5431EE" wp14:editId="2D558BF0">
            <wp:simplePos x="0" y="0"/>
            <wp:positionH relativeFrom="column">
              <wp:posOffset>-923925</wp:posOffset>
            </wp:positionH>
            <wp:positionV relativeFrom="paragraph">
              <wp:posOffset>-878678</wp:posOffset>
            </wp:positionV>
            <wp:extent cx="7629525" cy="10782300"/>
            <wp:effectExtent l="0" t="0" r="3175" b="0"/>
            <wp:wrapNone/>
            <wp:docPr id="6019130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913058" name="Picture 601913058"/>
                    <pic:cNvPicPr/>
                  </pic:nvPicPr>
                  <pic:blipFill>
                    <a:blip r:embed="rId10">
                      <a:extLst>
                        <a:ext uri="{28A0092B-C50C-407E-A947-70E740481C1C}">
                          <a14:useLocalDpi xmlns:a14="http://schemas.microsoft.com/office/drawing/2010/main"/>
                        </a:ext>
                      </a:extLst>
                    </a:blip>
                    <a:stretch>
                      <a:fillRect/>
                    </a:stretch>
                  </pic:blipFill>
                  <pic:spPr>
                    <a:xfrm>
                      <a:off x="0" y="0"/>
                      <a:ext cx="7629525" cy="1078230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1" behindDoc="1" locked="0" layoutInCell="1" allowOverlap="1" wp14:anchorId="53DA7029" wp14:editId="76E64D42">
            <wp:simplePos x="0" y="0"/>
            <wp:positionH relativeFrom="column">
              <wp:posOffset>-923925</wp:posOffset>
            </wp:positionH>
            <wp:positionV relativeFrom="paragraph">
              <wp:posOffset>-921385</wp:posOffset>
            </wp:positionV>
            <wp:extent cx="3819525" cy="10715625"/>
            <wp:effectExtent l="0" t="0" r="3175" b="3175"/>
            <wp:wrapNone/>
            <wp:docPr id="21072260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226016" name="Picture 2107226016"/>
                    <pic:cNvPicPr/>
                  </pic:nvPicPr>
                  <pic:blipFill>
                    <a:blip r:embed="rId11">
                      <a:extLst>
                        <a:ext uri="{28A0092B-C50C-407E-A947-70E740481C1C}">
                          <a14:useLocalDpi xmlns:a14="http://schemas.microsoft.com/office/drawing/2010/main"/>
                        </a:ext>
                      </a:extLst>
                    </a:blip>
                    <a:stretch>
                      <a:fillRect/>
                    </a:stretch>
                  </pic:blipFill>
                  <pic:spPr>
                    <a:xfrm>
                      <a:off x="0" y="0"/>
                      <a:ext cx="3819525" cy="10715625"/>
                    </a:xfrm>
                    <a:prstGeom prst="rect">
                      <a:avLst/>
                    </a:prstGeom>
                  </pic:spPr>
                </pic:pic>
              </a:graphicData>
            </a:graphic>
            <wp14:sizeRelH relativeFrom="page">
              <wp14:pctWidth>0</wp14:pctWidth>
            </wp14:sizeRelH>
            <wp14:sizeRelV relativeFrom="page">
              <wp14:pctHeight>0</wp14:pctHeight>
            </wp14:sizeRelV>
          </wp:anchor>
        </w:drawing>
      </w:r>
    </w:p>
    <w:p w14:paraId="64D67836" w14:textId="77777777" w:rsidR="00C67A8F" w:rsidRDefault="00C67A8F" w:rsidP="00844363"/>
    <w:p w14:paraId="12CEAC60" w14:textId="77777777" w:rsidR="00C67A8F" w:rsidRDefault="00C67A8F" w:rsidP="00844363">
      <w:r>
        <w:rPr>
          <w:noProof/>
        </w:rPr>
        <mc:AlternateContent>
          <mc:Choice Requires="wps">
            <w:drawing>
              <wp:anchor distT="0" distB="0" distL="114300" distR="114300" simplePos="0" relativeHeight="251658244" behindDoc="0" locked="0" layoutInCell="1" allowOverlap="1" wp14:anchorId="5A0864EC" wp14:editId="760B9E5C">
                <wp:simplePos x="0" y="0"/>
                <wp:positionH relativeFrom="column">
                  <wp:posOffset>-328295</wp:posOffset>
                </wp:positionH>
                <wp:positionV relativeFrom="paragraph">
                  <wp:posOffset>5350086</wp:posOffset>
                </wp:positionV>
                <wp:extent cx="2531745" cy="551180"/>
                <wp:effectExtent l="0" t="0" r="0" b="0"/>
                <wp:wrapNone/>
                <wp:docPr id="547667310" name="TextBox 10"/>
                <wp:cNvGraphicFramePr/>
                <a:graphic xmlns:a="http://schemas.openxmlformats.org/drawingml/2006/main">
                  <a:graphicData uri="http://schemas.microsoft.com/office/word/2010/wordprocessingShape">
                    <wps:wsp>
                      <wps:cNvSpPr txBox="1"/>
                      <wps:spPr>
                        <a:xfrm>
                          <a:off x="0" y="0"/>
                          <a:ext cx="2531745" cy="551180"/>
                        </a:xfrm>
                        <a:prstGeom prst="rect">
                          <a:avLst/>
                        </a:prstGeom>
                      </wps:spPr>
                      <wps:txbx>
                        <w:txbxContent>
                          <w:p w14:paraId="75041FB3" w14:textId="77777777" w:rsidR="00C67A8F" w:rsidRPr="00143D76" w:rsidRDefault="00C67A8F" w:rsidP="00F1372D">
                            <w:pPr>
                              <w:spacing w:after="0"/>
                              <w:rPr>
                                <w:rFonts w:ascii="Open Sans" w:eastAsia="Roboto" w:hAnsi="Open Sans" w:cs="Open Sans"/>
                                <w:color w:val="FFFFFF"/>
                                <w:kern w:val="24"/>
                              </w:rPr>
                            </w:pPr>
                            <w:r w:rsidRPr="00143D76">
                              <w:rPr>
                                <w:rFonts w:ascii="Open Sans" w:eastAsia="Roboto" w:hAnsi="Open Sans" w:cs="Open Sans"/>
                                <w:color w:val="FFFFFF"/>
                                <w:kern w:val="24"/>
                              </w:rPr>
                              <w:t>Version: 1.0</w:t>
                            </w:r>
                          </w:p>
                          <w:p w14:paraId="3A410EBD" w14:textId="77777777" w:rsidR="00C67A8F" w:rsidRPr="00143D76" w:rsidRDefault="00C67A8F" w:rsidP="00F1372D">
                            <w:pPr>
                              <w:spacing w:after="0"/>
                              <w:rPr>
                                <w:rFonts w:ascii="Open Sans" w:eastAsia="Roboto" w:hAnsi="Open Sans" w:cs="Open Sans"/>
                                <w:color w:val="FFFFFF"/>
                                <w:kern w:val="24"/>
                              </w:rPr>
                            </w:pPr>
                            <w:r w:rsidRPr="00143D76">
                              <w:rPr>
                                <w:rFonts w:ascii="Open Sans" w:eastAsia="Roboto" w:hAnsi="Open Sans" w:cs="Open Sans"/>
                                <w:color w:val="FFFFFF"/>
                                <w:kern w:val="24"/>
                              </w:rPr>
                              <w:t>Author: I. Johnson</w:t>
                            </w:r>
                          </w:p>
                          <w:p w14:paraId="6CDF341C" w14:textId="77777777" w:rsidR="00C67A8F" w:rsidRPr="00143D76" w:rsidRDefault="00C67A8F" w:rsidP="00F1372D">
                            <w:pPr>
                              <w:spacing w:after="0"/>
                              <w:rPr>
                                <w:rFonts w:ascii="Open Sans" w:eastAsia="Roboto" w:hAnsi="Open Sans" w:cs="Open Sans"/>
                                <w:color w:val="FFFFFF"/>
                                <w:kern w:val="24"/>
                              </w:rPr>
                            </w:pPr>
                            <w:r w:rsidRPr="00143D76">
                              <w:rPr>
                                <w:rFonts w:ascii="Open Sans" w:eastAsia="Roboto" w:hAnsi="Open Sans" w:cs="Open Sans"/>
                                <w:color w:val="FFFFFF"/>
                                <w:kern w:val="24"/>
                              </w:rPr>
                              <w:t>Date: 20 May 2026</w:t>
                            </w:r>
                          </w:p>
                        </w:txbxContent>
                      </wps:txbx>
                      <wps:bodyPr lIns="0" tIns="0" rIns="0" bIns="0" rtlCol="0" anchor="t">
                        <a:spAutoFit/>
                      </wps:bodyPr>
                    </wps:wsp>
                  </a:graphicData>
                </a:graphic>
              </wp:anchor>
            </w:drawing>
          </mc:Choice>
          <mc:Fallback>
            <w:pict>
              <v:shapetype w14:anchorId="5A0864EC" id="_x0000_t202" coordsize="21600,21600" o:spt="202" path="m,l,21600r21600,l21600,xe">
                <v:stroke joinstyle="miter"/>
                <v:path gradientshapeok="t" o:connecttype="rect"/>
              </v:shapetype>
              <v:shape id="TextBox 10" o:spid="_x0000_s1026" type="#_x0000_t202" style="position:absolute;margin-left:-25.85pt;margin-top:421.25pt;width:199.35pt;height:43.4pt;z-index:2516582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" filled="f" stroked="f">
                <v:textbox style="mso-fit-shape-to-text:t" inset="0,0,0,0">
                  <w:txbxContent>
                    <w:p w14:paraId="75041FB3" w14:textId="77777777" w:rsidR="00C67A8F" w:rsidRPr="00143D76" w:rsidRDefault="00C67A8F" w:rsidP="00F1372D">
                      <w:pPr>
                        <w:spacing w:after="0"/>
                        <w:rPr>
                          <w:rFonts w:ascii="Open Sans" w:eastAsia="Roboto" w:hAnsi="Open Sans" w:cs="Open Sans"/>
                          <w:color w:val="FFFFFF"/>
                          <w:kern w:val="24"/>
                        </w:rPr>
                      </w:pPr>
                      <w:r w:rsidRPr="00143D76">
                        <w:rPr>
                          <w:rFonts w:ascii="Open Sans" w:eastAsia="Roboto" w:hAnsi="Open Sans" w:cs="Open Sans"/>
                          <w:color w:val="FFFFFF"/>
                          <w:kern w:val="24"/>
                        </w:rPr>
                        <w:t xml:space="preserve">Version: </w:t>
                      </w:r>
                      <w:r w:rsidRPr="00143D76">
                        <w:rPr>
                          <w:rFonts w:ascii="Open Sans" w:eastAsia="Roboto" w:hAnsi="Open Sans" w:cs="Open Sans"/>
                          <w:color w:val="FFFFFF"/>
                          <w:kern w:val="24"/>
                        </w:rPr>
                        <w:t>1.0</w:t>
                      </w:r>
                    </w:p>
                    <w:p w14:paraId="3A410EBD" w14:textId="77777777" w:rsidR="00C67A8F" w:rsidRPr="00143D76" w:rsidRDefault="00C67A8F" w:rsidP="00F1372D">
                      <w:pPr>
                        <w:spacing w:after="0"/>
                        <w:rPr>
                          <w:rFonts w:ascii="Open Sans" w:eastAsia="Roboto" w:hAnsi="Open Sans" w:cs="Open Sans"/>
                          <w:color w:val="FFFFFF"/>
                          <w:kern w:val="24"/>
                        </w:rPr>
                      </w:pPr>
                      <w:r w:rsidRPr="00143D76">
                        <w:rPr>
                          <w:rFonts w:ascii="Open Sans" w:eastAsia="Roboto" w:hAnsi="Open Sans" w:cs="Open Sans"/>
                          <w:color w:val="FFFFFF"/>
                          <w:kern w:val="24"/>
                        </w:rPr>
                        <w:t>Author</w:t>
                      </w:r>
                      <w:r w:rsidRPr="00143D76">
                        <w:rPr>
                          <w:rFonts w:ascii="Open Sans" w:eastAsia="Roboto" w:hAnsi="Open Sans" w:cs="Open Sans"/>
                          <w:color w:val="FFFFFF"/>
                          <w:kern w:val="24"/>
                        </w:rPr>
                        <w:t>: I. Johnson</w:t>
                      </w:r>
                    </w:p>
                    <w:p w14:paraId="6CDF341C" w14:textId="77777777" w:rsidR="00C67A8F" w:rsidRPr="00143D76" w:rsidRDefault="00C67A8F" w:rsidP="00F1372D">
                      <w:pPr>
                        <w:spacing w:after="0"/>
                        <w:rPr>
                          <w:rFonts w:ascii="Open Sans" w:eastAsia="Roboto" w:hAnsi="Open Sans" w:cs="Open Sans"/>
                          <w:color w:val="FFFFFF"/>
                          <w:kern w:val="24"/>
                        </w:rPr>
                      </w:pPr>
                      <w:r w:rsidRPr="00143D76">
                        <w:rPr>
                          <w:rFonts w:ascii="Open Sans" w:eastAsia="Roboto" w:hAnsi="Open Sans" w:cs="Open Sans"/>
                          <w:color w:val="FFFFFF"/>
                          <w:kern w:val="24"/>
                        </w:rPr>
                        <w:t>Date: 20 May 2026</w:t>
                      </w:r>
                    </w:p>
                  </w:txbxContent>
                </v:textbox>
              </v:shape>
            </w:pict>
          </mc:Fallback>
        </mc:AlternateContent>
      </w:r>
      <w:r>
        <w:rPr>
          <w:noProof/>
        </w:rPr>
        <w:drawing>
          <wp:anchor distT="0" distB="0" distL="114300" distR="114300" simplePos="0" relativeHeight="251658242" behindDoc="0" locked="0" layoutInCell="1" allowOverlap="1" wp14:anchorId="7E9BADED" wp14:editId="3417CB81">
            <wp:simplePos x="0" y="0"/>
            <wp:positionH relativeFrom="column">
              <wp:posOffset>-500280</wp:posOffset>
            </wp:positionH>
            <wp:positionV relativeFrom="paragraph">
              <wp:posOffset>1050758</wp:posOffset>
            </wp:positionV>
            <wp:extent cx="1578543" cy="1123683"/>
            <wp:effectExtent l="0" t="0" r="0" b="0"/>
            <wp:wrapNone/>
            <wp:docPr id="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phic 1"/>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578543" cy="1123683"/>
                    </a:xfrm>
                    <a:prstGeom prst="rect">
                      <a:avLst/>
                    </a:prstGeom>
                  </pic:spPr>
                </pic:pic>
              </a:graphicData>
            </a:graphic>
            <wp14:sizeRelH relativeFrom="margin">
              <wp14:pctWidth>0</wp14:pctWidth>
            </wp14:sizeRelH>
            <wp14:sizeRelV relativeFrom="margin">
              <wp14:pctHeight>0</wp14:pctHeight>
            </wp14:sizeRelV>
          </wp:anchor>
        </w:drawing>
      </w:r>
    </w:p>
    <w:p w14:paraId="1DB7A2EA" w14:textId="77777777" w:rsidR="00C67A8F" w:rsidRDefault="00C67A8F" w:rsidP="00844363">
      <w:r>
        <w:rPr>
          <w:noProof/>
        </w:rPr>
        <mc:AlternateContent>
          <mc:Choice Requires="wps">
            <w:drawing>
              <wp:anchor distT="0" distB="0" distL="114300" distR="114300" simplePos="0" relativeHeight="251658243" behindDoc="0" locked="0" layoutInCell="1" allowOverlap="1" wp14:anchorId="0708A9A8" wp14:editId="372E3F99">
                <wp:simplePos x="0" y="0"/>
                <wp:positionH relativeFrom="column">
                  <wp:posOffset>-328295</wp:posOffset>
                </wp:positionH>
                <wp:positionV relativeFrom="paragraph">
                  <wp:posOffset>4105487</wp:posOffset>
                </wp:positionV>
                <wp:extent cx="2531745" cy="604519"/>
                <wp:effectExtent l="0" t="0" r="0" b="0"/>
                <wp:wrapNone/>
                <wp:docPr id="10" name="TextBox 10"/>
                <wp:cNvGraphicFramePr/>
                <a:graphic xmlns:a="http://schemas.openxmlformats.org/drawingml/2006/main">
                  <a:graphicData uri="http://schemas.microsoft.com/office/word/2010/wordprocessingShape">
                    <wps:wsp>
                      <wps:cNvSpPr txBox="1"/>
                      <wps:spPr>
                        <a:xfrm>
                          <a:off x="0" y="0"/>
                          <a:ext cx="2531745" cy="604519"/>
                        </a:xfrm>
                        <a:prstGeom prst="rect">
                          <a:avLst/>
                        </a:prstGeom>
                      </wps:spPr>
                      <wps:txbx>
                        <w:txbxContent>
                          <w:p w14:paraId="0DE8D85F" w14:textId="77777777" w:rsidR="00C67A8F" w:rsidRPr="002B0C29" w:rsidRDefault="00C67A8F" w:rsidP="00CC3FAB">
                            <w:pPr>
                              <w:spacing w:line="559" w:lineRule="exact"/>
                              <w:rPr>
                                <w:rFonts w:ascii="Roboto" w:eastAsia="Roboto" w:hAnsi="Roboto"/>
                                <w:color w:val="FFFFFF"/>
                                <w:kern w:val="24"/>
                              </w:rPr>
                            </w:pPr>
                            <w:r w:rsidRPr="002B0C29">
                              <w:rPr>
                                <w:rFonts w:ascii="Roboto" w:eastAsia="Roboto" w:hAnsi="Roboto"/>
                                <w:color w:val="FFFFFF"/>
                                <w:kern w:val="24"/>
                              </w:rPr>
                              <w:t>Strategic Reference Document</w:t>
                            </w:r>
                          </w:p>
                        </w:txbxContent>
                      </wps:txbx>
                      <wps:bodyPr lIns="0" tIns="0" rIns="0" bIns="0" rtlCol="0" anchor="t">
                        <a:spAutoFit/>
                      </wps:bodyPr>
                    </wps:wsp>
                  </a:graphicData>
                </a:graphic>
              </wp:anchor>
            </w:drawing>
          </mc:Choice>
          <mc:Fallback>
            <w:pict>
              <v:shape w14:anchorId="0708A9A8" id="_x0000_s1027" type="#_x0000_t202" style="position:absolute;margin-left:-25.85pt;margin-top:323.25pt;width:199.35pt;height:47.6pt;z-index:25165824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" filled="f" stroked="f">
                <v:textbox style="mso-fit-shape-to-text:t" inset="0,0,0,0">
                  <w:txbxContent>
                    <w:p w14:paraId="0DE8D85F" w14:textId="77777777" w:rsidR="00C67A8F" w:rsidRPr="002B0C29" w:rsidRDefault="00C67A8F" w:rsidP="00CC3FAB">
                      <w:pPr>
                        <w:spacing w:line="559" w:lineRule="exact"/>
                        <w:rPr>
                          <w:rFonts w:ascii="Roboto" w:eastAsia="Roboto" w:hAnsi="Roboto"/>
                          <w:color w:val="FFFFFF"/>
                          <w:kern w:val="24"/>
                        </w:rPr>
                      </w:pPr>
                      <w:r w:rsidRPr="002B0C29">
                        <w:rPr>
                          <w:rFonts w:ascii="Roboto" w:eastAsia="Roboto" w:hAnsi="Roboto"/>
                          <w:color w:val="FFFFFF"/>
                          <w:kern w:val="24"/>
                        </w:rPr>
                        <w:t>Strategic Reference Document</w:t>
                      </w:r>
                    </w:p>
                  </w:txbxContent>
                </v:textbox>
              </v:shape>
            </w:pict>
          </mc:Fallback>
        </mc:AlternateContent>
      </w:r>
      <w:r>
        <w:rPr>
          <w:noProof/>
        </w:rPr>
        <mc:AlternateContent>
          <mc:Choice Requires="wps">
            <w:drawing>
              <wp:anchor distT="0" distB="0" distL="114300" distR="114300" simplePos="0" relativeHeight="251658245" behindDoc="0" locked="0" layoutInCell="1" allowOverlap="1" wp14:anchorId="7ED9759E" wp14:editId="479DB0A2">
                <wp:simplePos x="0" y="0"/>
                <wp:positionH relativeFrom="column">
                  <wp:posOffset>-328295</wp:posOffset>
                </wp:positionH>
                <wp:positionV relativeFrom="paragraph">
                  <wp:posOffset>2764367</wp:posOffset>
                </wp:positionV>
                <wp:extent cx="2531745" cy="1066800"/>
                <wp:effectExtent l="0" t="0" r="0" b="0"/>
                <wp:wrapNone/>
                <wp:docPr id="342009547" name="TextBox 10"/>
                <wp:cNvGraphicFramePr/>
                <a:graphic xmlns:a="http://schemas.openxmlformats.org/drawingml/2006/main">
                  <a:graphicData uri="http://schemas.microsoft.com/office/word/2010/wordprocessingShape">
                    <wps:wsp>
                      <wps:cNvSpPr txBox="1"/>
                      <wps:spPr>
                        <a:xfrm>
                          <a:off x="0" y="0"/>
                          <a:ext cx="2531745" cy="1066800"/>
                        </a:xfrm>
                        <a:prstGeom prst="rect">
                          <a:avLst/>
                        </a:prstGeom>
                      </wps:spPr>
                      <wps:txbx>
                        <w:txbxContent>
                          <w:p w14:paraId="6DB99259" w14:textId="77777777" w:rsidR="00C67A8F" w:rsidRPr="00B112CD" w:rsidRDefault="00C67A8F" w:rsidP="00B112CD">
                            <w:pPr>
                              <w:spacing w:line="240" w:lineRule="auto"/>
                              <w:rPr>
                                <w:rFonts w:ascii="Open Sans" w:eastAsia="Roboto" w:hAnsi="Open Sans" w:cs="Open Sans"/>
                                <w:color w:val="FFFFFF"/>
                                <w:kern w:val="24"/>
                                <w:sz w:val="56"/>
                                <w:szCs w:val="56"/>
                              </w:rPr>
                            </w:pPr>
                            <w:r>
                              <w:rPr>
                                <w:rFonts w:ascii="Open Sans" w:eastAsia="Roboto" w:hAnsi="Open Sans" w:cs="Open Sans"/>
                                <w:color w:val="FFFFFF"/>
                                <w:kern w:val="24"/>
                                <w:sz w:val="40"/>
                                <w:szCs w:val="40"/>
                              </w:rPr>
                              <w:t>TXN AI Target Outcomes Framework</w:t>
                            </w:r>
                          </w:p>
                        </w:txbxContent>
                      </wps:txbx>
                      <wps:bodyPr lIns="0" tIns="0" rIns="0" bIns="0" rtlCol="0" anchor="t">
                        <a:spAutoFit/>
                      </wps:bodyPr>
                    </wps:wsp>
                  </a:graphicData>
                </a:graphic>
              </wp:anchor>
            </w:drawing>
          </mc:Choice>
          <mc:Fallback>
            <w:pict>
              <v:shape w14:anchorId="7ED9759E" id="_x0000_s1028" type="#_x0000_t202" style="position:absolute;margin-left:-25.85pt;margin-top:217.65pt;width:199.35pt;height:84pt;z-index:25165824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" filled="f" stroked="f">
                <v:textbox style="mso-fit-shape-to-text:t" inset="0,0,0,0">
                  <w:txbxContent>
                    <w:p w14:paraId="6DB99259" w14:textId="77777777" w:rsidR="00C67A8F" w:rsidRPr="00B112CD" w:rsidRDefault="00C67A8F" w:rsidP="00B112CD">
                      <w:pPr>
                        <w:spacing w:line="240" w:lineRule="auto"/>
                        <w:rPr>
                          <w:rFonts w:ascii="Open Sans" w:eastAsia="Roboto" w:hAnsi="Open Sans" w:cs="Open Sans"/>
                          <w:color w:val="FFFFFF"/>
                          <w:kern w:val="24"/>
                          <w:sz w:val="56"/>
                          <w:szCs w:val="56"/>
                        </w:rPr>
                      </w:pPr>
                      <w:r>
                        <w:rPr>
                          <w:rFonts w:ascii="Open Sans" w:eastAsia="Roboto" w:hAnsi="Open Sans" w:cs="Open Sans"/>
                          <w:color w:val="FFFFFF"/>
                          <w:kern w:val="24"/>
                          <w:sz w:val="40"/>
                          <w:szCs w:val="40"/>
                        </w:rPr>
                        <w:t>TXN AI Target Outcomes Framework</w:t>
                      </w:r>
                    </w:p>
                  </w:txbxContent>
                </v:textbox>
              </v:shape>
            </w:pict>
          </mc:Fallback>
        </mc:AlternateContent>
      </w:r>
    </w:p>
    <w:p w14:paraId="28F19BCA" w14:textId="77777777" w:rsidR="002C5326" w:rsidRDefault="00C67A8F">
      <w:r>
        <w:br w:type="page"/>
      </w:r>
    </w:p>
    <w:sdt>
      <w:sdtPr>
        <w:alias w:val="Contents"/>
        <w:id w:val="-248976832"/>
      </w:sdtPr>
      <w:sdtContent>
        <w:p w14:paraId="57F25160" w14:textId="77777777" w:rsidR="00DE3DA9" w:rsidRDefault="00C67A8F">
          <w:pPr>
            <w:pStyle w:val="TOC1"/>
            <w:tabs>
              <w:tab w:val="right" w:leader="dot" w:pos="9016"/>
            </w:tabs>
            <w:rPr>
              <w:noProof/>
            </w:rPr>
          </w:pPr>
          <w:r>
            <w:fldChar w:fldCharType="begin"/>
          </w:r>
          <w:r>
            <w:instrText>TOC \h \o "1-3"</w:instrText>
          </w:r>
          <w:r>
            <w:fldChar w:fldCharType="separate"/>
          </w:r>
          <w:hyperlink w:anchor="_Toc230168791" w:history="1">
            <w:r w:rsidR="00DE3DA9" w:rsidRPr="00004483">
              <w:rPr>
                <w:rStyle w:val="Hyperlink"/>
                <w:noProof/>
              </w:rPr>
              <w:t>1. Document Control</w:t>
            </w:r>
            <w:r w:rsidR="00DE3DA9">
              <w:rPr>
                <w:noProof/>
              </w:rPr>
              <w:tab/>
            </w:r>
            <w:r w:rsidR="00DE3DA9">
              <w:rPr>
                <w:noProof/>
              </w:rPr>
              <w:fldChar w:fldCharType="begin"/>
            </w:r>
            <w:r w:rsidR="00DE3DA9">
              <w:rPr>
                <w:noProof/>
              </w:rPr>
              <w:instrText xml:space="preserve"> PAGEREF _Toc230168791 \h </w:instrText>
            </w:r>
            <w:r w:rsidR="00DE3DA9">
              <w:rPr>
                <w:noProof/>
              </w:rPr>
            </w:r>
            <w:r w:rsidR="00DE3DA9">
              <w:rPr>
                <w:noProof/>
              </w:rPr>
              <w:fldChar w:fldCharType="separate"/>
            </w:r>
            <w:r w:rsidR="00DE3DA9">
              <w:rPr>
                <w:noProof/>
              </w:rPr>
              <w:t>1</w:t>
            </w:r>
            <w:r w:rsidR="00DE3DA9">
              <w:rPr>
                <w:noProof/>
              </w:rPr>
              <w:fldChar w:fldCharType="end"/>
            </w:r>
          </w:hyperlink>
        </w:p>
        <w:p w14:paraId="0628A42C" w14:textId="77777777" w:rsidR="00DE3DA9" w:rsidRDefault="00DE3DA9">
          <w:pPr>
            <w:pStyle w:val="TOC1"/>
            <w:tabs>
              <w:tab w:val="right" w:leader="dot" w:pos="9016"/>
            </w:tabs>
            <w:rPr>
              <w:noProof/>
            </w:rPr>
          </w:pPr>
          <w:hyperlink w:anchor="_Toc230168792" w:history="1">
            <w:r w:rsidRPr="00004483">
              <w:rPr>
                <w:rStyle w:val="Hyperlink"/>
                <w:noProof/>
              </w:rPr>
              <w:t>2. Purpose</w:t>
            </w:r>
            <w:r>
              <w:rPr>
                <w:noProof/>
              </w:rPr>
              <w:tab/>
            </w:r>
            <w:r>
              <w:rPr>
                <w:noProof/>
              </w:rPr>
              <w:fldChar w:fldCharType="begin"/>
            </w:r>
            <w:r>
              <w:rPr>
                <w:noProof/>
              </w:rPr>
              <w:instrText xml:space="preserve"> PAGEREF _Toc230168792 \h </w:instrText>
            </w:r>
            <w:r>
              <w:rPr>
                <w:noProof/>
              </w:rPr>
            </w:r>
            <w:r>
              <w:rPr>
                <w:noProof/>
              </w:rPr>
              <w:fldChar w:fldCharType="separate"/>
            </w:r>
            <w:r>
              <w:rPr>
                <w:noProof/>
              </w:rPr>
              <w:t>1</w:t>
            </w:r>
            <w:r>
              <w:rPr>
                <w:noProof/>
              </w:rPr>
              <w:fldChar w:fldCharType="end"/>
            </w:r>
          </w:hyperlink>
        </w:p>
        <w:p w14:paraId="602EECB9" w14:textId="77777777" w:rsidR="00DE3DA9" w:rsidRDefault="00DE3DA9">
          <w:pPr>
            <w:pStyle w:val="TOC1"/>
            <w:tabs>
              <w:tab w:val="right" w:leader="dot" w:pos="9016"/>
            </w:tabs>
            <w:rPr>
              <w:noProof/>
            </w:rPr>
          </w:pPr>
          <w:hyperlink w:anchor="_Toc230168793" w:history="1">
            <w:r w:rsidRPr="00004483">
              <w:rPr>
                <w:rStyle w:val="Hyperlink"/>
                <w:noProof/>
              </w:rPr>
              <w:t>3. Target Outcomes Framework</w:t>
            </w:r>
            <w:r>
              <w:rPr>
                <w:noProof/>
              </w:rPr>
              <w:tab/>
            </w:r>
            <w:r>
              <w:rPr>
                <w:noProof/>
              </w:rPr>
              <w:fldChar w:fldCharType="begin"/>
            </w:r>
            <w:r>
              <w:rPr>
                <w:noProof/>
              </w:rPr>
              <w:instrText xml:space="preserve"> PAGEREF _Toc230168793 \h </w:instrText>
            </w:r>
            <w:r>
              <w:rPr>
                <w:noProof/>
              </w:rPr>
            </w:r>
            <w:r>
              <w:rPr>
                <w:noProof/>
              </w:rPr>
              <w:fldChar w:fldCharType="separate"/>
            </w:r>
            <w:r>
              <w:rPr>
                <w:noProof/>
              </w:rPr>
              <w:t>1</w:t>
            </w:r>
            <w:r>
              <w:rPr>
                <w:noProof/>
              </w:rPr>
              <w:fldChar w:fldCharType="end"/>
            </w:r>
          </w:hyperlink>
        </w:p>
        <w:p w14:paraId="033C4CA7" w14:textId="77777777" w:rsidR="00DE3DA9" w:rsidRDefault="00DE3DA9">
          <w:pPr>
            <w:pStyle w:val="TOC2"/>
            <w:tabs>
              <w:tab w:val="right" w:leader="dot" w:pos="9016"/>
            </w:tabs>
            <w:rPr>
              <w:noProof/>
            </w:rPr>
          </w:pPr>
          <w:hyperlink w:anchor="_Toc230168794" w:history="1">
            <w:r w:rsidRPr="00004483">
              <w:rPr>
                <w:rStyle w:val="Hyperlink"/>
                <w:noProof/>
              </w:rPr>
              <w:t>3.1 Client Outcomes</w:t>
            </w:r>
            <w:r>
              <w:rPr>
                <w:noProof/>
              </w:rPr>
              <w:tab/>
            </w:r>
            <w:r>
              <w:rPr>
                <w:noProof/>
              </w:rPr>
              <w:fldChar w:fldCharType="begin"/>
            </w:r>
            <w:r>
              <w:rPr>
                <w:noProof/>
              </w:rPr>
              <w:instrText xml:space="preserve"> PAGEREF _Toc230168794 \h </w:instrText>
            </w:r>
            <w:r>
              <w:rPr>
                <w:noProof/>
              </w:rPr>
            </w:r>
            <w:r>
              <w:rPr>
                <w:noProof/>
              </w:rPr>
              <w:fldChar w:fldCharType="separate"/>
            </w:r>
            <w:r>
              <w:rPr>
                <w:noProof/>
              </w:rPr>
              <w:t>1</w:t>
            </w:r>
            <w:r>
              <w:rPr>
                <w:noProof/>
              </w:rPr>
              <w:fldChar w:fldCharType="end"/>
            </w:r>
          </w:hyperlink>
        </w:p>
        <w:p w14:paraId="3B55552C" w14:textId="77777777" w:rsidR="00DE3DA9" w:rsidRDefault="00DE3DA9">
          <w:pPr>
            <w:pStyle w:val="TOC3"/>
            <w:tabs>
              <w:tab w:val="right" w:leader="dot" w:pos="9016"/>
            </w:tabs>
            <w:rPr>
              <w:noProof/>
            </w:rPr>
          </w:pPr>
          <w:hyperlink w:anchor="_Toc230168795" w:history="1">
            <w:r w:rsidRPr="00004483">
              <w:rPr>
                <w:rStyle w:val="Hyperlink"/>
                <w:noProof/>
              </w:rPr>
              <w:t>3.1.1 Run a card programme without employing card experts</w:t>
            </w:r>
            <w:r>
              <w:rPr>
                <w:noProof/>
              </w:rPr>
              <w:tab/>
            </w:r>
            <w:r>
              <w:rPr>
                <w:noProof/>
              </w:rPr>
              <w:fldChar w:fldCharType="begin"/>
            </w:r>
            <w:r>
              <w:rPr>
                <w:noProof/>
              </w:rPr>
              <w:instrText xml:space="preserve"> PAGEREF _Toc230168795 \h </w:instrText>
            </w:r>
            <w:r>
              <w:rPr>
                <w:noProof/>
              </w:rPr>
            </w:r>
            <w:r>
              <w:rPr>
                <w:noProof/>
              </w:rPr>
              <w:fldChar w:fldCharType="separate"/>
            </w:r>
            <w:r>
              <w:rPr>
                <w:noProof/>
              </w:rPr>
              <w:t>1</w:t>
            </w:r>
            <w:r>
              <w:rPr>
                <w:noProof/>
              </w:rPr>
              <w:fldChar w:fldCharType="end"/>
            </w:r>
          </w:hyperlink>
        </w:p>
        <w:p w14:paraId="53B13CCC" w14:textId="77777777" w:rsidR="00DE3DA9" w:rsidRDefault="00DE3DA9">
          <w:pPr>
            <w:pStyle w:val="TOC3"/>
            <w:tabs>
              <w:tab w:val="right" w:leader="dot" w:pos="9016"/>
            </w:tabs>
            <w:rPr>
              <w:noProof/>
            </w:rPr>
          </w:pPr>
          <w:hyperlink w:anchor="_Toc230168796" w:history="1">
            <w:r w:rsidRPr="00004483">
              <w:rPr>
                <w:rStyle w:val="Hyperlink"/>
                <w:noProof/>
              </w:rPr>
              <w:t>3.1.2 Launch in days, not months</w:t>
            </w:r>
            <w:r>
              <w:rPr>
                <w:noProof/>
              </w:rPr>
              <w:tab/>
            </w:r>
            <w:r>
              <w:rPr>
                <w:noProof/>
              </w:rPr>
              <w:fldChar w:fldCharType="begin"/>
            </w:r>
            <w:r>
              <w:rPr>
                <w:noProof/>
              </w:rPr>
              <w:instrText xml:space="preserve"> PAGEREF _Toc230168796 \h </w:instrText>
            </w:r>
            <w:r>
              <w:rPr>
                <w:noProof/>
              </w:rPr>
            </w:r>
            <w:r>
              <w:rPr>
                <w:noProof/>
              </w:rPr>
              <w:fldChar w:fldCharType="separate"/>
            </w:r>
            <w:r>
              <w:rPr>
                <w:noProof/>
              </w:rPr>
              <w:t>1</w:t>
            </w:r>
            <w:r>
              <w:rPr>
                <w:noProof/>
              </w:rPr>
              <w:fldChar w:fldCharType="end"/>
            </w:r>
          </w:hyperlink>
        </w:p>
        <w:p w14:paraId="51763759" w14:textId="77777777" w:rsidR="00DE3DA9" w:rsidRDefault="00DE3DA9">
          <w:pPr>
            <w:pStyle w:val="TOC3"/>
            <w:tabs>
              <w:tab w:val="right" w:leader="dot" w:pos="9016"/>
            </w:tabs>
            <w:rPr>
              <w:noProof/>
            </w:rPr>
          </w:pPr>
          <w:hyperlink w:anchor="_Toc230168797" w:history="1">
            <w:r w:rsidRPr="00004483">
              <w:rPr>
                <w:rStyle w:val="Hyperlink"/>
                <w:noProof/>
              </w:rPr>
              <w:t>3.1.3 Fewer costly errors</w:t>
            </w:r>
            <w:r>
              <w:rPr>
                <w:noProof/>
              </w:rPr>
              <w:tab/>
            </w:r>
            <w:r>
              <w:rPr>
                <w:noProof/>
              </w:rPr>
              <w:fldChar w:fldCharType="begin"/>
            </w:r>
            <w:r>
              <w:rPr>
                <w:noProof/>
              </w:rPr>
              <w:instrText xml:space="preserve"> PAGEREF _Toc230168797 \h </w:instrText>
            </w:r>
            <w:r>
              <w:rPr>
                <w:noProof/>
              </w:rPr>
            </w:r>
            <w:r>
              <w:rPr>
                <w:noProof/>
              </w:rPr>
              <w:fldChar w:fldCharType="separate"/>
            </w:r>
            <w:r>
              <w:rPr>
                <w:noProof/>
              </w:rPr>
              <w:t>1</w:t>
            </w:r>
            <w:r>
              <w:rPr>
                <w:noProof/>
              </w:rPr>
              <w:fldChar w:fldCharType="end"/>
            </w:r>
          </w:hyperlink>
        </w:p>
        <w:p w14:paraId="3F3637FC" w14:textId="77777777" w:rsidR="00DE3DA9" w:rsidRDefault="00DE3DA9">
          <w:pPr>
            <w:pStyle w:val="TOC3"/>
            <w:tabs>
              <w:tab w:val="right" w:leader="dot" w:pos="9016"/>
            </w:tabs>
            <w:rPr>
              <w:noProof/>
            </w:rPr>
          </w:pPr>
          <w:hyperlink w:anchor="_Toc230168798" w:history="1">
            <w:r w:rsidRPr="00004483">
              <w:rPr>
                <w:rStyle w:val="Hyperlink"/>
                <w:noProof/>
              </w:rPr>
              <w:t>3.1.4 A programme that actively improves over time</w:t>
            </w:r>
            <w:r>
              <w:rPr>
                <w:noProof/>
              </w:rPr>
              <w:tab/>
            </w:r>
            <w:r>
              <w:rPr>
                <w:noProof/>
              </w:rPr>
              <w:fldChar w:fldCharType="begin"/>
            </w:r>
            <w:r>
              <w:rPr>
                <w:noProof/>
              </w:rPr>
              <w:instrText xml:space="preserve"> PAGEREF _Toc230168798 \h </w:instrText>
            </w:r>
            <w:r>
              <w:rPr>
                <w:noProof/>
              </w:rPr>
            </w:r>
            <w:r>
              <w:rPr>
                <w:noProof/>
              </w:rPr>
              <w:fldChar w:fldCharType="separate"/>
            </w:r>
            <w:r>
              <w:rPr>
                <w:noProof/>
              </w:rPr>
              <w:t>1</w:t>
            </w:r>
            <w:r>
              <w:rPr>
                <w:noProof/>
              </w:rPr>
              <w:fldChar w:fldCharType="end"/>
            </w:r>
          </w:hyperlink>
        </w:p>
        <w:p w14:paraId="1E0E928B" w14:textId="77777777" w:rsidR="00DE3DA9" w:rsidRDefault="00DE3DA9">
          <w:pPr>
            <w:pStyle w:val="TOC3"/>
            <w:tabs>
              <w:tab w:val="right" w:leader="dot" w:pos="9016"/>
            </w:tabs>
            <w:rPr>
              <w:noProof/>
            </w:rPr>
          </w:pPr>
          <w:hyperlink w:anchor="_Toc230168799" w:history="1">
            <w:r w:rsidRPr="00004483">
              <w:rPr>
                <w:rStyle w:val="Hyperlink"/>
                <w:noProof/>
              </w:rPr>
              <w:t>3.1.5 Compliance confidence without regulatory expertise on staff</w:t>
            </w:r>
            <w:r>
              <w:rPr>
                <w:noProof/>
              </w:rPr>
              <w:tab/>
            </w:r>
            <w:r>
              <w:rPr>
                <w:noProof/>
              </w:rPr>
              <w:fldChar w:fldCharType="begin"/>
            </w:r>
            <w:r>
              <w:rPr>
                <w:noProof/>
              </w:rPr>
              <w:instrText xml:space="preserve"> PAGEREF _Toc230168799 \h </w:instrText>
            </w:r>
            <w:r>
              <w:rPr>
                <w:noProof/>
              </w:rPr>
            </w:r>
            <w:r>
              <w:rPr>
                <w:noProof/>
              </w:rPr>
              <w:fldChar w:fldCharType="separate"/>
            </w:r>
            <w:r>
              <w:rPr>
                <w:noProof/>
              </w:rPr>
              <w:t>1</w:t>
            </w:r>
            <w:r>
              <w:rPr>
                <w:noProof/>
              </w:rPr>
              <w:fldChar w:fldCharType="end"/>
            </w:r>
          </w:hyperlink>
        </w:p>
        <w:p w14:paraId="3018A9BA" w14:textId="77777777" w:rsidR="00DE3DA9" w:rsidRDefault="00DE3DA9">
          <w:pPr>
            <w:pStyle w:val="TOC2"/>
            <w:tabs>
              <w:tab w:val="right" w:leader="dot" w:pos="9016"/>
            </w:tabs>
            <w:rPr>
              <w:noProof/>
            </w:rPr>
          </w:pPr>
          <w:hyperlink w:anchor="_Toc230168800" w:history="1">
            <w:r w:rsidRPr="00004483">
              <w:rPr>
                <w:rStyle w:val="Hyperlink"/>
                <w:noProof/>
              </w:rPr>
              <w:t>3.2 TXN Business Outcomes</w:t>
            </w:r>
            <w:r>
              <w:rPr>
                <w:noProof/>
              </w:rPr>
              <w:tab/>
            </w:r>
            <w:r>
              <w:rPr>
                <w:noProof/>
              </w:rPr>
              <w:fldChar w:fldCharType="begin"/>
            </w:r>
            <w:r>
              <w:rPr>
                <w:noProof/>
              </w:rPr>
              <w:instrText xml:space="preserve"> PAGEREF _Toc230168800 \h </w:instrText>
            </w:r>
            <w:r>
              <w:rPr>
                <w:noProof/>
              </w:rPr>
            </w:r>
            <w:r>
              <w:rPr>
                <w:noProof/>
              </w:rPr>
              <w:fldChar w:fldCharType="separate"/>
            </w:r>
            <w:r>
              <w:rPr>
                <w:noProof/>
              </w:rPr>
              <w:t>1</w:t>
            </w:r>
            <w:r>
              <w:rPr>
                <w:noProof/>
              </w:rPr>
              <w:fldChar w:fldCharType="end"/>
            </w:r>
          </w:hyperlink>
        </w:p>
        <w:p w14:paraId="3D340622" w14:textId="77777777" w:rsidR="00DE3DA9" w:rsidRDefault="00DE3DA9">
          <w:pPr>
            <w:pStyle w:val="TOC3"/>
            <w:tabs>
              <w:tab w:val="right" w:leader="dot" w:pos="9016"/>
            </w:tabs>
            <w:rPr>
              <w:noProof/>
            </w:rPr>
          </w:pPr>
          <w:hyperlink w:anchor="_Toc230168801" w:history="1">
            <w:r w:rsidRPr="00004483">
              <w:rPr>
                <w:rStyle w:val="Hyperlink"/>
                <w:noProof/>
              </w:rPr>
              <w:t>3.2.1 Scale clients without scaling headcount linearly</w:t>
            </w:r>
            <w:r>
              <w:rPr>
                <w:noProof/>
              </w:rPr>
              <w:tab/>
            </w:r>
            <w:r>
              <w:rPr>
                <w:noProof/>
              </w:rPr>
              <w:fldChar w:fldCharType="begin"/>
            </w:r>
            <w:r>
              <w:rPr>
                <w:noProof/>
              </w:rPr>
              <w:instrText xml:space="preserve"> PAGEREF _Toc230168801 \h </w:instrText>
            </w:r>
            <w:r>
              <w:rPr>
                <w:noProof/>
              </w:rPr>
            </w:r>
            <w:r>
              <w:rPr>
                <w:noProof/>
              </w:rPr>
              <w:fldChar w:fldCharType="separate"/>
            </w:r>
            <w:r>
              <w:rPr>
                <w:noProof/>
              </w:rPr>
              <w:t>1</w:t>
            </w:r>
            <w:r>
              <w:rPr>
                <w:noProof/>
              </w:rPr>
              <w:fldChar w:fldCharType="end"/>
            </w:r>
          </w:hyperlink>
        </w:p>
        <w:p w14:paraId="0FDC1DB9" w14:textId="77777777" w:rsidR="00DE3DA9" w:rsidRDefault="00DE3DA9">
          <w:pPr>
            <w:pStyle w:val="TOC3"/>
            <w:tabs>
              <w:tab w:val="right" w:leader="dot" w:pos="9016"/>
            </w:tabs>
            <w:rPr>
              <w:noProof/>
            </w:rPr>
          </w:pPr>
          <w:hyperlink w:anchor="_Toc230168802" w:history="1">
            <w:r w:rsidRPr="00004483">
              <w:rPr>
                <w:rStyle w:val="Hyperlink"/>
                <w:noProof/>
              </w:rPr>
              <w:t>3.2.2 Shorter time from contract to live programme</w:t>
            </w:r>
            <w:r>
              <w:rPr>
                <w:noProof/>
              </w:rPr>
              <w:tab/>
            </w:r>
            <w:r>
              <w:rPr>
                <w:noProof/>
              </w:rPr>
              <w:fldChar w:fldCharType="begin"/>
            </w:r>
            <w:r>
              <w:rPr>
                <w:noProof/>
              </w:rPr>
              <w:instrText xml:space="preserve"> PAGEREF _Toc230168802 \h </w:instrText>
            </w:r>
            <w:r>
              <w:rPr>
                <w:noProof/>
              </w:rPr>
            </w:r>
            <w:r>
              <w:rPr>
                <w:noProof/>
              </w:rPr>
              <w:fldChar w:fldCharType="separate"/>
            </w:r>
            <w:r>
              <w:rPr>
                <w:noProof/>
              </w:rPr>
              <w:t>1</w:t>
            </w:r>
            <w:r>
              <w:rPr>
                <w:noProof/>
              </w:rPr>
              <w:fldChar w:fldCharType="end"/>
            </w:r>
          </w:hyperlink>
        </w:p>
        <w:p w14:paraId="0A6CEDBE" w14:textId="77777777" w:rsidR="00DE3DA9" w:rsidRDefault="00DE3DA9">
          <w:pPr>
            <w:pStyle w:val="TOC3"/>
            <w:tabs>
              <w:tab w:val="right" w:leader="dot" w:pos="9016"/>
            </w:tabs>
            <w:rPr>
              <w:noProof/>
            </w:rPr>
          </w:pPr>
          <w:hyperlink w:anchor="_Toc230168803" w:history="1">
            <w:r w:rsidRPr="00004483">
              <w:rPr>
                <w:rStyle w:val="Hyperlink"/>
                <w:noProof/>
              </w:rPr>
              <w:t>3.2.3 Continuous product intelligence</w:t>
            </w:r>
            <w:r>
              <w:rPr>
                <w:noProof/>
              </w:rPr>
              <w:tab/>
            </w:r>
            <w:r>
              <w:rPr>
                <w:noProof/>
              </w:rPr>
              <w:fldChar w:fldCharType="begin"/>
            </w:r>
            <w:r>
              <w:rPr>
                <w:noProof/>
              </w:rPr>
              <w:instrText xml:space="preserve"> PAGEREF _Toc230168803 \h </w:instrText>
            </w:r>
            <w:r>
              <w:rPr>
                <w:noProof/>
              </w:rPr>
            </w:r>
            <w:r>
              <w:rPr>
                <w:noProof/>
              </w:rPr>
              <w:fldChar w:fldCharType="separate"/>
            </w:r>
            <w:r>
              <w:rPr>
                <w:noProof/>
              </w:rPr>
              <w:t>1</w:t>
            </w:r>
            <w:r>
              <w:rPr>
                <w:noProof/>
              </w:rPr>
              <w:fldChar w:fldCharType="end"/>
            </w:r>
          </w:hyperlink>
        </w:p>
        <w:p w14:paraId="0FE959F5" w14:textId="77777777" w:rsidR="00DE3DA9" w:rsidRDefault="00DE3DA9">
          <w:pPr>
            <w:pStyle w:val="TOC3"/>
            <w:tabs>
              <w:tab w:val="right" w:leader="dot" w:pos="9016"/>
            </w:tabs>
            <w:rPr>
              <w:noProof/>
            </w:rPr>
          </w:pPr>
          <w:hyperlink w:anchor="_Toc230168804" w:history="1">
            <w:r w:rsidRPr="00004483">
              <w:rPr>
                <w:rStyle w:val="Hyperlink"/>
                <w:noProof/>
              </w:rPr>
              <w:t>3.2.4 A compounding data advantage</w:t>
            </w:r>
            <w:r>
              <w:rPr>
                <w:noProof/>
              </w:rPr>
              <w:tab/>
            </w:r>
            <w:r>
              <w:rPr>
                <w:noProof/>
              </w:rPr>
              <w:fldChar w:fldCharType="begin"/>
            </w:r>
            <w:r>
              <w:rPr>
                <w:noProof/>
              </w:rPr>
              <w:instrText xml:space="preserve"> PAGEREF _Toc230168804 \h </w:instrText>
            </w:r>
            <w:r>
              <w:rPr>
                <w:noProof/>
              </w:rPr>
            </w:r>
            <w:r>
              <w:rPr>
                <w:noProof/>
              </w:rPr>
              <w:fldChar w:fldCharType="separate"/>
            </w:r>
            <w:r>
              <w:rPr>
                <w:noProof/>
              </w:rPr>
              <w:t>1</w:t>
            </w:r>
            <w:r>
              <w:rPr>
                <w:noProof/>
              </w:rPr>
              <w:fldChar w:fldCharType="end"/>
            </w:r>
          </w:hyperlink>
        </w:p>
        <w:p w14:paraId="062CCDDF" w14:textId="77777777" w:rsidR="00DE3DA9" w:rsidRDefault="00DE3DA9">
          <w:pPr>
            <w:pStyle w:val="TOC3"/>
            <w:tabs>
              <w:tab w:val="right" w:leader="dot" w:pos="9016"/>
            </w:tabs>
            <w:rPr>
              <w:noProof/>
            </w:rPr>
          </w:pPr>
          <w:hyperlink w:anchor="_Toc230168805" w:history="1">
            <w:r w:rsidRPr="00004483">
              <w:rPr>
                <w:rStyle w:val="Hyperlink"/>
                <w:noProof/>
              </w:rPr>
              <w:t>3.2.5 Stickier client relationships</w:t>
            </w:r>
            <w:r>
              <w:rPr>
                <w:noProof/>
              </w:rPr>
              <w:tab/>
            </w:r>
            <w:r>
              <w:rPr>
                <w:noProof/>
              </w:rPr>
              <w:fldChar w:fldCharType="begin"/>
            </w:r>
            <w:r>
              <w:rPr>
                <w:noProof/>
              </w:rPr>
              <w:instrText xml:space="preserve"> PAGEREF _Toc230168805 \h </w:instrText>
            </w:r>
            <w:r>
              <w:rPr>
                <w:noProof/>
              </w:rPr>
            </w:r>
            <w:r>
              <w:rPr>
                <w:noProof/>
              </w:rPr>
              <w:fldChar w:fldCharType="separate"/>
            </w:r>
            <w:r>
              <w:rPr>
                <w:noProof/>
              </w:rPr>
              <w:t>1</w:t>
            </w:r>
            <w:r>
              <w:rPr>
                <w:noProof/>
              </w:rPr>
              <w:fldChar w:fldCharType="end"/>
            </w:r>
          </w:hyperlink>
        </w:p>
        <w:p w14:paraId="7FE28A85" w14:textId="77777777" w:rsidR="00DE3DA9" w:rsidRDefault="00DE3DA9">
          <w:pPr>
            <w:pStyle w:val="TOC1"/>
            <w:tabs>
              <w:tab w:val="right" w:leader="dot" w:pos="9016"/>
            </w:tabs>
            <w:rPr>
              <w:noProof/>
            </w:rPr>
          </w:pPr>
          <w:hyperlink w:anchor="_Toc230168806" w:history="1">
            <w:r w:rsidRPr="00004483">
              <w:rPr>
                <w:rStyle w:val="Hyperlink"/>
                <w:noProof/>
              </w:rPr>
              <w:t>4. AI Success Metrics</w:t>
            </w:r>
            <w:r>
              <w:rPr>
                <w:noProof/>
              </w:rPr>
              <w:tab/>
            </w:r>
            <w:r>
              <w:rPr>
                <w:noProof/>
              </w:rPr>
              <w:fldChar w:fldCharType="begin"/>
            </w:r>
            <w:r>
              <w:rPr>
                <w:noProof/>
              </w:rPr>
              <w:instrText xml:space="preserve"> PAGEREF _Toc230168806 \h </w:instrText>
            </w:r>
            <w:r>
              <w:rPr>
                <w:noProof/>
              </w:rPr>
            </w:r>
            <w:r>
              <w:rPr>
                <w:noProof/>
              </w:rPr>
              <w:fldChar w:fldCharType="separate"/>
            </w:r>
            <w:r>
              <w:rPr>
                <w:noProof/>
              </w:rPr>
              <w:t>1</w:t>
            </w:r>
            <w:r>
              <w:rPr>
                <w:noProof/>
              </w:rPr>
              <w:fldChar w:fldCharType="end"/>
            </w:r>
          </w:hyperlink>
        </w:p>
        <w:p w14:paraId="30E91E75" w14:textId="77777777" w:rsidR="00DE3DA9" w:rsidRDefault="00DE3DA9">
          <w:pPr>
            <w:pStyle w:val="TOC2"/>
            <w:tabs>
              <w:tab w:val="right" w:leader="dot" w:pos="9016"/>
            </w:tabs>
            <w:rPr>
              <w:noProof/>
            </w:rPr>
          </w:pPr>
          <w:hyperlink w:anchor="_Toc230168807" w:history="1">
            <w:r w:rsidRPr="00004483">
              <w:rPr>
                <w:rStyle w:val="Hyperlink"/>
                <w:noProof/>
              </w:rPr>
              <w:t>4.1 Client Outcome Metrics</w:t>
            </w:r>
            <w:r>
              <w:rPr>
                <w:noProof/>
              </w:rPr>
              <w:tab/>
            </w:r>
            <w:r>
              <w:rPr>
                <w:noProof/>
              </w:rPr>
              <w:fldChar w:fldCharType="begin"/>
            </w:r>
            <w:r>
              <w:rPr>
                <w:noProof/>
              </w:rPr>
              <w:instrText xml:space="preserve"> PAGEREF _Toc230168807 \h </w:instrText>
            </w:r>
            <w:r>
              <w:rPr>
                <w:noProof/>
              </w:rPr>
            </w:r>
            <w:r>
              <w:rPr>
                <w:noProof/>
              </w:rPr>
              <w:fldChar w:fldCharType="separate"/>
            </w:r>
            <w:r>
              <w:rPr>
                <w:noProof/>
              </w:rPr>
              <w:t>1</w:t>
            </w:r>
            <w:r>
              <w:rPr>
                <w:noProof/>
              </w:rPr>
              <w:fldChar w:fldCharType="end"/>
            </w:r>
          </w:hyperlink>
        </w:p>
        <w:p w14:paraId="7A423801" w14:textId="77777777" w:rsidR="00DE3DA9" w:rsidRDefault="00DE3DA9">
          <w:pPr>
            <w:pStyle w:val="TOC2"/>
            <w:tabs>
              <w:tab w:val="right" w:leader="dot" w:pos="9016"/>
            </w:tabs>
            <w:rPr>
              <w:noProof/>
            </w:rPr>
          </w:pPr>
          <w:hyperlink w:anchor="_Toc230168808" w:history="1">
            <w:r w:rsidRPr="00004483">
              <w:rPr>
                <w:rStyle w:val="Hyperlink"/>
                <w:noProof/>
              </w:rPr>
              <w:t>4.2 TXN Business Outcome Metrics</w:t>
            </w:r>
            <w:r>
              <w:rPr>
                <w:noProof/>
              </w:rPr>
              <w:tab/>
            </w:r>
            <w:r>
              <w:rPr>
                <w:noProof/>
              </w:rPr>
              <w:fldChar w:fldCharType="begin"/>
            </w:r>
            <w:r>
              <w:rPr>
                <w:noProof/>
              </w:rPr>
              <w:instrText xml:space="preserve"> PAGEREF _Toc230168808 \h </w:instrText>
            </w:r>
            <w:r>
              <w:rPr>
                <w:noProof/>
              </w:rPr>
            </w:r>
            <w:r>
              <w:rPr>
                <w:noProof/>
              </w:rPr>
              <w:fldChar w:fldCharType="separate"/>
            </w:r>
            <w:r>
              <w:rPr>
                <w:noProof/>
              </w:rPr>
              <w:t>1</w:t>
            </w:r>
            <w:r>
              <w:rPr>
                <w:noProof/>
              </w:rPr>
              <w:fldChar w:fldCharType="end"/>
            </w:r>
          </w:hyperlink>
        </w:p>
        <w:p w14:paraId="596B85D5" w14:textId="77777777" w:rsidR="00DE3DA9" w:rsidRDefault="00DE3DA9">
          <w:pPr>
            <w:pStyle w:val="TOC2"/>
            <w:tabs>
              <w:tab w:val="right" w:leader="dot" w:pos="9016"/>
            </w:tabs>
            <w:rPr>
              <w:noProof/>
            </w:rPr>
          </w:pPr>
          <w:hyperlink w:anchor="_Toc230168809" w:history="1">
            <w:r w:rsidRPr="00004483">
              <w:rPr>
                <w:rStyle w:val="Hyperlink"/>
                <w:noProof/>
              </w:rPr>
              <w:t>4.3 Governance and Review</w:t>
            </w:r>
            <w:r>
              <w:rPr>
                <w:noProof/>
              </w:rPr>
              <w:tab/>
            </w:r>
            <w:r>
              <w:rPr>
                <w:noProof/>
              </w:rPr>
              <w:fldChar w:fldCharType="begin"/>
            </w:r>
            <w:r>
              <w:rPr>
                <w:noProof/>
              </w:rPr>
              <w:instrText xml:space="preserve"> PAGEREF _Toc230168809 \h </w:instrText>
            </w:r>
            <w:r>
              <w:rPr>
                <w:noProof/>
              </w:rPr>
            </w:r>
            <w:r>
              <w:rPr>
                <w:noProof/>
              </w:rPr>
              <w:fldChar w:fldCharType="separate"/>
            </w:r>
            <w:r>
              <w:rPr>
                <w:noProof/>
              </w:rPr>
              <w:t>1</w:t>
            </w:r>
            <w:r>
              <w:rPr>
                <w:noProof/>
              </w:rPr>
              <w:fldChar w:fldCharType="end"/>
            </w:r>
          </w:hyperlink>
        </w:p>
        <w:p w14:paraId="0CFA25CE" w14:textId="77777777" w:rsidR="002C5326" w:rsidRDefault="00C67A8F">
          <w:r>
            <w:fldChar w:fldCharType="end"/>
          </w:r>
        </w:p>
      </w:sdtContent>
    </w:sdt>
    <w:p w14:paraId="7389191D" w14:textId="77777777" w:rsidR="002C5326" w:rsidRDefault="00C67A8F">
      <w:r>
        <w:br w:type="page"/>
      </w:r>
    </w:p>
    <w:p w14:paraId="6D956019" w14:textId="77777777" w:rsidR="002C5326" w:rsidRDefault="00C67A8F">
      <w:pPr>
        <w:pStyle w:val="Heading1"/>
      </w:pPr>
      <w:bookmarkStart w:id="0" w:name="_Toc230168791"/>
      <w:r>
        <w:lastRenderedPageBreak/>
        <w:t>1. Document Control</w:t>
      </w:r>
      <w:bookmarkEnd w:id="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2C5326" w14:paraId="1CA34D27" w14:textId="77777777">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69494F2" w14:textId="77777777" w:rsidR="002C5326" w:rsidRDefault="00C67A8F">
            <w:pPr>
              <w:spacing w:after="60" w:line="300" w:lineRule="auto"/>
            </w:pPr>
            <w:r>
              <w:rPr>
                <w:b/>
                <w:bCs/>
                <w:sz w:val="20"/>
                <w:szCs w:val="20"/>
              </w:rPr>
              <w:t>Version</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22D71D" w14:textId="77777777" w:rsidR="002C5326" w:rsidRDefault="00C67A8F">
            <w:pPr>
              <w:spacing w:after="60" w:line="300" w:lineRule="auto"/>
            </w:pPr>
            <w:r>
              <w:rPr>
                <w:sz w:val="20"/>
                <w:szCs w:val="20"/>
              </w:rPr>
              <w:t>1.0</w:t>
            </w:r>
          </w:p>
        </w:tc>
      </w:tr>
      <w:tr w:rsidR="002C5326" w14:paraId="360BCDDE" w14:textId="77777777">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FD38DEF" w14:textId="77777777" w:rsidR="002C5326" w:rsidRDefault="00C67A8F">
            <w:pPr>
              <w:spacing w:after="60" w:line="300" w:lineRule="auto"/>
            </w:pPr>
            <w:r>
              <w:rPr>
                <w:b/>
                <w:bCs/>
                <w:sz w:val="20"/>
                <w:szCs w:val="20"/>
              </w:rPr>
              <w:t>Date</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F8EF94" w14:textId="77777777" w:rsidR="002C5326" w:rsidRDefault="00C67A8F">
            <w:pPr>
              <w:spacing w:after="60" w:line="300" w:lineRule="auto"/>
            </w:pPr>
            <w:r>
              <w:rPr>
                <w:sz w:val="20"/>
                <w:szCs w:val="20"/>
              </w:rPr>
              <w:t>20 May 2026</w:t>
            </w:r>
          </w:p>
        </w:tc>
      </w:tr>
      <w:tr w:rsidR="002C5326" w14:paraId="6845563B" w14:textId="77777777">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DE593F6" w14:textId="77777777" w:rsidR="002C5326" w:rsidRDefault="00C67A8F">
            <w:pPr>
              <w:spacing w:after="60" w:line="300" w:lineRule="auto"/>
            </w:pPr>
            <w:r>
              <w:rPr>
                <w:b/>
                <w:bCs/>
                <w:sz w:val="20"/>
                <w:szCs w:val="20"/>
              </w:rPr>
              <w:t>Author</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6A4E28" w14:textId="77777777" w:rsidR="002C5326" w:rsidRDefault="00C67A8F">
            <w:pPr>
              <w:spacing w:after="60" w:line="300" w:lineRule="auto"/>
            </w:pPr>
            <w:r>
              <w:rPr>
                <w:sz w:val="20"/>
                <w:szCs w:val="20"/>
              </w:rPr>
              <w:t>I. Johnson</w:t>
            </w:r>
          </w:p>
        </w:tc>
      </w:tr>
      <w:tr w:rsidR="002C5326" w14:paraId="60EB7137" w14:textId="77777777">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709FF75" w14:textId="77777777" w:rsidR="002C5326" w:rsidRDefault="00C67A8F">
            <w:pPr>
              <w:spacing w:after="60" w:line="300" w:lineRule="auto"/>
            </w:pPr>
            <w:r>
              <w:rPr>
                <w:b/>
                <w:bCs/>
                <w:sz w:val="20"/>
                <w:szCs w:val="20"/>
              </w:rPr>
              <w:t>Owner</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9A062A" w14:textId="77777777" w:rsidR="002C5326" w:rsidRDefault="00C67A8F">
            <w:pPr>
              <w:spacing w:after="60" w:line="300" w:lineRule="auto"/>
            </w:pPr>
            <w:r>
              <w:rPr>
                <w:sz w:val="20"/>
                <w:szCs w:val="20"/>
              </w:rPr>
              <w:t>I. Johnson</w:t>
            </w:r>
          </w:p>
        </w:tc>
      </w:tr>
      <w:tr w:rsidR="002C5326" w14:paraId="6B225499" w14:textId="77777777">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36343C4" w14:textId="77777777" w:rsidR="002C5326" w:rsidRDefault="00C67A8F">
            <w:pPr>
              <w:spacing w:after="60" w:line="300" w:lineRule="auto"/>
            </w:pPr>
            <w:r>
              <w:rPr>
                <w:b/>
                <w:bCs/>
                <w:sz w:val="20"/>
                <w:szCs w:val="20"/>
              </w:rPr>
              <w:t>Description</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2B888C" w14:textId="77777777" w:rsidR="002C5326" w:rsidRDefault="00C67A8F">
            <w:pPr>
              <w:spacing w:after="60" w:line="300" w:lineRule="auto"/>
            </w:pPr>
            <w:r>
              <w:rPr>
                <w:sz w:val="20"/>
                <w:szCs w:val="20"/>
              </w:rPr>
              <w:t>Standalone reference document defining the outcomes TXN requires AI to deliver for clients and the business, and the metrics by which delivery will be assessed. Related document: Teraflow AI Vision Assessment v1.0.</w:t>
            </w:r>
          </w:p>
        </w:tc>
      </w:tr>
    </w:tbl>
    <w:p w14:paraId="1F146772" w14:textId="77777777" w:rsidR="002C5326" w:rsidRDefault="00C67A8F">
      <w:r>
        <w:br w:type="page"/>
      </w:r>
    </w:p>
    <w:p w14:paraId="6CD14F9C" w14:textId="77777777" w:rsidR="002C5326" w:rsidRDefault="00C67A8F">
      <w:pPr>
        <w:pStyle w:val="Heading1"/>
      </w:pPr>
      <w:bookmarkStart w:id="1" w:name="_Toc230168792"/>
      <w:r>
        <w:lastRenderedPageBreak/>
        <w:t>2. Purpose</w:t>
      </w:r>
      <w:bookmarkEnd w:id="1"/>
    </w:p>
    <w:p w14:paraId="34E813A7" w14:textId="77777777" w:rsidR="002C5326" w:rsidRDefault="00C67A8F">
      <w:r>
        <w:t>This document defines the outcomes TXN requires AI to deliver. It is the upstream reference for all AI-related product, commercial, and messaging decisions: if a proposed AI feature, partnership scope, or marketing claim cannot be traced to an outcome in this document, the connection should be made explicit or the proposal reconsidered.</w:t>
      </w:r>
    </w:p>
    <w:p w14:paraId="4646AA6F" w14:textId="77777777" w:rsidR="002C5326" w:rsidRDefault="00C67A8F">
      <w:r>
        <w:t>The document covers two outcome dimensions: what clients gain from TXN's AI layer (Section 3), and what TXN gains as a business (Section 3.2). Section 4 sets out the measurable success metrics by which delivery against each outcome will be assessed.</w:t>
      </w:r>
    </w:p>
    <w:p w14:paraId="20054A14" w14:textId="77777777" w:rsidR="002C5326" w:rsidRDefault="00C67A8F">
      <w:r>
        <w:t>This document does not assess any specific vendor's delivery against these outcomes. That assessment is held in the companion document, Teraflow AI Vision Assessment v1.0, which maps the Novosapien vision against the outcomes defined here and identifies gaps and recommendations.</w:t>
      </w:r>
    </w:p>
    <w:p w14:paraId="05F7AE5F" w14:textId="77777777" w:rsidR="002C5326" w:rsidRDefault="00C67A8F">
      <w:r>
        <w:t>The underlying principle is that AI is a tool. The outcomes below define what that tool must deliver. Where AI is discussed in TXN's positioning, it should be positioned in terms of these outcomes, not as a technical capability in its own right.</w:t>
      </w:r>
    </w:p>
    <w:p w14:paraId="09E92278" w14:textId="77777777" w:rsidR="002C5326" w:rsidRDefault="00C67A8F">
      <w:r>
        <w:br w:type="page"/>
      </w:r>
    </w:p>
    <w:p w14:paraId="4FDC12A9" w14:textId="77777777" w:rsidR="002C5326" w:rsidRDefault="00C67A8F">
      <w:pPr>
        <w:pStyle w:val="Heading1"/>
      </w:pPr>
      <w:bookmarkStart w:id="2" w:name="_Toc230168793"/>
      <w:r>
        <w:lastRenderedPageBreak/>
        <w:t>3. Target Outcomes Framework</w:t>
      </w:r>
      <w:bookmarkEnd w:id="2"/>
    </w:p>
    <w:p w14:paraId="48C4B8A8" w14:textId="77777777" w:rsidR="002C5326" w:rsidRDefault="00C67A8F">
      <w:r>
        <w:t>The outcomes below define what TXN requires AI to deliver. They are stated from the perspective of the recipient: the client in Section 3.1, the TXN business in Section 3.2. Each outcome has a plain-English statement, a commercial rationale, and the AI mechanism that delivers it.</w:t>
      </w:r>
    </w:p>
    <w:p w14:paraId="3DECE803" w14:textId="77777777" w:rsidR="002C5326" w:rsidRDefault="00C67A8F">
      <w:pPr>
        <w:pStyle w:val="Heading2"/>
      </w:pPr>
      <w:bookmarkStart w:id="3" w:name="_Toc230168794"/>
      <w:r>
        <w:t>3.1 Client Outcomes</w:t>
      </w:r>
      <w:bookmarkEnd w:id="3"/>
    </w:p>
    <w:p w14:paraId="448D92E8" w14:textId="77777777" w:rsidR="002C5326" w:rsidRDefault="00C67A8F">
      <w:pPr>
        <w:pStyle w:val="Heading3"/>
      </w:pPr>
      <w:bookmarkStart w:id="4" w:name="_Toc230168795"/>
      <w:r>
        <w:t>3.1.1 Run a card programme without employing card experts</w:t>
      </w:r>
      <w:bookmarkEnd w:id="4"/>
    </w:p>
    <w:p w14:paraId="0649A3A1" w14:textId="5086E963" w:rsidR="002C5326" w:rsidRDefault="00C67A8F">
      <w:r>
        <w:t xml:space="preserve">A business that signs with TXN should be able to run a sophisticated card programme without hiring </w:t>
      </w:r>
      <w:r w:rsidR="00AE2E57">
        <w:t>anyone who is an existing card expert</w:t>
      </w:r>
      <w:r>
        <w:t>. This covers configuration, ongoing operations, compliance alignment, and programme optimisation.</w:t>
      </w:r>
    </w:p>
    <w:p w14:paraId="521706B1" w14:textId="77777777" w:rsidR="002C5326" w:rsidRDefault="00C67A8F">
      <w:r>
        <w:t>The expertise barrier is the primary reason businesses avoid adding card programmes or are slow to migrate from incumbent processors. Card product configuration involves properties that, without domain knowledge, carry real risk of breaking compliance or disrupting cardholders. AI that wraps those mechanics in business language, explains the impact of every change before it is made, and proposes the right configuration based on programme type removes that barrier.</w:t>
      </w:r>
    </w:p>
    <w:p w14:paraId="58689EC6" w14:textId="77777777" w:rsidR="002C5326" w:rsidRDefault="00C67A8F">
      <w:r>
        <w:t>This is TXN's core positioning claim. Every other outcome in this section supports it.</w:t>
      </w:r>
    </w:p>
    <w:p w14:paraId="409FF00A" w14:textId="77777777" w:rsidR="002C5326" w:rsidRDefault="00C67A8F">
      <w:pPr>
        <w:pStyle w:val="Heading3"/>
      </w:pPr>
      <w:bookmarkStart w:id="5" w:name="_Toc230168796"/>
      <w:r>
        <w:t>3.1.2 Launch in days, not months</w:t>
      </w:r>
      <w:bookmarkEnd w:id="5"/>
    </w:p>
    <w:p w14:paraId="52C88EDE" w14:textId="77777777" w:rsidR="002C5326" w:rsidRDefault="00C67A8F">
      <w:r>
        <w:t>A new card programme historically requires weeks of configuration work, compliance review, and technical integration before the first cardholder can transact. That timeline is a barrier to entry and a commercial drag on clients who want to move quickly.</w:t>
      </w:r>
    </w:p>
    <w:p w14:paraId="731DAF51" w14:textId="77777777" w:rsidR="002C5326" w:rsidRDefault="00C67A8F">
      <w:r>
        <w:t>AI that recognises programme patterns, applies the right configuration automatically, and guides the client through confirmation rather than configuration compresses that timeline from weeks to days. The outcome is measurable: time from contract signature to first live transaction. The target is under ten business days.</w:t>
      </w:r>
    </w:p>
    <w:p w14:paraId="54DB9A01" w14:textId="77777777" w:rsidR="002C5326" w:rsidRDefault="00C67A8F">
      <w:r>
        <w:lastRenderedPageBreak/>
        <w:t>This outcome creates a direct competitive sales point. A prospect weighing TXN against an incumbent processor is not just comparing features; they are comparing when they can be operational.</w:t>
      </w:r>
    </w:p>
    <w:p w14:paraId="07B001A4" w14:textId="77777777" w:rsidR="002C5326" w:rsidRDefault="00C67A8F">
      <w:pPr>
        <w:pStyle w:val="Heading3"/>
      </w:pPr>
      <w:bookmarkStart w:id="6" w:name="_Toc230168797"/>
      <w:r>
        <w:t>3.1.3 Fewer costly errors</w:t>
      </w:r>
      <w:bookmarkEnd w:id="6"/>
    </w:p>
    <w:p w14:paraId="063BABED" w14:textId="6553CE5B" w:rsidR="002C5326" w:rsidRDefault="00C67A8F">
      <w:r>
        <w:t xml:space="preserve">A misconfigured spend control, a compliance rule applied incorrectly, or a programme-wide setting changed without understanding its </w:t>
      </w:r>
      <w:r w:rsidR="00F50E82">
        <w:t>impact</w:t>
      </w:r>
      <w:r>
        <w:t xml:space="preserve"> can result in regulatory exposure, financial loss, or cardholder disruption. These errors arise from exactly the knowledge gap TXN's AI is designed to close.</w:t>
      </w:r>
    </w:p>
    <w:p w14:paraId="3A3F512E" w14:textId="77777777" w:rsidR="002C5326" w:rsidRDefault="00C67A8F">
      <w:r>
        <w:t>The co-pilot that says 'this change will affect 4,000 live cards and triggers a notification obligation under your current regulatory framework' is preventing an error that would otherwise cost the client time and money. The outcome is a reduction in post-launch configuration errors and support escalations driven by misuse or misunderstanding.</w:t>
      </w:r>
    </w:p>
    <w:p w14:paraId="2A1A2063" w14:textId="77777777" w:rsidR="002C5326" w:rsidRDefault="00C67A8F">
      <w:pPr>
        <w:pStyle w:val="Heading3"/>
      </w:pPr>
      <w:bookmarkStart w:id="7" w:name="_Toc230168798"/>
      <w:r>
        <w:t>3.1.4 A programme that actively improves over time</w:t>
      </w:r>
      <w:bookmarkEnd w:id="7"/>
    </w:p>
    <w:p w14:paraId="4759452A" w14:textId="77777777" w:rsidR="002C5326" w:rsidRDefault="00C67A8F">
      <w:r>
        <w:t>The default position for clients on incumbent platforms is reactive: they wait for something to go wrong, or for a periodic review, before learning that their programme could perform better. The AI outcome here is a shift from reactive to proactive. The client's programme surfaces optimisation opportunities automatically, benchmarked against comparable programmes.</w:t>
      </w:r>
    </w:p>
    <w:p w14:paraId="46BF35DF" w14:textId="77777777" w:rsidR="002C5326" w:rsidRDefault="00C67A8F">
      <w:r>
        <w:t>This means lower fraud rates, better P&amp;L performance, and higher cardholder satisfaction without the client needing to request a review or understand the underlying metrics. It is the direct expression of TXN's positioning: 'watch dashboards, watch the money, fine-tune P&amp;L.'</w:t>
      </w:r>
    </w:p>
    <w:p w14:paraId="30828F25" w14:textId="77777777" w:rsidR="002C5326" w:rsidRDefault="00C67A8F">
      <w:pPr>
        <w:pStyle w:val="Heading3"/>
      </w:pPr>
      <w:bookmarkStart w:id="8" w:name="_Toc230168799"/>
      <w:r>
        <w:t>3.1.5 Compliance confidence without regulatory expertise on staff</w:t>
      </w:r>
      <w:bookmarkEnd w:id="8"/>
    </w:p>
    <w:p w14:paraId="1BBA3DD5" w14:textId="77777777" w:rsidR="002C5326" w:rsidRDefault="00C67A8F">
      <w:r>
        <w:t>Regulatory requirements for card programmes vary by jurisdiction, scheme, and product type. A client operating in the UK faces different obligations from one launching across EU markets. The AI outcome is a client who can move into new markets and launch new product types without needing regulatory counsel at every step.</w:t>
      </w:r>
    </w:p>
    <w:p w14:paraId="52E2E17B" w14:textId="77777777" w:rsidR="002C5326" w:rsidRDefault="00C67A8F">
      <w:r>
        <w:lastRenderedPageBreak/>
        <w:t>TXN's AI surfaces applicable requirements, explains what they mean in plain English, and offers to apply them. The client confirms rather than configures. This is compliance confidence, not compliance replacement: TXN does not accept regulatory liability on the client's behalf, but it removes the burden of knowing where to start.</w:t>
      </w:r>
    </w:p>
    <w:p w14:paraId="64F10200" w14:textId="77777777" w:rsidR="002C5326" w:rsidRDefault="002C5326">
      <w:pPr>
        <w:spacing w:after="0" w:line="240" w:lineRule="auto"/>
      </w:pPr>
    </w:p>
    <w:p w14:paraId="0CE69D6F" w14:textId="77777777" w:rsidR="002C5326" w:rsidRDefault="00C67A8F">
      <w:pPr>
        <w:pStyle w:val="Heading2"/>
      </w:pPr>
      <w:bookmarkStart w:id="9" w:name="_Toc230168800"/>
      <w:r>
        <w:t>3.2 TXN Business Outcomes</w:t>
      </w:r>
      <w:bookmarkEnd w:id="9"/>
    </w:p>
    <w:p w14:paraId="0632603A" w14:textId="77777777" w:rsidR="002C5326" w:rsidRDefault="00C67A8F">
      <w:pPr>
        <w:pStyle w:val="Heading3"/>
      </w:pPr>
      <w:bookmarkStart w:id="10" w:name="_Toc230168801"/>
      <w:r>
        <w:t>3.2.1 Scale clients without scaling headcount linearly</w:t>
      </w:r>
      <w:bookmarkEnd w:id="10"/>
    </w:p>
    <w:p w14:paraId="55A24DB0" w14:textId="77777777" w:rsidR="002C5326" w:rsidRDefault="00C67A8F">
      <w:r>
        <w:t>Traditional issuer processors maintain a roughly linear relationship between client numbers and operational headcount: more clients means more implementation managers, more support analysts, more compliance reviewers. That model does not work for a business of TXN's current size, and it does not need to.</w:t>
      </w:r>
    </w:p>
    <w:p w14:paraId="4E8B30C1" w14:textId="77777777" w:rsidR="002C5326" w:rsidRDefault="00C67A8F">
      <w:r>
        <w:t>If AI handles configuration guidance, support triage, compliance surfacing, and ongoing programme management that would otherwise require human resource, TXN can take on significantly more clients with the same team. The relationship between client growth and headcount growth breaks. This is the fundamental business case for the AI investment and must be reflected in TXN's financial model from the outset.</w:t>
      </w:r>
    </w:p>
    <w:p w14:paraId="4CDA3175" w14:textId="77777777" w:rsidR="002C5326" w:rsidRDefault="00C67A8F">
      <w:pPr>
        <w:pStyle w:val="Heading3"/>
      </w:pPr>
      <w:bookmarkStart w:id="11" w:name="_Toc230168802"/>
      <w:r>
        <w:t>3.2.2 Shorter time from contract to live programme</w:t>
      </w:r>
      <w:bookmarkEnd w:id="11"/>
    </w:p>
    <w:p w14:paraId="69A82B12" w14:textId="77777777" w:rsidR="002C5326" w:rsidRDefault="00C67A8F">
      <w:r>
        <w:t>Faster onboarding has two commercial effects. First, it accelerates revenue recognition: a programme that goes live in days rather than months generates transaction revenue sooner. Second, it produces reference customers faster. A client who is live and successfully transacting within two weeks of signing is a reference TXN can use in the next sales conversation.</w:t>
      </w:r>
    </w:p>
    <w:p w14:paraId="73893C02" w14:textId="77777777" w:rsidR="002C5326" w:rsidRDefault="00C67A8F">
      <w:r>
        <w:t>Given TXN is pre-launch, those early reference points are disproportionately valuable. The first three clients are not just revenue: they are proof that the platform works and the AI-guided onboarding delivers what it promises.</w:t>
      </w:r>
    </w:p>
    <w:p w14:paraId="72D01D32" w14:textId="77777777" w:rsidR="002C5326" w:rsidRDefault="00C67A8F">
      <w:pPr>
        <w:pStyle w:val="Heading3"/>
      </w:pPr>
      <w:bookmarkStart w:id="12" w:name="_Toc230168803"/>
      <w:r>
        <w:t>3.2.3 Continuous product intelligence</w:t>
      </w:r>
      <w:bookmarkEnd w:id="12"/>
    </w:p>
    <w:p w14:paraId="34FD0CC3" w14:textId="77777777" w:rsidR="002C5326" w:rsidRDefault="00C67A8F">
      <w:r>
        <w:lastRenderedPageBreak/>
        <w:t>Every question the support chatbot cannot answer, every configuration step where a client gets stuck, every support ticket that escalates despite AI triage: these are signals that identify exactly where the product needs to improve. Traditional platforms conduct user research on a quarterly or annual basis. TXN's AI layer generates that research continuously, as a byproduct of operating the platform.</w:t>
      </w:r>
    </w:p>
    <w:p w14:paraId="6ADF6995" w14:textId="77777777" w:rsidR="002C5326" w:rsidRDefault="00C67A8F">
      <w:r>
        <w:t>Product investment decisions become data-driven from day one, not from the point at which TXN can afford a dedicated research function. The intelligence loop closes faster, and the product improves faster as a result.</w:t>
      </w:r>
    </w:p>
    <w:p w14:paraId="17E263AE" w14:textId="77777777" w:rsidR="002C5326" w:rsidRDefault="00C67A8F">
      <w:pPr>
        <w:pStyle w:val="Heading3"/>
      </w:pPr>
      <w:bookmarkStart w:id="13" w:name="_Toc230168804"/>
      <w:r>
        <w:t>3.2.4 A compounding data advantage</w:t>
      </w:r>
      <w:bookmarkEnd w:id="13"/>
    </w:p>
    <w:p w14:paraId="6316C8ED" w14:textId="77777777" w:rsidR="002C5326" w:rsidRDefault="00C67A8F">
      <w:r>
        <w:t>As transaction volume accumulates across TXN's client base, the AI's ability to benchmark, detect anomalies, and recommend improvements compounds. Recommendations that begin as pattern-matching across similar programme configurations become, over time, grounded in actual transaction data from live programmes.</w:t>
      </w:r>
    </w:p>
    <w:p w14:paraId="7C270735" w14:textId="77777777" w:rsidR="002C5326" w:rsidRDefault="00C67A8F">
      <w:r>
        <w:t>This advantage cannot be bought or copied quickly. A competitor can match TXN's AI architecture in twelve months; they cannot manufacture the data history that makes TXN's cross-programme recommendations credible. This is the most defensible long-term advantage in the platform, and the product strategy should be oriented around reaching the data thresholds at which this advantage becomes visible as quickly as possible.</w:t>
      </w:r>
    </w:p>
    <w:p w14:paraId="004C77AA" w14:textId="77777777" w:rsidR="002C5326" w:rsidRDefault="00C67A8F">
      <w:pPr>
        <w:pStyle w:val="Heading3"/>
      </w:pPr>
      <w:bookmarkStart w:id="14" w:name="_Toc230168805"/>
      <w:r>
        <w:t>3.2.5 Stickier client relationships</w:t>
      </w:r>
      <w:bookmarkEnd w:id="14"/>
    </w:p>
    <w:p w14:paraId="10976E88" w14:textId="77777777" w:rsidR="002C5326" w:rsidRDefault="00C67A8F">
      <w:r>
        <w:t>A client whose AI layer has learned their programme, their team's approval workflows, their risk preferences, and their sector's benchmarks has a meaningful switching cost that a pure API integration does not create. The commercial implication is lower churn and stronger renewal conversations.</w:t>
      </w:r>
    </w:p>
    <w:p w14:paraId="1C780C9C" w14:textId="77777777" w:rsidR="002C5326" w:rsidRDefault="00C67A8F">
      <w:r>
        <w:t>The value a client loses by switching is not just API access. It is the institutional knowledge embedded in the AI layer, the benchmarking context built from their transaction history, and the configuration intelligence accumulated from months of programme operation. That combination creates retention that is structural, not relationship-dependent.</w:t>
      </w:r>
    </w:p>
    <w:p w14:paraId="44887D2B" w14:textId="77777777" w:rsidR="002C5326" w:rsidRDefault="00C67A8F">
      <w:r>
        <w:br w:type="page"/>
      </w:r>
    </w:p>
    <w:p w14:paraId="4336A506" w14:textId="77777777" w:rsidR="002C5326" w:rsidRDefault="00C67A8F">
      <w:pPr>
        <w:pStyle w:val="Heading1"/>
      </w:pPr>
      <w:bookmarkStart w:id="15" w:name="_Toc230168806"/>
      <w:r>
        <w:lastRenderedPageBreak/>
        <w:t>4. AI Success Metrics</w:t>
      </w:r>
      <w:bookmarkEnd w:id="15"/>
    </w:p>
    <w:p w14:paraId="2265BF2F" w14:textId="77777777" w:rsidR="002C5326" w:rsidRDefault="00C67A8F">
      <w:r>
        <w:t>The metrics below are the starting point for how TXN will assess whether AI is delivering the target outcomes. They are not a fixed register: as the platform matures and client data accumulates, some metrics will become measurable for the first time and others will require revision.</w:t>
      </w:r>
    </w:p>
    <w:p w14:paraId="3464260C" w14:textId="77777777" w:rsidR="002C5326" w:rsidRDefault="00C67A8F">
      <w:r>
        <w:t>A quarterly metrics review should be established between TXN and its AI delivery partner from the point of first client launch. The review should assess progress against targets, identify metrics that are not yet measurable, and agree any adjustments. The metrics register should be versioned alongside this document.</w:t>
      </w:r>
    </w:p>
    <w:p w14:paraId="01146824" w14:textId="77777777" w:rsidR="002C5326" w:rsidRDefault="00C67A8F">
      <w:pPr>
        <w:pStyle w:val="Heading2"/>
      </w:pPr>
      <w:bookmarkStart w:id="16" w:name="_Toc230168807"/>
      <w:r>
        <w:t>4.1 Client Outcome Metrics</w:t>
      </w:r>
      <w:bookmarkEnd w:id="16"/>
    </w:p>
    <w:p w14:paraId="06EBCF06" w14:textId="77777777" w:rsidR="002C5326" w:rsidRDefault="002C5326">
      <w:pPr>
        <w:spacing w:after="0" w:line="24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000"/>
        <w:gridCol w:w="2226"/>
        <w:gridCol w:w="1500"/>
      </w:tblGrid>
      <w:tr w:rsidR="002C5326" w14:paraId="39F17F7E" w14:textId="77777777">
        <w:trPr>
          <w:tblHeader/>
        </w:trPr>
        <w:tc>
          <w:tcPr>
            <w:tcW w:w="2300" w:type="dxa"/>
            <w:tcBorders>
              <w:top w:val="single" w:sz="1" w:space="0" w:color="CCCCCC"/>
              <w:left w:val="single" w:sz="1" w:space="0" w:color="CCCCCC"/>
              <w:bottom w:val="single" w:sz="1" w:space="0" w:color="CCCCCC"/>
              <w:right w:val="single" w:sz="1" w:space="0" w:color="CCCCCC"/>
            </w:tcBorders>
            <w:shd w:val="clear" w:color="auto" w:fill="003865"/>
            <w:tcMar>
              <w:top w:w="80" w:type="dxa"/>
              <w:left w:w="120" w:type="dxa"/>
              <w:bottom w:w="80" w:type="dxa"/>
              <w:right w:w="120" w:type="dxa"/>
            </w:tcMar>
          </w:tcPr>
          <w:p w14:paraId="1F71D786" w14:textId="77777777" w:rsidR="002C5326" w:rsidRDefault="00C67A8F">
            <w:pPr>
              <w:spacing w:after="60" w:line="300" w:lineRule="auto"/>
            </w:pPr>
            <w:r>
              <w:rPr>
                <w:b/>
                <w:bCs/>
                <w:color w:val="FFFFFF"/>
                <w:sz w:val="20"/>
                <w:szCs w:val="20"/>
              </w:rPr>
              <w:t>Outcome</w:t>
            </w:r>
          </w:p>
        </w:tc>
        <w:tc>
          <w:tcPr>
            <w:tcW w:w="3000" w:type="dxa"/>
            <w:tcBorders>
              <w:top w:val="single" w:sz="1" w:space="0" w:color="CCCCCC"/>
              <w:left w:val="single" w:sz="1" w:space="0" w:color="CCCCCC"/>
              <w:bottom w:val="single" w:sz="1" w:space="0" w:color="CCCCCC"/>
              <w:right w:val="single" w:sz="1" w:space="0" w:color="CCCCCC"/>
            </w:tcBorders>
            <w:shd w:val="clear" w:color="auto" w:fill="003865"/>
            <w:tcMar>
              <w:top w:w="80" w:type="dxa"/>
              <w:left w:w="120" w:type="dxa"/>
              <w:bottom w:w="80" w:type="dxa"/>
              <w:right w:w="120" w:type="dxa"/>
            </w:tcMar>
          </w:tcPr>
          <w:p w14:paraId="6D65F373" w14:textId="77777777" w:rsidR="002C5326" w:rsidRDefault="00C67A8F">
            <w:pPr>
              <w:spacing w:after="60" w:line="300" w:lineRule="auto"/>
            </w:pPr>
            <w:r>
              <w:rPr>
                <w:b/>
                <w:bCs/>
                <w:color w:val="FFFFFF"/>
                <w:sz w:val="20"/>
                <w:szCs w:val="20"/>
              </w:rPr>
              <w:t>Metric</w:t>
            </w:r>
          </w:p>
        </w:tc>
        <w:tc>
          <w:tcPr>
            <w:tcW w:w="2226" w:type="dxa"/>
            <w:tcBorders>
              <w:top w:val="single" w:sz="1" w:space="0" w:color="CCCCCC"/>
              <w:left w:val="single" w:sz="1" w:space="0" w:color="CCCCCC"/>
              <w:bottom w:val="single" w:sz="1" w:space="0" w:color="CCCCCC"/>
              <w:right w:val="single" w:sz="1" w:space="0" w:color="CCCCCC"/>
            </w:tcBorders>
            <w:shd w:val="clear" w:color="auto" w:fill="003865"/>
            <w:tcMar>
              <w:top w:w="80" w:type="dxa"/>
              <w:left w:w="120" w:type="dxa"/>
              <w:bottom w:w="80" w:type="dxa"/>
              <w:right w:w="120" w:type="dxa"/>
            </w:tcMar>
          </w:tcPr>
          <w:p w14:paraId="7B397B12" w14:textId="77777777" w:rsidR="002C5326" w:rsidRDefault="00C67A8F">
            <w:pPr>
              <w:spacing w:after="60" w:line="300" w:lineRule="auto"/>
            </w:pPr>
            <w:r>
              <w:rPr>
                <w:b/>
                <w:bCs/>
                <w:color w:val="FFFFFF"/>
                <w:sz w:val="20"/>
                <w:szCs w:val="20"/>
              </w:rPr>
              <w:t>Target</w:t>
            </w:r>
          </w:p>
        </w:tc>
        <w:tc>
          <w:tcPr>
            <w:tcW w:w="1500" w:type="dxa"/>
            <w:tcBorders>
              <w:top w:val="single" w:sz="1" w:space="0" w:color="CCCCCC"/>
              <w:left w:val="single" w:sz="1" w:space="0" w:color="CCCCCC"/>
              <w:bottom w:val="single" w:sz="1" w:space="0" w:color="CCCCCC"/>
              <w:right w:val="single" w:sz="1" w:space="0" w:color="CCCCCC"/>
            </w:tcBorders>
            <w:shd w:val="clear" w:color="auto" w:fill="003865"/>
            <w:tcMar>
              <w:top w:w="80" w:type="dxa"/>
              <w:left w:w="120" w:type="dxa"/>
              <w:bottom w:w="80" w:type="dxa"/>
              <w:right w:w="120" w:type="dxa"/>
            </w:tcMar>
          </w:tcPr>
          <w:p w14:paraId="67336689" w14:textId="77777777" w:rsidR="002C5326" w:rsidRDefault="00C67A8F">
            <w:pPr>
              <w:spacing w:after="60" w:line="300" w:lineRule="auto"/>
            </w:pPr>
            <w:r>
              <w:rPr>
                <w:b/>
                <w:bCs/>
                <w:color w:val="FFFFFF"/>
                <w:sz w:val="20"/>
                <w:szCs w:val="20"/>
              </w:rPr>
              <w:t>Review cadence</w:t>
            </w:r>
          </w:p>
        </w:tc>
      </w:tr>
      <w:tr w:rsidR="002C5326" w14:paraId="3E460CCE" w14:textId="77777777">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B4E9EE" w14:textId="77777777" w:rsidR="002C5326" w:rsidRDefault="00C67A8F">
            <w:pPr>
              <w:spacing w:after="60" w:line="300" w:lineRule="auto"/>
            </w:pPr>
            <w:r>
              <w:rPr>
                <w:sz w:val="20"/>
                <w:szCs w:val="20"/>
              </w:rPr>
              <w:t>Run without card experts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7F0B2E" w14:textId="77777777" w:rsidR="002C5326" w:rsidRDefault="00C67A8F">
            <w:pPr>
              <w:spacing w:after="60" w:line="300" w:lineRule="auto"/>
            </w:pPr>
            <w:r>
              <w:rPr>
                <w:sz w:val="20"/>
                <w:szCs w:val="20"/>
              </w:rPr>
              <w:t>% of programme configurations completed without TXN support intervention</w:t>
            </w:r>
          </w:p>
        </w:tc>
        <w:tc>
          <w:tcPr>
            <w:tcW w:w="2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DCB4A3" w14:textId="77777777" w:rsidR="002C5326" w:rsidRDefault="00C67A8F">
            <w:pPr>
              <w:spacing w:after="60" w:line="300" w:lineRule="auto"/>
            </w:pPr>
            <w:r>
              <w:rPr>
                <w:sz w:val="20"/>
                <w:szCs w:val="20"/>
              </w:rPr>
              <w:t>80% within 6 months of launch</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0A96BF" w14:textId="77777777" w:rsidR="002C5326" w:rsidRDefault="00C67A8F">
            <w:pPr>
              <w:spacing w:after="60" w:line="300" w:lineRule="auto"/>
            </w:pPr>
            <w:r>
              <w:rPr>
                <w:sz w:val="20"/>
                <w:szCs w:val="20"/>
              </w:rPr>
              <w:t>Monthly</w:t>
            </w:r>
          </w:p>
        </w:tc>
      </w:tr>
      <w:tr w:rsidR="002C5326" w14:paraId="22C88A20" w14:textId="77777777">
        <w:tc>
          <w:tcPr>
            <w:tcW w:w="2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661893" w14:textId="77777777" w:rsidR="002C5326" w:rsidRDefault="00C67A8F">
            <w:pPr>
              <w:spacing w:after="60" w:line="300" w:lineRule="auto"/>
            </w:pPr>
            <w:r>
              <w:rPr>
                <w:sz w:val="20"/>
                <w:szCs w:val="20"/>
              </w:rPr>
              <w:t>Launch in days</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C97BCC" w14:textId="77777777" w:rsidR="002C5326" w:rsidRDefault="00C67A8F">
            <w:pPr>
              <w:spacing w:after="60" w:line="300" w:lineRule="auto"/>
            </w:pPr>
            <w:r>
              <w:rPr>
                <w:sz w:val="20"/>
                <w:szCs w:val="20"/>
              </w:rPr>
              <w:t>Time from contract signature to first live transaction</w:t>
            </w:r>
          </w:p>
        </w:tc>
        <w:tc>
          <w:tcPr>
            <w:tcW w:w="2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9F0405" w14:textId="77777777" w:rsidR="002C5326" w:rsidRDefault="00C67A8F">
            <w:pPr>
              <w:spacing w:after="60" w:line="300" w:lineRule="auto"/>
            </w:pPr>
            <w:r>
              <w:rPr>
                <w:sz w:val="20"/>
                <w:szCs w:val="20"/>
              </w:rPr>
              <w:t>Under 10 business days per client</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6A1587" w14:textId="77777777" w:rsidR="002C5326" w:rsidRDefault="00C67A8F">
            <w:pPr>
              <w:spacing w:after="60" w:line="300" w:lineRule="auto"/>
            </w:pPr>
            <w:r>
              <w:rPr>
                <w:sz w:val="20"/>
                <w:szCs w:val="20"/>
              </w:rPr>
              <w:t>Per client</w:t>
            </w:r>
          </w:p>
        </w:tc>
      </w:tr>
      <w:tr w:rsidR="002C5326" w14:paraId="5284262A" w14:textId="77777777">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67BC4E" w14:textId="77777777" w:rsidR="002C5326" w:rsidRDefault="00C67A8F">
            <w:pPr>
              <w:spacing w:after="60" w:line="300" w:lineRule="auto"/>
            </w:pPr>
            <w:r>
              <w:rPr>
                <w:sz w:val="20"/>
                <w:szCs w:val="20"/>
              </w:rPr>
              <w:t>Fewer costly errors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AFA52C" w14:textId="77777777" w:rsidR="002C5326" w:rsidRDefault="00C67A8F">
            <w:pPr>
              <w:spacing w:after="60" w:line="300" w:lineRule="auto"/>
            </w:pPr>
            <w:r>
              <w:rPr>
                <w:sz w:val="20"/>
                <w:szCs w:val="20"/>
              </w:rPr>
              <w:t>Post-launch configuration errors per client in first 90 days</w:t>
            </w:r>
          </w:p>
        </w:tc>
        <w:tc>
          <w:tcPr>
            <w:tcW w:w="2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60629A" w14:textId="77777777" w:rsidR="002C5326" w:rsidRDefault="00C67A8F">
            <w:pPr>
              <w:spacing w:after="60" w:line="300" w:lineRule="auto"/>
            </w:pPr>
            <w:r>
              <w:rPr>
                <w:sz w:val="20"/>
                <w:szCs w:val="20"/>
              </w:rPr>
              <w:t>Fewer than 2 per client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B381B8" w14:textId="77777777" w:rsidR="002C5326" w:rsidRDefault="00C67A8F">
            <w:pPr>
              <w:spacing w:after="60" w:line="300" w:lineRule="auto"/>
            </w:pPr>
            <w:r>
              <w:rPr>
                <w:sz w:val="20"/>
                <w:szCs w:val="20"/>
              </w:rPr>
              <w:t>Quarterly</w:t>
            </w:r>
          </w:p>
        </w:tc>
      </w:tr>
      <w:tr w:rsidR="002C5326" w14:paraId="5E8ADCC0" w14:textId="77777777">
        <w:tc>
          <w:tcPr>
            <w:tcW w:w="2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B90D8C" w14:textId="77777777" w:rsidR="002C5326" w:rsidRDefault="00C67A8F">
            <w:pPr>
              <w:spacing w:after="60" w:line="300" w:lineRule="auto"/>
            </w:pPr>
            <w:r>
              <w:rPr>
                <w:sz w:val="20"/>
                <w:szCs w:val="20"/>
              </w:rPr>
              <w:t>Programme improvement</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498A1B" w14:textId="77777777" w:rsidR="002C5326" w:rsidRDefault="00C67A8F">
            <w:pPr>
              <w:spacing w:after="60" w:line="300" w:lineRule="auto"/>
            </w:pPr>
            <w:r>
              <w:rPr>
                <w:sz w:val="20"/>
                <w:szCs w:val="20"/>
              </w:rPr>
              <w:t>% of AI-surfaced recommendations accepted by clients</w:t>
            </w:r>
          </w:p>
        </w:tc>
        <w:tc>
          <w:tcPr>
            <w:tcW w:w="2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43E3E9" w14:textId="77777777" w:rsidR="002C5326" w:rsidRDefault="00C67A8F">
            <w:pPr>
              <w:spacing w:after="60" w:line="300" w:lineRule="auto"/>
            </w:pPr>
            <w:r>
              <w:rPr>
                <w:sz w:val="20"/>
                <w:szCs w:val="20"/>
              </w:rPr>
              <w:t>60% or above</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8B1AAA" w14:textId="77777777" w:rsidR="002C5326" w:rsidRDefault="00C67A8F">
            <w:pPr>
              <w:spacing w:after="60" w:line="300" w:lineRule="auto"/>
            </w:pPr>
            <w:r>
              <w:rPr>
                <w:sz w:val="20"/>
                <w:szCs w:val="20"/>
              </w:rPr>
              <w:t>Quarterly</w:t>
            </w:r>
          </w:p>
        </w:tc>
      </w:tr>
      <w:tr w:rsidR="002C5326" w14:paraId="575E01BD" w14:textId="77777777">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43884C" w14:textId="77777777" w:rsidR="002C5326" w:rsidRDefault="00C67A8F">
            <w:pPr>
              <w:spacing w:after="60" w:line="300" w:lineRule="auto"/>
            </w:pPr>
            <w:r>
              <w:rPr>
                <w:sz w:val="20"/>
                <w:szCs w:val="20"/>
              </w:rPr>
              <w:t>Compliance confidence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D07739" w14:textId="77777777" w:rsidR="002C5326" w:rsidRDefault="00C67A8F">
            <w:pPr>
              <w:spacing w:after="60" w:line="300" w:lineRule="auto"/>
            </w:pPr>
            <w:r>
              <w:rPr>
                <w:sz w:val="20"/>
                <w:szCs w:val="20"/>
              </w:rPr>
              <w:t>% of jurisdiction-specific requirements auto-applied without manual TXN review</w:t>
            </w:r>
          </w:p>
        </w:tc>
        <w:tc>
          <w:tcPr>
            <w:tcW w:w="2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7A6E3F" w14:textId="77777777" w:rsidR="002C5326" w:rsidRDefault="00C67A8F">
            <w:pPr>
              <w:spacing w:after="60" w:line="300" w:lineRule="auto"/>
            </w:pPr>
            <w:r>
              <w:rPr>
                <w:sz w:val="20"/>
                <w:szCs w:val="20"/>
              </w:rPr>
              <w:t>75% within 12 months of launch</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E424A0" w14:textId="77777777" w:rsidR="002C5326" w:rsidRDefault="00C67A8F">
            <w:pPr>
              <w:spacing w:after="60" w:line="300" w:lineRule="auto"/>
            </w:pPr>
            <w:r>
              <w:rPr>
                <w:sz w:val="20"/>
                <w:szCs w:val="20"/>
              </w:rPr>
              <w:t>Quarterly</w:t>
            </w:r>
          </w:p>
        </w:tc>
      </w:tr>
    </w:tbl>
    <w:p w14:paraId="4C7593FD" w14:textId="77777777" w:rsidR="002C5326" w:rsidRDefault="00C67A8F">
      <w:pPr>
        <w:pStyle w:val="Heading2"/>
      </w:pPr>
      <w:bookmarkStart w:id="17" w:name="_Toc230168808"/>
      <w:r>
        <w:t>4.2 TXN Business Outcome Metrics</w:t>
      </w:r>
      <w:bookmarkEnd w:id="17"/>
    </w:p>
    <w:p w14:paraId="55BB3311" w14:textId="77777777" w:rsidR="002C5326" w:rsidRDefault="002C5326">
      <w:pPr>
        <w:spacing w:after="0" w:line="24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000"/>
        <w:gridCol w:w="2226"/>
        <w:gridCol w:w="1500"/>
      </w:tblGrid>
      <w:tr w:rsidR="002C5326" w14:paraId="61DE8B5E" w14:textId="77777777">
        <w:trPr>
          <w:tblHeader/>
        </w:trPr>
        <w:tc>
          <w:tcPr>
            <w:tcW w:w="2300" w:type="dxa"/>
            <w:tcBorders>
              <w:top w:val="single" w:sz="1" w:space="0" w:color="CCCCCC"/>
              <w:left w:val="single" w:sz="1" w:space="0" w:color="CCCCCC"/>
              <w:bottom w:val="single" w:sz="1" w:space="0" w:color="CCCCCC"/>
              <w:right w:val="single" w:sz="1" w:space="0" w:color="CCCCCC"/>
            </w:tcBorders>
            <w:shd w:val="clear" w:color="auto" w:fill="003865"/>
            <w:tcMar>
              <w:top w:w="80" w:type="dxa"/>
              <w:left w:w="120" w:type="dxa"/>
              <w:bottom w:w="80" w:type="dxa"/>
              <w:right w:w="120" w:type="dxa"/>
            </w:tcMar>
          </w:tcPr>
          <w:p w14:paraId="09A2EB12" w14:textId="77777777" w:rsidR="002C5326" w:rsidRDefault="00C67A8F">
            <w:pPr>
              <w:spacing w:after="60" w:line="300" w:lineRule="auto"/>
            </w:pPr>
            <w:r>
              <w:rPr>
                <w:b/>
                <w:bCs/>
                <w:color w:val="FFFFFF"/>
                <w:sz w:val="20"/>
                <w:szCs w:val="20"/>
              </w:rPr>
              <w:t>Outcome</w:t>
            </w:r>
          </w:p>
        </w:tc>
        <w:tc>
          <w:tcPr>
            <w:tcW w:w="3000" w:type="dxa"/>
            <w:tcBorders>
              <w:top w:val="single" w:sz="1" w:space="0" w:color="CCCCCC"/>
              <w:left w:val="single" w:sz="1" w:space="0" w:color="CCCCCC"/>
              <w:bottom w:val="single" w:sz="1" w:space="0" w:color="CCCCCC"/>
              <w:right w:val="single" w:sz="1" w:space="0" w:color="CCCCCC"/>
            </w:tcBorders>
            <w:shd w:val="clear" w:color="auto" w:fill="003865"/>
            <w:tcMar>
              <w:top w:w="80" w:type="dxa"/>
              <w:left w:w="120" w:type="dxa"/>
              <w:bottom w:w="80" w:type="dxa"/>
              <w:right w:w="120" w:type="dxa"/>
            </w:tcMar>
          </w:tcPr>
          <w:p w14:paraId="4A20C77D" w14:textId="77777777" w:rsidR="002C5326" w:rsidRDefault="00C67A8F">
            <w:pPr>
              <w:spacing w:after="60" w:line="300" w:lineRule="auto"/>
            </w:pPr>
            <w:r>
              <w:rPr>
                <w:b/>
                <w:bCs/>
                <w:color w:val="FFFFFF"/>
                <w:sz w:val="20"/>
                <w:szCs w:val="20"/>
              </w:rPr>
              <w:t>Metric</w:t>
            </w:r>
          </w:p>
        </w:tc>
        <w:tc>
          <w:tcPr>
            <w:tcW w:w="2226" w:type="dxa"/>
            <w:tcBorders>
              <w:top w:val="single" w:sz="1" w:space="0" w:color="CCCCCC"/>
              <w:left w:val="single" w:sz="1" w:space="0" w:color="CCCCCC"/>
              <w:bottom w:val="single" w:sz="1" w:space="0" w:color="CCCCCC"/>
              <w:right w:val="single" w:sz="1" w:space="0" w:color="CCCCCC"/>
            </w:tcBorders>
            <w:shd w:val="clear" w:color="auto" w:fill="003865"/>
            <w:tcMar>
              <w:top w:w="80" w:type="dxa"/>
              <w:left w:w="120" w:type="dxa"/>
              <w:bottom w:w="80" w:type="dxa"/>
              <w:right w:w="120" w:type="dxa"/>
            </w:tcMar>
          </w:tcPr>
          <w:p w14:paraId="6691D7DB" w14:textId="77777777" w:rsidR="002C5326" w:rsidRDefault="00C67A8F">
            <w:pPr>
              <w:spacing w:after="60" w:line="300" w:lineRule="auto"/>
            </w:pPr>
            <w:r>
              <w:rPr>
                <w:b/>
                <w:bCs/>
                <w:color w:val="FFFFFF"/>
                <w:sz w:val="20"/>
                <w:szCs w:val="20"/>
              </w:rPr>
              <w:t>Target</w:t>
            </w:r>
          </w:p>
        </w:tc>
        <w:tc>
          <w:tcPr>
            <w:tcW w:w="1500" w:type="dxa"/>
            <w:tcBorders>
              <w:top w:val="single" w:sz="1" w:space="0" w:color="CCCCCC"/>
              <w:left w:val="single" w:sz="1" w:space="0" w:color="CCCCCC"/>
              <w:bottom w:val="single" w:sz="1" w:space="0" w:color="CCCCCC"/>
              <w:right w:val="single" w:sz="1" w:space="0" w:color="CCCCCC"/>
            </w:tcBorders>
            <w:shd w:val="clear" w:color="auto" w:fill="003865"/>
            <w:tcMar>
              <w:top w:w="80" w:type="dxa"/>
              <w:left w:w="120" w:type="dxa"/>
              <w:bottom w:w="80" w:type="dxa"/>
              <w:right w:w="120" w:type="dxa"/>
            </w:tcMar>
          </w:tcPr>
          <w:p w14:paraId="0412D769" w14:textId="77777777" w:rsidR="002C5326" w:rsidRDefault="00C67A8F">
            <w:pPr>
              <w:spacing w:after="60" w:line="300" w:lineRule="auto"/>
            </w:pPr>
            <w:r>
              <w:rPr>
                <w:b/>
                <w:bCs/>
                <w:color w:val="FFFFFF"/>
                <w:sz w:val="20"/>
                <w:szCs w:val="20"/>
              </w:rPr>
              <w:t>Review cadence</w:t>
            </w:r>
          </w:p>
        </w:tc>
      </w:tr>
      <w:tr w:rsidR="002C5326" w14:paraId="513FAB58" w14:textId="77777777">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958624" w14:textId="77777777" w:rsidR="002C5326" w:rsidRDefault="00C67A8F">
            <w:pPr>
              <w:spacing w:after="60" w:line="300" w:lineRule="auto"/>
            </w:pPr>
            <w:r>
              <w:rPr>
                <w:sz w:val="20"/>
                <w:szCs w:val="20"/>
              </w:rPr>
              <w:t>Scale without headcount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47E99F" w14:textId="77777777" w:rsidR="002C5326" w:rsidRDefault="00C67A8F">
            <w:pPr>
              <w:spacing w:after="60" w:line="300" w:lineRule="auto"/>
            </w:pPr>
            <w:r>
              <w:rPr>
                <w:sz w:val="20"/>
                <w:szCs w:val="20"/>
              </w:rPr>
              <w:t>Client-to-operational headcount ratio</w:t>
            </w:r>
          </w:p>
        </w:tc>
        <w:tc>
          <w:tcPr>
            <w:tcW w:w="2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DA4ABB" w14:textId="77777777" w:rsidR="002C5326" w:rsidRDefault="00C67A8F">
            <w:pPr>
              <w:spacing w:after="60" w:line="300" w:lineRule="auto"/>
            </w:pPr>
            <w:r>
              <w:rPr>
                <w:sz w:val="20"/>
                <w:szCs w:val="20"/>
              </w:rPr>
              <w:t>10:1 within 18 months of launch</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71DD32" w14:textId="77777777" w:rsidR="002C5326" w:rsidRDefault="00C67A8F">
            <w:pPr>
              <w:spacing w:after="60" w:line="300" w:lineRule="auto"/>
            </w:pPr>
            <w:r>
              <w:rPr>
                <w:sz w:val="20"/>
                <w:szCs w:val="20"/>
              </w:rPr>
              <w:t>Quarterly</w:t>
            </w:r>
          </w:p>
        </w:tc>
      </w:tr>
      <w:tr w:rsidR="002C5326" w14:paraId="064ED006" w14:textId="77777777">
        <w:tc>
          <w:tcPr>
            <w:tcW w:w="2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9D2331" w14:textId="77777777" w:rsidR="002C5326" w:rsidRDefault="00C67A8F">
            <w:pPr>
              <w:spacing w:after="60" w:line="300" w:lineRule="auto"/>
            </w:pPr>
            <w:r>
              <w:rPr>
                <w:sz w:val="20"/>
                <w:szCs w:val="20"/>
              </w:rPr>
              <w:t>Shorter time to revenue</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5BC892" w14:textId="77777777" w:rsidR="002C5326" w:rsidRDefault="00C67A8F">
            <w:pPr>
              <w:spacing w:after="60" w:line="300" w:lineRule="auto"/>
            </w:pPr>
            <w:r>
              <w:rPr>
                <w:sz w:val="20"/>
                <w:szCs w:val="20"/>
              </w:rPr>
              <w:t>Average days from contract to first live transaction</w:t>
            </w:r>
          </w:p>
        </w:tc>
        <w:tc>
          <w:tcPr>
            <w:tcW w:w="2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2A649A" w14:textId="77777777" w:rsidR="002C5326" w:rsidRDefault="00C67A8F">
            <w:pPr>
              <w:spacing w:after="60" w:line="300" w:lineRule="auto"/>
            </w:pPr>
            <w:r>
              <w:rPr>
                <w:sz w:val="20"/>
                <w:szCs w:val="20"/>
              </w:rPr>
              <w:t>Under 10 business days</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62406F" w14:textId="77777777" w:rsidR="002C5326" w:rsidRDefault="00C67A8F">
            <w:pPr>
              <w:spacing w:after="60" w:line="300" w:lineRule="auto"/>
            </w:pPr>
            <w:r>
              <w:rPr>
                <w:sz w:val="20"/>
                <w:szCs w:val="20"/>
              </w:rPr>
              <w:t>Monthly</w:t>
            </w:r>
          </w:p>
        </w:tc>
      </w:tr>
      <w:tr w:rsidR="002C5326" w14:paraId="06D64219" w14:textId="77777777">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8F26A9" w14:textId="77777777" w:rsidR="002C5326" w:rsidRDefault="00C67A8F">
            <w:pPr>
              <w:spacing w:after="60" w:line="300" w:lineRule="auto"/>
            </w:pPr>
            <w:r>
              <w:rPr>
                <w:sz w:val="20"/>
                <w:szCs w:val="20"/>
              </w:rPr>
              <w:t>Product intelligence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CAE8E0" w14:textId="77777777" w:rsidR="002C5326" w:rsidRDefault="00C67A8F">
            <w:pPr>
              <w:spacing w:after="60" w:line="300" w:lineRule="auto"/>
            </w:pPr>
            <w:r>
              <w:rPr>
                <w:sz w:val="20"/>
                <w:szCs w:val="20"/>
              </w:rPr>
              <w:t>% of support tickets resolved by AI without human escalation</w:t>
            </w:r>
          </w:p>
        </w:tc>
        <w:tc>
          <w:tcPr>
            <w:tcW w:w="2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54BE27" w14:textId="77777777" w:rsidR="002C5326" w:rsidRDefault="00C67A8F">
            <w:pPr>
              <w:spacing w:after="60" w:line="300" w:lineRule="auto"/>
            </w:pPr>
            <w:r>
              <w:rPr>
                <w:sz w:val="20"/>
                <w:szCs w:val="20"/>
              </w:rPr>
              <w:t>70% within 12 months of launch</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0FC3C5" w14:textId="77777777" w:rsidR="002C5326" w:rsidRDefault="00C67A8F">
            <w:pPr>
              <w:spacing w:after="60" w:line="300" w:lineRule="auto"/>
            </w:pPr>
            <w:r>
              <w:rPr>
                <w:sz w:val="20"/>
                <w:szCs w:val="20"/>
              </w:rPr>
              <w:t>Monthly</w:t>
            </w:r>
          </w:p>
        </w:tc>
      </w:tr>
      <w:tr w:rsidR="002C5326" w14:paraId="02A178B2" w14:textId="77777777">
        <w:tc>
          <w:tcPr>
            <w:tcW w:w="2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B27147" w14:textId="77777777" w:rsidR="002C5326" w:rsidRDefault="00C67A8F">
            <w:pPr>
              <w:spacing w:after="60" w:line="300" w:lineRule="auto"/>
            </w:pPr>
            <w:r>
              <w:rPr>
                <w:sz w:val="20"/>
                <w:szCs w:val="20"/>
              </w:rPr>
              <w:t>Compounding data advantage</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B0937A" w14:textId="77777777" w:rsidR="002C5326" w:rsidRDefault="00C67A8F">
            <w:pPr>
              <w:spacing w:after="60" w:line="300" w:lineRule="auto"/>
            </w:pPr>
            <w:r>
              <w:rPr>
                <w:sz w:val="20"/>
                <w:szCs w:val="20"/>
              </w:rPr>
              <w:t>Cross-programme recommendation accuracy rate</w:t>
            </w:r>
          </w:p>
        </w:tc>
        <w:tc>
          <w:tcPr>
            <w:tcW w:w="2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166B44" w14:textId="77777777" w:rsidR="002C5326" w:rsidRDefault="00C67A8F">
            <w:pPr>
              <w:spacing w:after="60" w:line="300" w:lineRule="auto"/>
            </w:pPr>
            <w:r>
              <w:rPr>
                <w:sz w:val="20"/>
                <w:szCs w:val="20"/>
              </w:rPr>
              <w:t>Baseline defined at 12-month review</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1DCF2B" w14:textId="77777777" w:rsidR="002C5326" w:rsidRDefault="00C67A8F">
            <w:pPr>
              <w:spacing w:after="60" w:line="300" w:lineRule="auto"/>
            </w:pPr>
            <w:r>
              <w:rPr>
                <w:sz w:val="20"/>
                <w:szCs w:val="20"/>
              </w:rPr>
              <w:t>Annual</w:t>
            </w:r>
          </w:p>
        </w:tc>
      </w:tr>
      <w:tr w:rsidR="002C5326" w14:paraId="39D71BAC" w14:textId="77777777">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9FF080" w14:textId="77777777" w:rsidR="002C5326" w:rsidRDefault="00C67A8F">
            <w:pPr>
              <w:spacing w:after="60" w:line="300" w:lineRule="auto"/>
            </w:pPr>
            <w:r>
              <w:rPr>
                <w:sz w:val="20"/>
                <w:szCs w:val="20"/>
              </w:rPr>
              <w:t>Client retention</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DA1BF2" w14:textId="77777777" w:rsidR="002C5326" w:rsidRDefault="00C67A8F">
            <w:pPr>
              <w:spacing w:after="60" w:line="300" w:lineRule="auto"/>
            </w:pPr>
            <w:r>
              <w:rPr>
                <w:sz w:val="20"/>
                <w:szCs w:val="20"/>
              </w:rPr>
              <w:t>Net Revenue Retention across AI-enabled clients</w:t>
            </w:r>
          </w:p>
        </w:tc>
        <w:tc>
          <w:tcPr>
            <w:tcW w:w="2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6EDB49" w14:textId="77777777" w:rsidR="002C5326" w:rsidRDefault="00C67A8F">
            <w:pPr>
              <w:spacing w:after="60" w:line="300" w:lineRule="auto"/>
            </w:pPr>
            <w:r>
              <w:rPr>
                <w:sz w:val="20"/>
                <w:szCs w:val="20"/>
              </w:rPr>
              <w:t>110% or above at 24 months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DF5BF1" w14:textId="77777777" w:rsidR="002C5326" w:rsidRDefault="00C67A8F">
            <w:pPr>
              <w:spacing w:after="60" w:line="300" w:lineRule="auto"/>
            </w:pPr>
            <w:r>
              <w:rPr>
                <w:sz w:val="20"/>
                <w:szCs w:val="20"/>
              </w:rPr>
              <w:t>Annual</w:t>
            </w:r>
          </w:p>
        </w:tc>
      </w:tr>
    </w:tbl>
    <w:p w14:paraId="0C4D5746" w14:textId="77777777" w:rsidR="002C5326" w:rsidRDefault="00C67A8F">
      <w:pPr>
        <w:pStyle w:val="Heading2"/>
      </w:pPr>
      <w:bookmarkStart w:id="18" w:name="_Toc230168809"/>
      <w:r>
        <w:t>4.3 Governance and Review</w:t>
      </w:r>
      <w:bookmarkEnd w:id="18"/>
    </w:p>
    <w:p w14:paraId="0E19DE57" w14:textId="77777777" w:rsidR="002C5326" w:rsidRDefault="00C67A8F">
      <w:r>
        <w:t>These metrics should be reviewed in the context of TXN's overall business performance, not in isolation. A client outcome metric that is hitting its target while revenue growth is below plan indicates a commercial problem that AI metrics alone will not surface.</w:t>
      </w:r>
    </w:p>
    <w:p w14:paraId="11737524" w14:textId="77777777" w:rsidR="002C5326" w:rsidRDefault="00C67A8F">
      <w:r>
        <w:t>The AI delivery partner should be a participant in the quarterly metrics review, not just a recipient of the output. The AI layer's performance is a shared responsibility, and the review should be structured to surface issues early enough for either party to act on them.</w:t>
      </w:r>
    </w:p>
    <w:p w14:paraId="1561AF23" w14:textId="77777777" w:rsidR="002C5326" w:rsidRDefault="00C67A8F">
      <w:r>
        <w:t>The compounding data advantage metric has no meaningful target at launch. The baseline should be defined at the twelve-month review, once there is sufficient transaction data to establish what 'accurate' means in the context of cross-programme recommendations. Setting a premature target would create the wrong incentive: optimising for a number before the underlying data exists to support it.</w:t>
      </w:r>
    </w:p>
    <w:sectPr w:rsidR="002C5326">
      <w:footerReference w:type="default" r:id="rId13"/>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AAAD0B" w14:textId="77777777" w:rsidR="00912662" w:rsidRDefault="00912662">
      <w:pPr>
        <w:spacing w:after="0" w:line="240" w:lineRule="auto"/>
      </w:pPr>
      <w:r>
        <w:separator/>
      </w:r>
    </w:p>
  </w:endnote>
  <w:endnote w:type="continuationSeparator" w:id="0">
    <w:p w14:paraId="0235B429" w14:textId="77777777" w:rsidR="00912662" w:rsidRDefault="009126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 Sans Light">
    <w:panose1 w:val="020B0306030504020204"/>
    <w:charset w:val="00"/>
    <w:family w:val="swiss"/>
    <w:pitch w:val="variable"/>
    <w:sig w:usb0="E00002EF" w:usb1="4000205B" w:usb2="00000028" w:usb3="00000000" w:csb0="0000019F" w:csb1="00000000"/>
  </w:font>
  <w:font w:name="Times New Roman">
    <w:panose1 w:val="02020603050405020304"/>
    <w:charset w:val="00"/>
    <w:family w:val="roman"/>
    <w:pitch w:val="variable"/>
    <w:sig w:usb0="E0002EFF" w:usb1="C000785B" w:usb2="00000009" w:usb3="00000000" w:csb0="000001FF" w:csb1="00000000"/>
  </w:font>
  <w:font w:name="Open Sans">
    <w:panose1 w:val="020B0606030504020204"/>
    <w:charset w:val="00"/>
    <w:family w:val="swiss"/>
    <w:pitch w:val="variable"/>
    <w:sig w:usb0="E00002EF" w:usb1="4000205B" w:usb2="00000028" w:usb3="00000000" w:csb0="0000019F" w:csb1="00000000"/>
  </w:font>
  <w:font w:name="Roboto">
    <w:panose1 w:val="02000000000000000000"/>
    <w:charset w:val="00"/>
    <w:family w:val="auto"/>
    <w:pitch w:val="variable"/>
    <w:sig w:usb0="E0000AFF" w:usb1="5000217F" w:usb2="00000021"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DDEA5" w14:textId="77777777" w:rsidR="002C5326" w:rsidRDefault="00C67A8F">
    <w:pPr>
      <w:jc w:val="center"/>
    </w:pPr>
    <w:r>
      <w:rPr>
        <w:color w:val="666666"/>
        <w:sz w:val="18"/>
        <w:szCs w:val="18"/>
      </w:rPr>
      <w:t xml:space="preserve">Confidential – © TXN Global | Version 1.0 | Page </w:t>
    </w:r>
    <w:r>
      <w:rPr>
        <w:color w:val="666666"/>
        <w:sz w:val="18"/>
        <w:szCs w:val="18"/>
      </w:rPr>
      <w:fldChar w:fldCharType="begin"/>
    </w:r>
    <w:r>
      <w:rPr>
        <w:color w:val="666666"/>
        <w:sz w:val="18"/>
        <w:szCs w:val="18"/>
      </w:rPr>
      <w:instrText>PAGE</w:instrText>
    </w:r>
    <w:r>
      <w:rPr>
        <w:color w:val="666666"/>
        <w:sz w:val="18"/>
        <w:szCs w:val="18"/>
      </w:rPr>
      <w:fldChar w:fldCharType="separate"/>
    </w:r>
    <w:r w:rsidR="00DE3DA9">
      <w:rPr>
        <w:noProof/>
        <w:color w:val="666666"/>
        <w:sz w:val="18"/>
        <w:szCs w:val="18"/>
      </w:rPr>
      <w:t>17</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NUMPAGES</w:instrText>
    </w:r>
    <w:r>
      <w:rPr>
        <w:color w:val="666666"/>
        <w:sz w:val="18"/>
        <w:szCs w:val="18"/>
      </w:rPr>
      <w:fldChar w:fldCharType="separate"/>
    </w:r>
    <w:r w:rsidR="00DE3DA9">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DEAB8F" w14:textId="77777777" w:rsidR="00912662" w:rsidRDefault="00912662">
      <w:pPr>
        <w:spacing w:after="0" w:line="240" w:lineRule="auto"/>
      </w:pPr>
      <w:r>
        <w:separator/>
      </w:r>
    </w:p>
  </w:footnote>
  <w:footnote w:type="continuationSeparator" w:id="0">
    <w:p w14:paraId="73C6F865" w14:textId="77777777" w:rsidR="00912662" w:rsidRDefault="0091266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E1553"/>
    <w:multiLevelType w:val="hybridMultilevel"/>
    <w:tmpl w:val="98F6B0BE"/>
    <w:lvl w:ilvl="0" w:tplc="E6E0A5C0">
      <w:start w:val="1"/>
      <w:numFmt w:val="bullet"/>
      <w:lvlText w:val="●"/>
      <w:lvlJc w:val="left"/>
      <w:pPr>
        <w:ind w:left="720" w:hanging="360"/>
      </w:pPr>
    </w:lvl>
    <w:lvl w:ilvl="1" w:tplc="61268650">
      <w:start w:val="1"/>
      <w:numFmt w:val="bullet"/>
      <w:lvlText w:val="○"/>
      <w:lvlJc w:val="left"/>
      <w:pPr>
        <w:ind w:left="1440" w:hanging="360"/>
      </w:pPr>
    </w:lvl>
    <w:lvl w:ilvl="2" w:tplc="4178EA72">
      <w:start w:val="1"/>
      <w:numFmt w:val="bullet"/>
      <w:lvlText w:val="■"/>
      <w:lvlJc w:val="left"/>
      <w:pPr>
        <w:ind w:left="2160" w:hanging="360"/>
      </w:pPr>
    </w:lvl>
    <w:lvl w:ilvl="3" w:tplc="B87A9758">
      <w:start w:val="1"/>
      <w:numFmt w:val="bullet"/>
      <w:lvlText w:val="●"/>
      <w:lvlJc w:val="left"/>
      <w:pPr>
        <w:ind w:left="2880" w:hanging="360"/>
      </w:pPr>
    </w:lvl>
    <w:lvl w:ilvl="4" w:tplc="91AE3206">
      <w:start w:val="1"/>
      <w:numFmt w:val="bullet"/>
      <w:lvlText w:val="○"/>
      <w:lvlJc w:val="left"/>
      <w:pPr>
        <w:ind w:left="3600" w:hanging="360"/>
      </w:pPr>
    </w:lvl>
    <w:lvl w:ilvl="5" w:tplc="98BE1ECA">
      <w:start w:val="1"/>
      <w:numFmt w:val="bullet"/>
      <w:lvlText w:val="■"/>
      <w:lvlJc w:val="left"/>
      <w:pPr>
        <w:ind w:left="4320" w:hanging="360"/>
      </w:pPr>
    </w:lvl>
    <w:lvl w:ilvl="6" w:tplc="A314B2FC">
      <w:start w:val="1"/>
      <w:numFmt w:val="bullet"/>
      <w:lvlText w:val="●"/>
      <w:lvlJc w:val="left"/>
      <w:pPr>
        <w:ind w:left="5040" w:hanging="360"/>
      </w:pPr>
    </w:lvl>
    <w:lvl w:ilvl="7" w:tplc="257EBC4A">
      <w:start w:val="1"/>
      <w:numFmt w:val="bullet"/>
      <w:lvlText w:val="●"/>
      <w:lvlJc w:val="left"/>
      <w:pPr>
        <w:ind w:left="5760" w:hanging="360"/>
      </w:pPr>
    </w:lvl>
    <w:lvl w:ilvl="8" w:tplc="FBDE2582">
      <w:start w:val="1"/>
      <w:numFmt w:val="bullet"/>
      <w:lvlText w:val="●"/>
      <w:lvlJc w:val="left"/>
      <w:pPr>
        <w:ind w:left="6480" w:hanging="360"/>
      </w:pPr>
    </w:lvl>
  </w:abstractNum>
  <w:abstractNum w:abstractNumId="1" w15:restartNumberingAfterBreak="0">
    <w:nsid w:val="0E3360FF"/>
    <w:multiLevelType w:val="hybridMultilevel"/>
    <w:tmpl w:val="CA047258"/>
    <w:lvl w:ilvl="0" w:tplc="0BD2F762">
      <w:start w:val="1"/>
      <w:numFmt w:val="bullet"/>
      <w:lvlText w:val="•"/>
      <w:lvlJc w:val="left"/>
      <w:pPr>
        <w:spacing w:after="80" w:line="360" w:lineRule="auto"/>
        <w:ind w:left="720" w:hanging="360"/>
      </w:pPr>
      <w:rPr>
        <w:rFonts w:ascii="Open Sans Light" w:eastAsia="Open Sans Light" w:hAnsi="Open Sans Light" w:cs="Open Sans Light"/>
        <w:color w:val="222222"/>
        <w:sz w:val="22"/>
        <w:szCs w:val="22"/>
      </w:rPr>
    </w:lvl>
    <w:lvl w:ilvl="1" w:tplc="F030E7F0">
      <w:numFmt w:val="decimal"/>
      <w:lvlText w:val=""/>
      <w:lvlJc w:val="left"/>
    </w:lvl>
    <w:lvl w:ilvl="2" w:tplc="A0B2555E">
      <w:numFmt w:val="decimal"/>
      <w:lvlText w:val=""/>
      <w:lvlJc w:val="left"/>
    </w:lvl>
    <w:lvl w:ilvl="3" w:tplc="83AE5116">
      <w:numFmt w:val="decimal"/>
      <w:lvlText w:val=""/>
      <w:lvlJc w:val="left"/>
    </w:lvl>
    <w:lvl w:ilvl="4" w:tplc="29C27E2E">
      <w:numFmt w:val="decimal"/>
      <w:lvlText w:val=""/>
      <w:lvlJc w:val="left"/>
    </w:lvl>
    <w:lvl w:ilvl="5" w:tplc="4E3221F0">
      <w:numFmt w:val="decimal"/>
      <w:lvlText w:val=""/>
      <w:lvlJc w:val="left"/>
    </w:lvl>
    <w:lvl w:ilvl="6" w:tplc="40EAA10A">
      <w:numFmt w:val="decimal"/>
      <w:lvlText w:val=""/>
      <w:lvlJc w:val="left"/>
    </w:lvl>
    <w:lvl w:ilvl="7" w:tplc="8CA62CD8">
      <w:numFmt w:val="decimal"/>
      <w:lvlText w:val=""/>
      <w:lvlJc w:val="left"/>
    </w:lvl>
    <w:lvl w:ilvl="8" w:tplc="9F620F16">
      <w:numFmt w:val="decimal"/>
      <w:lvlText w:val=""/>
      <w:lvlJc w:val="left"/>
    </w:lvl>
  </w:abstractNum>
  <w:num w:numId="1" w16cid:durableId="194445568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5326"/>
    <w:rsid w:val="001175F1"/>
    <w:rsid w:val="002C5326"/>
    <w:rsid w:val="00912662"/>
    <w:rsid w:val="00AE2E57"/>
    <w:rsid w:val="00C67A8F"/>
    <w:rsid w:val="00DE3DA9"/>
    <w:rsid w:val="00F50E82"/>
    <w:rsid w:val="00F83A4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F6354AC"/>
  <w15:docId w15:val="{F612FA5B-50EE-2846-9421-DE3C316FD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Light" w:eastAsia="Open Sans Light" w:hAnsi="Open Sans Light" w:cs="Open Sans Light"/>
        <w:color w:val="222222"/>
        <w:sz w:val="22"/>
        <w:szCs w:val="22"/>
        <w:lang w:val="en-GB" w:eastAsia="en-GB"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color w:val="2A2069"/>
      <w:sz w:val="36"/>
      <w:szCs w:val="36"/>
    </w:rPr>
  </w:style>
  <w:style w:type="paragraph" w:styleId="Heading2">
    <w:name w:val="heading 2"/>
    <w:uiPriority w:val="9"/>
    <w:unhideWhenUsed/>
    <w:qFormat/>
    <w:pPr>
      <w:spacing w:before="200" w:after="200"/>
      <w:outlineLvl w:val="1"/>
    </w:pPr>
    <w:rPr>
      <w:b/>
      <w:bCs/>
      <w:color w:val="2A2069"/>
      <w:sz w:val="32"/>
      <w:szCs w:val="32"/>
    </w:rPr>
  </w:style>
  <w:style w:type="paragraph" w:styleId="Heading3">
    <w:name w:val="heading 3"/>
    <w:uiPriority w:val="9"/>
    <w:unhideWhenUsed/>
    <w:qFormat/>
    <w:pPr>
      <w:spacing w:before="160" w:after="160"/>
      <w:outlineLvl w:val="2"/>
    </w:pPr>
    <w:rPr>
      <w:b/>
      <w:bCs/>
      <w:color w:val="0F4761"/>
      <w:sz w:val="28"/>
      <w:szCs w:val="28"/>
    </w:rPr>
  </w:style>
  <w:style w:type="paragraph" w:styleId="Heading4">
    <w:name w:val="heading 4"/>
    <w:uiPriority w:val="9"/>
    <w:semiHidden/>
    <w:unhideWhenUsed/>
    <w:qFormat/>
    <w:pPr>
      <w:spacing w:before="120"/>
      <w:outlineLvl w:val="3"/>
    </w:pPr>
    <w:rPr>
      <w:i/>
      <w:iCs/>
      <w:color w:val="0F4761"/>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E3DA9"/>
    <w:pPr>
      <w:spacing w:after="100"/>
    </w:pPr>
  </w:style>
  <w:style w:type="paragraph" w:styleId="TOC2">
    <w:name w:val="toc 2"/>
    <w:basedOn w:val="Normal"/>
    <w:next w:val="Normal"/>
    <w:autoRedefine/>
    <w:uiPriority w:val="39"/>
    <w:unhideWhenUsed/>
    <w:rsid w:val="00DE3DA9"/>
    <w:pPr>
      <w:spacing w:after="100"/>
      <w:ind w:left="220"/>
    </w:pPr>
  </w:style>
  <w:style w:type="paragraph" w:styleId="TOC3">
    <w:name w:val="toc 3"/>
    <w:basedOn w:val="Normal"/>
    <w:next w:val="Normal"/>
    <w:autoRedefine/>
    <w:uiPriority w:val="39"/>
    <w:unhideWhenUsed/>
    <w:rsid w:val="00DE3DA9"/>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0c3c262a-8d91-4e18-82b0-a023386c1bb6">
      <Terms xmlns="http://schemas.microsoft.com/office/infopath/2007/PartnerControls"/>
    </lcf76f155ced4ddcb4097134ff3c332f>
    <TaxCatchAll xmlns="0339aa99-c98b-4cf6-9a15-cebf99f00098"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5BDA2C57BD68F408C1A462D944E02E0" ma:contentTypeVersion="11" ma:contentTypeDescription="Create a new document." ma:contentTypeScope="" ma:versionID="6a7c955d68ddc9e783ef82c826018b9a">
  <xsd:schema xmlns:xsd="http://www.w3.org/2001/XMLSchema" xmlns:xs="http://www.w3.org/2001/XMLSchema" xmlns:p="http://schemas.microsoft.com/office/2006/metadata/properties" xmlns:ns2="0c3c262a-8d91-4e18-82b0-a023386c1bb6" xmlns:ns3="0339aa99-c98b-4cf6-9a15-cebf99f00098" targetNamespace="http://schemas.microsoft.com/office/2006/metadata/properties" ma:root="true" ma:fieldsID="fd850bfe1fbc7a226fb571b44a277a38" ns2:_="" ns3:_="">
    <xsd:import namespace="0c3c262a-8d91-4e18-82b0-a023386c1bb6"/>
    <xsd:import namespace="0339aa99-c98b-4cf6-9a15-cebf99f0009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c3c262a-8d91-4e18-82b0-a023386c1bb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655179cb-e00f-448f-9598-53b8b868b579"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339aa99-c98b-4cf6-9a15-cebf99f00098"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58e92687-623e-4c17-8017-8031e0f69609}" ma:internalName="TaxCatchAll" ma:showField="CatchAllData" ma:web="0339aa99-c98b-4cf6-9a15-cebf99f0009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9CC4323-8518-460E-A78C-C9B4288138CD}">
  <ds:schemaRefs>
    <ds:schemaRef ds:uri="http://schemas.microsoft.com/office/2006/metadata/properties"/>
    <ds:schemaRef ds:uri="http://schemas.microsoft.com/office/infopath/2007/PartnerControls"/>
    <ds:schemaRef ds:uri="0c3c262a-8d91-4e18-82b0-a023386c1bb6"/>
    <ds:schemaRef ds:uri="0339aa99-c98b-4cf6-9a15-cebf99f00098"/>
  </ds:schemaRefs>
</ds:datastoreItem>
</file>

<file path=customXml/itemProps2.xml><?xml version="1.0" encoding="utf-8"?>
<ds:datastoreItem xmlns:ds="http://schemas.openxmlformats.org/officeDocument/2006/customXml" ds:itemID="{A892ED37-027B-49CA-89AF-D61A74D5E642}">
  <ds:schemaRefs>
    <ds:schemaRef ds:uri="http://schemas.microsoft.com/sharepoint/v3/contenttype/forms"/>
  </ds:schemaRefs>
</ds:datastoreItem>
</file>

<file path=customXml/itemProps3.xml><?xml version="1.0" encoding="utf-8"?>
<ds:datastoreItem xmlns:ds="http://schemas.openxmlformats.org/officeDocument/2006/customXml" ds:itemID="{A6177AD8-1D2D-4054-9CA4-763FE618B5DE}"/>
</file>

<file path=docProps/app.xml><?xml version="1.0" encoding="utf-8"?>
<Properties xmlns="http://schemas.openxmlformats.org/officeDocument/2006/extended-properties" xmlns:vt="http://schemas.openxmlformats.org/officeDocument/2006/docPropsVTypes">
  <Template>Normal.dotm</Template>
  <TotalTime>4</TotalTime>
  <Pages>10</Pages>
  <Words>2074</Words>
  <Characters>11784</Characters>
  <Application>Microsoft Office Word</Application>
  <DocSecurity>0</DocSecurity>
  <Lines>302</Lines>
  <Paragraphs>163</Paragraphs>
  <ScaleCrop>false</ScaleCrop>
  <Company/>
  <LinksUpToDate>false</LinksUpToDate>
  <CharactersWithSpaces>13695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Ian Johnson</cp:lastModifiedBy>
  <cp:revision>5</cp:revision>
  <dcterms:created xsi:type="dcterms:W3CDTF">2026-05-20T10:26:00Z</dcterms:created>
  <dcterms:modified xsi:type="dcterms:W3CDTF">2026-05-21T07:19:00Z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0x01010085BDA2C57BD68F408C1A462D944E02E0</vt:lpwstr>
  </property>
  <property fmtid="{D5CDD505-2E9C-101B-9397-08002B2CF9AE}" pid="3" name="MediaServiceImageTags">
    <vt:lpwstr/>
  </property>
</Properties>
</file>