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01556D"/>
          <w:sz w:val="30"/>
          <w:szCs w:val="30"/>
        </w:rPr>
        <w:t xml:space="preserve">TXN GLOBAL</w:t>
      </w:r>
    </w:p>
    <w:p>
      <w:pPr>
        <w:spacing w:after="60" w:before="120"/>
      </w:pPr>
      <w:r>
        <w:rPr>
          <w:b/>
          <w:bCs/>
          <w:color w:val="00143D"/>
          <w:sz w:val="54"/>
          <w:szCs w:val="54"/>
        </w:rPr>
        <w:t xml:space="preserve">Objection Handling</w:t>
      </w:r>
    </w:p>
    <w:p>
      <w:pPr>
        <w:spacing w:after="220"/>
      </w:pPr>
      <w:r>
        <w:rPr>
          <w:color w:val="555555"/>
          <w:sz w:val="24"/>
          <w:szCs w:val="24"/>
        </w:rPr>
        <w:t xml:space="preserve">How to answer the objections that come up in a TXN sales conversation</w:t>
      </w:r>
    </w:p>
    <w:p>
      <w:pPr>
        <w:pBdr>
          <w:bottom w:val="single" w:color="01556D" w:sz="12"/>
        </w:pBdr>
        <w:spacing w:after="220"/>
      </w:pPr>
    </w:p>
    <w:p>
      <w:pPr>
        <w:spacing w:after="60" w:line="276"/>
      </w:pPr>
      <w:r>
        <w:rPr>
          <w:b/>
          <w:bCs/>
          <w:color w:val="00143D"/>
          <w:sz w:val="21"/>
          <w:szCs w:val="21"/>
        </w:rPr>
        <w:t xml:space="preserve">Version: </w:t>
      </w:r>
      <w:r>
        <w:rPr>
          <w:sz w:val="21"/>
          <w:szCs w:val="21"/>
        </w:rPr>
        <w:t xml:space="preserve">v1.1 (revised from v1.0 review comments; v1.0 retained as the commented reference)</w:t>
      </w:r>
    </w:p>
    <w:p>
      <w:pPr>
        <w:spacing w:after="60" w:line="276"/>
      </w:pPr>
      <w:r>
        <w:rPr>
          <w:b/>
          <w:bCs/>
          <w:color w:val="00143D"/>
          <w:sz w:val="21"/>
          <w:szCs w:val="21"/>
        </w:rPr>
        <w:t xml:space="preserve">Owner: </w:t>
      </w:r>
      <w:r>
        <w:rPr>
          <w:sz w:val="21"/>
          <w:szCs w:val="21"/>
        </w:rPr>
        <w:t xml:space="preserve">Ian Johnson (ianj@txn.global)   ·   Prepared 17 July 2026</w:t>
      </w:r>
    </w:p>
    <w:p>
      <w:pPr>
        <w:spacing w:after="60" w:line="276"/>
      </w:pPr>
      <w:r>
        <w:rPr>
          <w:b/>
          <w:bCs/>
          <w:color w:val="00143D"/>
          <w:sz w:val="21"/>
          <w:szCs w:val="21"/>
        </w:rPr>
        <w:t xml:space="preserve">Sources: </w:t>
      </w:r>
      <w:r>
        <w:rPr>
          <w:sz w:val="21"/>
          <w:szCs w:val="21"/>
        </w:rPr>
        <w:t xml:space="preserve">Core Messaging v2.5 (pillars and positioning), Competitive Landscape v0.2 (competitor counters and win/loss themes), JV Messaging Framework v2.2 (ownership talking points), and the deal pricing model.</w:t>
      </w:r>
    </w:p>
    <w:p>
      <w:pPr>
        <w:spacing w:after="120" w:line="276"/>
      </w:pPr>
      <w:r>
        <w:rPr>
          <w:b/>
          <w:bCs/>
          <w:color w:val="B26A00"/>
          <w:sz w:val="20"/>
          <w:szCs w:val="20"/>
        </w:rPr>
        <w:t xml:space="preserve">Pre-launch honesty: </w:t>
      </w:r>
      <w:r>
        <w:rPr>
          <w:i/>
          <w:iCs/>
          <w:sz w:val="20"/>
          <w:szCs w:val="20"/>
        </w:rPr>
        <w:t xml:space="preserve">TXN is pre-launch, and the win and loss themes here are hypothesised, not yet evidence-backed. For reference-base, timing and delivery objections, answer with the real mitigation, not a denial. Do not overclaim.</w:t>
      </w:r>
    </w:p>
    <w:p>
      <w:r>
        <w:br w:type="page"/>
      </w:r>
    </w:p>
    <w:p>
      <w:pPr>
        <w:pStyle w:val="Heading1"/>
        <w:spacing w:after="130" w:before="300"/>
      </w:pPr>
      <w:r>
        <w:rPr>
          <w:b/>
          <w:bCs/>
          <w:color w:val="00143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b/>
          <w:bCs/>
          <w:color w:val="00143D"/>
          <w:sz w:val="30"/>
          <w:szCs w:val="30"/>
        </w:rPr>
        <w:t xml:space="preserve">1. How to handle an objection</w:t>
      </w:r>
    </w:p>
    <w:p>
      <w:pPr>
        <w:spacing w:after="120" w:line="276"/>
      </w:pPr>
      <w:r>
        <w:rPr>
          <w:b w:val="false"/>
          <w:bCs w:val="false"/>
          <w:i w:val="false"/>
          <w:iCs w:val="false"/>
          <w:color w:val="222222"/>
          <w:sz w:val="21"/>
          <w:szCs w:val="21"/>
        </w:rPr>
        <w:t xml:space="preserve">An objection is a request for confidence, not a rejection. Work it in four steps.</w:t>
      </w:r>
    </w:p>
    <w:p>
      <w:pPr>
        <w:pStyle w:val="ListParagraph"/>
        <w:numPr>
          <w:ilvl w:val="0"/>
          <w:numId w:val="2"/>
        </w:numPr>
        <w:spacing w:after="60" w:line="268"/>
      </w:pPr>
      <w:r>
        <w:rPr>
          <w:color w:val="222222"/>
          <w:sz w:val="21"/>
          <w:szCs w:val="21"/>
        </w:rPr>
        <w:t xml:space="preserve">Acknowledge. Take the concern seriously and repeat it back so the buyer knows they were heard.</w:t>
      </w:r>
    </w:p>
    <w:p>
      <w:pPr>
        <w:pStyle w:val="ListParagraph"/>
        <w:numPr>
          <w:ilvl w:val="0"/>
          <w:numId w:val="2"/>
        </w:numPr>
        <w:spacing w:after="60" w:line="268"/>
      </w:pPr>
      <w:r>
        <w:rPr>
          <w:color w:val="222222"/>
          <w:sz w:val="21"/>
          <w:szCs w:val="21"/>
        </w:rPr>
        <w:t xml:space="preserve">Understand. Ask a question before answering. What sits behind the objection is often not what was said.</w:t>
      </w:r>
    </w:p>
    <w:p>
      <w:pPr>
        <w:pStyle w:val="ListParagraph"/>
        <w:numPr>
          <w:ilvl w:val="0"/>
          <w:numId w:val="2"/>
        </w:numPr>
        <w:spacing w:after="60" w:line="268"/>
      </w:pPr>
      <w:r>
        <w:rPr>
          <w:color w:val="222222"/>
          <w:sz w:val="21"/>
          <w:szCs w:val="21"/>
        </w:rPr>
        <w:t xml:space="preserve">Reframe on value. Move the conversation from the narrow point to the outcome the buyer is trying to reach.</w:t>
      </w:r>
    </w:p>
    <w:p>
      <w:pPr>
        <w:pStyle w:val="ListParagraph"/>
        <w:numPr>
          <w:ilvl w:val="0"/>
          <w:numId w:val="2"/>
        </w:numPr>
        <w:spacing w:after="60" w:line="268"/>
      </w:pPr>
      <w:r>
        <w:rPr>
          <w:color w:val="222222"/>
          <w:sz w:val="21"/>
          <w:szCs w:val="21"/>
        </w:rPr>
        <w:t xml:space="preserve">Resolve with proof. Close with a specific, sourced proof point or a clear next step.</w:t>
      </w:r>
    </w:p>
    <w:p>
      <w:pPr>
        <w:spacing w:after="60"/>
      </w:pPr>
    </w:p>
    <w:p>
      <w:pPr>
        <w:pStyle w:val="Heading2"/>
        <w:spacing w:after="90" w:before="200"/>
      </w:pPr>
      <w:r>
        <w:rPr>
          <w:b/>
          <w:bCs/>
          <w:color w:val="01556D"/>
          <w:sz w:val="24"/>
          <w:szCs w:val="24"/>
        </w:rPr>
        <w:t xml:space="preserve">The master frame: refuse the compromise</w:t>
      </w:r>
    </w:p>
    <w:p>
      <w:pPr>
        <w:spacing w:after="120" w:line="276"/>
      </w:pPr>
      <w:r>
        <w:rPr>
          <w:b w:val="false"/>
          <w:bCs w:val="false"/>
          <w:i w:val="false"/>
          <w:iCs w:val="false"/>
          <w:color w:val="222222"/>
          <w:sz w:val="21"/>
          <w:szCs w:val="21"/>
        </w:rPr>
        <w:t xml:space="preserve">Most objections reframe onto one idea. Legacy processors force a choice between flexibility and reliability. First-wave modern platforms trade depth for ease. TXN gives control, speed and resilience in one platform across three surfaces (API, console and agentic AI), so a team does not have to choose.</w:t>
      </w:r>
    </w:p>
    <w:p>
      <w:pPr>
        <w:pStyle w:val="Heading2"/>
        <w:spacing w:after="90" w:before="200"/>
      </w:pPr>
      <w:r>
        <w:rPr>
          <w:b/>
          <w:bCs/>
          <w:color w:val="01556D"/>
          <w:sz w:val="24"/>
          <w:szCs w:val="24"/>
        </w:rPr>
        <w:t xml:space="preserve">Never lead on price</w:t>
      </w:r>
    </w:p>
    <w:p>
      <w:pPr>
        <w:spacing w:after="120" w:line="276"/>
      </w:pPr>
      <w:r>
        <w:rPr>
          <w:b w:val="false"/>
          <w:bCs w:val="false"/>
          <w:i w:val="false"/>
          <w:iCs w:val="false"/>
          <w:color w:val="222222"/>
          <w:sz w:val="21"/>
          <w:szCs w:val="21"/>
        </w:rPr>
        <w:t xml:space="preserve">Reframe on value and total cost of ownership first. Offer a narrower scope at the same rate before you move on price. If a discount is genuinely warranted, capture it on the Proposal tab of the deal pricing model so the revenue impact is visible and, in time, routed for approval by variance. Do not discount to win a conversation.</w:t>
      </w:r>
    </w:p>
    <w:p>
      <w:pPr>
        <w:pStyle w:val="Heading2"/>
        <w:spacing w:after="90" w:before="200"/>
      </w:pPr>
      <w:r>
        <w:rPr>
          <w:b/>
          <w:bCs/>
          <w:color w:val="01556D"/>
          <w:sz w:val="24"/>
          <w:szCs w:val="24"/>
        </w:rPr>
        <w:t xml:space="preserve">Two rules that protect the message</w:t>
      </w:r>
    </w:p>
    <w:p>
      <w:pPr>
        <w:pStyle w:val="ListParagraph"/>
        <w:numPr>
          <w:ilvl w:val="0"/>
          <w:numId w:val="3"/>
        </w:numPr>
        <w:spacing w:after="60" w:line="268"/>
      </w:pPr>
      <w:r>
        <w:rPr>
          <w:color w:val="222222"/>
          <w:sz w:val="21"/>
          <w:szCs w:val="21"/>
        </w:rPr>
        <w:t xml:space="preserve">Attribute the 25-year heritage to Direct Transact, our co-founding owner, specifically. Never claim it for TXN the company, and never say built on, powered by, partner, parent group or bank-grade.</w:t>
      </w:r>
    </w:p>
    <w:p>
      <w:pPr>
        <w:pStyle w:val="ListParagraph"/>
        <w:numPr>
          <w:ilvl w:val="0"/>
          <w:numId w:val="3"/>
        </w:numPr>
        <w:spacing w:after="60" w:line="268"/>
      </w:pPr>
      <w:r>
        <w:rPr>
          <w:color w:val="222222"/>
          <w:sz w:val="21"/>
          <w:szCs w:val="21"/>
        </w:rPr>
        <w:t xml:space="preserve">Lead with what the client achieves, not the technology. Use the anchor verbatim: “Intelligence built in. Complexity taken out.”</w:t>
      </w:r>
    </w:p>
    <w:p>
      <w:r>
        <w:br w:type="page"/>
      </w:r>
    </w:p>
    <w:p>
      <w:pPr>
        <w:pStyle w:val="Heading1"/>
        <w:spacing w:after="130" w:before="300"/>
      </w:pPr>
      <w:r>
        <w:rPr>
          <w:b/>
          <w:bCs/>
          <w:color w:val="00143D"/>
          <w:sz w:val="30"/>
          <w:szCs w:val="30"/>
        </w:rPr>
        <w:t xml:space="preserve">2. Price and commercial objections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“You are more expensive than X.”</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Shift the comparison from licence price to the cost of running the program. With TXN the team runs it with far less manual effort: a self-serve console, pre-integrated services and an intelligence layer that remove routine work, so they need fewer specialists and less engineering time. Then compare like-for-like at their expected volumes.</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Pillars 2 and 5 (time and effort saved); lower unit cost per active card.</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“Your pricing is opaque.”</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It is a published rate card with no hidden scheme, tokenisation or authentication mark-ups beyond the stated fees. The deal pricing model gives them a month-by-month cost forecast before they sign.</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Deal pricing model; transparent rate card.</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“We need a discount.”</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Put a number on the value before you touch price (see 2.1). Then offer a narrower scope at the same rate. If you do adjust fees, enter them on the Proposal tab so the variance and approval are visible. Do not lead with price.</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Section 2.1; Proposal tab.</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“We cannot predict cost as we scale.”</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Per-transaction rates step down as monthly volume rises, so unit economics improve as they grow. The model forecasts cost across the whole term.</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Tiered pricing; pricing model forecast.</w:t>
            </w:r>
          </w:p>
        </w:tc>
      </w:tr>
    </w:tbl>
    <w:p>
      <w:pPr>
        <w:pStyle w:val="Heading2"/>
        <w:spacing w:after="90" w:before="200"/>
      </w:pPr>
      <w:r>
        <w:rPr>
          <w:b/>
          <w:bCs/>
          <w:color w:val="01556D"/>
          <w:sz w:val="24"/>
          <w:szCs w:val="24"/>
        </w:rPr>
        <w:t xml:space="preserve">2.1 Putting a number on the value</w:t>
      </w:r>
    </w:p>
    <w:p>
      <w:pPr>
        <w:spacing w:after="120" w:line="276"/>
      </w:pPr>
      <w:r>
        <w:rPr>
          <w:b w:val="false"/>
          <w:bCs w:val="false"/>
          <w:i w:val="false"/>
          <w:iCs w:val="false"/>
          <w:color w:val="222222"/>
          <w:sz w:val="21"/>
          <w:szCs w:val="21"/>
        </w:rPr>
        <w:t xml:space="preserve">Value only persuades a CFO when it carries a number. Translate each lever into money in the client's own model.</w:t>
      </w:r>
    </w:p>
    <w:p>
      <w:pPr>
        <w:pStyle w:val="ListParagraph"/>
        <w:numPr>
          <w:ilvl w:val="0"/>
          <w:numId w:val="3"/>
        </w:numPr>
        <w:spacing w:after="60" w:line="268"/>
      </w:pPr>
      <w:r>
        <w:rPr>
          <w:color w:val="222222"/>
          <w:sz w:val="21"/>
          <w:szCs w:val="21"/>
        </w:rPr>
        <w:t xml:space="preserve">Faster time-to-launch. Weeks instead of quarters means card revenue and interchange captured months earlier. Multiply their expected monthly program revenue by the months saved.</w:t>
      </w:r>
    </w:p>
    <w:p>
      <w:pPr>
        <w:pStyle w:val="ListParagraph"/>
        <w:numPr>
          <w:ilvl w:val="0"/>
          <w:numId w:val="3"/>
        </w:numPr>
        <w:spacing w:after="60" w:line="268"/>
      </w:pPr>
      <w:r>
        <w:rPr>
          <w:color w:val="222222"/>
          <w:sz w:val="21"/>
          <w:szCs w:val="21"/>
        </w:rPr>
        <w:t xml:space="preserve">Fewer people. Running the program without card experts and with a smaller operations team avoids salary cost. Count the roles they will not need to hire.</w:t>
      </w:r>
    </w:p>
    <w:p>
      <w:pPr>
        <w:pStyle w:val="ListParagraph"/>
        <w:numPr>
          <w:ilvl w:val="0"/>
          <w:numId w:val="3"/>
        </w:numPr>
        <w:spacing w:after="60" w:line="268"/>
      </w:pPr>
      <w:r>
        <w:rPr>
          <w:color w:val="222222"/>
          <w:sz w:val="21"/>
          <w:szCs w:val="21"/>
        </w:rPr>
        <w:t xml:space="preserve">Lower unit cost at scale. Per-transaction rates step down as volume grows, so the cost per active card falls as they grow.</w:t>
      </w:r>
    </w:p>
    <w:p>
      <w:pPr>
        <w:pStyle w:val="ListParagraph"/>
        <w:numPr>
          <w:ilvl w:val="0"/>
          <w:numId w:val="3"/>
        </w:numPr>
        <w:spacing w:after="60" w:line="268"/>
      </w:pPr>
      <w:r>
        <w:rPr>
          <w:color w:val="222222"/>
          <w:sz w:val="21"/>
          <w:szCs w:val="21"/>
        </w:rPr>
        <w:t xml:space="preserve">No stitching or building. Avoid the integration and maintenance cost of wiring point solutions together or building in-house.</w:t>
      </w:r>
    </w:p>
    <w:p>
      <w:pPr>
        <w:pStyle w:val="ListParagraph"/>
        <w:numPr>
          <w:ilvl w:val="0"/>
          <w:numId w:val="3"/>
        </w:numPr>
        <w:spacing w:after="60" w:line="268"/>
      </w:pPr>
      <w:r>
        <w:rPr>
          <w:color w:val="222222"/>
          <w:sz w:val="21"/>
          <w:szCs w:val="21"/>
        </w:rPr>
        <w:t xml:space="preserve">No mandate treadmill. Visa and Mastercard issue scheme mandates periodically that every processor must implement. TXN absorbs that recurring engineering, the client does not.</w:t>
      </w:r>
    </w:p>
    <w:p>
      <w:pPr>
        <w:spacing w:after="40" w:line="276"/>
      </w:pPr>
      <w:r>
        <w:rPr>
          <w:b w:val="false"/>
          <w:bCs w:val="false"/>
          <w:i w:val="false"/>
          <w:iCs w:val="false"/>
          <w:color w:val="222222"/>
          <w:sz w:val="21"/>
          <w:szCs w:val="21"/>
        </w:rPr>
        <w:t xml:space="preserve">Hold the fee side steady in the deal pricing model and let these savings sit on the client's side of the ledger.</w:t>
      </w:r>
    </w:p>
    <w:p>
      <w:r>
        <w:br w:type="page"/>
      </w:r>
    </w:p>
    <w:p>
      <w:pPr>
        <w:pStyle w:val="Heading1"/>
        <w:spacing w:after="130" w:before="300"/>
      </w:pPr>
      <w:r>
        <w:rPr>
          <w:b/>
          <w:bCs/>
          <w:color w:val="00143D"/>
          <w:sz w:val="30"/>
          <w:szCs w:val="30"/>
        </w:rPr>
        <w:t xml:space="preserve">3. Product and capability objections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“You do not have feature Y.”</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First qualify how much it matters. Ask whether feature Y is a must-have, a should-have or a could-have, and weigh it against the differentiators TXN does bring. Then separate what is live from what is on the roadmap, honestly. Much of what sounds like a missing feature is a configuration, not a build.</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Must / should / could; Roadmap Snapshot; configuration over customisation.</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“Is the AI just hype?”</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Lead with the outcome: a client can run a card program without employing card experts. AI is the mechanism that removes the complexity, it runs outside the real-time transaction path, and a person stays in the decision loop.</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“Intelligence built in. Complexity taken out.”</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“Can it handle UK and EEA together?”</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Yes, on one platform. UK and EU rules have been drifting apart since Brexit; TXN handles both, so a client operating in the UK and the EEA does not pay twice, in cost, time or a second integration, to stay compliant on both sides. Applicable requirements are surfaced and applied rather than left to the client.</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Single platform; compliance as a delivered outcome; PSD2/SCA.</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“We would need KYC, BIN and card manufacturing integrations.”</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Those are pre-integrated and scheme certifications are managed, so the team spends its time on the proposition, not the plumbing.</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Pillar 2 (focus effort on customer value).</w:t>
            </w:r>
          </w:p>
        </w:tc>
      </w:tr>
    </w:tbl>
    <w:p>
      <w:r>
        <w:br w:type="page"/>
      </w:r>
    </w:p>
    <w:p>
      <w:pPr>
        <w:pStyle w:val="Heading1"/>
        <w:spacing w:after="130" w:before="300"/>
      </w:pPr>
      <w:r>
        <w:rPr>
          <w:b/>
          <w:bCs/>
          <w:color w:val="00143D"/>
          <w:sz w:val="30"/>
          <w:szCs w:val="30"/>
        </w:rPr>
        <w:t xml:space="preserve">4. Competitive objections</w:t>
      </w:r>
    </w:p>
    <w:p>
      <w:pPr>
        <w:spacing w:after="120" w:line="276"/>
      </w:pPr>
      <w:r>
        <w:rPr>
          <w:b w:val="false"/>
          <w:bCs w:val="false"/>
          <w:i w:val="false"/>
          <w:iCs w:val="false"/>
          <w:color w:val="222222"/>
          <w:sz w:val="21"/>
          <w:szCs w:val="21"/>
        </w:rPr>
        <w:t xml:space="preserve">Never generalise. Name the competitor and answer on their specific weakness, honestly. TXN is pre-launch, so lead on the structural differences, not on a reference war you cannot yet win.</w:t>
      </w:r>
    </w:p>
    <w:p>
      <w:pPr>
        <w:pStyle w:val="Heading2"/>
        <w:spacing w:after="90" w:before="200"/>
      </w:pPr>
      <w:r>
        <w:rPr>
          <w:b/>
          <w:bCs/>
          <w:color w:val="01556D"/>
          <w:sz w:val="24"/>
          <w:szCs w:val="24"/>
        </w:rPr>
        <w:t xml:space="preserve">4.1 Named platform competitors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3100"/>
        <w:gridCol w:w="4220"/>
      </w:tblGrid>
      <w:tr>
        <w:trPr>
          <w:tblHeader/>
        </w:trPr>
        <w:tc>
          <w:tcPr>
            <w:tcW w:type="dxa" w:w="1700"/>
            <w:shd w:fill="01556D" w:val="clear"/>
            <w:tcMar>
              <w:top w:type="dxa" w:w="55"/>
              <w:left w:type="dxa" w:w="85"/>
              <w:bottom w:type="dxa" w:w="55"/>
              <w:right w:type="dxa" w:w="85"/>
            </w:tcMar>
          </w:tcPr>
          <w:p>
            <w:pPr>
              <w:spacing w:after="10" w:line="248"/>
            </w:pPr>
            <w:r>
              <w:rPr>
                <w:b/>
                <w:bCs/>
                <w:color w:val="FFFFFF"/>
                <w:sz w:val="17"/>
                <w:szCs w:val="17"/>
              </w:rPr>
              <w:t xml:space="preserve">“We are looking at...”</w:t>
            </w:r>
          </w:p>
        </w:tc>
        <w:tc>
          <w:tcPr>
            <w:tcW w:type="dxa" w:w="3100"/>
            <w:shd w:fill="01556D" w:val="clear"/>
            <w:tcMar>
              <w:top w:type="dxa" w:w="55"/>
              <w:left w:type="dxa" w:w="85"/>
              <w:bottom w:type="dxa" w:w="55"/>
              <w:right w:type="dxa" w:w="85"/>
            </w:tcMar>
          </w:tcPr>
          <w:p>
            <w:pPr>
              <w:spacing w:after="10" w:line="248"/>
            </w:pPr>
            <w:r>
              <w:rPr>
                <w:b/>
                <w:bCs/>
                <w:color w:val="FFFFFF"/>
                <w:sz w:val="17"/>
                <w:szCs w:val="17"/>
              </w:rPr>
              <w:t xml:space="preserve">Where they are strong</w:t>
            </w:r>
          </w:p>
        </w:tc>
        <w:tc>
          <w:tcPr>
            <w:tcW w:type="dxa" w:w="4220"/>
            <w:shd w:fill="01556D" w:val="clear"/>
            <w:tcMar>
              <w:top w:type="dxa" w:w="55"/>
              <w:left w:type="dxa" w:w="85"/>
              <w:bottom w:type="dxa" w:w="55"/>
              <w:right w:type="dxa" w:w="85"/>
            </w:tcMar>
          </w:tcPr>
          <w:p>
            <w:pPr>
              <w:spacing w:after="10" w:line="248"/>
            </w:pPr>
            <w:r>
              <w:rPr>
                <w:b/>
                <w:bCs/>
                <w:color w:val="FFFFFF"/>
                <w:sz w:val="17"/>
                <w:szCs w:val="17"/>
              </w:rPr>
              <w:t xml:space="preserve">TXN counter</w:t>
            </w:r>
          </w:p>
        </w:tc>
      </w:tr>
      <w:tr>
        <w:tc>
          <w:tcPr>
            <w:tcW w:type="dxa" w:w="1700"/>
            <w:tcMar>
              <w:top w:type="dxa" w:w="55"/>
              <w:left w:type="dxa" w:w="85"/>
              <w:bottom w:type="dxa" w:w="55"/>
              <w:right w:type="dxa" w:w="85"/>
            </w:tcMar>
          </w:tcPr>
          <w:p>
            <w:pPr>
              <w:spacing w:after="10" w:line="248"/>
            </w:pPr>
            <w:r>
              <w:rPr>
                <w:b w:val="false"/>
                <w:bCs w:val="false"/>
                <w:color w:val="222222"/>
                <w:sz w:val="17"/>
                <w:szCs w:val="17"/>
              </w:rPr>
              <w:t xml:space="preserve">Marqeta</w:t>
            </w:r>
          </w:p>
        </w:tc>
        <w:tc>
          <w:tcPr>
            <w:tcW w:type="dxa" w:w="3100"/>
            <w:tcMar>
              <w:top w:type="dxa" w:w="55"/>
              <w:left w:type="dxa" w:w="85"/>
              <w:bottom w:type="dxa" w:w="55"/>
              <w:right w:type="dxa" w:w="85"/>
            </w:tcMar>
          </w:tcPr>
          <w:p>
            <w:pPr>
              <w:spacing w:after="10" w:line="248"/>
            </w:pPr>
            <w:r>
              <w:rPr>
                <w:b w:val="false"/>
                <w:bCs w:val="false"/>
                <w:color w:val="222222"/>
                <w:sz w:val="17"/>
                <w:szCs w:val="17"/>
              </w:rPr>
              <w:t xml:space="preserve">Recognised modern issuer processor, brand and scale in the developer buying centre.</w:t>
            </w:r>
          </w:p>
        </w:tc>
        <w:tc>
          <w:tcPr>
            <w:tcW w:type="dxa" w:w="4220"/>
            <w:tcMar>
              <w:top w:type="dxa" w:w="55"/>
              <w:left w:type="dxa" w:w="85"/>
              <w:bottom w:type="dxa" w:w="55"/>
              <w:right w:type="dxa" w:w="85"/>
            </w:tcMar>
          </w:tcPr>
          <w:p>
            <w:pPr>
              <w:spacing w:after="10" w:line="248"/>
            </w:pPr>
            <w:r>
              <w:rPr>
                <w:b w:val="false"/>
                <w:bCs w:val="false"/>
                <w:color w:val="222222"/>
                <w:sz w:val="17"/>
                <w:szCs w:val="17"/>
              </w:rPr>
              <w:t xml:space="preserve">TXN's whole focus is the European market. A US-headquartered player prioritises its much larger home market for roadmap, budget and support, whereas TXN's teams are dedicated to European fintechs, backed by the proven processing heritage of Direct Transact, our co-founding owner. Compare like-for-like on total cost at European scale.</w:t>
            </w:r>
          </w:p>
        </w:tc>
      </w:tr>
      <w:tr>
        <w:tc>
          <w:tcPr>
            <w:tcW w:type="dxa" w:w="1700"/>
            <w:shd w:fill="F4F6F8" w:val="clear"/>
            <w:tcMar>
              <w:top w:type="dxa" w:w="55"/>
              <w:left w:type="dxa" w:w="85"/>
              <w:bottom w:type="dxa" w:w="55"/>
              <w:right w:type="dxa" w:w="85"/>
            </w:tcMar>
          </w:tcPr>
          <w:p>
            <w:pPr>
              <w:spacing w:after="10" w:line="248"/>
            </w:pPr>
            <w:r>
              <w:rPr>
                <w:b w:val="false"/>
                <w:bCs w:val="false"/>
                <w:color w:val="222222"/>
                <w:sz w:val="17"/>
                <w:szCs w:val="17"/>
              </w:rPr>
              <w:t xml:space="preserve">Paymentology</w:t>
            </w:r>
          </w:p>
        </w:tc>
        <w:tc>
          <w:tcPr>
            <w:tcW w:type="dxa" w:w="3100"/>
            <w:shd w:fill="F4F6F8" w:val="clear"/>
            <w:tcMar>
              <w:top w:type="dxa" w:w="55"/>
              <w:left w:type="dxa" w:w="85"/>
              <w:bottom w:type="dxa" w:w="55"/>
              <w:right w:type="dxa" w:w="85"/>
            </w:tcMar>
          </w:tcPr>
          <w:p>
            <w:pPr>
              <w:spacing w:after="10" w:line="248"/>
            </w:pPr>
            <w:r>
              <w:rPr>
                <w:b w:val="false"/>
                <w:bCs w:val="false"/>
                <w:color w:val="222222"/>
                <w:sz w:val="17"/>
                <w:szCs w:val="17"/>
              </w:rPr>
              <w:t xml:space="preserve">Geographic breadth into emerging markets; real-time data story.</w:t>
            </w:r>
          </w:p>
        </w:tc>
        <w:tc>
          <w:tcPr>
            <w:tcW w:type="dxa" w:w="4220"/>
            <w:shd w:fill="F4F6F8" w:val="clear"/>
            <w:tcMar>
              <w:top w:type="dxa" w:w="55"/>
              <w:left w:type="dxa" w:w="85"/>
              <w:bottom w:type="dxa" w:w="55"/>
              <w:right w:type="dxa" w:w="85"/>
            </w:tcMar>
          </w:tcPr>
          <w:p>
            <w:pPr>
              <w:spacing w:after="10" w:line="248"/>
            </w:pPr>
            <w:r>
              <w:rPr>
                <w:b w:val="false"/>
                <w:bCs w:val="false"/>
                <w:color w:val="222222"/>
                <w:sz w:val="17"/>
                <w:szCs w:val="17"/>
              </w:rPr>
              <w:t xml:space="preserve">Intelligent developer and operator experience and a self-serve console for the operator side they under-invest in; faster time-to-launch; stronger European sub-sector coverage.</w:t>
            </w:r>
          </w:p>
        </w:tc>
      </w:tr>
      <w:tr>
        <w:tc>
          <w:tcPr>
            <w:tcW w:type="dxa" w:w="1700"/>
            <w:tcMar>
              <w:top w:type="dxa" w:w="55"/>
              <w:left w:type="dxa" w:w="85"/>
              <w:bottom w:type="dxa" w:w="55"/>
              <w:right w:type="dxa" w:w="85"/>
            </w:tcMar>
          </w:tcPr>
          <w:p>
            <w:pPr>
              <w:spacing w:after="10" w:line="248"/>
            </w:pPr>
            <w:r>
              <w:rPr>
                <w:b w:val="false"/>
                <w:bCs w:val="false"/>
                <w:color w:val="222222"/>
                <w:sz w:val="17"/>
                <w:szCs w:val="17"/>
              </w:rPr>
              <w:t xml:space="preserve">Thredd</w:t>
            </w:r>
          </w:p>
        </w:tc>
        <w:tc>
          <w:tcPr>
            <w:tcW w:type="dxa" w:w="3100"/>
            <w:tcMar>
              <w:top w:type="dxa" w:w="55"/>
              <w:left w:type="dxa" w:w="85"/>
              <w:bottom w:type="dxa" w:w="55"/>
              <w:right w:type="dxa" w:w="85"/>
            </w:tcMar>
          </w:tcPr>
          <w:p>
            <w:pPr>
              <w:spacing w:after="10" w:line="248"/>
            </w:pPr>
            <w:r>
              <w:rPr>
                <w:b w:val="false"/>
                <w:bCs w:val="false"/>
                <w:color w:val="222222"/>
                <w:sz w:val="17"/>
                <w:szCs w:val="17"/>
              </w:rPr>
              <w:t xml:space="preserve">Long-standing European processor, deep scheme and licence coverage.</w:t>
            </w:r>
          </w:p>
        </w:tc>
        <w:tc>
          <w:tcPr>
            <w:tcW w:type="dxa" w:w="4220"/>
            <w:tcMar>
              <w:top w:type="dxa" w:w="55"/>
              <w:left w:type="dxa" w:w="85"/>
              <w:bottom w:type="dxa" w:w="55"/>
              <w:right w:type="dxa" w:w="85"/>
            </w:tcMar>
          </w:tcPr>
          <w:p>
            <w:pPr>
              <w:spacing w:after="10" w:line="248"/>
            </w:pPr>
            <w:r>
              <w:rPr>
                <w:b w:val="false"/>
                <w:bCs w:val="false"/>
                <w:color w:val="222222"/>
                <w:sz w:val="17"/>
                <w:szCs w:val="17"/>
              </w:rPr>
              <w:t xml:space="preserve">Cloud-native rather than legacy roots, with programmable controls and an agentic AI surface. Ask about operational track record: Thredd's legacy platform has a public history of outages. TXN keeps the regulated heritage Thredd trades on, via Direct Transact, without the legacy architecture debt.</w:t>
            </w:r>
          </w:p>
        </w:tc>
      </w:tr>
      <w:tr>
        <w:tc>
          <w:tcPr>
            <w:tcW w:type="dxa" w:w="1700"/>
            <w:shd w:fill="F4F6F8" w:val="clear"/>
            <w:tcMar>
              <w:top w:type="dxa" w:w="55"/>
              <w:left w:type="dxa" w:w="85"/>
              <w:bottom w:type="dxa" w:w="55"/>
              <w:right w:type="dxa" w:w="85"/>
            </w:tcMar>
          </w:tcPr>
          <w:p>
            <w:pPr>
              <w:spacing w:after="10" w:line="248"/>
            </w:pPr>
            <w:r>
              <w:rPr>
                <w:b w:val="false"/>
                <w:bCs w:val="false"/>
                <w:color w:val="222222"/>
                <w:sz w:val="17"/>
                <w:szCs w:val="17"/>
              </w:rPr>
              <w:t xml:space="preserve">Enfuce</w:t>
            </w:r>
          </w:p>
        </w:tc>
        <w:tc>
          <w:tcPr>
            <w:tcW w:type="dxa" w:w="3100"/>
            <w:shd w:fill="F4F6F8" w:val="clear"/>
            <w:tcMar>
              <w:top w:type="dxa" w:w="55"/>
              <w:left w:type="dxa" w:w="85"/>
              <w:bottom w:type="dxa" w:w="55"/>
              <w:right w:type="dxa" w:w="85"/>
            </w:tcMar>
          </w:tcPr>
          <w:p>
            <w:pPr>
              <w:spacing w:after="10" w:line="248"/>
            </w:pPr>
            <w:r>
              <w:rPr>
                <w:b w:val="false"/>
                <w:bCs w:val="false"/>
                <w:color w:val="222222"/>
                <w:sz w:val="17"/>
                <w:szCs w:val="17"/>
              </w:rPr>
              <w:t xml:space="preserve">Regulated fluency in the Nordics; sustainability narrative.</w:t>
            </w:r>
          </w:p>
        </w:tc>
        <w:tc>
          <w:tcPr>
            <w:tcW w:type="dxa" w:w="4220"/>
            <w:shd w:fill="F4F6F8" w:val="clear"/>
            <w:tcMar>
              <w:top w:type="dxa" w:w="55"/>
              <w:left w:type="dxa" w:w="85"/>
              <w:bottom w:type="dxa" w:w="55"/>
              <w:right w:type="dxa" w:w="85"/>
            </w:tcMar>
          </w:tcPr>
          <w:p>
            <w:pPr>
              <w:spacing w:after="10" w:line="248"/>
            </w:pPr>
            <w:r>
              <w:rPr>
                <w:b w:val="false"/>
                <w:bCs w:val="false"/>
                <w:color w:val="222222"/>
                <w:sz w:val="17"/>
                <w:szCs w:val="17"/>
              </w:rPr>
              <w:t xml:space="preserve">Broader sub-sector and geographic coverage across the ICP markets, including the MVP markets; deeper processing heritage; a higher bar on developer and operator experience.</w:t>
            </w:r>
          </w:p>
        </w:tc>
      </w:tr>
      <w:tr>
        <w:tc>
          <w:tcPr>
            <w:tcW w:type="dxa" w:w="1700"/>
            <w:tcMar>
              <w:top w:type="dxa" w:w="55"/>
              <w:left w:type="dxa" w:w="85"/>
              <w:bottom w:type="dxa" w:w="55"/>
              <w:right w:type="dxa" w:w="85"/>
            </w:tcMar>
          </w:tcPr>
          <w:p>
            <w:pPr>
              <w:spacing w:after="10" w:line="248"/>
            </w:pPr>
            <w:r>
              <w:rPr>
                <w:b w:val="false"/>
                <w:bCs w:val="false"/>
                <w:color w:val="222222"/>
                <w:sz w:val="17"/>
                <w:szCs w:val="17"/>
              </w:rPr>
              <w:t xml:space="preserve">Episode Six</w:t>
            </w:r>
          </w:p>
        </w:tc>
        <w:tc>
          <w:tcPr>
            <w:tcW w:type="dxa" w:w="3100"/>
            <w:tcMar>
              <w:top w:type="dxa" w:w="55"/>
              <w:left w:type="dxa" w:w="85"/>
              <w:bottom w:type="dxa" w:w="55"/>
              <w:right w:type="dxa" w:w="85"/>
            </w:tcMar>
          </w:tcPr>
          <w:p>
            <w:pPr>
              <w:spacing w:after="10" w:line="248"/>
            </w:pPr>
            <w:r>
              <w:rPr>
                <w:b w:val="false"/>
                <w:bCs w:val="false"/>
                <w:color w:val="222222"/>
                <w:sz w:val="17"/>
                <w:szCs w:val="17"/>
              </w:rPr>
              <w:t xml:space="preserve">Ledger and credit depth for complex constructs.</w:t>
            </w:r>
          </w:p>
        </w:tc>
        <w:tc>
          <w:tcPr>
            <w:tcW w:type="dxa" w:w="4220"/>
            <w:tcMar>
              <w:top w:type="dxa" w:w="55"/>
              <w:left w:type="dxa" w:w="85"/>
              <w:bottom w:type="dxa" w:w="55"/>
              <w:right w:type="dxa" w:w="85"/>
            </w:tcMar>
          </w:tcPr>
          <w:p>
            <w:pPr>
              <w:spacing w:after="10" w:line="248"/>
            </w:pPr>
            <w:r>
              <w:rPr>
                <w:b w:val="false"/>
                <w:bCs w:val="false"/>
                <w:color w:val="222222"/>
                <w:sz w:val="17"/>
                <w:szCs w:val="17"/>
              </w:rPr>
              <w:t xml:space="preserve">Deeper regulated processing heritage relevant to European buyers; a stronger European reference base as TXN matures; coverage beyond core ledger and credit.</w:t>
            </w:r>
          </w:p>
        </w:tc>
      </w:tr>
      <w:tr>
        <w:tc>
          <w:tcPr>
            <w:tcW w:type="dxa" w:w="1700"/>
            <w:shd w:fill="F4F6F8" w:val="clear"/>
            <w:tcMar>
              <w:top w:type="dxa" w:w="55"/>
              <w:left w:type="dxa" w:w="85"/>
              <w:bottom w:type="dxa" w:w="55"/>
              <w:right w:type="dxa" w:w="85"/>
            </w:tcMar>
          </w:tcPr>
          <w:p>
            <w:pPr>
              <w:spacing w:after="10" w:line="248"/>
            </w:pPr>
            <w:r>
              <w:rPr>
                <w:b w:val="false"/>
                <w:bCs w:val="false"/>
                <w:color w:val="222222"/>
                <w:sz w:val="17"/>
                <w:szCs w:val="17"/>
              </w:rPr>
              <w:t xml:space="preserve">Pismo</w:t>
            </w:r>
          </w:p>
        </w:tc>
        <w:tc>
          <w:tcPr>
            <w:tcW w:type="dxa" w:w="3100"/>
            <w:shd w:fill="F4F6F8" w:val="clear"/>
            <w:tcMar>
              <w:top w:type="dxa" w:w="55"/>
              <w:left w:type="dxa" w:w="85"/>
              <w:bottom w:type="dxa" w:w="55"/>
              <w:right w:type="dxa" w:w="85"/>
            </w:tcMar>
          </w:tcPr>
          <w:p>
            <w:pPr>
              <w:spacing w:after="10" w:line="248"/>
            </w:pPr>
            <w:r>
              <w:rPr>
                <w:b w:val="false"/>
                <w:bCs w:val="false"/>
                <w:color w:val="222222"/>
                <w:sz w:val="17"/>
                <w:szCs w:val="17"/>
              </w:rPr>
              <w:t xml:space="preserve">Visa balance-sheet backing; tight scheme integration.</w:t>
            </w:r>
          </w:p>
        </w:tc>
        <w:tc>
          <w:tcPr>
            <w:tcW w:type="dxa" w:w="4220"/>
            <w:shd w:fill="F4F6F8" w:val="clear"/>
            <w:tcMar>
              <w:top w:type="dxa" w:w="55"/>
              <w:left w:type="dxa" w:w="85"/>
              <w:bottom w:type="dxa" w:w="55"/>
              <w:right w:type="dxa" w:w="85"/>
            </w:tcMar>
          </w:tcPr>
          <w:p>
            <w:pPr>
              <w:spacing w:after="10" w:line="248"/>
            </w:pPr>
            <w:r>
              <w:rPr>
                <w:b w:val="false"/>
                <w:bCs w:val="false"/>
                <w:color w:val="222222"/>
                <w:sz w:val="17"/>
                <w:szCs w:val="17"/>
              </w:rPr>
              <w:t xml:space="preserve">European-native scheme and BIN sponsor relationships with no Visa-ownership conflict of interest on sponsor choice; scheme neutrality treated as a given, which is hard for Pismo to match post-acquisition.</w:t>
            </w:r>
          </w:p>
        </w:tc>
      </w:tr>
    </w:tbl>
    <w:p>
      <w:pPr>
        <w:pStyle w:val="Heading2"/>
        <w:spacing w:after="90" w:before="200"/>
      </w:pPr>
      <w:r>
        <w:rPr>
          <w:b/>
          <w:bCs/>
          <w:color w:val="01556D"/>
          <w:sz w:val="24"/>
          <w:szCs w:val="24"/>
        </w:rPr>
        <w:t xml:space="preserve">4.2 Point solutions, in-house build, and doing nothing</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“We will use a best-of-breed point solution for each piece.”</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Consolidating into one platform means fewer vendors, lower TCO, clearer accountability and faster incident resolution. Ask who owns the problem at 2am when three vendors point at each other.</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Single-platform consolidation.</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“We will build it in-house.”</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Build looks attractive at year one and painful at year three. Scheme compliance is not a one-off: Visa and Mastercard issue mandates periodically that every issuer processor must implement, and that engineering never stops. The three-surface model gives the control teams associate with building, without the maintenance cost or the mandate treadmill. Compare on time-to-market and five-year TCO.</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Ongoing scheme mandates; five-year TCO.</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“We will stay on our incumbent for now.”</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The most common answer, and the most expensive. Anchor on their customers: the longer it takes to deliver a better card experience, the more likely their own customers look elsewhere. Every month on a legacy processor is throttled product velocity and accumulating integration debt, paid for in lost customer value.</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Cost of inaction; customer churn risk.</w:t>
            </w:r>
          </w:p>
        </w:tc>
      </w:tr>
    </w:tbl>
    <w:p>
      <w:r>
        <w:br w:type="page"/>
      </w:r>
    </w:p>
    <w:p>
      <w:pPr>
        <w:pStyle w:val="Heading1"/>
        <w:spacing w:after="130" w:before="300"/>
      </w:pPr>
      <w:r>
        <w:rPr>
          <w:b/>
          <w:bCs/>
          <w:color w:val="00143D"/>
          <w:sz w:val="30"/>
          <w:szCs w:val="30"/>
        </w:rPr>
        <w:t xml:space="preserve">5. Timing objections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“Not now, maybe next year.”</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Quantify the cost of waiting in their terms: months of throttled velocity and integration debt. Agree a small, time-boxed next step now rather than a re-open later.</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Cost of inaction.</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“Come back when you are more established.”</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Fair to raise. TXN is backed by two established regulated payments businesses, and there is a first-client program with reference-friendly terms for early customers. Offer roadmap disclosure and a scoping session now.</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Co-founding owner backing; first-client program.</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“We are mid-contract with our incumbent.”</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Start scoping the migration now so the switch is ready when the contract allows. If they have just signed a multi-year incumbent deal with no trigger to move, qualify the opportunity honestly rather than force it.</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Migration path; qualification discipline.</w:t>
            </w:r>
          </w:p>
        </w:tc>
      </w:tr>
    </w:tbl>
    <w:p>
      <w:pPr>
        <w:pStyle w:val="Heading1"/>
        <w:spacing w:after="130" w:before="300"/>
      </w:pPr>
      <w:r>
        <w:rPr>
          <w:b/>
          <w:bCs/>
          <w:color w:val="00143D"/>
          <w:sz w:val="30"/>
          <w:szCs w:val="30"/>
        </w:rPr>
        <w:t xml:space="preserve">6. Risk and trust objections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“You are pre-launch and unproven.”</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Acknowledge it plainly. TXN the platform is new, but its processing reliability comes from Direct Transact, our co-founding owner, with 25 years of operation. That is ownership, not a vendor contract.</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25 years; 99.99% uptime; PCI DSS; scheme certifications.</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“You have no references.”</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True today, and improving. Use the co-founding owner heritage as the bridge, and offer early, reference-friendly terms through the first-client program. Do not invent proof.</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First-client program.</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“When can we go live?”</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Give a specific answer with the dependencies named, backed by sandbox-to-production parity. Vague timelines lose deals; honest ones with clear dependencies build trust.</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Roadmap Snapshot; sandbox parity.</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“Will you still be here in five years?”</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TXN is backed by two established, regulated payments businesses, not a standalone start-up. In a market where first-wave platforms face consolidation pressure, proven processing heritage answers this directly.</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Co-founding owners; longevity.</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“Can you pass regulated procurement and audit?”</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Yes. Point to specific, owned credentials rather than adjectives.</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PCI DSS, SOC 2, scheme certifications, documented resilience; Pillar 4.</w:t>
            </w:r>
          </w:p>
        </w:tc>
      </w:tr>
    </w:tbl>
    <w:p>
      <w:r>
        <w:br w:type="page"/>
      </w:r>
    </w:p>
    <w:p>
      <w:pPr>
        <w:pStyle w:val="Heading1"/>
        <w:spacing w:after="130" w:before="300"/>
      </w:pPr>
      <w:r>
        <w:rPr>
          <w:b/>
          <w:bCs/>
          <w:color w:val="00143D"/>
          <w:sz w:val="30"/>
          <w:szCs w:val="30"/>
        </w:rPr>
        <w:t xml:space="preserve">7. Ownership objections (joint venture)</w:t>
      </w:r>
    </w:p>
    <w:p>
      <w:pPr>
        <w:spacing w:after="120" w:line="276"/>
      </w:pPr>
      <w:r>
        <w:rPr>
          <w:b w:val="false"/>
          <w:bCs w:val="false"/>
          <w:i w:val="false"/>
          <w:iCs w:val="false"/>
          <w:color w:val="222222"/>
          <w:sz w:val="21"/>
          <w:szCs w:val="21"/>
        </w:rPr>
        <w:t xml:space="preserve">These recur in most competitive procurements. Every answer must pass four tests: it must not imply TXN's technology is built on Direct Transact's system; it must not imply TXN outsourced its processing to a vendor; it must not read as an old South African banking platform; and it must return the focus to what TXN delivers.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550"/>
        <w:gridCol w:w="4470"/>
        <w:gridCol w:w="2000"/>
      </w:tblGrid>
      <w:tr>
        <w:trPr>
          <w:tblHeader/>
        </w:trPr>
        <w:tc>
          <w:tcPr>
            <w:tcW w:type="dxa" w:w="2550"/>
            <w:shd w:fill="01556D" w:val="clear"/>
            <w:tcMar>
              <w:top w:type="dxa" w:w="55"/>
              <w:left w:type="dxa" w:w="85"/>
              <w:bottom w:type="dxa" w:w="55"/>
              <w:right w:type="dxa" w:w="85"/>
            </w:tcMar>
          </w:tcPr>
          <w:p>
            <w:pPr>
              <w:spacing w:after="10" w:line="248"/>
            </w:pPr>
            <w:r>
              <w:rPr>
                <w:b/>
                <w:bCs/>
                <w:color w:val="FFFFFF"/>
                <w:sz w:val="17"/>
                <w:szCs w:val="17"/>
              </w:rPr>
              <w:t xml:space="preserve">What you hear</w:t>
            </w:r>
          </w:p>
        </w:tc>
        <w:tc>
          <w:tcPr>
            <w:tcW w:type="dxa" w:w="4470"/>
            <w:shd w:fill="01556D" w:val="clear"/>
            <w:tcMar>
              <w:top w:type="dxa" w:w="55"/>
              <w:left w:type="dxa" w:w="85"/>
              <w:bottom w:type="dxa" w:w="55"/>
              <w:right w:type="dxa" w:w="85"/>
            </w:tcMar>
          </w:tcPr>
          <w:p>
            <w:pPr>
              <w:spacing w:after="10" w:line="248"/>
            </w:pPr>
            <w:r>
              <w:rPr>
                <w:b/>
                <w:bCs/>
                <w:color w:val="FFFFFF"/>
                <w:sz w:val="17"/>
                <w:szCs w:val="17"/>
              </w:rPr>
              <w:t xml:space="preserve">How to respond</w:t>
            </w:r>
          </w:p>
        </w:tc>
        <w:tc>
          <w:tcPr>
            <w:tcW w:type="dxa" w:w="2000"/>
            <w:shd w:fill="01556D" w:val="clear"/>
            <w:tcMar>
              <w:top w:type="dxa" w:w="55"/>
              <w:left w:type="dxa" w:w="85"/>
              <w:bottom w:type="dxa" w:w="55"/>
              <w:right w:type="dxa" w:w="85"/>
            </w:tcMar>
          </w:tcPr>
          <w:p>
            <w:pPr>
              <w:spacing w:after="10" w:line="248"/>
            </w:pPr>
            <w:r>
              <w:rPr>
                <w:b/>
                <w:bCs/>
                <w:color w:val="FFFFFF"/>
                <w:sz w:val="17"/>
                <w:szCs w:val="17"/>
              </w:rPr>
              <w:t xml:space="preserve">Anchor / proof</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“Is this just Direct Transact, are you reselling it?”</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TXN and Direct Transact are different products for different markets. What TXN draws from Direct Transact is not a technology stack, it is 25 years of proven processing reliability and the scheme certifications that come with it, because Direct Transact is a co-founding 50% owner. It is ownership, not outsourcing.</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JV framework talking points.</w:t>
            </w:r>
          </w:p>
        </w:tc>
      </w:tr>
      <w:tr>
        <w:tc>
          <w:tcPr>
            <w:tcW w:type="dxa" w:w="2550"/>
            <w:shd w:fill="F4F6F8" w:val="clear"/>
            <w:tcMar>
              <w:top w:type="dxa" w:w="55"/>
              <w:left w:type="dxa" w:w="85"/>
              <w:bottom w:type="dxa" w:w="55"/>
              <w:right w:type="dxa" w:w="85"/>
            </w:tcMar>
          </w:tcPr>
          <w:p>
            <w:pPr>
              <w:spacing w:after="10" w:line="248"/>
            </w:pPr>
            <w:r>
              <w:rPr>
                <w:b w:val="false"/>
                <w:bCs w:val="false"/>
                <w:color w:val="222222"/>
                <w:sz w:val="17"/>
                <w:szCs w:val="17"/>
              </w:rPr>
              <w:t xml:space="preserve">“Isn't this an old SA banking platform repackaged?”</w:t>
            </w:r>
          </w:p>
        </w:tc>
        <w:tc>
          <w:tcPr>
            <w:tcW w:type="dxa" w:w="4470"/>
            <w:shd w:fill="F4F6F8" w:val="clear"/>
            <w:tcMar>
              <w:top w:type="dxa" w:w="55"/>
              <w:left w:type="dxa" w:w="85"/>
              <w:bottom w:type="dxa" w:w="55"/>
              <w:right w:type="dxa" w:w="85"/>
            </w:tcMar>
          </w:tcPr>
          <w:p>
            <w:pPr>
              <w:spacing w:after="10" w:line="248"/>
            </w:pPr>
            <w:r>
              <w:rPr>
                <w:b w:val="false"/>
                <w:bCs w:val="false"/>
                <w:color w:val="222222"/>
                <w:sz w:val="17"/>
                <w:szCs w:val="17"/>
              </w:rPr>
              <w:t xml:space="preserve">No. TXN is purpose-built for European fintechs, with its own architecture, API design, self-serve console and agentic AI. The reliability comes via ownership, as a foundation, not a dependency.</w:t>
            </w:r>
          </w:p>
        </w:tc>
        <w:tc>
          <w:tcPr>
            <w:tcW w:type="dxa" w:w="2000"/>
            <w:shd w:fill="F4F6F8" w:val="clear"/>
            <w:tcMar>
              <w:top w:type="dxa" w:w="55"/>
              <w:left w:type="dxa" w:w="85"/>
              <w:bottom w:type="dxa" w:w="55"/>
              <w:right w:type="dxa" w:w="85"/>
            </w:tcMar>
          </w:tcPr>
          <w:p>
            <w:pPr>
              <w:spacing w:after="10" w:line="248"/>
            </w:pPr>
            <w:r>
              <w:rPr>
                <w:b w:val="false"/>
                <w:bCs w:val="false"/>
                <w:color w:val="222222"/>
                <w:sz w:val="17"/>
                <w:szCs w:val="17"/>
              </w:rPr>
              <w:t xml:space="preserve">Purpose-built; co-founding owner.</w:t>
            </w:r>
          </w:p>
        </w:tc>
      </w:tr>
      <w:tr>
        <w:tc>
          <w:tcPr>
            <w:tcW w:type="dxa" w:w="2550"/>
            <w:tcMar>
              <w:top w:type="dxa" w:w="55"/>
              <w:left w:type="dxa" w:w="85"/>
              <w:bottom w:type="dxa" w:w="55"/>
              <w:right w:type="dxa" w:w="85"/>
            </w:tcMar>
          </w:tcPr>
          <w:p>
            <w:pPr>
              <w:spacing w:after="10" w:line="248"/>
            </w:pPr>
            <w:r>
              <w:rPr>
                <w:b w:val="false"/>
                <w:bCs w:val="false"/>
                <w:color w:val="222222"/>
                <w:sz w:val="17"/>
                <w:szCs w:val="17"/>
              </w:rPr>
              <w:t xml:space="preserve">“Who actually owns TXN?”</w:t>
            </w:r>
          </w:p>
        </w:tc>
        <w:tc>
          <w:tcPr>
            <w:tcW w:type="dxa" w:w="4470"/>
            <w:tcMar>
              <w:top w:type="dxa" w:w="55"/>
              <w:left w:type="dxa" w:w="85"/>
              <w:bottom w:type="dxa" w:w="55"/>
              <w:right w:type="dxa" w:w="85"/>
            </w:tcMar>
          </w:tcPr>
          <w:p>
            <w:pPr>
              <w:spacing w:after="10" w:line="248"/>
            </w:pPr>
            <w:r>
              <w:rPr>
                <w:b w:val="false"/>
                <w:bCs w:val="false"/>
                <w:color w:val="222222"/>
                <w:sz w:val="17"/>
                <w:szCs w:val="17"/>
              </w:rPr>
              <w:t xml:space="preserve">Answer directly, then return to value: TXN is a 50/50 joint venture, equally owned by Direct Transact and Paycorp. What that means for the buyer is backing by two established, regulated payments businesses, with a platform that is purpose-built and independent.</w:t>
            </w:r>
          </w:p>
        </w:tc>
        <w:tc>
          <w:tcPr>
            <w:tcW w:type="dxa" w:w="2000"/>
            <w:tcMar>
              <w:top w:type="dxa" w:w="55"/>
              <w:left w:type="dxa" w:w="85"/>
              <w:bottom w:type="dxa" w:w="55"/>
              <w:right w:type="dxa" w:w="85"/>
            </w:tcMar>
          </w:tcPr>
          <w:p>
            <w:pPr>
              <w:spacing w:after="10" w:line="248"/>
            </w:pPr>
            <w:r>
              <w:rPr>
                <w:b w:val="false"/>
                <w:bCs w:val="false"/>
                <w:color w:val="222222"/>
                <w:sz w:val="17"/>
                <w:szCs w:val="17"/>
              </w:rPr>
              <w:t xml:space="preserve">50/50 JV; both co-founding owners.</w:t>
            </w:r>
          </w:p>
        </w:tc>
      </w:tr>
    </w:tbl>
    <w:p>
      <w:pPr>
        <w:pStyle w:val="Heading1"/>
        <w:spacing w:after="130" w:before="300"/>
      </w:pPr>
      <w:r>
        <w:rPr>
          <w:b/>
          <w:bCs/>
          <w:color w:val="00143D"/>
          <w:sz w:val="30"/>
          <w:szCs w:val="30"/>
        </w:rPr>
        <w:t xml:space="preserve">8. Quick reference</w:t>
      </w:r>
    </w:p>
    <w:p>
      <w:pPr>
        <w:pStyle w:val="Heading2"/>
        <w:spacing w:after="90" w:before="200"/>
      </w:pPr>
      <w:r>
        <w:rPr>
          <w:b/>
          <w:bCs/>
          <w:color w:val="01556D"/>
          <w:sz w:val="24"/>
          <w:szCs w:val="24"/>
        </w:rPr>
        <w:t xml:space="preserve">Do</w:t>
      </w:r>
    </w:p>
    <w:p>
      <w:pPr>
        <w:pStyle w:val="ListParagraph"/>
        <w:numPr>
          <w:ilvl w:val="0"/>
          <w:numId w:val="3"/>
        </w:numPr>
        <w:spacing w:after="60" w:line="268"/>
      </w:pPr>
      <w:r>
        <w:rPr>
          <w:color w:val="222222"/>
          <w:sz w:val="21"/>
          <w:szCs w:val="21"/>
        </w:rPr>
        <w:t xml:space="preserve">Ask a question before answering. Reframe onto the outcome, then close with a sourced proof point.</w:t>
      </w:r>
    </w:p>
    <w:p>
      <w:pPr>
        <w:pStyle w:val="ListParagraph"/>
        <w:numPr>
          <w:ilvl w:val="0"/>
          <w:numId w:val="3"/>
        </w:numPr>
        <w:spacing w:after="60" w:line="268"/>
      </w:pPr>
      <w:r>
        <w:rPr>
          <w:color w:val="222222"/>
          <w:sz w:val="21"/>
          <w:szCs w:val="21"/>
        </w:rPr>
        <w:t xml:space="preserve">Name the competitor and answer on their specific weakness.</w:t>
      </w:r>
    </w:p>
    <w:p>
      <w:pPr>
        <w:pStyle w:val="ListParagraph"/>
        <w:numPr>
          <w:ilvl w:val="0"/>
          <w:numId w:val="3"/>
        </w:numPr>
        <w:spacing w:after="60" w:line="268"/>
      </w:pPr>
      <w:r>
        <w:rPr>
          <w:color w:val="222222"/>
          <w:sz w:val="21"/>
          <w:szCs w:val="21"/>
        </w:rPr>
        <w:t xml:space="preserve">Be honest about pre-launch gaps and lead with the mitigation.</w:t>
      </w:r>
    </w:p>
    <w:p>
      <w:pPr>
        <w:pStyle w:val="ListParagraph"/>
        <w:numPr>
          <w:ilvl w:val="0"/>
          <w:numId w:val="3"/>
        </w:numPr>
        <w:spacing w:after="60" w:line="268"/>
      </w:pPr>
      <w:r>
        <w:rPr>
          <w:color w:val="222222"/>
          <w:sz w:val="21"/>
          <w:szCs w:val="21"/>
        </w:rPr>
        <w:t xml:space="preserve">Attribute the 25 years to Direct Transact, our co-founding owner.</w:t>
      </w:r>
    </w:p>
    <w:p>
      <w:pPr>
        <w:pStyle w:val="Heading2"/>
        <w:spacing w:after="90" w:before="200"/>
      </w:pPr>
      <w:r>
        <w:rPr>
          <w:b/>
          <w:bCs/>
          <w:color w:val="01556D"/>
          <w:sz w:val="24"/>
          <w:szCs w:val="24"/>
        </w:rPr>
        <w:t xml:space="preserve">Do not</w:t>
      </w:r>
    </w:p>
    <w:p>
      <w:pPr>
        <w:pStyle w:val="ListParagraph"/>
        <w:numPr>
          <w:ilvl w:val="0"/>
          <w:numId w:val="3"/>
        </w:numPr>
        <w:spacing w:after="60" w:line="268"/>
      </w:pPr>
      <w:r>
        <w:rPr>
          <w:color w:val="222222"/>
          <w:sz w:val="21"/>
          <w:szCs w:val="21"/>
        </w:rPr>
        <w:t xml:space="preserve">Lead with a discount, or discount to win a conversation.</w:t>
      </w:r>
    </w:p>
    <w:p>
      <w:pPr>
        <w:pStyle w:val="ListParagraph"/>
        <w:numPr>
          <w:ilvl w:val="0"/>
          <w:numId w:val="3"/>
        </w:numPr>
        <w:spacing w:after="60" w:line="268"/>
      </w:pPr>
      <w:r>
        <w:rPr>
          <w:color w:val="222222"/>
          <w:sz w:val="21"/>
          <w:szCs w:val="21"/>
        </w:rPr>
        <w:t xml:space="preserve">Claim the 25-year heritage for TXN, or say built on, powered by, partner, parent group or bank-grade.</w:t>
      </w:r>
    </w:p>
    <w:p>
      <w:pPr>
        <w:pStyle w:val="ListParagraph"/>
        <w:numPr>
          <w:ilvl w:val="0"/>
          <w:numId w:val="3"/>
        </w:numPr>
        <w:spacing w:after="60" w:line="268"/>
      </w:pPr>
      <w:r>
        <w:rPr>
          <w:color w:val="222222"/>
          <w:sz w:val="21"/>
          <w:szCs w:val="21"/>
        </w:rPr>
        <w:t xml:space="preserve">Promise a go-live date without naming the dependencies.</w:t>
      </w:r>
    </w:p>
    <w:p>
      <w:pPr>
        <w:pStyle w:val="ListParagraph"/>
        <w:numPr>
          <w:ilvl w:val="0"/>
          <w:numId w:val="3"/>
        </w:numPr>
        <w:spacing w:after="60" w:line="268"/>
      </w:pPr>
      <w:r>
        <w:rPr>
          <w:color w:val="222222"/>
          <w:sz w:val="21"/>
          <w:szCs w:val="21"/>
        </w:rPr>
        <w:t xml:space="preserve">Overclaim on references or AI. Lead with the outcome, not the technology.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5"/>
        <w:szCs w:val="15"/>
      </w:rPr>
      <w:t xml:space="preserve">Confidential  ·  Owner: Ian Johnson  ·  Page </w:t>
    </w:r>
    <w:r>
      <w:rPr>
        <w:color w:val="8A97A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pBdr>
      <w:spacing w:after="0"/>
      <w:jc w:val="right"/>
    </w:pPr>
    <w:r>
      <w:rPr>
        <w:color w:val="8A97A5"/>
        <w:sz w:val="15"/>
        <w:szCs w:val="15"/>
      </w:rPr>
      <w:t xml:space="preserve">TXN Global  ·  Objection Handling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143D"/>
      <w:sz w:val="30"/>
      <w:szCs w:val="30"/>
    </w:rPr>
  </w:style>
  <w:style w:type="paragraph" w:styleId="Heading2">
    <w:name w:val="Heading 2"/>
    <w:basedOn w:val="Normal"/>
    <w:next w:val="Normal"/>
    <w:qFormat/>
    <w:rPr>
      <w:rFonts w:ascii="Calibri" w:cs="Calibri" w:eastAsia="Calibri" w:hAnsi="Calibri"/>
      <w:b/>
      <w:bCs/>
      <w:color w:val="01556D"/>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420B28D7-AD37-42AF-A74F-F6A04B0DE5D4}"/>
</file>

<file path=customXml/itemProps2.xml><?xml version="1.0" encoding="utf-8"?>
<ds:datastoreItem xmlns:ds="http://schemas.openxmlformats.org/officeDocument/2006/customXml" ds:itemID="{FBF83D42-2112-4369-BD78-4B8C70D4FF57}"/>
</file>

<file path=customXml/itemProps3.xml><?xml version="1.0" encoding="utf-8"?>
<ds:datastoreItem xmlns:ds="http://schemas.openxmlformats.org/officeDocument/2006/customXml" ds:itemID="{320E6968-D179-4249-ABF0-4BD47811686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TXN Objection Handling v1.0</dc:title>
  <dc:creator>TXN Global</dc:creator>
  <cp:lastModifiedBy>Un-named</cp:lastModifiedBy>
  <cp:revision>1</cp:revision>
  <dcterms:created xsi:type="dcterms:W3CDTF">2026-07-17T11:55:33Z</dcterms:created>
  <dcterms:modified xsi:type="dcterms:W3CDTF">2026-07-17T11:55:33Z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