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6DD99" w14:textId="77777777" w:rsidR="000B5218" w:rsidRDefault="00237F48">
      <w:pPr>
        <w:spacing w:before="60" w:after="40"/>
      </w:pPr>
      <w:r>
        <w:rPr>
          <w:i/>
          <w:iCs/>
          <w:color w:val="0F4761"/>
          <w:sz w:val="24"/>
          <w:szCs w:val="24"/>
        </w:rPr>
        <w:t>TXN Global</w:t>
      </w:r>
    </w:p>
    <w:p w14:paraId="560FE410" w14:textId="77777777" w:rsidR="000B5218" w:rsidRDefault="00237F48">
      <w:pPr>
        <w:spacing w:before="20" w:after="60"/>
      </w:pPr>
      <w:r>
        <w:rPr>
          <w:i/>
          <w:iCs/>
          <w:color w:val="0F4761"/>
          <w:sz w:val="20"/>
          <w:szCs w:val="20"/>
        </w:rPr>
        <w:t>GTM Reference Document</w:t>
      </w:r>
    </w:p>
    <w:p w14:paraId="3AAD1D78" w14:textId="77777777" w:rsidR="000B5218" w:rsidRDefault="00237F48">
      <w:pPr>
        <w:spacing w:before="120" w:after="60"/>
      </w:pPr>
      <w:r>
        <w:rPr>
          <w:b/>
          <w:bCs/>
          <w:color w:val="2A2069"/>
          <w:sz w:val="52"/>
          <w:szCs w:val="52"/>
        </w:rPr>
        <w:t>Competitive Landscape</w:t>
      </w:r>
    </w:p>
    <w:p w14:paraId="1E504E67" w14:textId="77777777" w:rsidR="000B5218" w:rsidRDefault="00237F48">
      <w:pPr>
        <w:spacing w:before="20" w:after="120"/>
      </w:pPr>
      <w:r>
        <w:rPr>
          <w:i/>
          <w:iCs/>
          <w:color w:val="0F4761"/>
          <w:sz w:val="26"/>
          <w:szCs w:val="26"/>
        </w:rPr>
        <w:t>Who competes with TXN, and how</w:t>
      </w:r>
    </w:p>
    <w:p w14:paraId="09DC75AD" w14:textId="77777777" w:rsidR="000B5218" w:rsidRDefault="00237F48">
      <w:pPr>
        <w:spacing w:before="40" w:after="240"/>
      </w:pPr>
      <w:r>
        <w:rPr>
          <w:color w:val="0F4761"/>
        </w:rPr>
        <w:t>Version 0.2   |   Author: I. Johnson   |   08/07/2026</w:t>
      </w:r>
    </w:p>
    <w:p w14:paraId="699B206C" w14:textId="77777777" w:rsidR="000B5218" w:rsidRDefault="00237F48">
      <w:pPr>
        <w:pStyle w:val="Heading2"/>
        <w:spacing w:before="240" w:after="120"/>
      </w:pPr>
      <w:r>
        <w:rPr>
          <w:b/>
          <w:bCs/>
          <w:color w:val="2A2069"/>
          <w:sz w:val="28"/>
          <w:szCs w:val="28"/>
        </w:rPr>
        <w:t>1. 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1299"/>
        <w:gridCol w:w="1398"/>
        <w:gridCol w:w="1398"/>
        <w:gridCol w:w="4013"/>
      </w:tblGrid>
      <w:tr w:rsidR="000B5218" w14:paraId="397F07B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003865"/>
            <w:tcMar>
              <w:top w:w="80" w:type="dxa"/>
              <w:left w:w="120" w:type="dxa"/>
              <w:bottom w:w="80" w:type="dxa"/>
              <w:right w:w="120" w:type="dxa"/>
            </w:tcMar>
          </w:tcPr>
          <w:p w14:paraId="7F37C05F" w14:textId="77777777" w:rsidR="000B5218" w:rsidRDefault="00237F48">
            <w:r>
              <w:rPr>
                <w:b/>
                <w:bCs/>
                <w:color w:val="FFFFFF"/>
                <w:sz w:val="20"/>
                <w:szCs w:val="20"/>
              </w:rPr>
              <w:t>Version</w:t>
            </w:r>
          </w:p>
        </w:tc>
        <w:tc>
          <w:tcPr>
            <w:tcW w:w="1300" w:type="dxa"/>
            <w:tcBorders>
              <w:top w:val="single" w:sz="4" w:space="0" w:color="BFBFBF"/>
              <w:left w:val="single" w:sz="4" w:space="0" w:color="BFBFBF"/>
              <w:bottom w:val="single" w:sz="4" w:space="0" w:color="BFBFBF"/>
              <w:right w:val="single" w:sz="4" w:space="0" w:color="BFBFBF"/>
            </w:tcBorders>
            <w:shd w:val="clear" w:color="auto" w:fill="003865"/>
            <w:tcMar>
              <w:top w:w="80" w:type="dxa"/>
              <w:left w:w="120" w:type="dxa"/>
              <w:bottom w:w="80" w:type="dxa"/>
              <w:right w:w="120" w:type="dxa"/>
            </w:tcMar>
          </w:tcPr>
          <w:p w14:paraId="18DC075B" w14:textId="77777777" w:rsidR="000B5218" w:rsidRDefault="00237F48">
            <w:r>
              <w:rPr>
                <w:b/>
                <w:bCs/>
                <w:color w:val="FFFFFF"/>
                <w:sz w:val="20"/>
                <w:szCs w:val="20"/>
              </w:rPr>
              <w:t>Date</w:t>
            </w:r>
          </w:p>
        </w:tc>
        <w:tc>
          <w:tcPr>
            <w:tcW w:w="1400" w:type="dxa"/>
            <w:tcBorders>
              <w:top w:val="single" w:sz="4" w:space="0" w:color="BFBFBF"/>
              <w:left w:val="single" w:sz="4" w:space="0" w:color="BFBFBF"/>
              <w:bottom w:val="single" w:sz="4" w:space="0" w:color="BFBFBF"/>
              <w:right w:val="single" w:sz="4" w:space="0" w:color="BFBFBF"/>
            </w:tcBorders>
            <w:shd w:val="clear" w:color="auto" w:fill="003865"/>
            <w:tcMar>
              <w:top w:w="80" w:type="dxa"/>
              <w:left w:w="120" w:type="dxa"/>
              <w:bottom w:w="80" w:type="dxa"/>
              <w:right w:w="120" w:type="dxa"/>
            </w:tcMar>
          </w:tcPr>
          <w:p w14:paraId="4C12F7DD" w14:textId="77777777" w:rsidR="000B5218" w:rsidRDefault="00237F48">
            <w:r>
              <w:rPr>
                <w:b/>
                <w:bCs/>
                <w:color w:val="FFFFFF"/>
                <w:sz w:val="20"/>
                <w:szCs w:val="20"/>
              </w:rPr>
              <w:t>Author</w:t>
            </w:r>
          </w:p>
        </w:tc>
        <w:tc>
          <w:tcPr>
            <w:tcW w:w="1400" w:type="dxa"/>
            <w:tcBorders>
              <w:top w:val="single" w:sz="4" w:space="0" w:color="BFBFBF"/>
              <w:left w:val="single" w:sz="4" w:space="0" w:color="BFBFBF"/>
              <w:bottom w:val="single" w:sz="4" w:space="0" w:color="BFBFBF"/>
              <w:right w:val="single" w:sz="4" w:space="0" w:color="BFBFBF"/>
            </w:tcBorders>
            <w:shd w:val="clear" w:color="auto" w:fill="003865"/>
            <w:tcMar>
              <w:top w:w="80" w:type="dxa"/>
              <w:left w:w="120" w:type="dxa"/>
              <w:bottom w:w="80" w:type="dxa"/>
              <w:right w:w="120" w:type="dxa"/>
            </w:tcMar>
          </w:tcPr>
          <w:p w14:paraId="0EBBAFE8" w14:textId="77777777" w:rsidR="000B5218" w:rsidRDefault="00237F48">
            <w:r>
              <w:rPr>
                <w:b/>
                <w:bCs/>
                <w:color w:val="FFFFFF"/>
                <w:sz w:val="20"/>
                <w:szCs w:val="20"/>
              </w:rPr>
              <w:t>Owner</w:t>
            </w:r>
          </w:p>
        </w:tc>
        <w:tc>
          <w:tcPr>
            <w:tcW w:w="4026" w:type="dxa"/>
            <w:tcBorders>
              <w:top w:val="single" w:sz="4" w:space="0" w:color="BFBFBF"/>
              <w:left w:val="single" w:sz="4" w:space="0" w:color="BFBFBF"/>
              <w:bottom w:val="single" w:sz="4" w:space="0" w:color="BFBFBF"/>
              <w:right w:val="single" w:sz="4" w:space="0" w:color="BFBFBF"/>
            </w:tcBorders>
            <w:shd w:val="clear" w:color="auto" w:fill="003865"/>
            <w:tcMar>
              <w:top w:w="80" w:type="dxa"/>
              <w:left w:w="120" w:type="dxa"/>
              <w:bottom w:w="80" w:type="dxa"/>
              <w:right w:w="120" w:type="dxa"/>
            </w:tcMar>
          </w:tcPr>
          <w:p w14:paraId="515809DB" w14:textId="77777777" w:rsidR="000B5218" w:rsidRDefault="00237F48">
            <w:r>
              <w:rPr>
                <w:b/>
                <w:bCs/>
                <w:color w:val="FFFFFF"/>
                <w:sz w:val="20"/>
                <w:szCs w:val="20"/>
              </w:rPr>
              <w:t>Description</w:t>
            </w:r>
          </w:p>
        </w:tc>
      </w:tr>
      <w:tr w:rsidR="000B5218" w14:paraId="1FBED23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74281" w14:textId="77777777" w:rsidR="000B5218" w:rsidRDefault="00237F48">
            <w:r>
              <w:rPr>
                <w:sz w:val="20"/>
                <w:szCs w:val="20"/>
              </w:rPr>
              <w:t>0.1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F3EF6" w14:textId="77777777" w:rsidR="000B5218" w:rsidRDefault="00237F48">
            <w:r>
              <w:rPr>
                <w:sz w:val="20"/>
                <w:szCs w:val="20"/>
              </w:rPr>
              <w:t>21/04/2026</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F0CA8" w14:textId="77777777" w:rsidR="000B5218" w:rsidRDefault="00237F48">
            <w:r>
              <w:rPr>
                <w:sz w:val="20"/>
                <w:szCs w:val="20"/>
              </w:rPr>
              <w:t>I. Johnson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53FBC" w14:textId="77777777" w:rsidR="000B5218" w:rsidRDefault="00237F48">
            <w:r>
              <w:rPr>
                <w:sz w:val="20"/>
                <w:szCs w:val="20"/>
              </w:rPr>
              <w:t>I. Johnson</w:t>
            </w:r>
          </w:p>
        </w:tc>
        <w:tc>
          <w:tcPr>
            <w:tcW w:w="4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AB357" w14:textId="77777777" w:rsidR="000B5218" w:rsidRDefault="00237F48">
            <w:r>
              <w:rPr>
                <w:sz w:val="20"/>
                <w:szCs w:val="20"/>
              </w:rPr>
              <w:t>Initial scaffold. Placeholder content.</w:t>
            </w:r>
          </w:p>
        </w:tc>
      </w:tr>
      <w:tr w:rsidR="000B5218" w14:paraId="68F761C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947E5B" w14:textId="77777777" w:rsidR="000B5218" w:rsidRDefault="00237F48">
            <w:r>
              <w:rPr>
                <w:sz w:val="20"/>
                <w:szCs w:val="20"/>
              </w:rPr>
              <w:t>0.2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C06BD9" w14:textId="77777777" w:rsidR="000B5218" w:rsidRDefault="00237F48">
            <w:r>
              <w:rPr>
                <w:sz w:val="20"/>
                <w:szCs w:val="20"/>
              </w:rPr>
              <w:t>08/07/2026</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F62C97" w14:textId="77777777" w:rsidR="000B5218" w:rsidRDefault="00237F48">
            <w:r>
              <w:rPr>
                <w:sz w:val="20"/>
                <w:szCs w:val="20"/>
              </w:rPr>
              <w:t>I. Johnson</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195EA4" w14:textId="77777777" w:rsidR="000B5218" w:rsidRDefault="00237F48">
            <w:r>
              <w:rPr>
                <w:sz w:val="20"/>
                <w:szCs w:val="20"/>
              </w:rPr>
              <w:t>I. Johnson</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50A5DA" w14:textId="77777777" w:rsidR="000B5218" w:rsidRDefault="00237F48">
            <w:r>
              <w:rPr>
                <w:sz w:val="20"/>
                <w:szCs w:val="20"/>
              </w:rPr>
              <w:t>Full rebuild against the six named European competitors, ICP v0.3, and Core Messaging v2.5. Adds competitor categories, market trends, and hypothesised win / loss themes for validation post-launch.</w:t>
            </w:r>
          </w:p>
        </w:tc>
      </w:tr>
    </w:tbl>
    <w:p w14:paraId="756FEBDB" w14:textId="77777777" w:rsidR="000B5218" w:rsidRDefault="00237F48">
      <w:pPr>
        <w:spacing w:before="60" w:after="60"/>
      </w:pPr>
      <w:r>
        <w:t xml:space="preserve"> </w:t>
      </w:r>
    </w:p>
    <w:p w14:paraId="61B83076" w14:textId="77777777" w:rsidR="000B5218" w:rsidRDefault="00237F48">
      <w:pPr>
        <w:pStyle w:val="Heading2"/>
        <w:spacing w:before="240" w:after="120"/>
      </w:pPr>
      <w:r>
        <w:rPr>
          <w:b/>
          <w:bCs/>
          <w:color w:val="2A2069"/>
          <w:sz w:val="28"/>
          <w:szCs w:val="28"/>
        </w:rPr>
        <w:t>2. Purpose</w:t>
      </w:r>
    </w:p>
    <w:p w14:paraId="7227FB1A" w14:textId="77777777" w:rsidR="000B5218" w:rsidRDefault="00237F48">
      <w:pPr>
        <w:spacing w:before="80" w:after="80"/>
      </w:pPr>
      <w:r>
        <w:t>This document maps the competitive environment TXN operates in across the European Economic Area plus the United Kingdom. It defines the real competitors, the alternative solutions buyers consider, the trends reshaping the market, and TXN's hypothesised win and loss themes. It is the deep companion to the Competitive Positioning Snapshot in Core Messaging v2.5 Section 12: Core Messaging holds the summary that carries into daily sales conversations; this document holds the full picture behind those bullets.</w:t>
      </w:r>
    </w:p>
    <w:p w14:paraId="02D9054B" w14:textId="77777777" w:rsidR="000B5218" w:rsidRDefault="00237F48">
      <w:pPr>
        <w:spacing w:before="80" w:after="80"/>
      </w:pPr>
      <w:r>
        <w:t>Use this document when preparing a battlecard, briefing a new seller or marketer, drafting a competitor-specific proof point, responding to a competitive RFP, or building a market view for an investor or board conversation. Refresh cadence: quarterly, or sooner if a named competitor makes a material move (acquisition, funding round, executive change, product launch, or public financial event).</w:t>
      </w:r>
    </w:p>
    <w:p w14:paraId="5AACB07D" w14:textId="77777777" w:rsidR="000B5218" w:rsidRDefault="00237F48">
      <w:pPr>
        <w:spacing w:before="80" w:after="80"/>
      </w:pPr>
      <w:r>
        <w:t>The competitor set in this document is defined by the ICP v0.3 firmographic scope, not by the total global issuer processor market. Galileo, i2c, Marqeta Latam, and other non-European or out-of-scope processors are not covered here, per the CLAUDE.md rule that European competitor context excludes US-only and non-EEA-plus-UK players.</w:t>
      </w:r>
    </w:p>
    <w:p w14:paraId="2DFB85A1" w14:textId="77777777" w:rsidR="000B5218" w:rsidRDefault="00237F48">
      <w:pPr>
        <w:spacing w:before="60" w:after="60"/>
      </w:pPr>
      <w:r>
        <w:t xml:space="preserve"> </w:t>
      </w:r>
    </w:p>
    <w:p w14:paraId="25423048" w14:textId="77777777" w:rsidR="000B5218" w:rsidRDefault="00237F48">
      <w:pPr>
        <w:pStyle w:val="Heading2"/>
        <w:spacing w:before="240" w:after="120"/>
      </w:pPr>
      <w:r>
        <w:rPr>
          <w:b/>
          <w:bCs/>
          <w:color w:val="2A2069"/>
          <w:sz w:val="28"/>
          <w:szCs w:val="28"/>
        </w:rPr>
        <w:t>3. Competitor Categories</w:t>
      </w:r>
    </w:p>
    <w:p w14:paraId="7742F5DF" w14:textId="77777777" w:rsidR="000B5218" w:rsidRDefault="00237F48">
      <w:pPr>
        <w:spacing w:before="80" w:after="80"/>
      </w:pPr>
      <w:r>
        <w:t>The alternatives an ICP-fit buyer weighs against TXN sit in five categories. Each category is defeated with a different play. Sales enablement and marketing content should differentiate the play by category, not treat all competitors as if they were the same shape.</w:t>
      </w:r>
    </w:p>
    <w:p w14:paraId="5EDF634C" w14:textId="77777777" w:rsidR="000B5218" w:rsidRDefault="00237F48">
      <w:pPr>
        <w:pStyle w:val="Heading3"/>
        <w:spacing w:before="180" w:after="100"/>
      </w:pPr>
      <w:r>
        <w:rPr>
          <w:b/>
          <w:bCs/>
          <w:color w:val="0F4761"/>
        </w:rPr>
        <w:lastRenderedPageBreak/>
        <w:t>3.1 Direct platform competitors</w:t>
      </w:r>
    </w:p>
    <w:p w14:paraId="3AF13B0B" w14:textId="77777777" w:rsidR="000B5218" w:rsidRDefault="00237F48">
      <w:pPr>
        <w:spacing w:before="80" w:after="80"/>
      </w:pPr>
      <w:r>
        <w:t xml:space="preserve">The six named European issuer processors: Marqeta, Paymentology, Thredd, Enfuce, Episode Six, and Pismo. These are like-for-like alternatives that a buyer would run through the same evaluation criteria as TXN. Detail on each sits in Section 4. The play: </w:t>
      </w:r>
      <w:proofErr w:type="spellStart"/>
      <w:r>
        <w:t>outposition</w:t>
      </w:r>
      <w:proofErr w:type="spellEnd"/>
      <w:r>
        <w:t xml:space="preserve"> on the specific weakness each competitor carries, using the differentiation snapshot in Core Messaging Section 12 as the anchor. Never generalise, always name the competitor.</w:t>
      </w:r>
    </w:p>
    <w:p w14:paraId="5372E611" w14:textId="77777777" w:rsidR="000B5218" w:rsidRDefault="00237F48">
      <w:pPr>
        <w:pStyle w:val="Heading3"/>
        <w:spacing w:before="180" w:after="100"/>
      </w:pPr>
      <w:r>
        <w:rPr>
          <w:b/>
          <w:bCs/>
          <w:color w:val="0F4761"/>
        </w:rPr>
        <w:t>3.2 Point solutions</w:t>
      </w:r>
    </w:p>
    <w:p w14:paraId="79F1088B" w14:textId="77777777" w:rsidR="000B5218" w:rsidRDefault="00237F48">
      <w:pPr>
        <w:spacing w:before="80" w:after="80"/>
      </w:pPr>
      <w:r>
        <w:t xml:space="preserve">Single-capability vendors that address one part of the card program stack: dedicated fraud engines, tokenisation providers, standalone ledger systems, dispute-management platforms. Buyers often accumulate a point-solution stack over time. The play: TXN wins by consolidating the surface into one platform. Fewer vendors, lower total cost of ownership, clearer accountability when something breaks, faster incident resolution. The message lands hardest with primary users (CTO, Head of Engineering) who carry the </w:t>
      </w:r>
      <w:r>
        <w:t>integration debt and with economic buyers (CFO) who see the vendor-management cost.</w:t>
      </w:r>
    </w:p>
    <w:p w14:paraId="2EE1ABB1" w14:textId="77777777" w:rsidR="000B5218" w:rsidRDefault="00237F48">
      <w:pPr>
        <w:pStyle w:val="Heading3"/>
        <w:spacing w:before="180" w:after="100"/>
      </w:pPr>
      <w:r>
        <w:rPr>
          <w:b/>
          <w:bCs/>
          <w:color w:val="0F4761"/>
        </w:rPr>
        <w:t>3.3 Adjacent players expanding in</w:t>
      </w:r>
    </w:p>
    <w:p w14:paraId="22846E0F" w14:textId="77777777" w:rsidR="000B5218" w:rsidRDefault="00237F48">
      <w:pPr>
        <w:spacing w:before="80" w:after="80"/>
      </w:pPr>
      <w:r>
        <w:t xml:space="preserve">Companies whose primary business is not issuer </w:t>
      </w:r>
      <w:proofErr w:type="gramStart"/>
      <w:r>
        <w:t>processing</w:t>
      </w:r>
      <w:proofErr w:type="gramEnd"/>
      <w:r>
        <w:t xml:space="preserve"> but who are drifting toward it: schemes offering more direct capabilities, BIN sponsors adding processing surfaces, BaaS platforms bundling issuer functions, core banking platforms adding card issuance. These are typically weaker on issuer-specific depth but strong on adjacent integration. The play: TXN wins by being the specialist. When issuer processing is core to the client's product proposition, a general-purpose platform is a compromise on depth and control. Where the client wants the adjace</w:t>
      </w:r>
      <w:r>
        <w:t>nt capability, TXN partners rather than replicates.</w:t>
      </w:r>
    </w:p>
    <w:p w14:paraId="4D7EF73C" w14:textId="77777777" w:rsidR="000B5218" w:rsidRDefault="00237F48">
      <w:pPr>
        <w:pStyle w:val="Heading3"/>
        <w:spacing w:before="180" w:after="100"/>
      </w:pPr>
      <w:r>
        <w:rPr>
          <w:b/>
          <w:bCs/>
          <w:color w:val="0F4761"/>
        </w:rPr>
        <w:t>3.4 Internal builds</w:t>
      </w:r>
    </w:p>
    <w:p w14:paraId="1ADFA512" w14:textId="77777777" w:rsidR="000B5218" w:rsidRDefault="00237F48">
      <w:pPr>
        <w:spacing w:before="80" w:after="80"/>
      </w:pPr>
      <w:r>
        <w:t>Companies choosing to build issuer processing in-house rather than buy a platform. Historically common in larger digital banks and neobanks who felt the need to control the entire stack. The play: TXN wins on time-to-market and total cost of ownership over a five-year horizon. Build looks attractive at year one and painful at year three. TXN's three-surface model (API, console, agentic AI) is deliberately built for buyers who want the control they associate with building without the platform maintenance cos</w:t>
      </w:r>
      <w:r>
        <w:t>t that comes with it.</w:t>
      </w:r>
    </w:p>
    <w:p w14:paraId="10CC6913" w14:textId="77777777" w:rsidR="000B5218" w:rsidRDefault="00237F48">
      <w:pPr>
        <w:pStyle w:val="Heading3"/>
        <w:spacing w:before="180" w:after="100"/>
      </w:pPr>
      <w:r>
        <w:rPr>
          <w:b/>
          <w:bCs/>
          <w:color w:val="0F4761"/>
        </w:rPr>
        <w:t>3.5 Doing nothing</w:t>
      </w:r>
    </w:p>
    <w:p w14:paraId="0CE7C6F6" w14:textId="77777777" w:rsidR="000B5218" w:rsidRDefault="00237F48">
      <w:pPr>
        <w:spacing w:before="80" w:after="80"/>
      </w:pPr>
      <w:r>
        <w:t>The client stays on their current incumbent and defers the decision. This is the most common competitor, especially at Tier 2 and Tier 3 accounts where the pain has not yet reached the trigger threshold defined in ICP v0.3 Section 5. The play: TXN wins by making the cost of inaction visible. Every month on a legacy processor is a month of throttled product velocity, unclaimed cardholder outcomes, and accumulating integration debt. The messaging pillars in Core Messaging Section 6 all frame TXN's value as re</w:t>
      </w:r>
      <w:r>
        <w:t>covery of capacity that the incumbent silently taxes.</w:t>
      </w:r>
    </w:p>
    <w:p w14:paraId="32C882AA" w14:textId="77777777" w:rsidR="000B5218" w:rsidRDefault="00237F48">
      <w:pPr>
        <w:spacing w:before="60" w:after="60"/>
      </w:pPr>
      <w:r>
        <w:t xml:space="preserve"> </w:t>
      </w:r>
    </w:p>
    <w:p w14:paraId="51498F8B" w14:textId="77777777" w:rsidR="000B5218" w:rsidRDefault="00237F48">
      <w:pPr>
        <w:pStyle w:val="Heading2"/>
        <w:spacing w:before="240" w:after="120"/>
      </w:pPr>
      <w:r>
        <w:rPr>
          <w:b/>
          <w:bCs/>
          <w:color w:val="2A2069"/>
          <w:sz w:val="28"/>
          <w:szCs w:val="28"/>
        </w:rPr>
        <w:t>4. Named Competitors</w:t>
      </w:r>
    </w:p>
    <w:p w14:paraId="0E14B4E5" w14:textId="77777777" w:rsidR="000B5218" w:rsidRDefault="00237F48">
      <w:pPr>
        <w:spacing w:before="80" w:after="80"/>
      </w:pPr>
      <w:r>
        <w:lastRenderedPageBreak/>
        <w:t>One paragraph block per competitor, following the sequence in Core Messaging Section 12. Each block covers what the competitor is, where it demonstrably wins, where it loses, recent signals as of mid-2026, and TXN's counter-position. Sources: competitor websites, public financial disclosures where listed, published customer references, ICP v0.3 Section 9.3 primary and secondary source list, and Core Messaging v2.5 Section 12 differentiation anchors.</w:t>
      </w:r>
    </w:p>
    <w:p w14:paraId="4B6C7029" w14:textId="77777777" w:rsidR="000B5218" w:rsidRDefault="00237F48">
      <w:pPr>
        <w:spacing w:before="60" w:after="60"/>
      </w:pPr>
      <w:r>
        <w:t xml:space="preserve"> </w:t>
      </w:r>
    </w:p>
    <w:p w14:paraId="1A17ACDD" w14:textId="77777777" w:rsidR="000B5218" w:rsidRDefault="00237F48">
      <w:pPr>
        <w:pStyle w:val="Heading3"/>
        <w:spacing w:before="180" w:after="100"/>
      </w:pPr>
      <w:r>
        <w:rPr>
          <w:b/>
          <w:bCs/>
          <w:color w:val="0F4761"/>
        </w:rPr>
        <w:t>Marqeta</w:t>
      </w:r>
    </w:p>
    <w:p w14:paraId="194F5734" w14:textId="77777777" w:rsidR="000B5218" w:rsidRDefault="00237F48">
      <w:pPr>
        <w:spacing w:before="80" w:after="80"/>
      </w:pPr>
      <w:r>
        <w:t>Marqeta is the most recognisable modern card issuer processor in the market, US-headquartered and developer-branded. It runs a large-scale platform serving high-profile programs across the US and, to a lesser extent, Europe. Marqeta's original wedge was a strong developer surface at a time when incumbents were shipping SFTP and batch files, and that advantage still shows in its API design and developer-experience narrative.</w:t>
      </w:r>
    </w:p>
    <w:p w14:paraId="13D13338" w14:textId="77777777" w:rsidR="000B5218" w:rsidRDefault="00237F48">
      <w:pPr>
        <w:spacing w:before="80" w:after="80"/>
      </w:pPr>
      <w:r>
        <w:t xml:space="preserve">Where Marqeta wins: brand and scale in the developer buying centre, particularly for growth-stage fintechs that recognise the name. Where Marqeta </w:t>
      </w:r>
      <w:proofErr w:type="gramStart"/>
      <w:r>
        <w:t>loses:</w:t>
      </w:r>
      <w:proofErr w:type="gramEnd"/>
      <w:r>
        <w:t xml:space="preserve"> margin pressure and platform economics remain a public overhang, European delivery is thinner than the US brand suggests, and the AI narrative is still catching up to a market that has moved past "modern API" as the primary differentiator. Recent signals: continued cost discipline commentary in public filings, sustained investment in the Europe go-to-market team without commensurate reference base growth in the six MVP and Phase 1a markets.</w:t>
      </w:r>
    </w:p>
    <w:p w14:paraId="5BA6B034" w14:textId="77777777" w:rsidR="000B5218" w:rsidRDefault="00237F48">
      <w:pPr>
        <w:spacing w:before="80" w:after="80"/>
      </w:pPr>
      <w:r>
        <w:t>TXN counter-position: proven regulated processing heritage from Direct Transact, our co-founding owner, gives European buyers the platform assurance Marqeta cannot match on European soil. Single-platform delivery avoids the stitched-layer feel that appears in Marqeta engagements. Intelligent developer and operator experience that removes the complexity of managing card programs is a demonstrably different bar to Marqeta's API-first framing. Total cost at European scale is lower on like-for-like configuratio</w:t>
      </w:r>
      <w:r>
        <w:t>ns.</w:t>
      </w:r>
    </w:p>
    <w:p w14:paraId="24C291F6" w14:textId="77777777" w:rsidR="000B5218" w:rsidRDefault="00237F48">
      <w:pPr>
        <w:spacing w:before="60" w:after="60"/>
      </w:pPr>
      <w:r>
        <w:t xml:space="preserve"> </w:t>
      </w:r>
    </w:p>
    <w:p w14:paraId="57664064" w14:textId="77777777" w:rsidR="000B5218" w:rsidRDefault="00237F48">
      <w:pPr>
        <w:pStyle w:val="Heading3"/>
        <w:spacing w:before="180" w:after="100"/>
      </w:pPr>
      <w:r>
        <w:rPr>
          <w:b/>
          <w:bCs/>
          <w:color w:val="0F4761"/>
        </w:rPr>
        <w:t>Paymentology</w:t>
      </w:r>
    </w:p>
    <w:p w14:paraId="08C114BF" w14:textId="77777777" w:rsidR="000B5218" w:rsidRDefault="00237F48">
      <w:pPr>
        <w:spacing w:before="80" w:after="80"/>
      </w:pPr>
      <w:r>
        <w:t>Paymentology is a global issuer processor with strong positioning in emerging markets, real-time data as a headline capability, and coverage across many geographies. It has a mature enterprise sales motion and a customer base that skews toward digital banks operating in high-growth markets.</w:t>
      </w:r>
    </w:p>
    <w:p w14:paraId="7245A3BF" w14:textId="77777777" w:rsidR="000B5218" w:rsidRDefault="00237F48">
      <w:pPr>
        <w:spacing w:before="80" w:after="80"/>
      </w:pPr>
      <w:r>
        <w:t>Where Paymentology wins: geographic breadth, especially into markets where other processors have thin licence coverage; a real-time data story that resonates with product teams needing fast fraud signals and behavioural data. Where Paymentology loses: the developer surface is less mature than Marqeta's, the platform is not obviously optimised for the intelligent operator experience that reduces day-to-day card program complexity, and the sub-sector focus outside emerging markets is uneven. Recent signals: c</w:t>
      </w:r>
      <w:r>
        <w:t>onsistent enterprise customer wins in APAC and Africa, with less obvious traction against European digital bank fintechs of the size that fit TXN's ICP.</w:t>
      </w:r>
    </w:p>
    <w:p w14:paraId="74A7D7B6" w14:textId="77777777" w:rsidR="000B5218" w:rsidRDefault="00237F48">
      <w:pPr>
        <w:spacing w:before="80" w:after="80"/>
      </w:pPr>
      <w:r>
        <w:t xml:space="preserve">TXN counter-position: intelligent developer and operator experience that removes the complexity of managing card programs is a direct answer to the operator side of the </w:t>
      </w:r>
      <w:r>
        <w:lastRenderedPageBreak/>
        <w:t>platform, where Paymentology under-invests. Self-serve console for operators is a hard differentiator. Faster time-to-launch is achievable because the platform is not carrying multi-region complexity that a Paymentology deployment must accommodate. Stronger European sub-sector coverage beyond emerging markets aligns to the ICP v0.3 sub-sector list.</w:t>
      </w:r>
    </w:p>
    <w:p w14:paraId="660B4E96" w14:textId="77777777" w:rsidR="000B5218" w:rsidRDefault="00237F48">
      <w:pPr>
        <w:spacing w:before="60" w:after="60"/>
      </w:pPr>
      <w:r>
        <w:t xml:space="preserve"> </w:t>
      </w:r>
    </w:p>
    <w:p w14:paraId="5AD2B8DE" w14:textId="77777777" w:rsidR="000B5218" w:rsidRDefault="00237F48">
      <w:pPr>
        <w:pStyle w:val="Heading3"/>
        <w:spacing w:before="180" w:after="100"/>
      </w:pPr>
      <w:r>
        <w:rPr>
          <w:b/>
          <w:bCs/>
          <w:color w:val="0F4761"/>
        </w:rPr>
        <w:t>Thredd (ex-GPS)</w:t>
      </w:r>
    </w:p>
    <w:p w14:paraId="610AF776" w14:textId="77777777" w:rsidR="000B5218" w:rsidRDefault="00237F48">
      <w:pPr>
        <w:spacing w:before="80" w:after="80"/>
      </w:pPr>
      <w:r>
        <w:t>Thredd is the rebranded Global Processing Services (GPS), one of the longest-standing issuer processors in Europe. It has a broad customer base built over years of scheme certifications and card program launches, particularly across the UK, EEA, and select non-EEA markets. The rebrand refreshed the market position; the underlying platform reflects its longer history.</w:t>
      </w:r>
    </w:p>
    <w:p w14:paraId="7CC44966" w14:textId="77777777" w:rsidR="000B5218" w:rsidRDefault="00237F48">
      <w:pPr>
        <w:spacing w:before="80" w:after="80"/>
      </w:pPr>
      <w:r>
        <w:t xml:space="preserve">Where Thredd wins: customer base, scheme depth, licence coverage in Europe. When a buyer values proven operational continuity above modern platform experience, Thredd is a defensible choice. Where Thredd </w:t>
      </w:r>
      <w:proofErr w:type="gramStart"/>
      <w:r>
        <w:t>loses:</w:t>
      </w:r>
      <w:proofErr w:type="gramEnd"/>
      <w:r>
        <w:t xml:space="preserve"> legacy architecture roots visible in the developer experience and in the pace of new feature delivery; a slower-velocity narrative in a market that increasingly rewards speed; a modern developer and operator experience narrative that is aspirational rather than proven in the platform surface. Recent signals: continued investment in modernisation but limited public evidence of AI-native tooling that reduces card program complexity for non-experts.</w:t>
      </w:r>
    </w:p>
    <w:p w14:paraId="1140BE9A" w14:textId="77777777" w:rsidR="000B5218" w:rsidRDefault="00237F48">
      <w:pPr>
        <w:spacing w:before="80" w:after="80"/>
      </w:pPr>
      <w:r>
        <w:t>TXN counter-position: cloud-native architecture is a foundational advantage, not a feature. Programmable controls, agentic AI as a first-class surface for client-built AI tools, and an intelligent developer and operator experience that removes the complexity of managing card programs land in the areas Thredd cannot quickly close. TXN keeps the regulated processing heritage Thredd traded on, via Direct Transact, our co-founding owner, without the legacy architecture debt.</w:t>
      </w:r>
    </w:p>
    <w:p w14:paraId="7BDCC6AD" w14:textId="77777777" w:rsidR="000B5218" w:rsidRDefault="00237F48">
      <w:pPr>
        <w:spacing w:before="60" w:after="60"/>
      </w:pPr>
      <w:r>
        <w:t xml:space="preserve"> </w:t>
      </w:r>
    </w:p>
    <w:p w14:paraId="5FBEC58B" w14:textId="77777777" w:rsidR="000B5218" w:rsidRDefault="00237F48">
      <w:pPr>
        <w:pStyle w:val="Heading3"/>
        <w:spacing w:before="180" w:after="100"/>
      </w:pPr>
      <w:r>
        <w:rPr>
          <w:b/>
          <w:bCs/>
          <w:color w:val="0F4761"/>
        </w:rPr>
        <w:t>Enfuce</w:t>
      </w:r>
    </w:p>
    <w:p w14:paraId="34AD5883" w14:textId="77777777" w:rsidR="000B5218" w:rsidRDefault="00237F48">
      <w:pPr>
        <w:spacing w:before="80" w:after="80"/>
      </w:pPr>
      <w:r>
        <w:t>Enfuce is a European card-as-a-service processor headquartered in Finland with strong regulated-heritage credentials and a clear sustainability narrative. It operates as both an issuer processor and, in some cases, a BIN sponsor, which gives it a distinct commercial shape from other named competitors.</w:t>
      </w:r>
    </w:p>
    <w:p w14:paraId="79296C75" w14:textId="77777777" w:rsidR="000B5218" w:rsidRDefault="00237F48">
      <w:pPr>
        <w:spacing w:before="80" w:after="80"/>
      </w:pPr>
      <w:r>
        <w:t xml:space="preserve">Where Enfuce wins: regulated fluency in the Nordics and adjacent EEA markets; sustainability messaging that resonates with a subset of European fintech and digital banking buyers; the ability to combine processing with sponsor services when the client wants a lighter-touch commercial footprint. Where Enfuce </w:t>
      </w:r>
      <w:proofErr w:type="gramStart"/>
      <w:r>
        <w:t>loses:</w:t>
      </w:r>
      <w:proofErr w:type="gramEnd"/>
      <w:r>
        <w:t xml:space="preserve"> narrower geographic and sub-sector coverage than TXN's ICP demands, especially in the MVP markets of Poland, Czech Republic, Romania, and Hungary; a less AI-forward platform narrative; a smaller reference base outside its core Nordic and Northern European heartland. Recent signals: steady growth within its core geographies with limited public evidence of aggressive expansion into TXN's MVP markets.</w:t>
      </w:r>
    </w:p>
    <w:p w14:paraId="4532C0A9" w14:textId="77777777" w:rsidR="000B5218" w:rsidRDefault="00237F48">
      <w:pPr>
        <w:spacing w:before="80" w:after="80"/>
      </w:pPr>
      <w:r>
        <w:lastRenderedPageBreak/>
        <w:t xml:space="preserve">TXN counter-position: broader sub-sector and geographic coverage across the ICP-defined markets. Deeper regulated processing heritage anchored on Direct Transact, our co-founding owner. Intelligent developer and operator experience that removes the complexity of managing card programs at a modern-platform bar </w:t>
      </w:r>
      <w:proofErr w:type="spellStart"/>
      <w:r>
        <w:t>Enfuce's</w:t>
      </w:r>
      <w:proofErr w:type="spellEnd"/>
      <w:r>
        <w:t xml:space="preserve"> narrative does not currently reach.</w:t>
      </w:r>
    </w:p>
    <w:p w14:paraId="4715EC7C" w14:textId="77777777" w:rsidR="000B5218" w:rsidRDefault="00237F48">
      <w:pPr>
        <w:spacing w:before="60" w:after="60"/>
      </w:pPr>
      <w:r>
        <w:t xml:space="preserve"> </w:t>
      </w:r>
    </w:p>
    <w:p w14:paraId="2F1E29C3" w14:textId="77777777" w:rsidR="000B5218" w:rsidRDefault="00237F48">
      <w:pPr>
        <w:pStyle w:val="Heading3"/>
        <w:spacing w:before="180" w:after="100"/>
      </w:pPr>
      <w:r>
        <w:rPr>
          <w:b/>
          <w:bCs/>
          <w:color w:val="0F4761"/>
        </w:rPr>
        <w:t>Episode Six</w:t>
      </w:r>
    </w:p>
    <w:p w14:paraId="3334FA14" w14:textId="77777777" w:rsidR="000B5218" w:rsidRDefault="00237F48">
      <w:pPr>
        <w:spacing w:before="80" w:after="80"/>
      </w:pPr>
      <w:r>
        <w:t>Episode Six is a US-headquartered ledger-first issuer processor with credit-card and BaaS capabilities. Its differentiator has historically been the strength of its ledger layer, allowing complex product constructs (multi-currency, credit, embedded finance) to be modelled cleanly. It competes primarily in enterprise and mid-market bank buying centres.</w:t>
      </w:r>
    </w:p>
    <w:p w14:paraId="126A9BBF" w14:textId="77777777" w:rsidR="000B5218" w:rsidRDefault="00237F48">
      <w:pPr>
        <w:spacing w:before="80" w:after="80"/>
      </w:pPr>
      <w:r>
        <w:t xml:space="preserve">Where Episode Six </w:t>
      </w:r>
      <w:proofErr w:type="gramStart"/>
      <w:r>
        <w:t>wins:</w:t>
      </w:r>
      <w:proofErr w:type="gramEnd"/>
      <w:r>
        <w:t xml:space="preserve"> ledger and credit product depth; cloud-native modular architecture; a story that resonates strongly with banks and larger fintechs planning multi-product card constructs. Where Episode Six loses: the European reference base is thinner than the US home market, particularly in TXN's ICP-defined MVP and Phase 1a markets; the brand is less familiar to European product teams; the intelligent operator experience for non-expert users is not the headline capability. Recent signals: continued investment in Eur</w:t>
      </w:r>
      <w:r>
        <w:t>opean market entry with a strategic focus on named enterprise deals rather than broad mid-market coverage.</w:t>
      </w:r>
    </w:p>
    <w:p w14:paraId="1EE5B6FF" w14:textId="77777777" w:rsidR="000B5218" w:rsidRDefault="00237F48">
      <w:pPr>
        <w:spacing w:before="80" w:after="80"/>
      </w:pPr>
      <w:r>
        <w:t>TXN counter-position: deeper regulated processing heritage relevant to European buyers, via Direct Transact, our co-founding owner. Stronger European reference base as it matures. Broader sub-sector coverage beyond the core ledger and credit surface. Intelligent developer and operator experience that removes the complexity of managing card programs, matched to the non-expert user profile increasingly present in mid-market digital bank and embedded finance buying committees.</w:t>
      </w:r>
    </w:p>
    <w:p w14:paraId="6DAA087C" w14:textId="77777777" w:rsidR="000B5218" w:rsidRDefault="00237F48">
      <w:pPr>
        <w:spacing w:before="60" w:after="60"/>
      </w:pPr>
      <w:r>
        <w:t xml:space="preserve"> </w:t>
      </w:r>
    </w:p>
    <w:p w14:paraId="2F147190" w14:textId="77777777" w:rsidR="000B5218" w:rsidRDefault="00237F48">
      <w:pPr>
        <w:pStyle w:val="Heading3"/>
        <w:spacing w:before="180" w:after="100"/>
      </w:pPr>
      <w:r>
        <w:rPr>
          <w:b/>
          <w:bCs/>
          <w:color w:val="0F4761"/>
        </w:rPr>
        <w:t>Pismo</w:t>
      </w:r>
    </w:p>
    <w:p w14:paraId="3E55662C" w14:textId="77777777" w:rsidR="000B5218" w:rsidRDefault="00237F48">
      <w:pPr>
        <w:spacing w:before="80" w:after="80"/>
      </w:pPr>
      <w:r>
        <w:t xml:space="preserve">Pismo is a Brazilian-origin core banking and issuer processing platform, acquired by Visa in 2024. The Visa acquisition gave Pismo balance-sheet backing and scheme </w:t>
      </w:r>
      <w:proofErr w:type="gramStart"/>
      <w:r>
        <w:t>alignment, but</w:t>
      </w:r>
      <w:proofErr w:type="gramEnd"/>
      <w:r>
        <w:t xml:space="preserve"> also introduced a specific dynamic around BIN sponsorship and scheme neutrality that European buyers now scrutinise.</w:t>
      </w:r>
    </w:p>
    <w:p w14:paraId="6D3D7D0C" w14:textId="77777777" w:rsidR="000B5218" w:rsidRDefault="00237F48">
      <w:pPr>
        <w:spacing w:before="80" w:after="80"/>
      </w:pPr>
      <w:r>
        <w:t xml:space="preserve">Where Pismo wins: Visa balance-sheet backing, tight scheme integration, the combined banking-plus-issuance surface that appeals to buyers building an integrated core plus card stack. Where Pismo </w:t>
      </w:r>
      <w:proofErr w:type="gramStart"/>
      <w:r>
        <w:t>loses:</w:t>
      </w:r>
      <w:proofErr w:type="gramEnd"/>
      <w:r>
        <w:t xml:space="preserve"> newer in Europe with a thinner local reference base; reduced negotiating leverage on BIN sponsor choice because of Visa ownership; a scheme-neutrality question that appears in most competitive procurement processes and requires a defensive answer. Recent signals: continued investment in European commercial and delivery teams, but no material shift in the reference base within TXN's MVP and Phase 1a markets.</w:t>
      </w:r>
    </w:p>
    <w:p w14:paraId="6AF3381B" w14:textId="77777777" w:rsidR="000B5218" w:rsidRDefault="00237F48">
      <w:pPr>
        <w:spacing w:before="80" w:after="80"/>
      </w:pPr>
      <w:r>
        <w:t xml:space="preserve">TXN counter-position: European-native scheme and BIN sponsor relationships without any Visa-ownership conflict of interest on scheme choice. Proven European regulatory fluency </w:t>
      </w:r>
      <w:r>
        <w:lastRenderedPageBreak/>
        <w:t>via Direct Transact, our co-founding owner. The commercial framing at TXN treats scheme neutrality as a given, which is a hard position for Pismo to match post-acquisition.</w:t>
      </w:r>
    </w:p>
    <w:p w14:paraId="0FBC62AA" w14:textId="77777777" w:rsidR="000B5218" w:rsidRDefault="00237F48">
      <w:pPr>
        <w:spacing w:before="60" w:after="60"/>
      </w:pPr>
      <w:r>
        <w:t xml:space="preserve"> </w:t>
      </w:r>
    </w:p>
    <w:p w14:paraId="4921DB2A" w14:textId="77777777" w:rsidR="000B5218" w:rsidRDefault="00237F48">
      <w:pPr>
        <w:pStyle w:val="Heading2"/>
        <w:spacing w:before="240" w:after="120"/>
      </w:pPr>
      <w:r>
        <w:rPr>
          <w:b/>
          <w:bCs/>
          <w:color w:val="2A2069"/>
          <w:sz w:val="28"/>
          <w:szCs w:val="28"/>
        </w:rPr>
        <w:t>5. Market Trends</w:t>
      </w:r>
    </w:p>
    <w:p w14:paraId="32E1B812" w14:textId="77777777" w:rsidR="000B5218" w:rsidRDefault="00237F48">
      <w:pPr>
        <w:spacing w:before="80" w:after="80"/>
      </w:pPr>
      <w:r>
        <w:t>Five forces are shaping the European issuer processing market through the end of 2027. Each is captured below with a prediction and an implication for TXN. Predictions are refreshed quarterly against new public information.</w:t>
      </w:r>
    </w:p>
    <w:p w14:paraId="185F4DE7" w14:textId="77777777" w:rsidR="000B5218" w:rsidRDefault="00237F48">
      <w:pPr>
        <w:spacing w:before="60" w:after="6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0B5218" w14:paraId="77BBE63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003865"/>
            <w:tcMar>
              <w:top w:w="80" w:type="dxa"/>
              <w:left w:w="120" w:type="dxa"/>
              <w:bottom w:w="80" w:type="dxa"/>
              <w:right w:w="120" w:type="dxa"/>
            </w:tcMar>
          </w:tcPr>
          <w:p w14:paraId="1B3C55B6" w14:textId="77777777" w:rsidR="000B5218" w:rsidRDefault="00237F48">
            <w:r>
              <w:rPr>
                <w:b/>
                <w:bCs/>
                <w:color w:val="FFFFFF"/>
                <w:sz w:val="20"/>
                <w:szCs w:val="20"/>
              </w:rPr>
              <w:t>Trend</w:t>
            </w:r>
          </w:p>
        </w:tc>
        <w:tc>
          <w:tcPr>
            <w:tcW w:w="3313" w:type="dxa"/>
            <w:tcBorders>
              <w:top w:val="single" w:sz="4" w:space="0" w:color="BFBFBF"/>
              <w:left w:val="single" w:sz="4" w:space="0" w:color="BFBFBF"/>
              <w:bottom w:val="single" w:sz="4" w:space="0" w:color="BFBFBF"/>
              <w:right w:val="single" w:sz="4" w:space="0" w:color="BFBFBF"/>
            </w:tcBorders>
            <w:shd w:val="clear" w:color="auto" w:fill="003865"/>
            <w:tcMar>
              <w:top w:w="80" w:type="dxa"/>
              <w:left w:w="120" w:type="dxa"/>
              <w:bottom w:w="80" w:type="dxa"/>
              <w:right w:w="120" w:type="dxa"/>
            </w:tcMar>
          </w:tcPr>
          <w:p w14:paraId="74B0E2D5" w14:textId="77777777" w:rsidR="000B5218" w:rsidRDefault="00237F48">
            <w:r>
              <w:rPr>
                <w:b/>
                <w:bCs/>
                <w:color w:val="FFFFFF"/>
                <w:sz w:val="20"/>
                <w:szCs w:val="20"/>
              </w:rPr>
              <w:t>Prediction</w:t>
            </w:r>
          </w:p>
        </w:tc>
        <w:tc>
          <w:tcPr>
            <w:tcW w:w="3313" w:type="dxa"/>
            <w:tcBorders>
              <w:top w:val="single" w:sz="4" w:space="0" w:color="BFBFBF"/>
              <w:left w:val="single" w:sz="4" w:space="0" w:color="BFBFBF"/>
              <w:bottom w:val="single" w:sz="4" w:space="0" w:color="BFBFBF"/>
              <w:right w:val="single" w:sz="4" w:space="0" w:color="BFBFBF"/>
            </w:tcBorders>
            <w:shd w:val="clear" w:color="auto" w:fill="003865"/>
            <w:tcMar>
              <w:top w:w="80" w:type="dxa"/>
              <w:left w:w="120" w:type="dxa"/>
              <w:bottom w:w="80" w:type="dxa"/>
              <w:right w:w="120" w:type="dxa"/>
            </w:tcMar>
          </w:tcPr>
          <w:p w14:paraId="40FAFCAA" w14:textId="77777777" w:rsidR="000B5218" w:rsidRDefault="00237F48">
            <w:r>
              <w:rPr>
                <w:b/>
                <w:bCs/>
                <w:color w:val="FFFFFF"/>
                <w:sz w:val="20"/>
                <w:szCs w:val="20"/>
              </w:rPr>
              <w:t>Implication for TXN</w:t>
            </w:r>
          </w:p>
        </w:tc>
      </w:tr>
      <w:tr w:rsidR="000B5218" w14:paraId="569951F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AB6DF" w14:textId="77777777" w:rsidR="000B5218" w:rsidRDefault="00237F48">
            <w:r>
              <w:rPr>
                <w:sz w:val="20"/>
                <w:szCs w:val="20"/>
              </w:rPr>
              <w:t>PSD3 arrival and SCA evolution</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67762" w14:textId="77777777" w:rsidR="000B5218" w:rsidRDefault="00237F48">
            <w:r>
              <w:rPr>
                <w:sz w:val="20"/>
                <w:szCs w:val="20"/>
              </w:rPr>
              <w:t>PSD3 begins landing across EEA member states through 2026 and 2027, tightening open banking integration, dispute handling, and issuer liability. SCA rules continue to evolve, especially for delegated authentication and low-value transaction thresholds.</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EB383" w14:textId="77777777" w:rsidR="000B5218" w:rsidRDefault="00237F48">
            <w:r>
              <w:rPr>
                <w:sz w:val="20"/>
                <w:szCs w:val="20"/>
              </w:rPr>
              <w:t>The issuer processing platform must surface jurisdiction-specific rules and apply them without the client hiring a compliance specialist. TXN can turn compliance from a constraint into a delivered outcome, which is a commercial win against incumbents that treat it as the client's problem.</w:t>
            </w:r>
          </w:p>
        </w:tc>
      </w:tr>
      <w:tr w:rsidR="000B5218" w14:paraId="2B61BC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E9BB4E" w14:textId="77777777" w:rsidR="000B5218" w:rsidRDefault="00237F48">
            <w:r>
              <w:rPr>
                <w:sz w:val="20"/>
                <w:szCs w:val="20"/>
              </w:rPr>
              <w:t>UK / EU regulatory divergence post-Brexit</w:t>
            </w:r>
          </w:p>
        </w:tc>
        <w:tc>
          <w:tcPr>
            <w:tcW w:w="33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C38BFB" w14:textId="77777777" w:rsidR="000B5218" w:rsidRDefault="00237F48">
            <w:r>
              <w:rPr>
                <w:sz w:val="20"/>
                <w:szCs w:val="20"/>
              </w:rPr>
              <w:t>UK PSR, FCA, and EU regulator paths continue to diverge on scheme rules, safeguarding, and open banking. A client launching in the UK faces materially different rules to one launching in Germany or Poland.</w:t>
            </w:r>
          </w:p>
        </w:tc>
        <w:tc>
          <w:tcPr>
            <w:tcW w:w="33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DE048F" w14:textId="77777777" w:rsidR="000B5218" w:rsidRDefault="00237F48">
            <w:r>
              <w:rPr>
                <w:sz w:val="20"/>
                <w:szCs w:val="20"/>
              </w:rPr>
              <w:t>TXN must handle multi-jurisdiction programs cleanly. A client wanting to cover UK plus EEA should not need to run two separate integrations. This is a differentiator against competitors weighted heavily to one side of the divide.</w:t>
            </w:r>
          </w:p>
        </w:tc>
      </w:tr>
      <w:tr w:rsidR="000B5218" w14:paraId="08B8AB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6443E" w14:textId="77777777" w:rsidR="000B5218" w:rsidRDefault="00237F48">
            <w:r>
              <w:rPr>
                <w:sz w:val="20"/>
                <w:szCs w:val="20"/>
              </w:rPr>
              <w:t>Shift from build-versus-buy to buy-with-flexibility</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4EAF2" w14:textId="77777777" w:rsidR="000B5218" w:rsidRDefault="00237F48">
            <w:r>
              <w:rPr>
                <w:sz w:val="20"/>
                <w:szCs w:val="20"/>
              </w:rPr>
              <w:t>Fintech engineering teams that spent 2018 to 2023 building in-house issuer capability are now facing the maintenance cost. Buyer conversations are moving from "build" versus "buy" toward "buy a platform that lets us keep control of the parts that matter".</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61962" w14:textId="77777777" w:rsidR="000B5218" w:rsidRDefault="00237F48">
            <w:r>
              <w:rPr>
                <w:sz w:val="20"/>
                <w:szCs w:val="20"/>
              </w:rPr>
              <w:t>TXN's three-surface model (API, console, agentic AI) is directly built for this shift. The differentiation against Marqeta and Thredd is the balance point: enough control to not feel locked in, enough platform to not have to run the plumbing.</w:t>
            </w:r>
          </w:p>
        </w:tc>
      </w:tr>
      <w:tr w:rsidR="000B5218" w14:paraId="448F2F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A2CFC7" w14:textId="77777777" w:rsidR="000B5218" w:rsidRDefault="00237F48">
            <w:r>
              <w:rPr>
                <w:sz w:val="20"/>
                <w:szCs w:val="20"/>
              </w:rPr>
              <w:t>Agentic AI moves from novelty to expected feature</w:t>
            </w:r>
          </w:p>
        </w:tc>
        <w:tc>
          <w:tcPr>
            <w:tcW w:w="33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09E102" w14:textId="77777777" w:rsidR="000B5218" w:rsidRDefault="00237F48">
            <w:r>
              <w:rPr>
                <w:sz w:val="20"/>
                <w:szCs w:val="20"/>
              </w:rPr>
              <w:t>By late 2026 and into 2027, buying committees will expect an AI layer in the platform. The bar is moving from "does it have AI" to "what outcomes does the AI actually deliver". Client CTOs will ask about agent capability alongside API depth.</w:t>
            </w:r>
          </w:p>
        </w:tc>
        <w:tc>
          <w:tcPr>
            <w:tcW w:w="33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09C9CA" w14:textId="77777777" w:rsidR="000B5218" w:rsidRDefault="00237F48">
            <w:r>
              <w:rPr>
                <w:sz w:val="20"/>
                <w:szCs w:val="20"/>
              </w:rPr>
              <w:t>TXN reaches the "no card experts required" thesis first if the Teraflow build lands on plan. This is a first-mover window: eighteen months at most. Competitors will follow, so the advantage compounds only if the data flywheel starts turning while the window is open.</w:t>
            </w:r>
          </w:p>
        </w:tc>
      </w:tr>
      <w:tr w:rsidR="000B5218" w14:paraId="2FC6366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AFC55" w14:textId="77777777" w:rsidR="000B5218" w:rsidRDefault="00237F48">
            <w:r>
              <w:rPr>
                <w:sz w:val="20"/>
                <w:szCs w:val="20"/>
              </w:rPr>
              <w:lastRenderedPageBreak/>
              <w:t>Consolidation pressure on first-wave modern issuers</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F2FAE" w14:textId="77777777" w:rsidR="000B5218" w:rsidRDefault="00237F48">
            <w:r>
              <w:rPr>
                <w:sz w:val="20"/>
                <w:szCs w:val="20"/>
              </w:rPr>
              <w:t>Marqeta margin pressure, Pismo's Visa acquisition, and the general funding environment mean the first wave of modern issuer processors is under pressure. Buyers are starting to weight processor longevity alongside processor capability.</w:t>
            </w:r>
          </w:p>
        </w:tc>
        <w:tc>
          <w:tcPr>
            <w:tcW w:w="33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50825" w14:textId="77777777" w:rsidR="000B5218" w:rsidRDefault="00237F48">
            <w:r>
              <w:rPr>
                <w:sz w:val="20"/>
                <w:szCs w:val="20"/>
              </w:rPr>
              <w:t>"Proven processing heritage from Direct Transact, our co-founding owner" is a real weapon in a market getting cautious about platform failure. Combine with the 25 years of Direct Transact processing to answer the "will you still be here" question that first-wave modern competitors cannot answer as cleanly.</w:t>
            </w:r>
          </w:p>
        </w:tc>
      </w:tr>
    </w:tbl>
    <w:p w14:paraId="6222DC45" w14:textId="77777777" w:rsidR="000B5218" w:rsidRDefault="00237F48">
      <w:pPr>
        <w:spacing w:before="60" w:after="60"/>
      </w:pPr>
      <w:r>
        <w:t xml:space="preserve"> </w:t>
      </w:r>
    </w:p>
    <w:p w14:paraId="6E6939C0" w14:textId="77777777" w:rsidR="000B5218" w:rsidRDefault="00237F48">
      <w:pPr>
        <w:pStyle w:val="Heading2"/>
        <w:spacing w:before="240" w:after="120"/>
      </w:pPr>
      <w:r>
        <w:rPr>
          <w:b/>
          <w:bCs/>
          <w:color w:val="2A2069"/>
          <w:sz w:val="28"/>
          <w:szCs w:val="28"/>
        </w:rPr>
        <w:t>6. Win Themes</w:t>
      </w:r>
    </w:p>
    <w:p w14:paraId="55D97029" w14:textId="77777777" w:rsidR="000B5218" w:rsidRDefault="00237F48">
      <w:pPr>
        <w:spacing w:before="80" w:after="80"/>
      </w:pPr>
      <w:r>
        <w:t xml:space="preserve">This section captures the recurring reasons TXN is expected to win deals, based on the differentiation snapshot in Core Messaging v2.5 Section 12, the five messaging pillars in Section 6, and the AI outcome definitions in the TXN AI Target Outcomes Framework v1.0. TXN is pre-launch as of July 2026: the themes below are hypothesised for validation, not </w:t>
      </w:r>
      <w:proofErr w:type="gramStart"/>
      <w:r>
        <w:t>evidence-backed</w:t>
      </w:r>
      <w:proofErr w:type="gramEnd"/>
      <w:r>
        <w:t>. After the first ten discovery-stage conversations, this section is rewritten from actual win data.</w:t>
      </w:r>
    </w:p>
    <w:p w14:paraId="11B0C703" w14:textId="77777777" w:rsidR="000B5218" w:rsidRDefault="00237F48">
      <w:pPr>
        <w:pStyle w:val="Heading3"/>
        <w:spacing w:before="180" w:after="100"/>
      </w:pPr>
      <w:r>
        <w:rPr>
          <w:b/>
          <w:bCs/>
          <w:color w:val="0F4761"/>
        </w:rPr>
        <w:t>6.1 Proven processing heritage in a market that is questioning platform longevity</w:t>
      </w:r>
    </w:p>
    <w:p w14:paraId="45CF8A11" w14:textId="77777777" w:rsidR="000B5218" w:rsidRDefault="00237F48">
      <w:pPr>
        <w:spacing w:before="80" w:after="80"/>
      </w:pPr>
      <w:r>
        <w:t>Direct Transact, our co-founding owner, brings 25 years of proven processing heritage, R50bn plus monthly volume, and scheme certifications. In a market where first-wave modern issuers are under margin and delivery pressure, "will you still be here in five years" is a decisive question. TXN answers it via the ownership relationship in a way most competitors cannot match without either sacrificing modern-platform credentials or overclaiming. This is the strongest single hypothesised win theme.</w:t>
      </w:r>
    </w:p>
    <w:p w14:paraId="45F08F0F" w14:textId="77777777" w:rsidR="000B5218" w:rsidRDefault="00237F48">
      <w:pPr>
        <w:pStyle w:val="Heading3"/>
        <w:spacing w:before="180" w:after="100"/>
      </w:pPr>
      <w:r>
        <w:rPr>
          <w:b/>
          <w:bCs/>
          <w:color w:val="0F4761"/>
        </w:rPr>
        <w:t>6.2 The intelligent operator experience</w:t>
      </w:r>
    </w:p>
    <w:p w14:paraId="38AD06F8" w14:textId="77777777" w:rsidR="000B5218" w:rsidRDefault="00237F48">
      <w:pPr>
        <w:spacing w:before="80" w:after="80"/>
      </w:pPr>
      <w:r>
        <w:t>Every competitor has some form of console or portal. None has yet demonstrated the intelligent developer and operator experience that removes the complexity of managing card programs at the bar the Teraflow AI Vision points toward. Concept 1 (co-pilot) plus Concept 2 (agent-advisor) together create a demonstrably different day-to-day experience for the non-expert operator. This is the strongest hypothesised technical differentiator once the Teraflow build lands.</w:t>
      </w:r>
    </w:p>
    <w:p w14:paraId="60F12DBC" w14:textId="77777777" w:rsidR="000B5218" w:rsidRDefault="00237F48">
      <w:pPr>
        <w:pStyle w:val="Heading3"/>
        <w:spacing w:before="180" w:after="100"/>
      </w:pPr>
      <w:r>
        <w:rPr>
          <w:b/>
          <w:bCs/>
          <w:color w:val="0F4761"/>
        </w:rPr>
        <w:t>6.3 European native, without a divergence tax</w:t>
      </w:r>
    </w:p>
    <w:p w14:paraId="1F7476BE" w14:textId="77777777" w:rsidR="000B5218" w:rsidRDefault="00237F48">
      <w:pPr>
        <w:spacing w:before="80" w:after="80"/>
      </w:pPr>
      <w:r>
        <w:t>Multi-jurisdiction European programs are complex to run because PSD3, SCA, UK / EU divergence, and scheme rules all require jurisdiction-specific handling. TXN's single-platform, three-surface model is built to handle multiple jurisdictions cleanly. This is a hypothesised win theme against Marqeta (US bias), Episode Six (US-native), and Pismo (Brazilian origin) in particular.</w:t>
      </w:r>
    </w:p>
    <w:p w14:paraId="51FC0AA6" w14:textId="77777777" w:rsidR="000B5218" w:rsidRDefault="00237F48">
      <w:pPr>
        <w:pStyle w:val="Heading3"/>
        <w:spacing w:before="180" w:after="100"/>
      </w:pPr>
      <w:r>
        <w:rPr>
          <w:b/>
          <w:bCs/>
          <w:color w:val="0F4761"/>
        </w:rPr>
        <w:t>6.4 Compliance as a delivered outcome</w:t>
      </w:r>
    </w:p>
    <w:p w14:paraId="4D3161EA" w14:textId="77777777" w:rsidR="000B5218" w:rsidRDefault="00237F48">
      <w:pPr>
        <w:spacing w:before="80" w:after="80"/>
      </w:pPr>
      <w:r>
        <w:t xml:space="preserve">The Teraflow AI Vision Assessment flags compliance-as-outcome as an under-developed capability across the market. TXN can differentiate on the ability to surface applicable </w:t>
      </w:r>
      <w:r>
        <w:lastRenderedPageBreak/>
        <w:t>regulatory requirements and offer to apply them, rather than treating compliance as the client's problem to solve. This is a hypothesised win theme especially for lending, FX, and BaaS clients operating across multiple regulatory regimes.</w:t>
      </w:r>
    </w:p>
    <w:p w14:paraId="7A861F27" w14:textId="77777777" w:rsidR="000B5218" w:rsidRDefault="00237F48">
      <w:pPr>
        <w:pStyle w:val="Heading3"/>
        <w:spacing w:before="180" w:after="100"/>
      </w:pPr>
      <w:r>
        <w:rPr>
          <w:b/>
          <w:bCs/>
          <w:color w:val="0F4761"/>
        </w:rPr>
        <w:t>6.5 Total cost of ownership on like-for-like configurations</w:t>
      </w:r>
    </w:p>
    <w:p w14:paraId="06661082" w14:textId="77777777" w:rsidR="000B5218" w:rsidRDefault="00237F48">
      <w:pPr>
        <w:spacing w:before="80" w:after="80"/>
      </w:pPr>
      <w:r>
        <w:t>The consolidated platform model (single vendor, no point-solution stack, self-serve operator surface) is expected to run at a lower total cost of ownership than the stitched alternatives, particularly against Marqeta (public margin pressure implies price discipline is difficult), Thredd (legacy operating cost carries through to pricing), and Paymentology (multi-region operating cost). This is a hypothesised win theme most relevant to the economic buyer (CFO) persona.</w:t>
      </w:r>
    </w:p>
    <w:p w14:paraId="14940FF0" w14:textId="77777777" w:rsidR="000B5218" w:rsidRDefault="00237F48">
      <w:pPr>
        <w:spacing w:before="60" w:after="60"/>
      </w:pPr>
      <w:r>
        <w:t xml:space="preserve"> </w:t>
      </w:r>
    </w:p>
    <w:p w14:paraId="0F343352" w14:textId="77777777" w:rsidR="000B5218" w:rsidRDefault="00237F48">
      <w:pPr>
        <w:pStyle w:val="Heading2"/>
        <w:spacing w:before="240" w:after="120"/>
      </w:pPr>
      <w:r>
        <w:rPr>
          <w:b/>
          <w:bCs/>
          <w:color w:val="2A2069"/>
          <w:sz w:val="28"/>
          <w:szCs w:val="28"/>
        </w:rPr>
        <w:t>7. Loss Themes</w:t>
      </w:r>
    </w:p>
    <w:p w14:paraId="60A18F0E" w14:textId="77777777" w:rsidR="000B5218" w:rsidRDefault="00237F48">
      <w:pPr>
        <w:spacing w:before="80" w:after="80"/>
      </w:pPr>
      <w:r>
        <w:t>Recurring reasons TXN is expected to lose deals, treated honestly. Each theme carries a mitigation and a signal to watch. As with Section 6, these are hypothesised for pre-launch validation. Post-launch, this section is rewritten from Win / Loss Log entries.</w:t>
      </w:r>
    </w:p>
    <w:p w14:paraId="30F9E3C1" w14:textId="77777777" w:rsidR="000B5218" w:rsidRDefault="00237F48">
      <w:pPr>
        <w:pStyle w:val="Heading3"/>
        <w:spacing w:before="180" w:after="100"/>
      </w:pPr>
      <w:r>
        <w:rPr>
          <w:b/>
          <w:bCs/>
          <w:color w:val="0F4761"/>
        </w:rPr>
        <w:t>7.1 Thinner reference base than incumbents</w:t>
      </w:r>
    </w:p>
    <w:p w14:paraId="7DA32A84" w14:textId="77777777" w:rsidR="000B5218" w:rsidRDefault="00237F48">
      <w:pPr>
        <w:spacing w:before="80" w:after="80"/>
      </w:pPr>
      <w:r>
        <w:t>The single largest hypothesised loss risk. Buyers value peer references, and TXN cannot yet point to a peer running a comparable program in production. Mitigation: aggressive first-client program (defined in the Teraflow AI Vision Assessment as Recommendation 4.3.5), reference-friendly early customer agreements, and heavy use of the Direct Transact processing heritage as a bridge until TXN's own reference base matures. Signal to watch: reference requests in discovery calls, and how many end in dead-ends ver</w:t>
      </w:r>
      <w:r>
        <w:t>sus objection-worked deals.</w:t>
      </w:r>
    </w:p>
    <w:p w14:paraId="77A30E20" w14:textId="77777777" w:rsidR="000B5218" w:rsidRDefault="00237F48">
      <w:pPr>
        <w:pStyle w:val="Heading3"/>
        <w:spacing w:before="180" w:after="100"/>
      </w:pPr>
      <w:r>
        <w:rPr>
          <w:b/>
          <w:bCs/>
          <w:color w:val="0F4761"/>
        </w:rPr>
        <w:t>7.2 Pre-launch delivery ambiguity</w:t>
      </w:r>
    </w:p>
    <w:p w14:paraId="4561CB59" w14:textId="77777777" w:rsidR="000B5218" w:rsidRDefault="00237F48">
      <w:pPr>
        <w:spacing w:before="80" w:after="80"/>
      </w:pPr>
      <w:r>
        <w:t>A prospect asking "when can we go live" needs a specific answer with clear dependencies. Any ambiguity between what the platform delivers on day one versus what is on the roadmap is a loss risk, particularly for time-critical launches. Mitigation: clear roadmap disclosure to Tier 1 prospects, published sandbox parity commitments, and a documented first-client program. Signal to watch: deal cycles that stall in technical review with no clear rejection reason.</w:t>
      </w:r>
    </w:p>
    <w:p w14:paraId="53C2FA8F" w14:textId="77777777" w:rsidR="000B5218" w:rsidRDefault="00237F48">
      <w:pPr>
        <w:pStyle w:val="Heading3"/>
        <w:spacing w:before="180" w:after="100"/>
      </w:pPr>
      <w:r>
        <w:rPr>
          <w:b/>
          <w:bCs/>
          <w:color w:val="0F4761"/>
        </w:rPr>
        <w:t>7.3 The Teraflow AI delivery dependency</w:t>
      </w:r>
    </w:p>
    <w:p w14:paraId="7A1328FF" w14:textId="77777777" w:rsidR="000B5218" w:rsidRDefault="00237F48">
      <w:pPr>
        <w:spacing w:before="80" w:after="80"/>
      </w:pPr>
      <w:r>
        <w:t>The intelligent developer and operator experience is a load-bearing differentiator. If Teraflow (</w:t>
      </w:r>
      <w:proofErr w:type="spellStart"/>
      <w:r>
        <w:t>Novosapien</w:t>
      </w:r>
      <w:proofErr w:type="spellEnd"/>
      <w:r>
        <w:t>) fails to deliver Concept 2 close to Concept 1, TXN carries a competitive gap that is hard to close in-market. Mitigation: the multi-vendor governance model recommended in the Teraflow assessment (Recommendation 4.3.4), a Concept 2 dependency map (Recommendation 4.3.2), and executive-level visibility on the Teraflow delivery path. Signal to watch: any slippage in the Teraflow delivery plan, and any competitor announcing a similar co-pilot or agent-advisor capability before TXN.</w:t>
      </w:r>
    </w:p>
    <w:p w14:paraId="4C18B1CD" w14:textId="77777777" w:rsidR="000B5218" w:rsidRDefault="00237F48">
      <w:pPr>
        <w:pStyle w:val="Heading3"/>
        <w:spacing w:before="180" w:after="100"/>
      </w:pPr>
      <w:r>
        <w:rPr>
          <w:b/>
          <w:bCs/>
          <w:color w:val="0F4761"/>
        </w:rPr>
        <w:t>7.4 Single-market focus perception</w:t>
      </w:r>
    </w:p>
    <w:p w14:paraId="6A69E65A" w14:textId="77777777" w:rsidR="000B5218" w:rsidRDefault="00237F48">
      <w:pPr>
        <w:spacing w:before="80" w:after="80"/>
      </w:pPr>
      <w:r>
        <w:lastRenderedPageBreak/>
        <w:t>Even though the ICP is European Union and United Kingdom, TXN entering the market via the MVP markets (Poland, Czech Republic, Romania, Hungary) can read as narrower than the actual scope. A buyer in Spain or Germany may perceive TXN as a Central European play, and a buyer in the UK may want to see UK-first credentials. Mitigation: consistent phase-1a and phase-1b messaging alongside MVP messaging, English-language plus local-language content across the six focus markets. Signal to watch: geographic distrib</w:t>
      </w:r>
      <w:r>
        <w:t>ution of inbound versus outbound sourced deals.</w:t>
      </w:r>
    </w:p>
    <w:p w14:paraId="7BB70593" w14:textId="77777777" w:rsidR="000B5218" w:rsidRDefault="00237F48">
      <w:pPr>
        <w:pStyle w:val="Heading3"/>
        <w:spacing w:before="180" w:after="100"/>
      </w:pPr>
      <w:r>
        <w:rPr>
          <w:b/>
          <w:bCs/>
          <w:color w:val="0F4761"/>
        </w:rPr>
        <w:t>7.5 Buyer preference for a known name</w:t>
      </w:r>
    </w:p>
    <w:p w14:paraId="375DD469" w14:textId="77777777" w:rsidR="000B5218" w:rsidRDefault="00237F48">
      <w:pPr>
        <w:spacing w:before="80" w:after="80"/>
      </w:pPr>
      <w:r>
        <w:t>For a subset of buyers, particularly at the more cautious end of the ICP or at boards influencing platform selection, "nobody got fired for choosing Marqeta" logic still applies. Mitigation: co-founding owner framing anchored on Direct Transact and Paycorp establishes TXN as backed by known European fintech players, not a standalone new entrant. Analyst coverage (Gartner, Forrester) and press once operational will help close this gap. Signal to watch: procurement processes that filter on incumbency criteria</w:t>
      </w:r>
      <w:r>
        <w:t xml:space="preserve"> rather than capability criteria.</w:t>
      </w:r>
    </w:p>
    <w:sectPr w:rsidR="000B521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F1CE" w14:textId="77777777" w:rsidR="00237F48" w:rsidRDefault="00237F48">
      <w:r>
        <w:separator/>
      </w:r>
    </w:p>
  </w:endnote>
  <w:endnote w:type="continuationSeparator" w:id="0">
    <w:p w14:paraId="39A8904C" w14:textId="77777777" w:rsidR="00237F48" w:rsidRDefault="00237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Light">
    <w:panose1 w:val="020B03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979F" w14:textId="77777777" w:rsidR="000B5218" w:rsidRDefault="00237F48">
    <w:r>
      <w:rPr>
        <w:color w:val="666666"/>
        <w:sz w:val="18"/>
        <w:szCs w:val="18"/>
      </w:rPr>
      <w:t xml:space="preserve">Owner: I. Johnson   |   TXN Global GTM Library   |   Confidential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2C3A84">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2C3A84">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16C0D" w14:textId="77777777" w:rsidR="00237F48" w:rsidRDefault="00237F48">
      <w:r>
        <w:separator/>
      </w:r>
    </w:p>
  </w:footnote>
  <w:footnote w:type="continuationSeparator" w:id="0">
    <w:p w14:paraId="1A2B7250" w14:textId="77777777" w:rsidR="00237F48" w:rsidRDefault="00237F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66FE"/>
    <w:multiLevelType w:val="hybridMultilevel"/>
    <w:tmpl w:val="C1C4EFEA"/>
    <w:lvl w:ilvl="0" w:tplc="89228018">
      <w:start w:val="1"/>
      <w:numFmt w:val="bullet"/>
      <w:lvlText w:val="●"/>
      <w:lvlJc w:val="left"/>
      <w:pPr>
        <w:ind w:left="720" w:hanging="360"/>
      </w:pPr>
    </w:lvl>
    <w:lvl w:ilvl="1" w:tplc="A8EAA6F6">
      <w:start w:val="1"/>
      <w:numFmt w:val="bullet"/>
      <w:lvlText w:val="○"/>
      <w:lvlJc w:val="left"/>
      <w:pPr>
        <w:ind w:left="1440" w:hanging="360"/>
      </w:pPr>
    </w:lvl>
    <w:lvl w:ilvl="2" w:tplc="C7C452F0">
      <w:start w:val="1"/>
      <w:numFmt w:val="bullet"/>
      <w:lvlText w:val="■"/>
      <w:lvlJc w:val="left"/>
      <w:pPr>
        <w:ind w:left="2160" w:hanging="360"/>
      </w:pPr>
    </w:lvl>
    <w:lvl w:ilvl="3" w:tplc="1BD6646E">
      <w:start w:val="1"/>
      <w:numFmt w:val="bullet"/>
      <w:lvlText w:val="●"/>
      <w:lvlJc w:val="left"/>
      <w:pPr>
        <w:ind w:left="2880" w:hanging="360"/>
      </w:pPr>
    </w:lvl>
    <w:lvl w:ilvl="4" w:tplc="55921BCC">
      <w:start w:val="1"/>
      <w:numFmt w:val="bullet"/>
      <w:lvlText w:val="○"/>
      <w:lvlJc w:val="left"/>
      <w:pPr>
        <w:ind w:left="3600" w:hanging="360"/>
      </w:pPr>
    </w:lvl>
    <w:lvl w:ilvl="5" w:tplc="BC221466">
      <w:start w:val="1"/>
      <w:numFmt w:val="bullet"/>
      <w:lvlText w:val="■"/>
      <w:lvlJc w:val="left"/>
      <w:pPr>
        <w:ind w:left="4320" w:hanging="360"/>
      </w:pPr>
    </w:lvl>
    <w:lvl w:ilvl="6" w:tplc="F8241B84">
      <w:start w:val="1"/>
      <w:numFmt w:val="bullet"/>
      <w:lvlText w:val="●"/>
      <w:lvlJc w:val="left"/>
      <w:pPr>
        <w:ind w:left="5040" w:hanging="360"/>
      </w:pPr>
    </w:lvl>
    <w:lvl w:ilvl="7" w:tplc="DBAAA7BA">
      <w:start w:val="1"/>
      <w:numFmt w:val="bullet"/>
      <w:lvlText w:val="●"/>
      <w:lvlJc w:val="left"/>
      <w:pPr>
        <w:ind w:left="5760" w:hanging="360"/>
      </w:pPr>
    </w:lvl>
    <w:lvl w:ilvl="8" w:tplc="0524B22C">
      <w:start w:val="1"/>
      <w:numFmt w:val="bullet"/>
      <w:lvlText w:val="●"/>
      <w:lvlJc w:val="left"/>
      <w:pPr>
        <w:ind w:left="6480" w:hanging="360"/>
      </w:pPr>
    </w:lvl>
  </w:abstractNum>
  <w:abstractNum w:abstractNumId="1" w15:restartNumberingAfterBreak="0">
    <w:nsid w:val="36DE2065"/>
    <w:multiLevelType w:val="hybridMultilevel"/>
    <w:tmpl w:val="014E86B2"/>
    <w:lvl w:ilvl="0" w:tplc="E76CBF2A">
      <w:start w:val="1"/>
      <w:numFmt w:val="bullet"/>
      <w:lvlText w:val="•"/>
      <w:lvlJc w:val="left"/>
      <w:pPr>
        <w:ind w:left="720" w:hanging="360"/>
      </w:pPr>
    </w:lvl>
    <w:lvl w:ilvl="1" w:tplc="51A21E88">
      <w:numFmt w:val="decimal"/>
      <w:lvlText w:val=""/>
      <w:lvlJc w:val="left"/>
    </w:lvl>
    <w:lvl w:ilvl="2" w:tplc="C51EC6C2">
      <w:numFmt w:val="decimal"/>
      <w:lvlText w:val=""/>
      <w:lvlJc w:val="left"/>
    </w:lvl>
    <w:lvl w:ilvl="3" w:tplc="82C673DE">
      <w:numFmt w:val="decimal"/>
      <w:lvlText w:val=""/>
      <w:lvlJc w:val="left"/>
    </w:lvl>
    <w:lvl w:ilvl="4" w:tplc="6876D372">
      <w:numFmt w:val="decimal"/>
      <w:lvlText w:val=""/>
      <w:lvlJc w:val="left"/>
    </w:lvl>
    <w:lvl w:ilvl="5" w:tplc="74322854">
      <w:numFmt w:val="decimal"/>
      <w:lvlText w:val=""/>
      <w:lvlJc w:val="left"/>
    </w:lvl>
    <w:lvl w:ilvl="6" w:tplc="A2844A02">
      <w:numFmt w:val="decimal"/>
      <w:lvlText w:val=""/>
      <w:lvlJc w:val="left"/>
    </w:lvl>
    <w:lvl w:ilvl="7" w:tplc="A9E07E52">
      <w:numFmt w:val="decimal"/>
      <w:lvlText w:val=""/>
      <w:lvlJc w:val="left"/>
    </w:lvl>
    <w:lvl w:ilvl="8" w:tplc="8CDC3928">
      <w:numFmt w:val="decimal"/>
      <w:lvlText w:val=""/>
      <w:lvlJc w:val="left"/>
    </w:lvl>
  </w:abstractNum>
  <w:num w:numId="1" w16cid:durableId="1041904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218"/>
    <w:rsid w:val="000B5218"/>
    <w:rsid w:val="00181636"/>
    <w:rsid w:val="00237F48"/>
    <w:rsid w:val="002C3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818DFA"/>
  <w15:docId w15:val="{F200D324-980E-5945-824E-0EB70419F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Open Sans Light" w:hAnsi="Open Sans Light" w:cs="Open Sans Light"/>
        <w:color w:val="22222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0" ma:contentTypeDescription="Create a new document." ma:contentTypeScope="" ma:versionID="fc9237b63cc21f7a413230402ae10d56">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3e7fc025a0c2299e9957e30babea5312"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0255937E-9912-4BF5-9EE3-0DAE1D71A7C4}"/>
</file>

<file path=customXml/itemProps2.xml><?xml version="1.0" encoding="utf-8"?>
<ds:datastoreItem xmlns:ds="http://schemas.openxmlformats.org/officeDocument/2006/customXml" ds:itemID="{C9219418-20B1-43ED-A673-0DBF3B06E82D}"/>
</file>

<file path=customXml/itemProps3.xml><?xml version="1.0" encoding="utf-8"?>
<ds:datastoreItem xmlns:ds="http://schemas.openxmlformats.org/officeDocument/2006/customXml" ds:itemID="{E79DEC61-26FF-4E36-A19C-17F9B20AB35C}"/>
</file>

<file path=docProps/app.xml><?xml version="1.0" encoding="utf-8"?>
<Properties xmlns="http://schemas.openxmlformats.org/officeDocument/2006/extended-properties" xmlns:vt="http://schemas.openxmlformats.org/officeDocument/2006/docPropsVTypes">
  <Template>Normal.dotm</Template>
  <TotalTime>1</TotalTime>
  <Pages>9</Pages>
  <Words>3378</Words>
  <Characters>19932</Characters>
  <Application>Microsoft Office Word</Application>
  <DocSecurity>0</DocSecurity>
  <Lines>406</Lines>
  <Paragraphs>125</Paragraphs>
  <ScaleCrop>false</ScaleCrop>
  <Company/>
  <LinksUpToDate>false</LinksUpToDate>
  <CharactersWithSpaces>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Johnson</cp:lastModifiedBy>
  <cp:revision>2</cp:revision>
  <dcterms:created xsi:type="dcterms:W3CDTF">2026-07-08T07:50:00Z</dcterms:created>
  <dcterms:modified xsi:type="dcterms:W3CDTF">2026-07-08T07:50:00Z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ies>
</file>