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pPr>
      <w:r>
        <w:rPr>
          <w:rFonts w:ascii="Open Sans Light" w:cs="Open Sans Light" w:eastAsia="Open Sans Light" w:hAnsi="Open Sans Light"/>
          <w:i/>
          <w:iCs/>
          <w:color w:val="0F4761"/>
          <w:sz w:val="24"/>
          <w:szCs w:val="24"/>
        </w:rPr>
        <w:t xml:space="preserve">TXN Global</w:t>
      </w:r>
    </w:p>
    <w:p>
      <w:pPr>
        <w:spacing w:after="60" w:before="20"/>
      </w:pPr>
      <w:r>
        <w:rPr>
          <w:rFonts w:ascii="Open Sans Light" w:cs="Open Sans Light" w:eastAsia="Open Sans Light" w:hAnsi="Open Sans Light"/>
          <w:i/>
          <w:iCs/>
          <w:color w:val="0F4761"/>
          <w:sz w:val="20"/>
          <w:szCs w:val="20"/>
        </w:rPr>
        <w:t xml:space="preserve">GTM Process Document</w:t>
      </w:r>
    </w:p>
    <w:p>
      <w:pPr>
        <w:spacing w:after="60" w:before="120"/>
      </w:pPr>
      <w:r>
        <w:rPr>
          <w:rFonts w:ascii="Open Sans Light" w:cs="Open Sans Light" w:eastAsia="Open Sans Light" w:hAnsi="Open Sans Light"/>
          <w:b/>
          <w:bCs/>
          <w:color w:val="2A2069"/>
          <w:sz w:val="52"/>
          <w:szCs w:val="52"/>
        </w:rPr>
        <w:t xml:space="preserve">Prospecting Process</w:t>
      </w:r>
    </w:p>
    <w:p>
      <w:pPr>
        <w:spacing w:after="120" w:before="20"/>
      </w:pPr>
      <w:r>
        <w:rPr>
          <w:rFonts w:ascii="Open Sans Light" w:cs="Open Sans Light" w:eastAsia="Open Sans Light" w:hAnsi="Open Sans Light"/>
          <w:i/>
          <w:iCs/>
          <w:color w:val="0F4761"/>
          <w:sz w:val="26"/>
          <w:szCs w:val="26"/>
        </w:rPr>
        <w:t xml:space="preserve">End-to-end from account discovery to meeting booked</w:t>
      </w:r>
    </w:p>
    <w:p>
      <w:pPr>
        <w:spacing w:after="240" w:before="40"/>
      </w:pPr>
      <w:r>
        <w:rPr>
          <w:rFonts w:ascii="Open Sans Light" w:cs="Open Sans Light" w:eastAsia="Open Sans Light" w:hAnsi="Open Sans Light"/>
          <w:color w:val="0F4761"/>
          <w:sz w:val="22"/>
          <w:szCs w:val="22"/>
        </w:rPr>
        <w:t xml:space="preserve">Version 0.6   |   Author: I. Johnson   |   19/08/2026</w:t>
      </w:r>
    </w:p>
    <w:p>
      <w:pPr>
        <w:pStyle w:val="Heading2"/>
        <w:spacing w:after="120" w:before="240"/>
      </w:pPr>
      <w:r>
        <w:rPr>
          <w:rFonts w:ascii="Open Sans Light" w:cs="Open Sans Light" w:eastAsia="Open Sans Light" w:hAnsi="Open Sans Light"/>
          <w:b/>
          <w:bCs/>
          <w:color w:val="2A2069"/>
          <w:sz w:val="28"/>
          <w:szCs w:val="28"/>
        </w:rPr>
        <w:t xml:space="preserve">1.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400"/>
        <w:gridCol w:w="4026"/>
      </w:tblGrid>
      <w:tr>
        <w:tc>
          <w:tcPr>
            <w:tcW w:type="dxa" w:w="9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Version</w:t>
            </w:r>
          </w:p>
        </w:tc>
        <w:tc>
          <w:tcPr>
            <w:tcW w:type="dxa" w:w="13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Date</w:t>
            </w:r>
          </w:p>
        </w:tc>
        <w:tc>
          <w:tcPr>
            <w:tcW w:type="dxa" w:w="1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Author</w:t>
            </w:r>
          </w:p>
        </w:tc>
        <w:tc>
          <w:tcPr>
            <w:tcW w:type="dxa" w:w="1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Owner</w:t>
            </w:r>
          </w:p>
        </w:tc>
        <w:tc>
          <w:tcPr>
            <w:tcW w:type="dxa" w:w="4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Description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08/07/2026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Initial version. End-to-end process definition with recommended tooling stack as open decisions.</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0.2</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08/07/2026</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Five changes reflecting owner review. (1) Reframed LinkedIn constraint as ToS-driven, not Claude-specific; codified the human-plus-Claude workflow with Sales Navigator. (2) Restructured into Phase A (manual, low-volume, Stage 1 first) and Phase B (automation, only if warranted). (3) Added LinkedIn to Stage 1 sources and added a trigger-sources table. (4) Dropped dedicated sending domain from the immediate critical path; Phase A uses the owner mailbox at low volume. (5) Changed footer address recommendation to TXN's registered business address.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13/07/2026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Added Section 4.1.2 Multi-market discovery cadence. Codifies the operating rule that Stage 1 account seeding and trigger logging must both be completed for the current market before starting discovery for the next market. Prevents the pattern where account inflow outpaces trigger enrichment and leaves the Priority tier structure misleadingly low across the pipeline.</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0.4</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13/07/2026</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Added Section 4.1.3 Use-case-driven discovery. Adds use case as a third discovery lens alongside geography and sub-sector, mapped to the ten Vision Discussion Document V3 patterns (SMB Lending, BNPL, Online Travel, On-Demand Services, Expense Management, Media Buying, Digital Banks, Credit/Chargecard Programmes, Digital Asset/Crypto, Investment &amp; Trading Platforms). Codifies the three-part discovery pattern: sub-sector scan + use-case scan + incumbent-customer scan. Addresses the pattern where sub-sector-primary discovery under-surfaces companies whose card programme is a strategic fit but not yet a public signal (canonical example: Trade Republic pre-Marqeta).</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19/08/2026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Section 4.1.3 extended to reference Card-Program-Categories as the canonical card program taxonomy. Introduces a fourth Category-driven sub-scan alongside the existing sub-sector, use-case, and incumbent-customer sub-scans. The Card-Program-Categories reference note enumerates four top-level categories (Consumer, Commercial and B2B, Disbursement and Payout, Vertical-specialist) covering approximately 54 specific card program types, plus six structural axes (funding model, cardholder type, form factor, acceptance loop, currency, processing model). Discovery passes from v0.5 onward must consider all four categories rather than the Consumer / Commercial bias inherent to sub-sector-primary discovery.</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19/08/2026</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 Johnson</w:t>
            </w:r>
          </w:p>
        </w:tc>
        <w:tc>
          <w:tcPr>
            <w:tcW w:type="dxa" w:w="4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Added Section 4.1.5 Early-stage Watch List. Codifies a signal-driven monthly scan for very early-stage fintechs (pre-Series-A, pre-product-launch, in the 6-to-24-month founding-to-first-public-event window) that would otherwise be missed by discovery weighted toward existing card programs. Five signal source categories (accelerator alumni, fresh regulator licence, fintech media watch pieces, first payments hire, seed round referencing card issuance). New 10_Watch_List tab in Qualification Matrix v0.7 stores candidates pre-scoring; promote-to-Prospect on a defined trigger. Zero additional tooling cost.</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2. Purpose and scope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This document defines the end-to-end prospecting process TXN operates against European fintechs, digital banks, and embedded finance companies that fit the Ideal Customer Profile in TXN_GTM_ICP_Definition_v0.3. The process runs from account discovery through to a confirmed discovery meeting scheduled in Freshsales. Everything downstream of that meeting is handled by the Sales Motion process in TXN_GTM_Sales_Process_and_Stages_v0.3.</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This is the anchor reference for the prospecting phase. Every downstream artefact (sequence templates, Freshsales configuration, tool selection, compliance policies, metrics dashboards) is derived from this process, not the reverse. When something in this document feels wrong, propose a change; do not quietly deviate.</w:t>
      </w:r>
    </w:p>
    <w:p>
      <w:pPr>
        <w:pStyle w:val="Heading3"/>
        <w:spacing w:after="100" w:before="180"/>
      </w:pPr>
      <w:r>
        <w:rPr>
          <w:rFonts w:ascii="Open Sans Light" w:cs="Open Sans Light" w:eastAsia="Open Sans Light" w:hAnsi="Open Sans Light"/>
          <w:b/>
          <w:bCs/>
          <w:color w:val="0F4761"/>
          <w:sz w:val="24"/>
          <w:szCs w:val="24"/>
        </w:rPr>
        <w:t xml:space="preserve">2.1 How to use this document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Read Section 3 for the process overview and Sections 4.1 to 4.7 for the detailed stage definitions. Read Section 6 to understand how the process is implemented in two phases: Phase A is the manual, low-volume validation phase that runs first, and Phase B introduces automation only if the Phase A output warrants it. Read Section 7 for the recommended tooling stack, Section 8 for compliance requirements, Section 9 for metrics, and Section 10 for the prerequisite workstreams for each phase.</w:t>
      </w:r>
    </w:p>
    <w:p>
      <w:pPr>
        <w:pStyle w:val="Heading3"/>
        <w:spacing w:after="100" w:before="180"/>
      </w:pPr>
      <w:r>
        <w:rPr>
          <w:rFonts w:ascii="Open Sans Light" w:cs="Open Sans Light" w:eastAsia="Open Sans Light" w:hAnsi="Open Sans Light"/>
          <w:b/>
          <w:bCs/>
          <w:color w:val="0F4761"/>
          <w:sz w:val="24"/>
          <w:szCs w:val="24"/>
        </w:rPr>
        <w:t xml:space="preserve">2.2 Refresh cadence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Quarterly review minimum. Interim revisions triggered by material changes to ICP v0.3, Core Messaging v2.5, the tooling stack selection, or Freshsales instrumentation. Version bump on any substantive change; prior version is archived in 99_Archive/.</w:t>
      </w:r>
    </w:p>
    <w:p>
      <w:pPr>
        <w:pStyle w:val="Heading3"/>
        <w:spacing w:after="100" w:before="180"/>
      </w:pPr>
      <w:r>
        <w:rPr>
          <w:rFonts w:ascii="Open Sans Light" w:cs="Open Sans Light" w:eastAsia="Open Sans Light" w:hAnsi="Open Sans Light"/>
          <w:b/>
          <w:bCs/>
          <w:color w:val="0F4761"/>
          <w:sz w:val="24"/>
          <w:szCs w:val="24"/>
        </w:rPr>
        <w:t xml:space="preserve">2.3 Relationship to other documents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This document is downstream of ICP v0.3 (defines who prospects are), Core Messaging v2.5 (defines what to say to them), the persona set in 02_ICP_&amp;_Personas (defines whose lens the message uses), and the AI Messaging Framework v1.0 and JV Messaging Framework v2.1 (define constrained language). It is upstream of the Sales Motion documents in 04_Sales_Motion, the Marketing collateral in 05_Marketing, and the Freshsales configuration itself.</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register that carries account records through the process is TXN_GTM_Qualification_Matrix_v0.2.xlsx, held in 04_Sales_Motion. The workbook is the staging layer for the scoring formulas; Freshsales is the operational system that Sales and Owner use daily.</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3. Process overview</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prospecting process is seven stages. Each stage has a defined owner (Claude, Owner, or Tool), a set of inputs and outputs, a Freshsales write, and an exit criterion. The stages run in sequence per contact, though the overall pipeline runs continuously with new accounts entering Stage 1 on the monthly discovery cycle.</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800"/>
        <w:gridCol w:w="2726"/>
      </w:tblGrid>
      <w:tr>
        <w:tc>
          <w:tcPr>
            <w:tcW w:type="dxa" w:w="5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Stage</w:t>
            </w:r>
          </w:p>
        </w:tc>
        <w:tc>
          <w:tcPr>
            <w:tcW w:type="dxa" w:w="28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Who</w:t>
            </w:r>
          </w:p>
        </w:tc>
        <w:tc>
          <w:tcPr>
            <w:tcW w:type="dxa" w:w="27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Freshsales action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discovery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 Owner</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Create / update Account record; set stage = Prospect</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qualification and tiering</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drafts, Owner approves</w:t>
            </w:r>
          </w:p>
        </w:tc>
        <w:tc>
          <w:tcPr>
            <w:tcW w:type="dxa" w:w="27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Write Tier, Score, Rationale to Account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discovery and enrichment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 Sales Nav, Claude structures</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Create Contact records linked to Account</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Personalisation research</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(from owner-captured signals)</w:t>
            </w:r>
          </w:p>
        </w:tc>
        <w:tc>
          <w:tcPr>
            <w:tcW w:type="dxa" w:w="27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Attach Personalisation Notes to Contact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Sequence drafting and sending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drafts, Owner sends (Phase A) / Platform sends (Phase B)</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Log outbound Activity; update Contact status</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Reply triage and follow-up</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triages, Owner acts on positives</w:t>
            </w:r>
          </w:p>
        </w:tc>
        <w:tc>
          <w:tcPr>
            <w:tcW w:type="dxa" w:w="27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Update Contact Reply status; log Activity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Meeting booked and handoff to Sales Motion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Create Meeting record; set stage = Discovery Scheduled</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seven-stage flow is designed to be executable in two phases. Phase A runs the entire process manually with Claude and the Owner using existing tools (Sales Navigator, Freshsales, owner mailbox). Phase B introduces automation for the stages that become time-critical at higher volume. The delegation model between Claude and Owner is codified in ICP v0.3 Section 9.4 and applies in both phases.</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1"/>
        <w:spacing w:after="160" w:before="320"/>
      </w:pPr>
      <w:r>
        <w:rPr>
          <w:rFonts w:ascii="Open Sans Light" w:cs="Open Sans Light" w:eastAsia="Open Sans Light" w:hAnsi="Open Sans Light"/>
          <w:b/>
          <w:bCs/>
          <w:color w:val="2A2069"/>
          <w:sz w:val="36"/>
          <w:szCs w:val="36"/>
        </w:rPr>
        <w:t xml:space="preserve">4. Stage definitions</w:t>
      </w:r>
    </w:p>
    <w:p>
      <w:pPr>
        <w:pStyle w:val="Heading2"/>
        <w:spacing w:after="120" w:before="240"/>
      </w:pPr>
      <w:r>
        <w:rPr>
          <w:rFonts w:ascii="Open Sans Light" w:cs="Open Sans Light" w:eastAsia="Open Sans Light" w:hAnsi="Open Sans Light"/>
          <w:b/>
          <w:bCs/>
          <w:color w:val="2A2069"/>
          <w:sz w:val="28"/>
          <w:szCs w:val="28"/>
        </w:rPr>
        <w:t xml:space="preserve">4.1 Stage 1: Account discovery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Find companies in the EEA plus United Kingdom that match the ICP v0.3 firmographic filter (sector, sub-sector, size, geography, regulatory regime, ownership) and clear the anti-profile. This stage is defined in detail in ICP v0.3 Section 9. What follows here is the operational specifics on how Claude and the Owner interact.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drafts, Owner approves list additions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Monthly full-list scan; event-driven within month for high-priority triggers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ICP v0.3 firmographic filter; ICP v0.3 anti-profile; ICP v0.3 source list (Section 9.3)</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Provisional new account rows in Qualification Matrix 02_Scoring_Register with source, discovery date, and initial signal notes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Primary sources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EBA public register plus national regulators (FCA in the UK, BaFin in Germany, KNF in Poland, CNB in the Czech Republic, ANAF in Romania, MNB in Hungary, and equivalents across remaining EEA jurisdictions); Visa Partner Directory; Mastercard Connect; BIN sponsor client pages (Paynetics, DiPocket, Modulr, Transact Payments, Enfuce as sponsor, Railsr); competitor case study pages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Secondary sources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Dealroom.co (European focus, free tier); Crunchbase; Sifted database; industry news (Sifted, Finextra, The Paypers, FinTech Futures, Finovate); LinkedIn (job posting signals, executive moves, company page announcements, roadmap posts via owner-driven Sales Navigator); Welcome to the Jungle (EU job board)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On owner approval: create Account record with fields (Name, Country, Sector, Sub-sector, Employees, Regulatory Status, BIN Sponsor if known, Incumbent Processor if known, Source, Discovery Date, Trigger Notes). Stage = Prospect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exists in both Qualification Matrix and Freshsales with a minimum viable fields set</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Claude runs a monthly scheduled task against the primary and secondary sources listed above. New candidates are surfaced to the Owner as a shortlist with initial signal notes. The Owner approves additions within one working week. Approved candidates are written to the Qualification Matrix and to Freshsales as an Account record in the Prospect stage.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Event-driven additions happen mid-cycle when Claude detects a high-priority trigger. Trigger sources are set out below and vary by trigger type. All trigger detection in Phase A relies on free or existing sources; paid real-time detection tools sit in Phase B and activate only if the monthly scan misses too many events to justify the cost.</w:t>
      </w:r>
    </w:p>
    <w:p>
      <w:pPr>
        <w:pStyle w:val="Heading3"/>
        <w:spacing w:after="100" w:before="180"/>
      </w:pPr>
      <w:r>
        <w:rPr>
          <w:rFonts w:ascii="Open Sans Light" w:cs="Open Sans Light" w:eastAsia="Open Sans Light" w:hAnsi="Open Sans Light"/>
          <w:b/>
          <w:bCs/>
          <w:color w:val="0F4761"/>
          <w:sz w:val="24"/>
          <w:szCs w:val="24"/>
        </w:rPr>
        <w:t xml:space="preserve">4.1.1 Trigger sources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four canonical trigger types (new product launch or roadmap, incumbent contract expiry or dissatisfaction, executive change into a product or engineering role, new market entry) come from ICP v0.3 Section 5. The table below shows what signals each trigger, what sources Claude can use to detect it, and which phase the source belongs to.</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26"/>
        <w:gridCol w:w="1200"/>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Trigger event</w:t>
            </w:r>
          </w:p>
        </w:tc>
        <w:tc>
          <w:tcPr>
            <w:tcW w:type="dxa" w:w="26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What signals it</w:t>
            </w:r>
          </w:p>
        </w:tc>
        <w:tc>
          <w:tcPr>
            <w:tcW w:type="dxa" w:w="32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Sources Claude can use</w:t>
            </w:r>
          </w:p>
        </w:tc>
        <w:tc>
          <w:tcPr>
            <w:tcW w:type="dxa" w:w="1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Phase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New product launch or roadmap</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Press announcement; funding round PR referencing card products; hiring for card program roles; beta program invitations</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Web search; company press pages; Sifted / Finextra / The Paypers / FinTech Futures / Finovate; Crunchbase and Dealroom for the funding-round trigger; LinkedIn job listings via owner-driven Sales Navigator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Incumbent contract expiry or dissatisfaction</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Public reference to a multi-year contract with a named incumbent nearing anniversary; RFP-like activity; executive remarks on platform change; public incident posts; press coverage of outages</w:t>
            </w:r>
          </w:p>
        </w:tc>
        <w:tc>
          <w:tcPr>
            <w:tcW w:type="dxa" w:w="32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Web search; competitor case study pages; industry news feeds; incident status pages of the six named incumbents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Executive change into a product or engineering role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LinkedIn "started a new position" post; press announcement; company blog</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LinkedIn via owner-driven Sales Navigator (primary); web search on the individual name (secondary)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New market entry</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Public geographic expansion announcement; licence application filings; hiring in the target country; partner search signals</w:t>
            </w:r>
          </w:p>
        </w:tc>
        <w:tc>
          <w:tcPr>
            <w:tcW w:type="dxa" w:w="32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Regulatory registers (EBA and national); press announcements; company blog; LinkedIn job listings for target country</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Real-time trigger detection (all types)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Any of the above, delivered on the day the signal appears rather than in the monthly scan</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Google Alerts (free, low fidelity); Feedly (paid, RSS-based); Owler or Crayon (paid, sales-intel focused, best signal-to-noise)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 (evaluate only if monthly scan misses too many events)</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4.1.2 Multi-market discovery cadence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When running Stage 1 across multiple markets, complete both account seeding and trigger logging for the current market before starting discovery for the next market. Do not open discovery in market N+1 while market N still has accounts sitting at P6 = 0 for lack of logged triggers.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reason: without triggers logged, the auto-scoring engine returns misleadingly low tier assignments. Accounts that should be Priority 1 sit at Priority 2 or 3, and outreach prioritisation drifts. The pattern to avoid is discovering four markets, logging triggers for only the first, and then treating the aggregate tier distribution as if it were representative.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operating rule is therefore: for each market, complete Stage 1 in the sequence (a) surface candidates from primary and secondary sources, (b) seed candidates into 02_Scoring_Register with input columns populated, (c) log detected trigger events into 04_Triggers with dates, priorities, and source URLs, (d) verify the resulting tier distribution reads sensibly against the market's known fintech landscape. Only when all four steps are complete for the current market does the next market's discovery start.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Applies to the MVP markets (Poland, Czech Republic, Romania, Hungary) and to any subsequent Phase 1a and 1b market rollouts. Applies equally to the monthly refresh cycle: complete the current month's refresh across all seeded markets before starting the next month's.</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4.1.3 Use-case-driven discovery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Discovery uses three lenses in parallel, not sequentially: geography, sub-sector, and use case. Geography maps ICP v0.4 Section 4.4 phasing. Sub-sector maps ICP v0.4 Section 4.2. Use case maps to the ten patterns identified in the Vision Discussion Document V3 Sample Use Cases section: SMB Lending, BNPL, Online Travel, On-Demand Services, Expense Management, Media Buying, Digital Banks, Credit / Chargecard Programmes, Digital Asset / Crypto, Investment and Trading Platforms. The Vision Document explicitly names this list as non-exhaustive; other use cases surface with market experience.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Why the third lens matters: sub-sector-driven discovery weights companies with visible card programmes or explicit card-adjacent products. Use-case-driven discovery surfaces companies whose card programme is a strategic fit but not yet a public signal. Trade Republic is the canonical example: it did not have a card programme until it launched with Marqeta in H2 2022; before that it was a Vision-fit prospect that would not have surfaced under a sub-sector-plus-card-signal filter. Trading platforms without cards, OTAs without supplier-card programmes, on-demand services without driver-payout programmes, and expense management platforms without an issuing layer all fall in the same category. Every one of them is a Vision use case that deserves representation in the register regardless of card-signal visibility today.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Operational rule: for each market discovery pass, run three sub-scans in parallel and consolidate before scoring. Sub-scan 1 is sub-sector-primary, per ICP v0.4 Section 4.2. Sub-scan 2 is use-case-primary, working through the ten Vision use cases and surfacing companies that fit the use case even without visible card signals. Sub-scan 3 is incumbent-customer, systematically working through published customer references of Marqeta, Paymentology, Thredd, Enfuce, Episode Six, and Pismo. Any company that appears as a published customer of one of the six named incumbents is a proven ICP fit by definition, whatever sub-sector it occupies. Consolidate the three sub-scan outputs, deduplicate, then apply Section 8 scoring.</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Geographic adjacency: candidates whose HQ is outside the current MVP market but whose operations meaningfully touch the market may be logged either with the MVP market's country prefix (if a distinct local entity or decision authority exists) or with the HQ market's prefix with an operational-footprint note (if decisioning is central). This is a judgement call per candidate. Examples: Trade Republic (Germany HQ, live in all MVP markets) is logged with a DE prefix and MVP operational-footprint notes; a Polish subsidiary of a foreign fintech with distinct decision authority is logged with a PL prefix.</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Backfill: the first four MVP markets (Poland, Czech Republic, Romania, Hungary) were scoped with sub-sector-primary discovery only. A supplemental use-case + adjacent-geo + incumbent-customer pass in July 2026 backfilled the missed candidates. From v0.4 forward, the three-part discovery pattern applies to every market discovery pass. v0.5 extends this to a four-part pattern by adding the category-driven sub-scan below.</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4.1.4 Category-driven discovery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canonical taxonomy of card program categories and specific card program types is held in Card-Program-Categories.docx at 07_GTM/04_Sales_Motion/Assets/Pipeline/. Read that document before running any discovery pass. It enumerates four top-level categories that any card program falls into: Consumer, Commercial and B2B, Disbursement and Payout, and Vertical-specialist. Beneath the four categories the document lists approximately 54 specific card program types (from neobank debit through fleet and fuel to humanitarian aid disbursement). It also sets out six structural axes on which any given program can be characterised: funding and credit model, cardholder type, form factor, acceptance loop, currency, and processing and decisioning model.</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Why category matters as a discovery lens: sub-sector filters a company by what industry it operates in. Use case filters by which of the ten Vision use cases it fits. Category filters by which type of card program it runs (or plans to run). These three lenses do not always coincide. A neobank (sub-sector Digital Banking, use case Digital Banks) may run a Consumer program only, or it may also run Commercial and B2B (SME debit cards for its business banking customers) or Disbursement (payroll cards for its enterprise clients). Filtering only by sub-sector or only by use case can miss the second and third card programs entirely. Category-driven discovery makes the coverage explicit.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Operational rule: from v0.5 forward, every discovery pass must include a fourth sub-scan (Sub-scan 4) that walks the four categories and asks, for the target market, which specific program types have material EEA activity and which companies operate those programs. Consumer and Commercial and B2B are the natural areas of coverage bias; Disbursement and Payout and Vertical-specialist typically under-surface unless deliberately targeted. Fleet and fuel, mobility, healthcare, cannabis and gaming, humanitarian aid, and creator payouts are all Vision-relevant categories that will not surface under Consumer-biased discovery.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Sub-scan sequence for every discovery pass, v0.5 onward: (1) sub-sector scan per ICP Section 4.2, (2) use-case scan per the ten Vision patterns, (3) incumbent-customer scan across the six named processors, (4) category-driven scan across the four Card-Program-Categories headings. Consolidate the four sub-scan outputs, deduplicate, then apply Section 8 scoring. Every candidate that lands in the Qualification Matrix from v0.6 onward carries a Card Program Category value drawn from the four canonical categories.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Structural axes as auxiliary characterisation: the six axes in Card-Program-Categories Section 2 (funding, cardholder, form factor, acceptance loop, currency, processing) are not scored parameters but are commercially relevant. Funding model in particular drives working capital and regulatory burden. Where a candidate's program is unusual on one of these axes (e.g., just-in-time funded prepaid for on-demand delivery, multi-currency wallet for FX-led travel), note it in the Trigger Notes column against the account record so future outreach lands with the right commercial framing.</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4.1.5 Early-stage Watch List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Discovery weighted toward companies with visible card programs misses pre-launch fintechs — those between founding and their first public event, typically a 6 to 24 month window. These companies are picking their infrastructure now, have zero switching cost, and will need an issuer processor within 6 to 18 months. TXN's market-entry window in September 2026 and first-live-client capability in December 2026 align well with a Series A cohort targeting Q2 to Q4 2027 launch. Losing this cohort to competitors during our pre-launch period is the largest single missed-pipeline risk.</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Watch List captures pre-Prospect candidates who show at least one of five signals: (1) alumnus or current participant in a recognised accelerator (Y Combinator, Techstars, Seedcamp, Antler, Startupbootcamp FinTech, Rockstart, Founders Factory, ReaktorX, MIT Enterprise Forum CEE); (2) fresh EMI, PI, or Small Payment Institution licence granted or applied for in the last 6 months on EBA, KNF, CNB, ANAF, MNB, BaFin, ACPR, FCA, CSSF, or Bank of Lithuania registers; (3) featured in a Sifted, Finextra, TheRecursive, Business Insider CE, or Fintech Futures "startups to watch" piece in the last 6 months; (4) LinkedIn public job posting or founder announcement of a first "Head of Payments", "Head of Card Programs", "Head of Issuing", or "VP Payments" hire at a company with fewer than 30 employees; (5) pre-Series-A funding round PR that mentions card issuance, BIN sponsor, or issuer processor in the announcement text.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Watch List size ceiling: companies over 100 employees do not belong on the Watch List and instead go straight to the main Scoring Register as a full Prospect. Watch List is for the pre-scale cohort where the value is having the record captured before the company appears on Dealroom or Crunchbase, not for right-sized late-stage candidates.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Storage: the Watch List is held in 10_Watch_List of the Qualification Matrix. Watch_ID uses the WATCH- prefix (WATCH-001, WATCH-002, and so on). No auto-scoring is applied at Watch List stage. Fields captured: Company Name, Founded Date, HQ Country, Sub-sector best-guess, Card Program Category best-guess, Signal Source, Signal Detail, Signal Date, Product Summary, Promote Trigger, Source URL, Notes, Promote-to-Prospect Readiness (Not Ready / Ready / Promoted), Owner Review Status (Pending / Reviewed / Skipped), Last Reviewed Date, Promoted Account_ID.</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Cadence: Claude runs a monthly Watch List scan on the first working day of each month, using web search plus the specific source list above. Output is a delta of net-new candidates from the previous month's scan. Owner reviews within one working week. Weekly promote-check by the Owner: any Watch List entry that has hit its Promote Trigger (announced funding round close, published licence issuance, hired first Head of Payments, appeared on a second "watch" list, or otherwise crossed a defined threshold) moves to the main Scoring Register as a full Prospect with a fresh Account_ID (country prefix per Section 4.1.3), and the Promoted Account_ID field links back to the Watch List row.</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Signal quality caveat: early-stage signals are lower precision than main-register signals. Some Watch List entries will never mature to a card programme; a subset will be acquired, will pivot, or will fail. That is expected and is not a reason to lower the bar on which candidates we log. The value is having the record captured so that when they DO mature, TXN responds within days rather than months. A Watch List entry that has sat with no promote-trigger for 24 months is archived to a dormant state.</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4.2 Stage 2: Account qualification and tiering</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Score each account across the ten parameters defined in ICP v0.3 Section 8.1, apply the gating rules in Section 8.2, and assign a tier (Priority 1, 2, 3, or Disqualified). Tier drives the downstream activity level per Section 8.4.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drafts provisional score, Owner approves final tier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On account addition; 90-day rolling re-score; event-driven on trigger detection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record; ICP v0.3 Section 8 scoring framework (10 parameters, 100 points max)</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Score across ten parameters; aggregate tier (Priority 1 / 2 / 3 / Disqualified); gating check outcome; scoring rationale note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Tools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Qualification Matrix workbook (deterministic scoring formulas per Section 8.1); Claude for parameter interpretation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Update Account fields: Tier, Score, Scoring Rationale, Gating Flags, Last Scored Date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has approved tier; downstream activity level is unambiguous per ICP v0.3 Section 8.4</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Claude drafts the provisional score using publicly available data and its interpretation of the ICP v0.3 band definitions. The Owner reviews and can adjust bands where the public signal is inconclusive. Once approved, the tier is written to the Freshsales Account record. Tier changes require Owner approval; Claude surfaces proposed changes but does not promote accounts autonomously.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90-day rolling re-score ensures no record goes stale. One third of the list is re-scored each month, and any material attribute change (employee count, funding stage, licence status, new trigger event) triggers a same-month re-score.</w:t>
      </w:r>
    </w:p>
    <w:p>
      <w:pPr>
        <w:pStyle w:val="Heading2"/>
        <w:spacing w:after="120" w:before="240"/>
      </w:pPr>
      <w:r>
        <w:rPr>
          <w:rFonts w:ascii="Open Sans Light" w:cs="Open Sans Light" w:eastAsia="Open Sans Light" w:hAnsi="Open Sans Light"/>
          <w:b/>
          <w:bCs/>
          <w:color w:val="2A2069"/>
          <w:sz w:val="28"/>
          <w:szCs w:val="28"/>
        </w:rPr>
        <w:t xml:space="preserve">4.3 Stage 3: Contact discovery and enrichment</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For each Priority 1 and Priority 2 Account, find named humans who match the persona role targets, verify their emails, and create Contact records in Freshsales linked to the Account. Priority 3 accounts get contact discovery on inbound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drives via LinkedIn Sales Navigator; Claude structures the output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Triggered per account after tiering (Priority 1 and 2 in Phase A; Priority 3 on inbound only)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Account record; role targets per persona (see Sub-section below); owner-captured Sales Navigator profile results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Named contacts with verified emails, titles, LinkedIn URLs, mapped to Champion / Economic Buyer / Primary User persona archetypes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Phase A tools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LinkedIn Sales Navigator (owner-driven for search and profile capture); Claude for structuring, deduplication, role classification; free email verification via MX check plus manual sanity check; email pattern inference from LinkedIn URL plus domain (first.last@domain.com, first@domain.com etc.)</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Phase B tools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Add Apollo or Cognism for automated contact discovery at scale; add Bouncer or NeverBounce for automated email verification. Introduce only if account volume from Phase A justifies the tooling cost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Create one Contact record per named human, linked to Account. Fields: Name, Title, Role Category (Champion / Economic Buyer / Primary User / Influencer / DACI Role), Email, Email Verified Status, LinkedIn URL, Country, Discovery Source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At least two verified contacts per Tier 1 account (ideally covering Champion + Primary User); one contact per Tier 2 account</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4.3.1 Role targets per persona</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persona archetypes below map to real-world titles. Discovery targets any of the listed titles within the role category. Additional titles may be added where the target company uses non-standard nomenclature.</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Persona archetype</w:t>
            </w:r>
          </w:p>
        </w:tc>
        <w:tc>
          <w:tcPr>
            <w:tcW w:type="dxa" w:w="66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Target roles (any of)</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Champion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Chief Product Officer, VP Product, Head of Product, Director of Product (card programs, payments, or issuing)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Economic Buyer</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Chief Financial Officer (primary), Chief Executive Officer / Founder (secondary on strategic deals)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Primary User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Chief Technology Officer, Head of Engineering, VP Engineering (payments or platform)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Head of Payments</w:t>
            </w:r>
          </w:p>
        </w:tc>
        <w:tc>
          <w:tcPr>
            <w:tcW w:type="dxa" w:w="66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Head of Payments, Director of Payments, VP Payments (DACI Driver role)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Risk and Compliance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Chief Risk Officer, Head of Compliance (DACI Contributor role on regulated targets)</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4.3.2 The LinkedIn constraint and the human-plus-Claude workflow</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LinkedIn's Terms of Service prohibit automated access, unauthenticated scraping, or bot use of any kind. This is a LinkedIn constraint, not a Claude constraint, and it applies to every tool that touches LinkedIn (Apollo, Cognism, Kaspr, and others use licensed data feeds or user-authenticated browser sessions to work around this legitimately). Claude does not access LinkedIn autonomously.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correct workflow at Phase A volume is human-plus-Claude with LinkedIn Sales Navigator. The Owner runs the Sales Navigator searches, opens the target company page, filters by title against the persona role targets in Section 4.3.1, and captures the profile results (name, title, LinkedIn URL, and any relevant profile signal). The captured data is passed to Claude, which structures it for Freshsales, deduplicates against existing contacts, classifies role fit against the persona archetypes, and produces the personalisation snippet for Stage 4 from any LinkedIn post content the Owner captures alongside the profile. This turns Sales Navigator into a research surface rather than a discovery bottleneck, and it is compliant with LinkedIn's terms.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Email discovery at Phase A volume works via inference. LinkedIn URL plus company domain typically resolves to one of a small number of email patterns (first.last, first, f.last, etc.). Claude proposes the two or three most probable patterns; the Owner sends a test to the top pattern from ianj@txn.global; a bounce indicates the wrong pattern and the next pattern is tried. This is slower than an automated verification service (Bouncer, NeverBounce) but for 5 to 15 emails per week the cost difference is not worth the tooling. At Phase B, automated verification takes over.</w:t>
      </w:r>
    </w:p>
    <w:p>
      <w:pPr>
        <w:pStyle w:val="Heading2"/>
        <w:spacing w:after="120" w:before="240"/>
      </w:pPr>
      <w:r>
        <w:rPr>
          <w:rFonts w:ascii="Open Sans Light" w:cs="Open Sans Light" w:eastAsia="Open Sans Light" w:hAnsi="Open Sans Light"/>
          <w:b/>
          <w:bCs/>
          <w:color w:val="2A2069"/>
          <w:sz w:val="28"/>
          <w:szCs w:val="28"/>
        </w:rPr>
        <w:t xml:space="preserve">4.4 Stage 4: Personalisation research</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For each Contact, produce two to four sentences of relevant, verifiable personalisation grounded in a public source. This is what separates warm outbound from spam. No personalisation, no send.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Per contact, before the first outbound message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record; owner-captured public activity (LinkedIn posts, podcast appearances, company announcements); news search results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Two to four sentences of personalisation, one hook line, and one relevance link to the target message pillar per contact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Tools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LinkedIn Sales Navigator (owner-driven, output pasted to Claude); news search via web; podcast search; target company website; Claude for synthesis and pillar mapping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Attach Personalisation Notes to Contact record. Include hook line, source of hook (post URL / press URL), target message pillar (1 to 5 per Core Messaging Section 6)</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has a personalisation snippet grounded in a verifiable public source; no personalisation, no send</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personalisation must connect to one of the five messaging pillars defined in Core Messaging v2.5 Section 6. Claude captures the connection in the Personalisation Note so the sequence drafter (also Claude) knows which pillar to lead with in the introduction email. This is the mechanism by which the messaging library flows into individual outbound touches.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Examples of qualifying personalisation: a recent LinkedIn post from the Contact about card program challenges (points to a specific pillar), a company funding round mentioning new product surfaces (points to Pillar 1: Launch and evolve products faster), an executive move creating a re-platforming window (points to Pillar 5: Manage card program efficiently and effectively). Examples of non-qualifying personalisation: generic congratulations on a funding round; a shared alma mater; any personalisation that could be applied to a hundred other contacts.</w:t>
      </w:r>
    </w:p>
    <w:p>
      <w:pPr>
        <w:pStyle w:val="Heading2"/>
        <w:spacing w:after="120" w:before="240"/>
      </w:pPr>
      <w:r>
        <w:rPr>
          <w:rFonts w:ascii="Open Sans Light" w:cs="Open Sans Light" w:eastAsia="Open Sans Light" w:hAnsi="Open Sans Light"/>
          <w:b/>
          <w:bCs/>
          <w:color w:val="2A2069"/>
          <w:sz w:val="28"/>
          <w:szCs w:val="28"/>
        </w:rPr>
        <w:t xml:space="preserve">4.5 Stage 5: Sequence drafting and sending</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Draft the outbound sequence (4 to 6 touches over 20 to 30 days) using the messaging library, the persona lens, and the personalisation snippet. Phase A sends manually from ianj@txn.global; Phase B introduces a dedicated sending domain and automated sequencing platform only if volume growth demands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drafts every email; Owner sends manually in Phase A, sending platform sends automatically in Phase B</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Four to six touches over 20 to 30 days; sending days weighted Tuesday to Thursday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record with persona archetype and personalisation notes; Core Messaging v2.5 pillars, positioning, tone rules; AI Messaging Framework anchor phrase where relevant; sequence template for the persona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Sequence of tailored emails: introduction, nudge, value-add, break-up. Optional LinkedIn touch between emails. Each email under 120 words. British English, program spelling, no em dashes, TXN tone rules per Core Messaging Section 10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Phase A sending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sends manually from ianj@txn.global. No automated sequences, no tracking pixels, no separate sending domain. Each email looks like a bespoke 1:1 message because it is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Phase B sending</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Introduce a dedicated sending domain (lookalike of txn.global), warmed inboxes, and a sending platform (Smartlead, Instantly, or Apollo). Only triggered if Phase A volume growth demands automation. See Section 6 for the phase transition criteria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Log each send as an Activity linked to Contact. Update Contact Sequence Status (In Sequence / Completed / Replied / Bounced / Unsubscribed). Phase A: owner logs after send; Phase B: platform logs via integration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Sequence completes, or a reply of any kind arrives (positive, negative, unsubscribe, bounce)</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4.5.1 Why Phase A uses the owner mailbox</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At Phase A volume (5 to 15 highly personalised sends per week, one at a time, no automation), sending from ianj@txn.global is genuinely safe and appropriate. This is not "cold outbound" in the technical sense that email filters worry about; it is founder-led business development, indistinguishable from the many bespoke 1:1 emails that founders send every day. Reputation risk is minimal because volume is minimal, personalisation is high, and each send looks like a normal human email to a filter.</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threshold at which a dedicated sending domain becomes worthwhile is roughly: automated multi-touch sequences (a platform sending Day 4, Day 8, Day 15 without owner action), multiple contacts at the same company hit in the same week, or 20-plus sends per day. Below that threshold, the owner mailbox is the right sender. Phase transition criteria in Section 6.3 make this concrete.</w:t>
      </w:r>
    </w:p>
    <w:p>
      <w:pPr>
        <w:pStyle w:val="Heading3"/>
        <w:spacing w:after="100" w:before="180"/>
      </w:pPr>
      <w:r>
        <w:rPr>
          <w:rFonts w:ascii="Open Sans Light" w:cs="Open Sans Light" w:eastAsia="Open Sans Light" w:hAnsi="Open Sans Light"/>
          <w:b/>
          <w:bCs/>
          <w:color w:val="0F4761"/>
          <w:sz w:val="24"/>
          <w:szCs w:val="24"/>
        </w:rPr>
        <w:t xml:space="preserve">4.5.2 Sequence structure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standard sequence is 5 touches over 24 days, with sends weighted Tuesday to Thursday and skipped on public holidays in the target country. LinkedIn touches are optional between emails for Priority 1 accounts.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Day 1: Introduction. Personalisation hook, single pillar reference, low-commitment CTA (invitation to reply, not to book).</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Day 4: Nudge. Different angle to Day 1, one specific proof point from Core Messaging Section 9 persona proof.</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Day 8: Value-add. Send a specific asset (case study, competitor differentiation snapshot, sub-sector one-pager) that is relevant to the persona and the personalisation angle.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Day 15: Angle change. Different pillar, different proof point, different tone. Sometimes framed as "one last idea before I stop reaching out".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Day 24: Break-up. Explicit close-out, low-pressure, sometimes generates a reply where earlier touches did not.</w:t>
      </w:r>
    </w:p>
    <w:p>
      <w:pPr>
        <w:pStyle w:val="Heading3"/>
        <w:spacing w:after="100" w:before="180"/>
      </w:pPr>
      <w:r>
        <w:rPr>
          <w:rFonts w:ascii="Open Sans Light" w:cs="Open Sans Light" w:eastAsia="Open Sans Light" w:hAnsi="Open Sans Light"/>
          <w:b/>
          <w:bCs/>
          <w:color w:val="0F4761"/>
          <w:sz w:val="24"/>
          <w:szCs w:val="24"/>
        </w:rPr>
        <w:t xml:space="preserve">4.5.3 Sending rules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British English throughout; program and programs, not programme and programmes.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No em dashes; use commas, colons, parentheses, or full stops instead.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No AI-isms: no revolutionary, transformative, seamlessly, cutting-edge, leverage (as verb), best-in-class, or synergies.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Ownership references use the approved formulations: Direct Transact, our co-founding owner, and Paycorp, our co-founding owner. Banned phrases per Core Messaging Section 10 must not appear.</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Each email under 120 words. Subject line under 60 characters. One CTA per email.</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No two contacts at the same company receive identical text. Claude varies the opening, the pillar reference, and the proof point across contacts.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Sending window: 08:00 to 17:00 local time in the target country. Sends outside window queue to the next available slot.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Unsubscribe link or plain-text reply instruction in the footer of every email; TXN's registered business address as the reachable postal address.</w:t>
      </w:r>
    </w:p>
    <w:p>
      <w:pPr>
        <w:pStyle w:val="Heading2"/>
        <w:spacing w:after="120" w:before="240"/>
      </w:pPr>
      <w:r>
        <w:rPr>
          <w:rFonts w:ascii="Open Sans Light" w:cs="Open Sans Light" w:eastAsia="Open Sans Light" w:hAnsi="Open Sans Light"/>
          <w:b/>
          <w:bCs/>
          <w:color w:val="2A2069"/>
          <w:sz w:val="28"/>
          <w:szCs w:val="28"/>
        </w:rPr>
        <w:t xml:space="preserve">4.6 Stage 6: Reply triage and follow-up</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Every reply is triaged within one business day. Positive replies escalate to the Owner immediately. Objections receive a drafted response for Owner review. Not-interested and unsubscribe replies write to the Suppression List. Bounces flag the Account for re-enrichment.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Claude triages replies; Owner acts on positives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Same-day for positive replies; within one business day for objections and negative replies; batched for unsubscribes and bounces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Inbound reply text; Contact record; sequence context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Classified reply (Positive / Objection / Not-Now / Not-Interested / Unsubscribe / Bounce); recommended next action; draft response where appropriate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Tools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Phase A: owner forwards or pastes reply to Claude; Claude classifies and drafts. Phase B: sending platform API for inbound; Claude for classification and draft</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Update Contact Reply Status; log Activity with reply text and classification; on Unsubscribe or Not-Interested add to Suppression List; on Bounce mark email as invalid and flag Account for re-enrichment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Reply is classified and next action is queued</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4.6.1 Reply classification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Positive: contact wants to talk. Any expression of interest, question about the platform, or explicit meeting request. Escalation to Owner same-day.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Objection: contact is engaged but has a concern (timing, budget, incumbent contract, competitor preference, technical fit). Claude drafts a response tied to the objection type, Owner reviews before send.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Not-Now: contact is not opposed but is not available. Automated nurture cadence enters (a lighter-touch monthly touch for six months).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Not-Interested: explicit rejection. Suppression list, no further contact from this contact for 12 months.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Unsubscribe: explicit unsubscribe request. Suppression list permanent. Suppress the contact's domain if the language suggests company-wide preference.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Bounce: email delivery failed. Mark email invalid, flag Account for re-enrichment, remove contact from active sequences.</w:t>
      </w:r>
    </w:p>
    <w:p>
      <w:pPr>
        <w:pStyle w:val="Heading2"/>
        <w:spacing w:after="120" w:before="240"/>
      </w:pPr>
      <w:r>
        <w:rPr>
          <w:rFonts w:ascii="Open Sans Light" w:cs="Open Sans Light" w:eastAsia="Open Sans Light" w:hAnsi="Open Sans Light"/>
          <w:b/>
          <w:bCs/>
          <w:color w:val="2A2069"/>
          <w:sz w:val="28"/>
          <w:szCs w:val="28"/>
        </w:rPr>
        <w:t xml:space="preserve">4.7 Stage 7: Meeting booked and handoff to Sales Motion</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On positive reply, the Owner schedules a discovery meeting in Freshsales, and Claude drafts a pre-meeting brief. The Account moves from Prospect to Discovery Scheduled. Prospecting is complete; the account enters the Sales Motion defined in TXN_GTM_Sales_Process_and_Stages_v0.3.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Attribute</w:t>
            </w:r>
          </w:p>
        </w:tc>
        <w:tc>
          <w:tcPr>
            <w:tcW w:type="dxa" w:w="7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Cadence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Same-day on positive reply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Inputs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Positive reply; Contact and Account records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Outputs</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Scheduled discovery meeting in Freshsales linked to Account and Contact; pre-meeting brief drafted by Claude covering account context, personalisation source, and message pillar the contact responded to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Tools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calendar integration; scheduling link (Calendly or equivalent) if used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write</w:t>
            </w:r>
          </w:p>
        </w:tc>
        <w:tc>
          <w:tcPr>
            <w:tcW w:type="dxa" w:w="7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Create Meeting record. Update Account Stage from Prospect to Discovery Scheduled. Update Contact status to Engaged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Exit criterion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Meeting exists in Freshsales with a confirmed time and attendees; pre-meeting brief exists; prospecting motion is complete. Handoff to the Sales Motion process defined in TXN_GTM_Sales_Process_and_Stages_v0.3</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pre-meeting brief covers: what the Account is, who the Contact is and their persona archetype, the personalisation source used in the sequence, the pillar the Contact responded to, the recent trigger events that indicate this is a Right Time conversation, and the relevant sub-section of Core Messaging Section 12 for competitor context if an incumbent was named in the reply. The brief is written to a Freshsales Note against the Meeting record.</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5. Freshsales as system of record</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Freshsales holds the truth for every account, contact, activity, and meeting. Every stage in Section 4 writes to Freshsales on entry, exit, or state change. The Qualification Matrix workbook remains the scoring engine and the staging register for the scoring formulas; Freshsales is the operational system that Owner uses daily.</w:t>
      </w:r>
    </w:p>
    <w:p>
      <w:pPr>
        <w:pStyle w:val="Heading3"/>
        <w:spacing w:after="100" w:before="180"/>
      </w:pPr>
      <w:r>
        <w:rPr>
          <w:rFonts w:ascii="Open Sans Light" w:cs="Open Sans Light" w:eastAsia="Open Sans Light" w:hAnsi="Open Sans Light"/>
          <w:b/>
          <w:bCs/>
          <w:color w:val="0F4761"/>
          <w:sz w:val="24"/>
          <w:szCs w:val="24"/>
        </w:rPr>
        <w:t xml:space="preserve">5.1 Entity model</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Account: one record per company. Fields defined in Stage 1. Stages: Prospect, Discovery Scheduled, In Discovery, Qualified, Opportunity, Customer, Dormant, Disqualified.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Contact: one record per named human. Fields defined in Stage 3. Linked to Account by foreign key.</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Activity: one record per outbound send, inbound reply, or manual interaction. Linked to Contact.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Meeting: one record per scheduled or completed meeting. Linked to Account and one or more Contacts.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Suppression List: separate table maintained in Freshsales; reconciled with sending platform nightly at Phase B.</w:t>
      </w:r>
    </w:p>
    <w:p>
      <w:pPr>
        <w:pStyle w:val="Heading3"/>
        <w:spacing w:after="100" w:before="180"/>
      </w:pPr>
      <w:r>
        <w:rPr>
          <w:rFonts w:ascii="Open Sans Light" w:cs="Open Sans Light" w:eastAsia="Open Sans Light" w:hAnsi="Open Sans Light"/>
          <w:b/>
          <w:bCs/>
          <w:color w:val="0F4761"/>
          <w:sz w:val="24"/>
          <w:szCs w:val="24"/>
        </w:rPr>
        <w:t xml:space="preserve">5.2 Custom fields required</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Freshsales does not carry all the fields needed by this process out of the box. The following custom fields need to be added during Phase A configuration (Prerequisite P1 in Section 10).</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Account: Tier (P1 / P2 / P3 / Disqualified), Score, Scoring Rationale, Gating Flags, Last Scored Date, Discovery Source, Incumbent Processor, BIN Sponsor, Regulatory Status, Trigger Notes.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Contact: Role Category (Champion / Economic Buyer / Primary User / Head of Payments / Risk and Compliance / Other), Email Verified Status, Sequence Status, Reply Status, Personalisation Note, Target Message Pillar.</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Activity: Sequence Stage (Day 1 / Day 4 / Day 8 / Day 15 / Day 24 / LinkedIn / Inbound), Send Timestamp, Reply Timestamp, Classification.</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1"/>
        <w:spacing w:after="160" w:before="320"/>
      </w:pPr>
      <w:r>
        <w:rPr>
          <w:rFonts w:ascii="Open Sans Light" w:cs="Open Sans Light" w:eastAsia="Open Sans Light" w:hAnsi="Open Sans Light"/>
          <w:b/>
          <w:bCs/>
          <w:color w:val="2A2069"/>
          <w:sz w:val="36"/>
          <w:szCs w:val="36"/>
        </w:rPr>
        <w:t xml:space="preserve">6. Phased implementation approach</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process is implemented in two phases. Phase A runs the entire seven-stage flow manually with Claude, the Owner, and existing tools. The purpose of Phase A is to validate that the process actually produces the volume of qualified opportunities expected, and to surface any tuning needed on the ICP filter, the messaging, or the sequence design. Phase B introduces automation for the stages that become time-critical at higher volume, and only activates if Phase A output warrants the tooling investment.</w:t>
      </w:r>
    </w:p>
    <w:p>
      <w:pPr>
        <w:pStyle w:val="Heading2"/>
        <w:spacing w:after="120" w:before="240"/>
      </w:pPr>
      <w:r>
        <w:rPr>
          <w:rFonts w:ascii="Open Sans Light" w:cs="Open Sans Light" w:eastAsia="Open Sans Light" w:hAnsi="Open Sans Light"/>
          <w:b/>
          <w:bCs/>
          <w:color w:val="2A2069"/>
          <w:sz w:val="28"/>
          <w:szCs w:val="28"/>
        </w:rPr>
        <w:t xml:space="preserve">6.1 Phase A: manual validation</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Phase A is designed for the launch-phase reality: low volume, high personalisation, single-owner operation, and no critical dependency on paid tooling beyond the Owner's existing Sales Navigator and Freshsales subscriptions. Its objective is to prove that the ICP filter and messaging produce booked discovery meetings at a rate that justifies scaling. If it does, Phase B follows. If it does not, the diagnosis is easier because the tooling has not obscured the underlying signal.</w:t>
      </w:r>
    </w:p>
    <w:p>
      <w:pPr>
        <w:pStyle w:val="Heading3"/>
        <w:spacing w:after="100" w:before="180"/>
      </w:pPr>
      <w:r>
        <w:rPr>
          <w:rFonts w:ascii="Open Sans Light" w:cs="Open Sans Light" w:eastAsia="Open Sans Light" w:hAnsi="Open Sans Light"/>
          <w:b/>
          <w:bCs/>
          <w:color w:val="0F4761"/>
          <w:sz w:val="24"/>
          <w:szCs w:val="24"/>
        </w:rPr>
        <w:t xml:space="preserve">6.1.1 Phase A activities by week</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plan below covers the first six weeks and is designed to have the first sequenced sends in market by end of Week 6.</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26"/>
      </w:tblGrid>
      <w:tr>
        <w:tc>
          <w:tcPr>
            <w:tcW w:type="dxa" w:w="15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Week</w:t>
            </w:r>
          </w:p>
        </w:tc>
        <w:tc>
          <w:tcPr>
            <w:tcW w:type="dxa" w:w="4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Activities</w:t>
            </w:r>
          </w:p>
        </w:tc>
        <w:tc>
          <w:tcPr>
            <w:tcW w:type="dxa" w:w="33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Deliverables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1 (this week)</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configuration (Prerequisite P4 below): custom fields, pipeline stages, suppression list, meeting linking. Populate persona documents with pain-signal hooks (Prerequisite P5). Populate Qualification Matrix with 5 to 10 seed accounts from MVP markets to validate scoring formulas (Prerequisite P8).</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configured for the process. Persona docs at v0.2 with real pain hooks. Qualification Matrix seeded and validated.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2</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Run Stage 1 discovery for one full month equivalent. Claude scans primary and secondary sources including LinkedIn Sales Navigator (owner-driven), regulatory registers, competitor case study pages, Sifted / Finextra / Dealroom. Compile candidate account list.</w:t>
            </w:r>
          </w:p>
        </w:tc>
        <w:tc>
          <w:tcPr>
            <w:tcW w:type="dxa" w:w="3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Candidate list of 40 to 60 ICP-fit accounts across MVP markets, with source and initial signal notes for each.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Run Stage 2 scoring and tiering for the candidate list. Claude drafts scores; Owner approves final tiers. Write approved accounts to Freshsales.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15 to 25 Priority 1 and 2 accounts confirmed in Freshsales, ready for contact discovery.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4</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Run Stage 3 contact discovery for Priority 1 accounts (target 2 contacts per account) using owner-driven Sales Navigator. Claude structures results, deduplicates, classifies role fit. Verify emails via free MX check plus manual sanity check.</w:t>
            </w:r>
          </w:p>
        </w:tc>
        <w:tc>
          <w:tcPr>
            <w:tcW w:type="dxa" w:w="3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20 to 40 verified contacts across Priority 1 accounts, in Freshsales with persona classification.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Stage 4 personalisation research per contact. Stage 5 sequence drafting per contact (Claude drafts full 5-touch sequence). Owner reviews and adjusts.</w:t>
            </w:r>
          </w:p>
        </w:tc>
        <w:tc>
          <w:tcPr>
            <w:tcW w:type="dxa" w:w="3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Personalisation snippets and full sequences drafted for the first cohort. Ready to send.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Week 6</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sends Day 1 of sequences for the first cohort (5 to 15 sends per day, spaced across Tuesday to Thursday). Claude sits ready for reply triage. Continue Stage 1 discovery in parallel to keep the funnel filling.</w:t>
            </w:r>
          </w:p>
        </w:tc>
        <w:tc>
          <w:tcPr>
            <w:tcW w:type="dxa" w:w="3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First cohort in market. Reply triage active. Live process metrics starting to accumulate.</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6.1.2 Phase A exit criteria</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Phase A is complete when three conditions hold together for at least four consecutive weeks: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Stage 1 discovery is producing at least 15 new Priority 1 or 2 accounts per month on average.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Stage 5 sending is running at 15 to 30 sends per week with reply rate above 5%.</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Stage 7 is producing at least 2 booked discovery meetings per month.</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If these conditions hold, Phase B tooling investment is justified. If they do not, the diagnosis focuses on ICP filter, messaging, and personalisation before adding tooling that would only amplify a broken signal.</w:t>
      </w:r>
    </w:p>
    <w:p>
      <w:pPr>
        <w:pStyle w:val="Heading2"/>
        <w:spacing w:after="120" w:before="240"/>
      </w:pPr>
      <w:r>
        <w:rPr>
          <w:rFonts w:ascii="Open Sans Light" w:cs="Open Sans Light" w:eastAsia="Open Sans Light" w:hAnsi="Open Sans Light"/>
          <w:b/>
          <w:bCs/>
          <w:color w:val="2A2069"/>
          <w:sz w:val="28"/>
          <w:szCs w:val="28"/>
        </w:rPr>
        <w:t xml:space="preserve">6.2 Phase B: automation and scale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Phase B is triggered by the criteria in Section 6.3, not by a calendar date. It introduces automation for the stages that become time-critical at higher volume: automated contact discovery via Apollo or Cognism, automated sequencing via Smartlead or Instantly on a dedicated warmed sending domain, automated email verification, and (optionally) paid real-time trigger detection. The seven-stage flow does not change; the tools that execute each stage change.</w:t>
      </w:r>
    </w:p>
    <w:p>
      <w:pPr>
        <w:pStyle w:val="Heading2"/>
        <w:spacing w:after="120" w:before="240"/>
      </w:pPr>
      <w:r>
        <w:rPr>
          <w:rFonts w:ascii="Open Sans Light" w:cs="Open Sans Light" w:eastAsia="Open Sans Light" w:hAnsi="Open Sans Light"/>
          <w:b/>
          <w:bCs/>
          <w:color w:val="2A2069"/>
          <w:sz w:val="28"/>
          <w:szCs w:val="28"/>
        </w:rPr>
        <w:t xml:space="preserve">6.3 Phase transition criteria</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Phase B activates on any of the criteria below, evaluated monthly by the Owner. Multiple criteria hitting simultaneously indicate urgency; a single criterion hitting is sufficient to start the Phase B workstream for that specific tooling area.</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Criterion</w:t>
            </w:r>
          </w:p>
        </w:tc>
        <w:tc>
          <w:tcPr>
            <w:tcW w:type="dxa" w:w="3313"/>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Phase A holds</w:t>
            </w:r>
          </w:p>
        </w:tc>
        <w:tc>
          <w:tcPr>
            <w:tcW w:type="dxa" w:w="3313"/>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Trigger Phase 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Monthly send volume</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Under 40 sends per week</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40 or more sends per week sustained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Sequence follow-ups</w:t>
            </w:r>
          </w:p>
        </w:tc>
        <w:tc>
          <w:tcPr>
            <w:tcW w:type="dxa" w:w="33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Fully manual, owner clicks send each time</w:t>
            </w:r>
          </w:p>
        </w:tc>
        <w:tc>
          <w:tcPr>
            <w:tcW w:type="dxa" w:w="33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Manual follow-ups become a time sink; owner is spending more than 1 hour per day on sending mechanics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discovery volume</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Under 30 new contacts per month, manual LinkedIn Sales Navigator handles it</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Over 30 new contacts per month, manual discovery starts missing candidates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Deliverability signals</w:t>
            </w:r>
          </w:p>
        </w:tc>
        <w:tc>
          <w:tcPr>
            <w:tcW w:type="dxa" w:w="33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Reply rate over 8%, bounce rate under 2%, no spam complaints</w:t>
            </w:r>
          </w:p>
        </w:tc>
        <w:tc>
          <w:tcPr>
            <w:tcW w:type="dxa" w:w="331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Bounce rate above 3% or any spam complaint; suggests separate sending domain needed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capacity</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running the motion alongside other duties without difficulty</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is capacity-blocked; hiring an SDR or delegating requires more automation</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7. Recommended tooling stack</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stack below is split by phase. Phase A relies on existing subscriptions (Freshsales, LinkedIn Sales Navigator, owner mailbox) plus free sources; Phase B introduces paid category tools only where the transition criteria in Section 6.3 justify them.</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00"/>
        <w:gridCol w:w="2526"/>
      </w:tblGrid>
      <w:tr>
        <w:tc>
          <w:tcPr>
            <w:tcW w:type="dxa" w:w="16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Category</w:t>
            </w:r>
          </w:p>
        </w:tc>
        <w:tc>
          <w:tcPr>
            <w:tcW w:type="dxa" w:w="2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Purpose</w:t>
            </w:r>
          </w:p>
        </w:tc>
        <w:tc>
          <w:tcPr>
            <w:tcW w:type="dxa" w:w="25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Phase A option</w:t>
            </w:r>
          </w:p>
        </w:tc>
        <w:tc>
          <w:tcPr>
            <w:tcW w:type="dxa" w:w="25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Phase B option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CRM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System of record for accounts, contacts, activities, meetings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(already selected)</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B2B data (accounts)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Company discovery signals for ICP-fit accounts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Regulatory registers (free); Dealroom.co free tier; Crunchbase; Sifted; competitor case studies; owner-driven LinkedIn Sales Navigator</w:t>
            </w:r>
          </w:p>
        </w:tc>
        <w:tc>
          <w:tcPr>
            <w:tcW w:type="dxa" w:w="2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Apollo / Cognism / Clay (evaluate if Phase A volume warrants)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B2B data (contacts)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Named contact discovery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Owner-driven LinkedIn Sales Navigator plus Claude for structuring</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Apollo or Cognism for automated discovery at scale</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Email verification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Confirm email deliverability before send</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Free MX check plus manual sanity check on inferred emails</w:t>
            </w:r>
          </w:p>
        </w:tc>
        <w:tc>
          <w:tcPr>
            <w:tcW w:type="dxa" w:w="2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Bouncer, NeverBounce, or ZeroBounce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Personalisation research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LinkedIn post surfacing, news, podcast signals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captures via Sales Navigator plus news search; Claude synthesises</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Clay for orchestrated enrichment; keep LinkedIn Sales Navigator as the base</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Sending platform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Send emails, log activity</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Owner sends manually from ianj@txn.global; logs to Freshsales after send</w:t>
            </w:r>
          </w:p>
        </w:tc>
        <w:tc>
          <w:tcPr>
            <w:tcW w:type="dxa" w:w="2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Smartlead, Instantly, or Apollo (bundles data plus sending); dedicated sending domain plus warmed inboxes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Sending domain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Domain used for outbound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txn.global (owner mailbox) at Phase A volumes</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Dedicated lookalike (txn-connect.com, gettxn.com, join-txn.com) with SPF / DKIM / DMARC and 4 to 6 weeks warm-up</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Trigger detection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Real-time signal on new fundings, executive moves, incumbent events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Monthly Claude scan of web search plus RSS-equivalent via free feeds; Google Alerts for the top 20 Priority 1 accounts</w:t>
            </w:r>
          </w:p>
        </w:tc>
        <w:tc>
          <w:tcPr>
            <w:tcW w:type="dxa" w:w="25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Feedly, Owler, or Crayon (evaluate only if the monthly scan misses too many events)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Scheduling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Book discovery meetings on positive reply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Calendar or Calendly</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Same</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critical-path tooling for Phase A is Freshsales configuration (Prerequisite P1). Everything else in Phase A uses tools that already exist or are free. Phase B tooling decisions are made against the transition criteria at the time they trigger, so specific tool selection can wait.</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8. Compliance and deliverability</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Outbound to EEA and UK targets is governed by GDPR (legitimate interest basis for B2B in most jurisdictions), PECR (UK specific), and country-specific rules. Non-compliance risks both regulatory action and, at Phase B, sending domain damage. The rules below are the baseline; compliance boilerplate for the footer is developed in Prerequisite P5.</w:t>
      </w:r>
    </w:p>
    <w:p>
      <w:pPr>
        <w:pStyle w:val="Heading3"/>
        <w:spacing w:after="100" w:before="180"/>
      </w:pPr>
      <w:r>
        <w:rPr>
          <w:rFonts w:ascii="Open Sans Light" w:cs="Open Sans Light" w:eastAsia="Open Sans Light" w:hAnsi="Open Sans Light"/>
          <w:b/>
          <w:bCs/>
          <w:color w:val="0F4761"/>
          <w:sz w:val="24"/>
          <w:szCs w:val="24"/>
        </w:rPr>
        <w:t xml:space="preserve">8.1 Sending domain and infrastructure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Phase A: send from ianj@txn.global. Volume kept under 40 sends per week. No automated sequences, no tracking pixels, no separate sending domain.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Phase B (triggered by Section 6.3): register a dedicated sending domain that is not txn.global; configure SPF, DKIM, and DMARC; provision 3 to 5 mailboxes; warm each for 4 to 6 weeks before serious volume; cap volume per inbox at 30 to 50 sends per business day; rotate inboxes across contacts.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At all volumes: never send bulk cold outbound from a customer, partner, or investor communication mailbox. txn.global stays clean at Phase B by moving cold outbound to the dedicated domain.</w:t>
      </w:r>
    </w:p>
    <w:p>
      <w:pPr>
        <w:pStyle w:val="Heading3"/>
        <w:spacing w:after="100" w:before="180"/>
      </w:pPr>
      <w:r>
        <w:rPr>
          <w:rFonts w:ascii="Open Sans Light" w:cs="Open Sans Light" w:eastAsia="Open Sans Light" w:hAnsi="Open Sans Light"/>
          <w:b/>
          <w:bCs/>
          <w:color w:val="0F4761"/>
          <w:sz w:val="24"/>
          <w:szCs w:val="24"/>
        </w:rPr>
        <w:t xml:space="preserve">8.2 GDPR (EEA)</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Legitimate interest is the lawful basis. Justification: the contact holds a role for which TXN's platform is directly relevant, and outreach is proportionate to the professional context.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Documentable justification per ICP segment (digital banking, expense management, lending, FX, BaaS). Store the justification in the compliance folder alongside the process.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Every email carries a clear unsubscribe mechanism (link or plain-text reply instruction).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Every unsubscribe is honoured within 48 hours. Suppression list is permanent.</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Contact right-to-erasure requests handled within 30 days and logged in Freshsales.</w:t>
      </w:r>
    </w:p>
    <w:p>
      <w:pPr>
        <w:pStyle w:val="Heading3"/>
        <w:spacing w:after="100" w:before="180"/>
      </w:pPr>
      <w:r>
        <w:rPr>
          <w:rFonts w:ascii="Open Sans Light" w:cs="Open Sans Light" w:eastAsia="Open Sans Light" w:hAnsi="Open Sans Light"/>
          <w:b/>
          <w:bCs/>
          <w:color w:val="0F4761"/>
          <w:sz w:val="24"/>
          <w:szCs w:val="24"/>
        </w:rPr>
        <w:t xml:space="preserve">8.3 UK PECR</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Corporate subscribers (companies with named contacts) are permitted under legitimate interest. Sole traders and unincorporated partnerships are consent-based; exclude these from outbound.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Sender identification (TXN's registered business address) in every footer.</w:t>
      </w:r>
    </w:p>
    <w:p>
      <w:pPr>
        <w:pStyle w:val="Heading3"/>
        <w:spacing w:after="100" w:before="180"/>
      </w:pPr>
      <w:r>
        <w:rPr>
          <w:rFonts w:ascii="Open Sans Light" w:cs="Open Sans Light" w:eastAsia="Open Sans Light" w:hAnsi="Open Sans Light"/>
          <w:b/>
          <w:bCs/>
          <w:color w:val="0F4761"/>
          <w:sz w:val="24"/>
          <w:szCs w:val="24"/>
        </w:rPr>
        <w:t xml:space="preserve">8.4 Country-specific</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Germany: consent-based cold email under UWG. Excluded from proactive outbound. Reach via LinkedIn only, or wait for inbound.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Poland, Czech Republic, Romania, Hungary (MVP markets): permitted under legitimate interest with the standard footer boilerplate.</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France: permitted under legitimate interest, but soft-opt-in convention is watched. Use the same standard.</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Netherlands: permitted; opt-out honoured.</w:t>
      </w:r>
    </w:p>
    <w:p>
      <w:pPr>
        <w:pStyle w:val="Heading3"/>
        <w:spacing w:after="100" w:before="180"/>
      </w:pPr>
      <w:r>
        <w:rPr>
          <w:rFonts w:ascii="Open Sans Light" w:cs="Open Sans Light" w:eastAsia="Open Sans Light" w:hAnsi="Open Sans Light"/>
          <w:b/>
          <w:bCs/>
          <w:color w:val="0F4761"/>
          <w:sz w:val="24"/>
          <w:szCs w:val="24"/>
        </w:rPr>
        <w:t xml:space="preserve">8.5 Footer address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Every outbound email carries a footer with TXN's registered business address, an unsubscribe mechanism, and a brief legitimate-interest statement. Address is TXN Global's registered address, not Direct Transact's or Paycorp's: TXN is the entity making the offer, and routing sender identity through a co-founding owner's address serves no purpose. The exact boilerplate is drafted in Prerequisite P5.</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9. Metrics and iteration</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process is measured stage by stage. Each stage has one primary metric with a target range and a watch signal. Weekly review inside the Owner ops rhythm; monthly review at the process level to spot compounding shifts. Metrics apply to both phases; the interpretation of deliverability changes between manual (Phase A) and automated (Phase B) sending.</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400"/>
        <w:gridCol w:w="2326"/>
      </w:tblGrid>
      <w:tr>
        <w:tc>
          <w:tcPr>
            <w:tcW w:type="dxa" w:w="1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Stage</w:t>
            </w:r>
          </w:p>
        </w:tc>
        <w:tc>
          <w:tcPr>
            <w:tcW w:type="dxa" w:w="29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Metric</w:t>
            </w:r>
          </w:p>
        </w:tc>
        <w:tc>
          <w:tcPr>
            <w:tcW w:type="dxa" w:w="2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Target range</w:t>
            </w:r>
          </w:p>
        </w:tc>
        <w:tc>
          <w:tcPr>
            <w:tcW w:type="dxa" w:w="23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Watch signal</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 Discovery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New accounts added per month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15 to 30 in first 90 days</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10 means source coverage is thin; above 40 means qualification is too loose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Qualification</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Pass rate to Tier 1 or 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25% to 40% of new accounts</w:t>
            </w:r>
          </w:p>
        </w:tc>
        <w:tc>
          <w:tcPr>
            <w:tcW w:type="dxa" w:w="2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20% means ICP filter is too broad; above 50% means it is too generous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 Contact discovery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Verified contacts per Tier 1 account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At least 2</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Fewer than 2 means Sales Navigator coverage or classification is under-serving</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4: Personalisation</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 of contacts with a personalisation snippet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100% before send</w:t>
            </w:r>
          </w:p>
        </w:tc>
        <w:tc>
          <w:tcPr>
            <w:tcW w:type="dxa" w:w="2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Any send without personalisation breaks the process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5: Sending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Deliverability (inbox placement)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Above 90% in Phase A given manual sending and low volume</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85% means content quality, list hygiene, or (in Phase B) sending domain reputation needs work</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5: Sending</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Reply rate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5% to 10%</w:t>
            </w:r>
          </w:p>
        </w:tc>
        <w:tc>
          <w:tcPr>
            <w:tcW w:type="dxa" w:w="2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3% means the offer or targeting is off; above 12% is worth studying to replicate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6: Reply triage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Positive reply rate (as % of sends)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0.5% to 2%</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0.5% means the offer is not resonating; above 2% is worth propagating</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7: Meeting booked</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Positive reply to meeting conversion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Above 60%</w:t>
            </w:r>
          </w:p>
        </w:tc>
        <w:tc>
          <w:tcPr>
            <w:tcW w:type="dxa" w:w="2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Below 50% means the scheduling or follow-up step is losing intent</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single most important metric in Phase A is reply rate (Stage 5). A high reply rate at low volume is the strongest possible signal that the ICP filter, personalisation, and messaging are working, and it justifies Phase B tooling investment when the transition criteria hit. A low reply rate at low volume is a signal that adding automation will not help; the fix is upstream in ICP, personas, or messaging.</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10. Prerequisites and enabling workstreams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prerequisites are split by phase. Phase A prerequisites gate the ability to start; Phase B prerequisites activate on the transition criteria in Section 6.3.</w:t>
      </w:r>
    </w:p>
    <w:p>
      <w:pPr>
        <w:pStyle w:val="Heading3"/>
        <w:spacing w:after="100" w:before="180"/>
      </w:pPr>
      <w:r>
        <w:rPr>
          <w:rFonts w:ascii="Open Sans Light" w:cs="Open Sans Light" w:eastAsia="Open Sans Light" w:hAnsi="Open Sans Light"/>
          <w:b/>
          <w:bCs/>
          <w:color w:val="0F4761"/>
          <w:sz w:val="24"/>
          <w:szCs w:val="24"/>
        </w:rPr>
        <w:t xml:space="preserve">10.1 Phase A prerequisites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Seven workstreams to enable Phase A. Ordered by dependency; P1 is the critical path because Freshsales must exist before any account or contact is written.</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1900"/>
        <w:gridCol w:w="2026"/>
      </w:tblGrid>
      <w:tr>
        <w:tc>
          <w:tcPr>
            <w:tcW w:type="dxa" w:w="5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t>
            </w:r>
          </w:p>
        </w:tc>
        <w:tc>
          <w:tcPr>
            <w:tcW w:type="dxa" w:w="46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Workstream</w:t>
            </w:r>
          </w:p>
        </w:tc>
        <w:tc>
          <w:tcPr>
            <w:tcW w:type="dxa" w:w="19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Estimated effort</w:t>
            </w:r>
          </w:p>
        </w:tc>
        <w:tc>
          <w:tcPr>
            <w:tcW w:type="dxa" w:w="20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Status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Freshsales instrumentation: custom fields per Section 5.2, pipeline stages, reply status values, suppression list, meeting linking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 to 5 days configuration</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Not started</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P2</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Populate persona documents in ICP_&amp;_Personas with pain-signal hooks and CTA anchors (Champion, Economic Buyer, Primary User)</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to 3 focused sessions</w:t>
            </w:r>
          </w:p>
        </w:tc>
        <w:tc>
          <w:tcPr>
            <w:tcW w:type="dxa" w:w="2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v0.1 exists, needs content pass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P3</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Draft persona-specific sequence templates (5 emails each) for the three primary personas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to 3 days for drafting and review</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Not started</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P4</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Define suppression list source of truth in Freshsales; document maintenance rules</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 day configuration</w:t>
            </w:r>
          </w:p>
        </w:tc>
        <w:tc>
          <w:tcPr>
            <w:tcW w:type="dxa" w:w="2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Not started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P5</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GDPR footer boilerplate with TXN registered business address; documentable legitimate interest justification per ICP segment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 to 2 days drafting and legal review</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Not started</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P6</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Confirm LinkedIn Sales Navigator subscription is active for the owner</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Same day</w:t>
            </w:r>
          </w:p>
        </w:tc>
        <w:tc>
          <w:tcPr>
            <w:tcW w:type="dxa" w:w="2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Existing subscription assumed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P7</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Seed Qualification Matrix with 5 to 10 accounts from MVP markets to validate scoring formulas end to end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days seeding and validation</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Workbook exists at v0.2</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3"/>
        <w:spacing w:after="100" w:before="180"/>
      </w:pPr>
      <w:r>
        <w:rPr>
          <w:rFonts w:ascii="Open Sans Light" w:cs="Open Sans Light" w:eastAsia="Open Sans Light" w:hAnsi="Open Sans Light"/>
          <w:b/>
          <w:bCs/>
          <w:color w:val="0F4761"/>
          <w:sz w:val="24"/>
          <w:szCs w:val="24"/>
        </w:rPr>
        <w:t xml:space="preserve">10.2 Phase B prerequisites (deferred, triggered by Section 6.3)</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Five workstreams for Phase B. None of these are critical-path for the initial launch; each activates on its specific transition trigger.</w:t>
      </w:r>
    </w:p>
    <w:p>
      <w:pPr>
        <w:spacing w:after="60" w:before="60"/>
      </w:pPr>
      <w:r>
        <w:rPr>
          <w:rFonts w:ascii="Open Sans Light" w:cs="Open Sans Light" w:eastAsia="Open Sans Light" w:hAnsi="Open Sans Light"/>
          <w:b w:val="false"/>
          <w:bCs w:val="false"/>
          <w:i w:val="false"/>
          <w:iCs w:val="false"/>
          <w:color w:val="222222"/>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200"/>
        <w:gridCol w:w="1926"/>
      </w:tblGrid>
      <w:tr>
        <w:tc>
          <w:tcPr>
            <w:tcW w:type="dxa" w:w="5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t>
            </w:r>
          </w:p>
        </w:tc>
        <w:tc>
          <w:tcPr>
            <w:tcW w:type="dxa" w:w="34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Workstream</w:t>
            </w:r>
          </w:p>
        </w:tc>
        <w:tc>
          <w:tcPr>
            <w:tcW w:type="dxa" w:w="3200"/>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Trigger to activate</w:t>
            </w:r>
          </w:p>
        </w:tc>
        <w:tc>
          <w:tcPr>
            <w:tcW w:type="dxa" w:w="1926"/>
            <w:tcBorders>
              <w:top w:val="single" w:color="BFBFBF" w:sz="4"/>
              <w:left w:val="single" w:color="BFBFBF" w:sz="4"/>
              <w:bottom w:val="single" w:color="BFBFBF" w:sz="4"/>
              <w:right w:val="single" w:color="BFBFBF" w:sz="4"/>
            </w:tcBorders>
            <w:shd w:fill="003865" w:val="clear"/>
            <w:tcMar>
              <w:top w:type="dxa" w:w="80"/>
              <w:left w:type="dxa" w:w="120"/>
              <w:bottom w:type="dxa" w:w="80"/>
              <w:right w:type="dxa" w:w="120"/>
            </w:tcMar>
          </w:tcPr>
          <w:p>
            <w:pPr>
              <w:jc w:val="left"/>
            </w:pPr>
            <w:r>
              <w:rPr>
                <w:rFonts w:ascii="Open Sans Light" w:cs="Open Sans Light" w:eastAsia="Open Sans Light" w:hAnsi="Open Sans Light"/>
                <w:b/>
                <w:bCs/>
                <w:color w:val="FFFFFF"/>
                <w:sz w:val="20"/>
                <w:szCs w:val="20"/>
              </w:rPr>
              <w:t xml:space="preserve">Estimated effort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P8</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Register dedicated sending domain (lookalike); configure SPF / DKIM / DMARC; provision 3 to 5 mailboxes; begin warm-up</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Send volume approaching 40 per week sustained; or bounce rate above 3%</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 day setup, 4 to 6 weeks warm-up</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P9</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Evaluate and contract B2B data provider (Apollo, Cognism, or Clay)</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discovery volume exceeds 30 new contacts per month, or Sales Navigator coverage gaps identified</w:t>
            </w:r>
          </w:p>
        </w:tc>
        <w:tc>
          <w:tcPr>
            <w:tcW w:type="dxa" w:w="19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3 to 5 days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P10</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Evaluate and contract sending platform (Smartlead, Instantly, or Apollo)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Manual follow-up time exceeds 1 hour per day; owner capacity constrained</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to 3 days</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P11</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Evaluate real-time trigger detection tooling (Feedly, Owler, Crayon)</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Monthly scan repeatedly misses trigger events worth acting on same-day</w:t>
            </w:r>
          </w:p>
        </w:tc>
        <w:tc>
          <w:tcPr>
            <w:tcW w:type="dxa" w:w="19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2 days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P12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Add email verification tooling (Bouncer, NeverBounce)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Contact discovery moves to automated pipeline via Apollo or Cognism</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Open Sans Light" w:cs="Open Sans Light" w:eastAsia="Open Sans Light" w:hAnsi="Open Sans Light"/>
                <w:b w:val="false"/>
                <w:bCs w:val="false"/>
                <w:color w:val="222222"/>
                <w:sz w:val="20"/>
                <w:szCs w:val="20"/>
              </w:rPr>
              <w:t xml:space="preserve">1 day integration</w:t>
            </w:r>
          </w:p>
        </w:tc>
      </w:tr>
    </w:tbl>
    <w:p>
      <w:pPr>
        <w:spacing w:after="60" w:before="60"/>
      </w:pPr>
      <w:r>
        <w:rPr>
          <w:rFonts w:ascii="Open Sans Light" w:cs="Open Sans Light" w:eastAsia="Open Sans Light" w:hAnsi="Open Sans Light"/>
          <w:b w:val="false"/>
          <w:bCs w:val="false"/>
          <w:i w:val="false"/>
          <w:iCs w:val="false"/>
          <w:color w:val="222222"/>
          <w:sz w:val="22"/>
          <w:szCs w:val="22"/>
        </w:rPr>
        <w:t xml:space="preserve"> </w:t>
      </w:r>
    </w:p>
    <w:p>
      <w:pPr>
        <w:pStyle w:val="Heading2"/>
        <w:spacing w:after="120" w:before="240"/>
      </w:pPr>
      <w:r>
        <w:rPr>
          <w:rFonts w:ascii="Open Sans Light" w:cs="Open Sans Light" w:eastAsia="Open Sans Light" w:hAnsi="Open Sans Light"/>
          <w:b/>
          <w:bCs/>
          <w:color w:val="2A2069"/>
          <w:sz w:val="28"/>
          <w:szCs w:val="28"/>
        </w:rPr>
        <w:t xml:space="preserve">11. Refresh cadence and governance</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This document is owned by Ian Johnson (ianj@txn.global). Quarterly review minimum. Interim revisions triggered by material changes to ICP v0.3, Core Messaging v2.5, the tooling stack selection, Freshsales schema, or metric targets. Version bump on any substantive change; prior version archived in 99_Archive/. Contributors propose changes via the Owner; day-to-day operating decisions (adjusting sequence copy, adding new sources, refining targeting parameters) do not require version bumps but are logged in the Owner ops rhythm notes.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Phase transition decisions are made by the Owner, informed by the metrics in Section 9 and the transition criteria in Section 6.3. Any Phase B tooling contract is a formal change; the Owner records the decision and its rationale in the Migration Register.</w:t>
      </w:r>
    </w:p>
    <w:p>
      <w:pPr>
        <w:pStyle w:val="Heading1"/>
        <w:spacing w:after="160" w:before="320"/>
      </w:pPr>
      <w:r>
        <w:rPr>
          <w:rFonts w:ascii="Open Sans Light" w:cs="Open Sans Light" w:eastAsia="Open Sans Light" w:hAnsi="Open Sans Light"/>
          <w:b/>
          <w:bCs/>
          <w:color w:val="2A2069"/>
          <w:sz w:val="36"/>
          <w:szCs w:val="36"/>
        </w:rPr>
        <w:t xml:space="preserve">Appendix A. Related documents</w:t>
      </w:r>
    </w:p>
    <w:p>
      <w:pPr>
        <w:spacing w:after="80" w:before="80"/>
        <w:jc w:val="left"/>
      </w:pPr>
      <w:r>
        <w:rPr>
          <w:rFonts w:ascii="Open Sans Light" w:cs="Open Sans Light" w:eastAsia="Open Sans Light" w:hAnsi="Open Sans Light"/>
          <w:b w:val="false"/>
          <w:bCs w:val="false"/>
          <w:i w:val="false"/>
          <w:iCs w:val="false"/>
          <w:color w:val="222222"/>
          <w:sz w:val="22"/>
          <w:szCs w:val="22"/>
        </w:rPr>
        <w:t xml:space="preserve">The following documents form the canon this process is derived from. Any change to a canon document should trigger a review of this document within one business week.</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TXN_GTM_ICP_Definition_v0.3.docx: who TXN sells to, scoring framework, tiering, anti-profile, Named Account List method. Location: 07_GTM/02_ICP_&amp;_Personas/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TXN_Core_Messaging_v2.5.docx: positioning, pillars, tone, competitor differentiation snapshot, persona proof, boilerplate. Location: 07_GTM/03_Positioning_&amp;_Messaging/</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TXN_AI_Messaging_Framework_v1.0.docx: approved anchor phrase, asset-by-asset AI copy adaptations. Location: 07_GTM/03_Positioning_&amp;_Messaging/</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TXN_JV_Messaging_Framework_v2.1.docx: approved and banned ownership formulations for Direct Transact and Paycorp. Location: 07_GTM/03_Positioning_&amp;_Messaging/</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TXN_GTM_Persona_Champion_v0.1.docx, TXN_GTM_Persona_Economic_Buyer_v0.1.docx, TXN_GTM_Persona_Primary_User_v0.1.docx: persona lenses for personalisation and sequence variation. Location: 07_GTM/02_ICP_&amp;_Personas/</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TXN_GTM_Qualification_Matrix_v0.2.xlsx: the register that carries account records through the scoring and tiering process. Location: 07_GTM/04_Sales_Motion/</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TXN_GTM_Competitive_Landscape_v0.2.docx: competitor detail underpinning sequence drafting and objection handling. Location: 07_GTM/06_Competitive_&amp;_Market_Intel/</w:t>
      </w:r>
    </w:p>
    <w:p>
      <w:pPr>
        <w:pStyle w:val="ListParagraph"/>
        <w:numPr>
          <w:ilvl w:val="0"/>
          <w:numId w:val="2"/>
        </w:numPr>
        <w:spacing w:after="40" w:before="40"/>
      </w:pPr>
      <w:r>
        <w:rPr>
          <w:rFonts w:ascii="Open Sans Light" w:cs="Open Sans Light" w:eastAsia="Open Sans Light" w:hAnsi="Open Sans Light"/>
          <w:b w:val="false"/>
          <w:bCs w:val="false"/>
          <w:i w:val="false"/>
          <w:iCs w:val="false"/>
          <w:color w:val="222222"/>
          <w:sz w:val="22"/>
          <w:szCs w:val="22"/>
        </w:rPr>
        <w:t xml:space="preserve">TXN_GTM_Sales_Process_and_Stages_v0.3.docx: downstream Sales Motion picked up at the meeting-booked handoff point. Location: 07_GTM/04_Sales_Motion/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Open Sans Light" w:cs="Open Sans Light" w:eastAsia="Open Sans Light" w:hAnsi="Open Sans Light"/>
        <w:color w:val="666666"/>
        <w:sz w:val="18"/>
        <w:szCs w:val="18"/>
      </w:rPr>
      <w:t xml:space="preserve">Owner: I. Johnson   |   TXN Global GTM Library   |   Confidential   |   </w:t>
    </w:r>
    <w:r>
      <w:rPr>
        <w:rFonts w:ascii="Open Sans Light" w:cs="Open Sans Light" w:eastAsia="Open Sans Light" w:hAnsi="Open Sans Light"/>
        <w:color w:val="666666"/>
        <w:sz w:val="18"/>
        <w:szCs w:val="18"/>
      </w:rPr>
      <w:t xml:space="preserve">Page </w:t>
    </w:r>
    <w:r>
      <w:rPr>
        <w:rFonts w:ascii="Open Sans Light" w:cs="Open Sans Light" w:eastAsia="Open Sans Light" w:hAnsi="Open Sans Light"/>
        <w:color w:val="666666"/>
        <w:sz w:val="18"/>
        <w:szCs w:val="18"/>
      </w:rPr>
      <w:fldChar w:fldCharType="begin"/>
      <w:instrText xml:space="preserve">PAGE</w:instrText>
      <w:fldChar w:fldCharType="separate"/>
      <w:fldChar w:fldCharType="end"/>
    </w:r>
    <w:r>
      <w:rPr>
        <w:rFonts w:ascii="Open Sans Light" w:cs="Open Sans Light" w:eastAsia="Open Sans Light" w:hAnsi="Open Sans Light"/>
        <w:color w:val="666666"/>
        <w:sz w:val="18"/>
        <w:szCs w:val="18"/>
      </w:rPr>
      <w:t xml:space="preserve"> of </w:t>
    </w:r>
    <w:r>
      <w:rPr>
        <w:rFonts w:ascii="Open Sans Light" w:cs="Open Sans Light" w:eastAsia="Open Sans Light" w:hAnsi="Open Sans Light"/>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Light" w:cs="Open Sans Light" w:eastAsia="Open Sans Light" w:hAnsi="Open Sans Light"/>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C29873D5-CF64-4EA3-9D48-A4DAD4B17DD5}"/>
</file>

<file path=customXml/itemProps2.xml><?xml version="1.0" encoding="utf-8"?>
<ds:datastoreItem xmlns:ds="http://schemas.openxmlformats.org/officeDocument/2006/customXml" ds:itemID="{686BA1D2-1FCA-439F-9714-1772CD35DB63}"/>
</file>

<file path=customXml/itemProps3.xml><?xml version="1.0" encoding="utf-8"?>
<ds:datastoreItem xmlns:ds="http://schemas.openxmlformats.org/officeDocument/2006/customXml" ds:itemID="{612C3B13-B391-4F83-85FE-B0E1A858AAF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2026-08-20T09:41:01Z</dcterms:created>
  <dcterms:modified xsi:type="dcterms:W3CDTF">2026-08-20T09:41:01Z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ies>
</file>