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E23A0" w14:textId="77777777" w:rsidR="00D12754" w:rsidRDefault="00141BBE">
      <w:pPr>
        <w:pStyle w:val="Title"/>
        <w:spacing w:after="100"/>
      </w:pPr>
      <w:r>
        <w:t>TXN Global</w:t>
      </w:r>
    </w:p>
    <w:p w14:paraId="2949698C" w14:textId="77777777" w:rsidR="00D12754" w:rsidRDefault="00141BBE">
      <w:pPr>
        <w:spacing w:after="100"/>
      </w:pPr>
      <w:r>
        <w:rPr>
          <w:b/>
          <w:bCs/>
          <w:color w:val="1F3864"/>
          <w:sz w:val="40"/>
          <w:szCs w:val="40"/>
        </w:rPr>
        <w:t>Outbound &amp; Content Playbook</w:t>
      </w:r>
    </w:p>
    <w:p w14:paraId="0062F116" w14:textId="77777777" w:rsidR="00D12754" w:rsidRDefault="00141BBE">
      <w:pPr>
        <w:spacing w:after="400"/>
      </w:pPr>
      <w:r>
        <w:rPr>
          <w:i/>
          <w:iCs/>
          <w:sz w:val="24"/>
          <w:szCs w:val="24"/>
        </w:rPr>
        <w:t>Prepared for the outbound sales and LinkedIn content delivery partner</w:t>
      </w:r>
    </w:p>
    <w:p w14:paraId="6EC78892" w14:textId="77777777" w:rsidR="00D12754" w:rsidRDefault="00141BBE">
      <w:pPr>
        <w:spacing w:after="100"/>
      </w:pPr>
      <w:r>
        <w:t>Version 1.0  |  Prepared by Ian Johnson (</w:t>
      </w:r>
      <w:proofErr w:type="spellStart"/>
      <w:r>
        <w:t>ianj@txn.global</w:t>
      </w:r>
      <w:proofErr w:type="spellEnd"/>
      <w:r>
        <w:t>)  |  18 August 2026</w:t>
      </w:r>
    </w:p>
    <w:p w14:paraId="77CF2FFD" w14:textId="77777777" w:rsidR="00D12754" w:rsidRDefault="00141BBE">
      <w:pPr>
        <w:spacing w:after="160"/>
      </w:pPr>
      <w:r>
        <w:rPr>
          <w:i/>
          <w:iCs/>
        </w:rPr>
        <w:t>Confidential — for use by TXN Global and its engaged delivery partner only.</w:t>
      </w:r>
    </w:p>
    <w:p w14:paraId="6270FB2A" w14:textId="77777777" w:rsidR="00D12754" w:rsidRDefault="00141BBE">
      <w:r>
        <w:br w:type="page"/>
      </w:r>
    </w:p>
    <w:p w14:paraId="236056A5" w14:textId="77777777" w:rsidR="00D12754" w:rsidRDefault="00141BBE">
      <w:pPr>
        <w:pStyle w:val="Heading1"/>
        <w:spacing w:before="400" w:after="200"/>
      </w:pPr>
      <w:r>
        <w:lastRenderedPageBreak/>
        <w:t>1. Purpose and how to use this playbook</w:t>
      </w:r>
    </w:p>
    <w:p w14:paraId="41E8D05B" w14:textId="77777777" w:rsidR="00D12754" w:rsidRDefault="00141BBE">
      <w:pPr>
        <w:spacing w:after="160"/>
      </w:pPr>
      <w:r>
        <w:t>This playbook consolidates the canonical GTM material TXN Global holds in its SharePoint GTM library (07_GTM) into a single working reference for the partner engaged to run outbound sales activity (email and LinkedIn sequences) and LinkedIn content creation on TXN's behalf.</w:t>
      </w:r>
    </w:p>
    <w:p w14:paraId="1B8E19CA" w14:textId="77777777" w:rsidR="00D12754" w:rsidRDefault="00141BBE">
      <w:pPr>
        <w:spacing w:after="160"/>
      </w:pPr>
      <w:r>
        <w:t>It is a derivative, working document. The source documents remain the source of truth. Where this playbook simplifies or summarises, the source document governs in the event of any conflict. Appendix A lists every source document consulted, its location, and why it is relevant. Appendix B lists gaps found in the source library that TXN should close before or during onboarding.</w:t>
      </w:r>
    </w:p>
    <w:p w14:paraId="35800EFC" w14:textId="77777777" w:rsidR="00D12754" w:rsidRDefault="00141BBE">
      <w:pPr>
        <w:spacing w:after="160"/>
      </w:pPr>
      <w:r>
        <w:t>Read this playbook in order the first time: Sections 2 to 4 establish who TXN sells to and how TXN talks about itself; Sections 5 to 7 give the raw material for outreach and content; Section 8 gives the outbound process and compliance rules; Section 9 gives objection handling; Section 10 is a single-page guardrail summary worth keeping open while drafting.</w:t>
      </w:r>
    </w:p>
    <w:p w14:paraId="0CCBA0A8" w14:textId="77777777" w:rsidR="00D12754" w:rsidRDefault="00141BBE">
      <w:pPr>
        <w:pBdr>
          <w:left w:val="single" w:sz="6" w:space="8" w:color="999999"/>
        </w:pBdr>
        <w:spacing w:after="160"/>
        <w:ind w:left="200"/>
      </w:pPr>
      <w:r>
        <w:rPr>
          <w:i/>
          <w:iCs/>
          <w:color w:val="555555"/>
        </w:rPr>
        <w:t>Governance: Ian Johnson (</w:t>
      </w:r>
      <w:proofErr w:type="spellStart"/>
      <w:r>
        <w:rPr>
          <w:i/>
          <w:iCs/>
          <w:color w:val="555555"/>
        </w:rPr>
        <w:t>ianj@txn.global</w:t>
      </w:r>
      <w:proofErr w:type="spellEnd"/>
      <w:r>
        <w:rPr>
          <w:i/>
          <w:iCs/>
          <w:color w:val="555555"/>
        </w:rPr>
        <w:t>) owns the GTM library and this playbook. Propose changes to him rather than deviating quietly. TXN is pre-launch as of mid-2026: several claims below are explicitly marked as hypothesised or as engineered targets rather than proven outcomes. Do not strengthen these claims in outbound copy or content without checking with Ian first.</w:t>
      </w:r>
    </w:p>
    <w:p w14:paraId="7ADF0EF7" w14:textId="77777777" w:rsidR="00D12754" w:rsidRDefault="00141BBE">
      <w:pPr>
        <w:pStyle w:val="Heading1"/>
        <w:spacing w:before="400" w:after="200"/>
      </w:pPr>
      <w:r>
        <w:t>2. Who TXN sells to</w:t>
      </w:r>
    </w:p>
    <w:p w14:paraId="5A4E13F0" w14:textId="77777777" w:rsidR="00D12754" w:rsidRDefault="00141BBE">
      <w:pPr>
        <w:spacing w:after="160"/>
      </w:pPr>
      <w:r>
        <w:t>Source: TXN_GTM_ICP_Definition_v0.4.docx (07_GTM/02_ICP_&amp;_Personas/)</w:t>
      </w:r>
    </w:p>
    <w:p w14:paraId="005FC1EC" w14:textId="77777777" w:rsidR="00D12754" w:rsidRDefault="00141BBE">
      <w:pPr>
        <w:pStyle w:val="Heading2"/>
        <w:spacing w:before="300" w:after="150"/>
      </w:pPr>
      <w:r>
        <w:t>2.1 ICP statement</w:t>
      </w:r>
    </w:p>
    <w:p w14:paraId="749F2524" w14:textId="77777777" w:rsidR="00D12754" w:rsidRDefault="00141BBE">
      <w:pPr>
        <w:spacing w:after="160"/>
      </w:pPr>
      <w:r>
        <w:t>TXN sells to companies providing, or planning to provide, payment card programs with 10 to 5,000 employees in the EEA plus the United Kingdom. The ideal band is 20 to 2,000 employees. The company is either launching a new card program or migrating an existing one from an incumbent processor; both intents are weighted equally, so treat “planning to launch” prospects with the same priority as “migrating” prospects.</w:t>
      </w:r>
    </w:p>
    <w:p w14:paraId="1860CEF1" w14:textId="77777777" w:rsidR="00D12754" w:rsidRDefault="00141BBE">
      <w:pPr>
        <w:pStyle w:val="Heading2"/>
        <w:spacing w:before="300" w:after="150"/>
      </w:pPr>
      <w:r>
        <w:t>2.2 Sectors and sub-sectors</w:t>
      </w:r>
    </w:p>
    <w:p w14:paraId="54EFB4D0" w14:textId="77777777" w:rsidR="00D12754" w:rsidRDefault="00141BBE">
      <w:pPr>
        <w:spacing w:after="160"/>
      </w:pPr>
      <w:r>
        <w:t>Fintech, Banking, Financial Services, Retail. Sub-sectors in priority order: Digital Banking and Neobank (highest priority), Expense Management, Lending (SMB and Consumer), FX Payments, Investment Management, BaaS (second priority), Disbursement, Payments, Retail, Ecommerce, Crypto (third priority).</w:t>
      </w:r>
    </w:p>
    <w:p w14:paraId="0AF8716C" w14:textId="77777777" w:rsidR="00D12754" w:rsidRDefault="00141BBE">
      <w:pPr>
        <w:pStyle w:val="Heading2"/>
        <w:spacing w:before="300" w:after="150"/>
      </w:pPr>
      <w:r>
        <w:t>2.3 Geography and phasing</w:t>
      </w:r>
    </w:p>
    <w:p w14:paraId="7823F840" w14:textId="77777777" w:rsidR="00D12754" w:rsidRDefault="00141BBE">
      <w:pPr>
        <w:spacing w:after="160"/>
      </w:pPr>
      <w:r>
        <w:t>EEA plus the United Kingdom. Outbound and content priority follows this phasing:</w:t>
      </w:r>
    </w:p>
    <w:p w14:paraId="16F79C0C" w14:textId="77777777" w:rsidR="00D12754" w:rsidRDefault="00141BBE">
      <w:pPr>
        <w:pStyle w:val="ListParagraph"/>
        <w:numPr>
          <w:ilvl w:val="0"/>
          <w:numId w:val="2"/>
        </w:numPr>
        <w:spacing w:after="80"/>
      </w:pPr>
      <w:r>
        <w:t>MVP markets (highest outbound priority): Poland, Czech Republic, Romania, Hungary</w:t>
      </w:r>
    </w:p>
    <w:p w14:paraId="342A484F" w14:textId="77777777" w:rsidR="00D12754" w:rsidRDefault="00141BBE">
      <w:pPr>
        <w:pStyle w:val="ListParagraph"/>
        <w:numPr>
          <w:ilvl w:val="0"/>
          <w:numId w:val="2"/>
        </w:numPr>
        <w:spacing w:after="80"/>
      </w:pPr>
      <w:r>
        <w:t>Phase 1a: Spain, Portugal, Greece</w:t>
      </w:r>
    </w:p>
    <w:p w14:paraId="5524D145" w14:textId="77777777" w:rsidR="00D12754" w:rsidRDefault="00141BBE">
      <w:pPr>
        <w:pStyle w:val="ListParagraph"/>
        <w:numPr>
          <w:ilvl w:val="0"/>
          <w:numId w:val="2"/>
        </w:numPr>
        <w:spacing w:after="80"/>
      </w:pPr>
      <w:r>
        <w:t>Phase 1b: Netherlands, Belgium, Austria, United Kingdom</w:t>
      </w:r>
    </w:p>
    <w:p w14:paraId="007D245A" w14:textId="77777777" w:rsidR="00D12754" w:rsidRDefault="00141BBE">
      <w:pPr>
        <w:pStyle w:val="ListParagraph"/>
        <w:numPr>
          <w:ilvl w:val="0"/>
          <w:numId w:val="2"/>
        </w:numPr>
        <w:spacing w:after="80"/>
      </w:pPr>
      <w:r>
        <w:t xml:space="preserve">Opportunistic: remaining EEA markets. Note: Germany is consent-based under UWG and is excluded from proactive cold email outbound; reach German contacts via LinkedIn </w:t>
      </w:r>
      <w:proofErr w:type="gramStart"/>
      <w:r>
        <w:t>only, or</w:t>
      </w:r>
      <w:proofErr w:type="gramEnd"/>
      <w:r>
        <w:t xml:space="preserve"> wait for inbound.</w:t>
      </w:r>
    </w:p>
    <w:p w14:paraId="5BE853D4" w14:textId="77777777" w:rsidR="00D12754" w:rsidRDefault="00141BBE">
      <w:pPr>
        <w:pStyle w:val="Heading2"/>
        <w:spacing w:before="300" w:after="150"/>
      </w:pPr>
      <w:r>
        <w:t>2.4 Anti-profile — do not target</w:t>
      </w:r>
    </w:p>
    <w:p w14:paraId="7AE4E2A0" w14:textId="77777777" w:rsidR="00D12754" w:rsidRDefault="00141BBE">
      <w:pPr>
        <w:spacing w:after="160"/>
      </w:pPr>
      <w:r>
        <w:t xml:space="preserve">Any match below disqualifies an account regardless of other fit. Do not run outbound sequences or targeted content campaigns against: Tier 1 banks (e.g. Barclays, BNP Paribas, HSBC, Deutsche Bank); governments and state-owned enterprises; petrol retail companies; sub-scale operators with limited card-program ambition; companies wanting bespoke non-platform or on-premises solutions; companies with limited </w:t>
      </w:r>
      <w:r>
        <w:lastRenderedPageBreak/>
        <w:t>capital; companies in administration or insolvency; companies under sanctions exposure or reported regulatory difficulty.</w:t>
      </w:r>
    </w:p>
    <w:p w14:paraId="39D70E09" w14:textId="77777777" w:rsidR="00D12754" w:rsidRDefault="00141BBE">
      <w:pPr>
        <w:pStyle w:val="Heading2"/>
        <w:spacing w:before="300" w:after="150"/>
      </w:pPr>
      <w:r>
        <w:t>2.5 Tiering and how it governs activity</w:t>
      </w:r>
    </w:p>
    <w:p w14:paraId="0A423721" w14:textId="77777777" w:rsidR="00D12754" w:rsidRDefault="00141BBE">
      <w:pPr>
        <w:spacing w:after="160"/>
      </w:pPr>
      <w:r>
        <w:t>Every account is scored 0 to 100 across ten weighted parameters (sub-sector fit, company size, geography phase, regulatory licence status, ownership/funding stage, behavioural triggers, incumbent processor signal, tech stack, scheme/BIN sponsor signal, and program scale/ambition). The resulting tier governs what activity is appropriate: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800"/>
      </w:tblGrid>
      <w:tr w:rsidR="00D12754" w14:paraId="46925A00"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tcPr>
          <w:p w14:paraId="2949A7E2" w14:textId="77777777" w:rsidR="00D12754" w:rsidRDefault="00141BBE">
            <w:r>
              <w:rPr>
                <w:b/>
                <w:bCs/>
                <w:color w:val="FFFFFF"/>
                <w:sz w:val="20"/>
                <w:szCs w:val="20"/>
              </w:rPr>
              <w:t>Tier</w:t>
            </w:r>
          </w:p>
        </w:tc>
        <w:tc>
          <w:tcPr>
            <w:tcW w:w="1400" w:type="dxa"/>
            <w:shd w:val="clear" w:color="auto" w:fill="1F3864"/>
            <w:tcMar>
              <w:top w:w="80" w:type="dxa"/>
              <w:left w:w="100" w:type="dxa"/>
              <w:bottom w:w="80" w:type="dxa"/>
              <w:right w:w="100" w:type="dxa"/>
            </w:tcMar>
          </w:tcPr>
          <w:p w14:paraId="09BA5A1A" w14:textId="77777777" w:rsidR="00D12754" w:rsidRDefault="00141BBE">
            <w:r>
              <w:rPr>
                <w:b/>
                <w:bCs/>
                <w:color w:val="FFFFFF"/>
                <w:sz w:val="20"/>
                <w:szCs w:val="20"/>
              </w:rPr>
              <w:t>Score</w:t>
            </w:r>
          </w:p>
        </w:tc>
        <w:tc>
          <w:tcPr>
            <w:tcW w:w="6800" w:type="dxa"/>
            <w:shd w:val="clear" w:color="auto" w:fill="1F3864"/>
            <w:tcMar>
              <w:top w:w="80" w:type="dxa"/>
              <w:left w:w="100" w:type="dxa"/>
              <w:bottom w:w="80" w:type="dxa"/>
              <w:right w:w="100" w:type="dxa"/>
            </w:tcMar>
          </w:tcPr>
          <w:p w14:paraId="4D1F587C" w14:textId="77777777" w:rsidR="00D12754" w:rsidRDefault="00141BBE">
            <w:r>
              <w:rPr>
                <w:b/>
                <w:bCs/>
                <w:color w:val="FFFFFF"/>
                <w:sz w:val="20"/>
                <w:szCs w:val="20"/>
              </w:rPr>
              <w:t>Outbound activity</w:t>
            </w:r>
          </w:p>
        </w:tc>
      </w:tr>
      <w:tr w:rsidR="00D12754" w14:paraId="4711CF80" w14:textId="77777777">
        <w:tblPrEx>
          <w:tblCellMar>
            <w:top w:w="0" w:type="dxa"/>
            <w:bottom w:w="0" w:type="dxa"/>
          </w:tblCellMar>
        </w:tblPrEx>
        <w:tc>
          <w:tcPr>
            <w:tcW w:w="1800" w:type="dxa"/>
            <w:tcMar>
              <w:top w:w="80" w:type="dxa"/>
              <w:left w:w="100" w:type="dxa"/>
              <w:bottom w:w="80" w:type="dxa"/>
              <w:right w:w="100" w:type="dxa"/>
            </w:tcMar>
          </w:tcPr>
          <w:p w14:paraId="77937A61" w14:textId="77777777" w:rsidR="00D12754" w:rsidRDefault="00141BBE">
            <w:r>
              <w:rPr>
                <w:color w:val="000000"/>
                <w:sz w:val="20"/>
                <w:szCs w:val="20"/>
              </w:rPr>
              <w:t>Priority 1</w:t>
            </w:r>
          </w:p>
        </w:tc>
        <w:tc>
          <w:tcPr>
            <w:tcW w:w="1400" w:type="dxa"/>
            <w:tcMar>
              <w:top w:w="80" w:type="dxa"/>
              <w:left w:w="100" w:type="dxa"/>
              <w:bottom w:w="80" w:type="dxa"/>
              <w:right w:w="100" w:type="dxa"/>
            </w:tcMar>
          </w:tcPr>
          <w:p w14:paraId="6FCAC6E8" w14:textId="77777777" w:rsidR="00D12754" w:rsidRDefault="00141BBE">
            <w:r>
              <w:rPr>
                <w:color w:val="000000"/>
                <w:sz w:val="20"/>
                <w:szCs w:val="20"/>
              </w:rPr>
              <w:t>80–100</w:t>
            </w:r>
          </w:p>
        </w:tc>
        <w:tc>
          <w:tcPr>
            <w:tcW w:w="6800" w:type="dxa"/>
            <w:tcMar>
              <w:top w:w="80" w:type="dxa"/>
              <w:left w:w="100" w:type="dxa"/>
              <w:bottom w:w="80" w:type="dxa"/>
              <w:right w:w="100" w:type="dxa"/>
            </w:tcMar>
          </w:tcPr>
          <w:p w14:paraId="513DB33B" w14:textId="77777777" w:rsidR="00D12754" w:rsidRDefault="00141BBE">
            <w:r>
              <w:rPr>
                <w:color w:val="000000"/>
                <w:sz w:val="20"/>
                <w:szCs w:val="20"/>
              </w:rPr>
              <w:t>Full ABM: sustained, highly tailored outbound sequences plus account-specific content and proof points. Highest content investment.</w:t>
            </w:r>
          </w:p>
        </w:tc>
      </w:tr>
      <w:tr w:rsidR="00D12754" w14:paraId="0974B63D" w14:textId="77777777">
        <w:tblPrEx>
          <w:tblCellMar>
            <w:top w:w="0" w:type="dxa"/>
            <w:bottom w:w="0" w:type="dxa"/>
          </w:tblCellMar>
        </w:tblPrEx>
        <w:tc>
          <w:tcPr>
            <w:tcW w:w="1800" w:type="dxa"/>
            <w:tcMar>
              <w:top w:w="80" w:type="dxa"/>
              <w:left w:w="100" w:type="dxa"/>
              <w:bottom w:w="80" w:type="dxa"/>
              <w:right w:w="100" w:type="dxa"/>
            </w:tcMar>
          </w:tcPr>
          <w:p w14:paraId="11523F04" w14:textId="77777777" w:rsidR="00D12754" w:rsidRDefault="00141BBE">
            <w:r>
              <w:rPr>
                <w:color w:val="000000"/>
                <w:sz w:val="20"/>
                <w:szCs w:val="20"/>
              </w:rPr>
              <w:t>Priority 2</w:t>
            </w:r>
          </w:p>
        </w:tc>
        <w:tc>
          <w:tcPr>
            <w:tcW w:w="1400" w:type="dxa"/>
            <w:tcMar>
              <w:top w:w="80" w:type="dxa"/>
              <w:left w:w="100" w:type="dxa"/>
              <w:bottom w:w="80" w:type="dxa"/>
              <w:right w:w="100" w:type="dxa"/>
            </w:tcMar>
          </w:tcPr>
          <w:p w14:paraId="1B4823F1" w14:textId="77777777" w:rsidR="00D12754" w:rsidRDefault="00141BBE">
            <w:r>
              <w:rPr>
                <w:color w:val="000000"/>
                <w:sz w:val="20"/>
                <w:szCs w:val="20"/>
              </w:rPr>
              <w:t>60–79</w:t>
            </w:r>
          </w:p>
        </w:tc>
        <w:tc>
          <w:tcPr>
            <w:tcW w:w="6800" w:type="dxa"/>
            <w:tcMar>
              <w:top w:w="80" w:type="dxa"/>
              <w:left w:w="100" w:type="dxa"/>
              <w:bottom w:w="80" w:type="dxa"/>
              <w:right w:w="100" w:type="dxa"/>
            </w:tcMar>
          </w:tcPr>
          <w:p w14:paraId="3997A3D3" w14:textId="77777777" w:rsidR="00D12754" w:rsidRDefault="00141BBE">
            <w:r>
              <w:rPr>
                <w:color w:val="000000"/>
                <w:sz w:val="20"/>
                <w:szCs w:val="20"/>
              </w:rPr>
              <w:t>LinkedIn marketing and direct email sequences using template-based, lightly customised content.</w:t>
            </w:r>
          </w:p>
        </w:tc>
      </w:tr>
      <w:tr w:rsidR="00D12754" w14:paraId="1E7EFDC7" w14:textId="77777777">
        <w:tblPrEx>
          <w:tblCellMar>
            <w:top w:w="0" w:type="dxa"/>
            <w:bottom w:w="0" w:type="dxa"/>
          </w:tblCellMar>
        </w:tblPrEx>
        <w:tc>
          <w:tcPr>
            <w:tcW w:w="1800" w:type="dxa"/>
            <w:tcMar>
              <w:top w:w="80" w:type="dxa"/>
              <w:left w:w="100" w:type="dxa"/>
              <w:bottom w:w="80" w:type="dxa"/>
              <w:right w:w="100" w:type="dxa"/>
            </w:tcMar>
          </w:tcPr>
          <w:p w14:paraId="5D7FFACE" w14:textId="77777777" w:rsidR="00D12754" w:rsidRDefault="00141BBE">
            <w:r>
              <w:rPr>
                <w:color w:val="000000"/>
                <w:sz w:val="20"/>
                <w:szCs w:val="20"/>
              </w:rPr>
              <w:t>Priority 3</w:t>
            </w:r>
          </w:p>
        </w:tc>
        <w:tc>
          <w:tcPr>
            <w:tcW w:w="1400" w:type="dxa"/>
            <w:tcMar>
              <w:top w:w="80" w:type="dxa"/>
              <w:left w:w="100" w:type="dxa"/>
              <w:bottom w:w="80" w:type="dxa"/>
              <w:right w:w="100" w:type="dxa"/>
            </w:tcMar>
          </w:tcPr>
          <w:p w14:paraId="11C596F7" w14:textId="77777777" w:rsidR="00D12754" w:rsidRDefault="00141BBE">
            <w:r>
              <w:rPr>
                <w:color w:val="000000"/>
                <w:sz w:val="20"/>
                <w:szCs w:val="20"/>
              </w:rPr>
              <w:t>40–59</w:t>
            </w:r>
          </w:p>
        </w:tc>
        <w:tc>
          <w:tcPr>
            <w:tcW w:w="6800" w:type="dxa"/>
            <w:tcMar>
              <w:top w:w="80" w:type="dxa"/>
              <w:left w:w="100" w:type="dxa"/>
              <w:bottom w:w="80" w:type="dxa"/>
              <w:right w:w="100" w:type="dxa"/>
            </w:tcMar>
          </w:tcPr>
          <w:p w14:paraId="643D4B4F" w14:textId="77777777" w:rsidR="00D12754" w:rsidRDefault="00141BBE">
            <w:r>
              <w:rPr>
                <w:color w:val="000000"/>
                <w:sz w:val="20"/>
                <w:szCs w:val="20"/>
              </w:rPr>
              <w:t>No proactive outbound or LinkedIn marketing. Inbound only, medium urgency.</w:t>
            </w:r>
          </w:p>
        </w:tc>
      </w:tr>
      <w:tr w:rsidR="00D12754" w14:paraId="29F63C79" w14:textId="77777777">
        <w:tblPrEx>
          <w:tblCellMar>
            <w:top w:w="0" w:type="dxa"/>
            <w:bottom w:w="0" w:type="dxa"/>
          </w:tblCellMar>
        </w:tblPrEx>
        <w:tc>
          <w:tcPr>
            <w:tcW w:w="1800" w:type="dxa"/>
            <w:tcMar>
              <w:top w:w="80" w:type="dxa"/>
              <w:left w:w="100" w:type="dxa"/>
              <w:bottom w:w="80" w:type="dxa"/>
              <w:right w:w="100" w:type="dxa"/>
            </w:tcMar>
          </w:tcPr>
          <w:p w14:paraId="08DA7A3D" w14:textId="77777777" w:rsidR="00D12754" w:rsidRDefault="00141BBE">
            <w:r>
              <w:rPr>
                <w:color w:val="000000"/>
                <w:sz w:val="20"/>
                <w:szCs w:val="20"/>
              </w:rPr>
              <w:t>Disqualified</w:t>
            </w:r>
          </w:p>
        </w:tc>
        <w:tc>
          <w:tcPr>
            <w:tcW w:w="1400" w:type="dxa"/>
            <w:tcMar>
              <w:top w:w="80" w:type="dxa"/>
              <w:left w:w="100" w:type="dxa"/>
              <w:bottom w:w="80" w:type="dxa"/>
              <w:right w:w="100" w:type="dxa"/>
            </w:tcMar>
          </w:tcPr>
          <w:p w14:paraId="40901974" w14:textId="77777777" w:rsidR="00D12754" w:rsidRDefault="00141BBE">
            <w:r>
              <w:rPr>
                <w:color w:val="000000"/>
                <w:sz w:val="20"/>
                <w:szCs w:val="20"/>
              </w:rPr>
              <w:t>Below 40 / any gating fail</w:t>
            </w:r>
          </w:p>
        </w:tc>
        <w:tc>
          <w:tcPr>
            <w:tcW w:w="6800" w:type="dxa"/>
            <w:tcMar>
              <w:top w:w="80" w:type="dxa"/>
              <w:left w:w="100" w:type="dxa"/>
              <w:bottom w:w="80" w:type="dxa"/>
              <w:right w:w="100" w:type="dxa"/>
            </w:tcMar>
          </w:tcPr>
          <w:p w14:paraId="732D3FD1" w14:textId="77777777" w:rsidR="00D12754" w:rsidRDefault="00141BBE">
            <w:r>
              <w:rPr>
                <w:color w:val="000000"/>
                <w:sz w:val="20"/>
                <w:szCs w:val="20"/>
              </w:rPr>
              <w:t>No proactive activity.</w:t>
            </w:r>
          </w:p>
        </w:tc>
      </w:tr>
    </w:tbl>
    <w:p w14:paraId="667AB80F" w14:textId="77777777" w:rsidR="00D12754" w:rsidRDefault="00141BBE">
      <w:pPr>
        <w:spacing w:after="160"/>
      </w:pPr>
      <w:r>
        <w:rPr>
          <w:i/>
          <w:iCs/>
        </w:rPr>
        <w:t xml:space="preserve">The named account list carrying tier, score, contacts and triggers is </w:t>
      </w:r>
      <w:proofErr w:type="spellStart"/>
      <w:r>
        <w:rPr>
          <w:i/>
          <w:iCs/>
        </w:rPr>
        <w:t>TXN_GTM_Qualification_Matrix</w:t>
      </w:r>
      <w:proofErr w:type="spellEnd"/>
      <w:r>
        <w:rPr>
          <w:i/>
          <w:iCs/>
        </w:rPr>
        <w:t xml:space="preserve"> (07_GTM/04_Sales_Motion/), maintained by Ian Johnson. Request current Tier 1 and Tier 2 account lists from Ian rather than re-deriving tiering independently.</w:t>
      </w:r>
    </w:p>
    <w:p w14:paraId="0CF409F1" w14:textId="77777777" w:rsidR="00D12754" w:rsidRDefault="00141BBE">
      <w:r>
        <w:br w:type="page"/>
      </w:r>
    </w:p>
    <w:p w14:paraId="092E2B03" w14:textId="77777777" w:rsidR="00D12754" w:rsidRDefault="00141BBE">
      <w:pPr>
        <w:pStyle w:val="Heading1"/>
        <w:spacing w:before="400" w:after="200"/>
      </w:pPr>
      <w:r>
        <w:lastRenderedPageBreak/>
        <w:t>3. Who TXN sells to (the buying committee)</w:t>
      </w:r>
    </w:p>
    <w:p w14:paraId="4B34B801" w14:textId="77777777" w:rsidR="00D12754" w:rsidRDefault="00141BBE">
      <w:pPr>
        <w:spacing w:after="160"/>
      </w:pPr>
      <w:r>
        <w:t>Sources: TXN_GTM_Persona_Champion_v0.1, TXN_GTM_Persona_Economic_Buyer_v0.1, TXN_GTM_Persona_Primary_User_v0.1 (07_GTM/02_ICP_&amp;_Personas/); TXN_Role_Based_Messaging_(V1).pptx (07_GTM/02_ICP_&amp;_Personas/, covers all five deal-relevant roles).</w:t>
      </w:r>
    </w:p>
    <w:p w14:paraId="4083D4C2" w14:textId="77777777" w:rsidR="00D12754" w:rsidRDefault="00141BBE">
      <w:pPr>
        <w:spacing w:after="160"/>
      </w:pPr>
      <w:r>
        <w:t>Five roles matter in a TXN deal. Three have full persona documents (Champion, Economic Buyer, Primary User); two supporting roles (Head of Payments, Risk and Compliance) are profiled in the Role-Based Messaging deck. Every outbound sequence and every piece of content should be written with one of these five in mind, using the language and pillars below and never a generic “to whom it may concern” voice.</w:t>
      </w:r>
    </w:p>
    <w:p w14:paraId="1C85DA84" w14:textId="77777777" w:rsidR="00D12754" w:rsidRDefault="00141BBE">
      <w:pPr>
        <w:pStyle w:val="Heading2"/>
        <w:spacing w:before="300" w:after="150"/>
      </w:pPr>
      <w:r>
        <w:t>3.1 Champion — CPO / Head of Product</w:t>
      </w:r>
    </w:p>
    <w:p w14:paraId="561CAABB" w14:textId="77777777" w:rsidR="00D12754" w:rsidRDefault="00141BBE">
      <w:pPr>
        <w:spacing w:after="160"/>
      </w:pPr>
      <w:r>
        <w:rPr>
          <w:b/>
          <w:bCs/>
        </w:rPr>
        <w:t xml:space="preserve">Maps to: </w:t>
      </w:r>
      <w:r>
        <w:t>Chief Product Officer, VP Product, Head of Product, Director of Product, or the product-owning Founder at smaller companies.</w:t>
      </w:r>
    </w:p>
    <w:p w14:paraId="24CEAB4A" w14:textId="77777777" w:rsidR="00D12754" w:rsidRDefault="00141BBE">
      <w:pPr>
        <w:spacing w:after="160"/>
      </w:pPr>
      <w:r>
        <w:rPr>
          <w:b/>
          <w:bCs/>
        </w:rPr>
        <w:t xml:space="preserve">DACI role: </w:t>
      </w:r>
      <w:r>
        <w:t>Contributor. No veto, but no TXN win happens without the Champion onside. Shapes requirements and is usually the most willing internal advocate because the upside lands on their roadmap.</w:t>
      </w:r>
    </w:p>
    <w:p w14:paraId="278E0A2E" w14:textId="77777777" w:rsidR="00D12754" w:rsidRDefault="00141BBE">
      <w:pPr>
        <w:pStyle w:val="Heading3"/>
      </w:pPr>
      <w:r>
        <w:t>Language to use</w:t>
      </w:r>
    </w:p>
    <w:p w14:paraId="0F294774" w14:textId="77777777" w:rsidR="00D12754" w:rsidRDefault="00141BBE">
      <w:pPr>
        <w:pStyle w:val="ListParagraph"/>
        <w:numPr>
          <w:ilvl w:val="0"/>
          <w:numId w:val="2"/>
        </w:numPr>
        <w:spacing w:after="80"/>
      </w:pPr>
      <w:r>
        <w:t>Launch, configure, control, build, evolve</w:t>
      </w:r>
    </w:p>
    <w:p w14:paraId="3DA6DE38" w14:textId="77777777" w:rsidR="00D12754" w:rsidRDefault="00141BBE">
      <w:pPr>
        <w:pStyle w:val="ListParagraph"/>
        <w:numPr>
          <w:ilvl w:val="0"/>
          <w:numId w:val="2"/>
        </w:numPr>
        <w:spacing w:after="80"/>
      </w:pPr>
      <w:r>
        <w:t>Time to market, time to launch, product velocity</w:t>
      </w:r>
    </w:p>
    <w:p w14:paraId="45A7E335" w14:textId="77777777" w:rsidR="00D12754" w:rsidRDefault="00141BBE">
      <w:pPr>
        <w:pStyle w:val="ListParagraph"/>
        <w:numPr>
          <w:ilvl w:val="0"/>
          <w:numId w:val="2"/>
        </w:numPr>
        <w:spacing w:after="80"/>
      </w:pPr>
      <w:r>
        <w:t>Use-case specific terms: BNPL, expense management, FX, digital banking, investment management</w:t>
      </w:r>
    </w:p>
    <w:p w14:paraId="54C4526D" w14:textId="77777777" w:rsidR="00D12754" w:rsidRDefault="00141BBE">
      <w:pPr>
        <w:pStyle w:val="ListParagraph"/>
        <w:numPr>
          <w:ilvl w:val="0"/>
          <w:numId w:val="2"/>
        </w:numPr>
        <w:spacing w:after="80"/>
      </w:pPr>
      <w:r>
        <w:t>Differentiation, configurability</w:t>
      </w:r>
    </w:p>
    <w:p w14:paraId="0A9B0833" w14:textId="77777777" w:rsidR="00D12754" w:rsidRDefault="00141BBE">
      <w:pPr>
        <w:pStyle w:val="Heading3"/>
      </w:pPr>
      <w:r>
        <w:t>Language to avoid</w:t>
      </w:r>
    </w:p>
    <w:p w14:paraId="789655E1" w14:textId="77777777" w:rsidR="00D12754" w:rsidRDefault="00141BBE">
      <w:pPr>
        <w:pStyle w:val="ListParagraph"/>
        <w:numPr>
          <w:ilvl w:val="0"/>
          <w:numId w:val="2"/>
        </w:numPr>
        <w:spacing w:after="80"/>
      </w:pPr>
      <w:r>
        <w:t>“Platform capabilities” without a concrete use case</w:t>
      </w:r>
    </w:p>
    <w:p w14:paraId="3A699246" w14:textId="77777777" w:rsidR="00D12754" w:rsidRDefault="00141BBE">
      <w:pPr>
        <w:pStyle w:val="ListParagraph"/>
        <w:numPr>
          <w:ilvl w:val="0"/>
          <w:numId w:val="2"/>
        </w:numPr>
        <w:spacing w:after="80"/>
      </w:pPr>
      <w:r>
        <w:t>Any generic claim (flexible, scalable, powerful) with no named business outcome</w:t>
      </w:r>
    </w:p>
    <w:p w14:paraId="7F1D52BB" w14:textId="77777777" w:rsidR="00D12754" w:rsidRDefault="00141BBE">
      <w:pPr>
        <w:pStyle w:val="Heading3"/>
      </w:pPr>
      <w:r>
        <w:t>What they need to de-risk</w:t>
      </w:r>
    </w:p>
    <w:p w14:paraId="22FBBED4" w14:textId="77777777" w:rsidR="00D12754" w:rsidRDefault="00141BBE">
      <w:pPr>
        <w:pStyle w:val="ListParagraph"/>
        <w:numPr>
          <w:ilvl w:val="0"/>
          <w:numId w:val="2"/>
        </w:numPr>
        <w:spacing w:after="80"/>
      </w:pPr>
      <w:r>
        <w:t>Can I build differentiated products, or will the platform force everyone into the same shape?</w:t>
      </w:r>
    </w:p>
    <w:p w14:paraId="2ED49E43" w14:textId="77777777" w:rsidR="00D12754" w:rsidRDefault="00141BBE">
      <w:pPr>
        <w:pStyle w:val="ListParagraph"/>
        <w:numPr>
          <w:ilvl w:val="0"/>
          <w:numId w:val="2"/>
        </w:numPr>
        <w:spacing w:after="80"/>
      </w:pPr>
      <w:r>
        <w:t>Will migration slow down my roadmap?</w:t>
      </w:r>
    </w:p>
    <w:p w14:paraId="2DC8429D" w14:textId="77777777" w:rsidR="00D12754" w:rsidRDefault="00141BBE">
      <w:pPr>
        <w:pStyle w:val="ListParagraph"/>
        <w:numPr>
          <w:ilvl w:val="0"/>
          <w:numId w:val="2"/>
        </w:numPr>
        <w:spacing w:after="80"/>
      </w:pPr>
      <w:r>
        <w:t>Will I be constrained by the next processor the way I was by the last one?</w:t>
      </w:r>
    </w:p>
    <w:p w14:paraId="76B04571" w14:textId="77777777" w:rsidR="00D12754" w:rsidRDefault="00141BBE">
      <w:pPr>
        <w:pStyle w:val="Heading3"/>
      </w:pPr>
      <w:r>
        <w:t>Messaging pillars, in priority order</w:t>
      </w:r>
    </w:p>
    <w:p w14:paraId="6364FA08" w14:textId="77777777" w:rsidR="00D12754" w:rsidRDefault="00141BBE">
      <w:pPr>
        <w:pStyle w:val="ListParagraph"/>
        <w:numPr>
          <w:ilvl w:val="0"/>
          <w:numId w:val="2"/>
        </w:numPr>
        <w:spacing w:after="80"/>
      </w:pPr>
      <w:r>
        <w:t>Design card products around your business model, not platform limitations</w:t>
      </w:r>
    </w:p>
    <w:p w14:paraId="33D8FA05" w14:textId="77777777" w:rsidR="00D12754" w:rsidRDefault="00141BBE">
      <w:pPr>
        <w:pStyle w:val="ListParagraph"/>
        <w:numPr>
          <w:ilvl w:val="0"/>
          <w:numId w:val="2"/>
        </w:numPr>
        <w:spacing w:after="80"/>
      </w:pPr>
      <w:r>
        <w:t>Launch new programs in weeks, not months, using pre-built components and APIs</w:t>
      </w:r>
    </w:p>
    <w:p w14:paraId="25FC67FC" w14:textId="77777777" w:rsidR="00D12754" w:rsidRDefault="00141BBE">
      <w:pPr>
        <w:pStyle w:val="ListParagraph"/>
        <w:numPr>
          <w:ilvl w:val="0"/>
          <w:numId w:val="2"/>
        </w:numPr>
        <w:spacing w:after="80"/>
      </w:pPr>
      <w:r>
        <w:t>Configure spend controls, limits, and behaviours at account, cardholder, and card level</w:t>
      </w:r>
    </w:p>
    <w:p w14:paraId="5F2E040A" w14:textId="77777777" w:rsidR="00D12754" w:rsidRDefault="00141BBE">
      <w:pPr>
        <w:pStyle w:val="ListParagraph"/>
        <w:numPr>
          <w:ilvl w:val="0"/>
          <w:numId w:val="2"/>
        </w:numPr>
        <w:spacing w:after="80"/>
      </w:pPr>
      <w:r>
        <w:t>Evolve your product without re-platforming</w:t>
      </w:r>
    </w:p>
    <w:p w14:paraId="035DD724" w14:textId="77777777" w:rsidR="00D12754" w:rsidRDefault="00141BBE">
      <w:pPr>
        <w:pStyle w:val="Heading3"/>
      </w:pPr>
      <w:r>
        <w:t>Content they expect</w:t>
      </w:r>
    </w:p>
    <w:p w14:paraId="42133BF2" w14:textId="77777777" w:rsidR="00D12754" w:rsidRDefault="00141BBE">
      <w:pPr>
        <w:pStyle w:val="ListParagraph"/>
        <w:numPr>
          <w:ilvl w:val="0"/>
          <w:numId w:val="2"/>
        </w:numPr>
        <w:spacing w:after="80"/>
      </w:pPr>
      <w:r>
        <w:t>Use-case breakdowns by vertical (Digital Banking, Expense Management, Lending, FX, Investment Management)</w:t>
      </w:r>
    </w:p>
    <w:p w14:paraId="76EF91C5" w14:textId="77777777" w:rsidR="00D12754" w:rsidRDefault="00141BBE">
      <w:pPr>
        <w:pStyle w:val="ListParagraph"/>
        <w:numPr>
          <w:ilvl w:val="0"/>
          <w:numId w:val="2"/>
        </w:numPr>
        <w:spacing w:after="80"/>
      </w:pPr>
      <w:r>
        <w:t>Concrete product configuration examples</w:t>
      </w:r>
    </w:p>
    <w:p w14:paraId="5FB8311E" w14:textId="77777777" w:rsidR="00D12754" w:rsidRDefault="00141BBE">
      <w:pPr>
        <w:pStyle w:val="ListParagraph"/>
        <w:numPr>
          <w:ilvl w:val="0"/>
          <w:numId w:val="2"/>
        </w:numPr>
        <w:spacing w:after="80"/>
      </w:pPr>
      <w:r>
        <w:t>Time-to-launch benchmarks versus typical incumbent performance</w:t>
      </w:r>
    </w:p>
    <w:p w14:paraId="38414429" w14:textId="77777777" w:rsidR="00D12754" w:rsidRDefault="00141BBE">
      <w:pPr>
        <w:pStyle w:val="ListParagraph"/>
        <w:numPr>
          <w:ilvl w:val="0"/>
          <w:numId w:val="2"/>
        </w:numPr>
        <w:spacing w:after="80"/>
      </w:pPr>
      <w:r>
        <w:t>Product demos, not just API demos</w:t>
      </w:r>
    </w:p>
    <w:p w14:paraId="3AE0A0D4" w14:textId="77777777" w:rsidR="00D12754" w:rsidRDefault="00141BBE">
      <w:pPr>
        <w:pStyle w:val="Heading3"/>
      </w:pPr>
      <w:r>
        <w:t>Example copy line</w:t>
      </w:r>
    </w:p>
    <w:p w14:paraId="5686A6E0" w14:textId="77777777" w:rsidR="00D12754" w:rsidRDefault="00141BBE">
      <w:pPr>
        <w:pBdr>
          <w:left w:val="single" w:sz="6" w:space="8" w:color="999999"/>
        </w:pBdr>
        <w:spacing w:after="160"/>
        <w:ind w:left="200"/>
      </w:pPr>
      <w:r>
        <w:rPr>
          <w:i/>
          <w:iCs/>
          <w:color w:val="555555"/>
        </w:rPr>
        <w:t>Launch a multi-wallet card product with real-time spend controls and embedded approval logic, without building issuing infrastructure from scratch.</w:t>
      </w:r>
    </w:p>
    <w:p w14:paraId="06BCD29E" w14:textId="77777777" w:rsidR="00D12754" w:rsidRDefault="00141BBE">
      <w:pPr>
        <w:pStyle w:val="Heading2"/>
        <w:spacing w:before="300" w:after="150"/>
      </w:pPr>
      <w:r>
        <w:lastRenderedPageBreak/>
        <w:t>3.2 Economic Buyer — CFO (primary), CEO / Founder (secondary on strategic deals)</w:t>
      </w:r>
    </w:p>
    <w:p w14:paraId="14E8B8D0" w14:textId="77777777" w:rsidR="00D12754" w:rsidRDefault="00141BBE">
      <w:pPr>
        <w:spacing w:after="160"/>
      </w:pPr>
      <w:r>
        <w:rPr>
          <w:b/>
          <w:bCs/>
        </w:rPr>
        <w:t xml:space="preserve">Maps to: </w:t>
      </w:r>
      <w:r>
        <w:t>Chief Financial Officer, VP Finance, or Head of Finance as primary buyer; CEO or Founder steps in as Economic Buyer on strategic or large-value deals.</w:t>
      </w:r>
    </w:p>
    <w:p w14:paraId="3F06CCFE" w14:textId="77777777" w:rsidR="00D12754" w:rsidRDefault="00141BBE">
      <w:pPr>
        <w:spacing w:after="160"/>
      </w:pPr>
      <w:r>
        <w:rPr>
          <w:b/>
          <w:bCs/>
        </w:rPr>
        <w:t xml:space="preserve">DACI role: </w:t>
      </w:r>
      <w:r>
        <w:t>Approver on commercial viability (CFO); Approver or Informed on strategic deals (CEO). Most deals fail at this gate on unclear pricing or unit economics, not on product fit.</w:t>
      </w:r>
    </w:p>
    <w:p w14:paraId="02F3066B" w14:textId="77777777" w:rsidR="00D12754" w:rsidRDefault="00141BBE">
      <w:pPr>
        <w:pStyle w:val="Heading3"/>
      </w:pPr>
      <w:r>
        <w:t>Language to use</w:t>
      </w:r>
    </w:p>
    <w:p w14:paraId="4049D7B1" w14:textId="77777777" w:rsidR="00D12754" w:rsidRDefault="00141BBE">
      <w:pPr>
        <w:pStyle w:val="ListParagraph"/>
        <w:numPr>
          <w:ilvl w:val="0"/>
          <w:numId w:val="2"/>
        </w:numPr>
        <w:spacing w:after="80"/>
      </w:pPr>
      <w:r>
        <w:t>Cost per transaction, unit economics, margin impact</w:t>
      </w:r>
    </w:p>
    <w:p w14:paraId="6BE46A35" w14:textId="77777777" w:rsidR="00D12754" w:rsidRDefault="00141BBE">
      <w:pPr>
        <w:pStyle w:val="ListParagraph"/>
        <w:numPr>
          <w:ilvl w:val="0"/>
          <w:numId w:val="2"/>
        </w:numPr>
        <w:spacing w:after="80"/>
      </w:pPr>
      <w:r>
        <w:t>Pricing model, pricing transparency, pricing curve</w:t>
      </w:r>
    </w:p>
    <w:p w14:paraId="34CB59FB" w14:textId="77777777" w:rsidR="00D12754" w:rsidRDefault="00141BBE">
      <w:pPr>
        <w:pStyle w:val="ListParagraph"/>
        <w:numPr>
          <w:ilvl w:val="0"/>
          <w:numId w:val="2"/>
        </w:numPr>
        <w:spacing w:after="80"/>
      </w:pPr>
      <w:r>
        <w:t>Cost scalability, volume tiers, total cost of ownership</w:t>
      </w:r>
    </w:p>
    <w:p w14:paraId="7847CD38" w14:textId="77777777" w:rsidR="00D12754" w:rsidRDefault="00141BBE">
      <w:pPr>
        <w:pStyle w:val="ListParagraph"/>
        <w:numPr>
          <w:ilvl w:val="0"/>
          <w:numId w:val="2"/>
        </w:numPr>
        <w:spacing w:after="80"/>
      </w:pPr>
      <w:r>
        <w:t>For the CEO: strategic fit, competitive moat, speed, risk posture, brand alignment</w:t>
      </w:r>
    </w:p>
    <w:p w14:paraId="7598D1C8" w14:textId="77777777" w:rsidR="00D12754" w:rsidRDefault="00141BBE">
      <w:pPr>
        <w:pStyle w:val="Heading3"/>
      </w:pPr>
      <w:r>
        <w:t>Language to avoid</w:t>
      </w:r>
    </w:p>
    <w:p w14:paraId="02B4C9D7" w14:textId="77777777" w:rsidR="00D12754" w:rsidRDefault="00141BBE">
      <w:pPr>
        <w:pStyle w:val="ListParagraph"/>
        <w:numPr>
          <w:ilvl w:val="0"/>
          <w:numId w:val="2"/>
        </w:numPr>
        <w:spacing w:after="80"/>
      </w:pPr>
      <w:r>
        <w:t>“Cost-effective” as a standalone claim</w:t>
      </w:r>
    </w:p>
    <w:p w14:paraId="6CAFEB09" w14:textId="77777777" w:rsidR="00D12754" w:rsidRDefault="00141BBE">
      <w:pPr>
        <w:pStyle w:val="ListParagraph"/>
        <w:numPr>
          <w:ilvl w:val="0"/>
          <w:numId w:val="2"/>
        </w:numPr>
        <w:spacing w:after="80"/>
      </w:pPr>
      <w:r>
        <w:t>“Competitive pricing” without the pricing construct behind it</w:t>
      </w:r>
    </w:p>
    <w:p w14:paraId="33D89F60" w14:textId="77777777" w:rsidR="00D12754" w:rsidRDefault="00141BBE">
      <w:pPr>
        <w:pStyle w:val="ListParagraph"/>
        <w:numPr>
          <w:ilvl w:val="0"/>
          <w:numId w:val="2"/>
        </w:numPr>
        <w:spacing w:after="80"/>
      </w:pPr>
      <w:r>
        <w:t>“Simplified and transparent pricing” without showing the numbers</w:t>
      </w:r>
    </w:p>
    <w:p w14:paraId="1866EDE2" w14:textId="77777777" w:rsidR="00D12754" w:rsidRDefault="00141BBE">
      <w:pPr>
        <w:pStyle w:val="ListParagraph"/>
        <w:numPr>
          <w:ilvl w:val="0"/>
          <w:numId w:val="2"/>
        </w:numPr>
        <w:spacing w:after="80"/>
      </w:pPr>
      <w:r>
        <w:t>Unsubstantiated “best value” claims</w:t>
      </w:r>
    </w:p>
    <w:p w14:paraId="3FC0BFEF" w14:textId="77777777" w:rsidR="00D12754" w:rsidRDefault="00141BBE">
      <w:pPr>
        <w:pStyle w:val="Heading3"/>
      </w:pPr>
      <w:r>
        <w:t>What they need to de-risk</w:t>
      </w:r>
    </w:p>
    <w:p w14:paraId="608FFC94" w14:textId="77777777" w:rsidR="00D12754" w:rsidRDefault="00141BBE">
      <w:pPr>
        <w:pStyle w:val="ListParagraph"/>
        <w:numPr>
          <w:ilvl w:val="0"/>
          <w:numId w:val="2"/>
        </w:numPr>
        <w:spacing w:after="80"/>
      </w:pPr>
      <w:r>
        <w:t>Will this destroy my unit economics?</w:t>
      </w:r>
    </w:p>
    <w:p w14:paraId="0ED9A1EB" w14:textId="77777777" w:rsidR="00D12754" w:rsidRDefault="00141BBE">
      <w:pPr>
        <w:pStyle w:val="ListParagraph"/>
        <w:numPr>
          <w:ilvl w:val="0"/>
          <w:numId w:val="2"/>
        </w:numPr>
        <w:spacing w:after="80"/>
      </w:pPr>
      <w:r>
        <w:t>Are there hidden costs (scheme, tokenisation, 3DS, infrastructure)?</w:t>
      </w:r>
    </w:p>
    <w:p w14:paraId="4E257A47" w14:textId="77777777" w:rsidR="00D12754" w:rsidRDefault="00141BBE">
      <w:pPr>
        <w:pStyle w:val="ListParagraph"/>
        <w:numPr>
          <w:ilvl w:val="0"/>
          <w:numId w:val="2"/>
        </w:numPr>
        <w:spacing w:after="80"/>
      </w:pPr>
      <w:r>
        <w:t>Is pricing tied to volumes I cannot predict?</w:t>
      </w:r>
    </w:p>
    <w:p w14:paraId="0ED0E1B1" w14:textId="77777777" w:rsidR="00D12754" w:rsidRDefault="00141BBE">
      <w:pPr>
        <w:pStyle w:val="ListParagraph"/>
        <w:numPr>
          <w:ilvl w:val="0"/>
          <w:numId w:val="2"/>
        </w:numPr>
        <w:spacing w:after="80"/>
      </w:pPr>
      <w:r>
        <w:t>For the CEO: does this vendor create strategic alignment and speed in line with our plan?</w:t>
      </w:r>
    </w:p>
    <w:p w14:paraId="7E6F0C5A" w14:textId="77777777" w:rsidR="00D12754" w:rsidRDefault="00141BBE">
      <w:pPr>
        <w:pStyle w:val="Heading3"/>
      </w:pPr>
      <w:r>
        <w:t>Messaging pillars, in priority order</w:t>
      </w:r>
    </w:p>
    <w:p w14:paraId="0539DCB9" w14:textId="77777777" w:rsidR="00D12754" w:rsidRDefault="00141BBE">
      <w:pPr>
        <w:pStyle w:val="ListParagraph"/>
        <w:numPr>
          <w:ilvl w:val="0"/>
          <w:numId w:val="2"/>
        </w:numPr>
        <w:spacing w:after="80"/>
      </w:pPr>
      <w:r>
        <w:t>Clear, predictable pricing aligned to your growth</w:t>
      </w:r>
    </w:p>
    <w:p w14:paraId="17D55AA2" w14:textId="77777777" w:rsidR="00D12754" w:rsidRDefault="00141BBE">
      <w:pPr>
        <w:pStyle w:val="ListParagraph"/>
        <w:numPr>
          <w:ilvl w:val="0"/>
          <w:numId w:val="2"/>
        </w:numPr>
        <w:spacing w:after="80"/>
      </w:pPr>
      <w:r>
        <w:t>Reduce cost per transaction through automation and scale</w:t>
      </w:r>
    </w:p>
    <w:p w14:paraId="6F02BFE2" w14:textId="77777777" w:rsidR="00D12754" w:rsidRDefault="00141BBE">
      <w:pPr>
        <w:pStyle w:val="ListParagraph"/>
        <w:numPr>
          <w:ilvl w:val="0"/>
          <w:numId w:val="2"/>
        </w:numPr>
        <w:spacing w:after="80"/>
      </w:pPr>
      <w:r>
        <w:t>Pricing models designed to support differentiated business models</w:t>
      </w:r>
    </w:p>
    <w:p w14:paraId="5788226F" w14:textId="77777777" w:rsidR="00D12754" w:rsidRDefault="00141BBE">
      <w:pPr>
        <w:pStyle w:val="ListParagraph"/>
        <w:numPr>
          <w:ilvl w:val="0"/>
          <w:numId w:val="2"/>
        </w:numPr>
        <w:spacing w:after="80"/>
      </w:pPr>
      <w:r>
        <w:t>(CEO) A platform chosen by growth-stage fintechs that differentiate on product, not just price</w:t>
      </w:r>
    </w:p>
    <w:p w14:paraId="1C9DD45E" w14:textId="77777777" w:rsidR="00D12754" w:rsidRDefault="00141BBE">
      <w:pPr>
        <w:pStyle w:val="Heading3"/>
      </w:pPr>
      <w:r>
        <w:t>Content they expect</w:t>
      </w:r>
    </w:p>
    <w:p w14:paraId="6DE8DE08" w14:textId="77777777" w:rsidR="00D12754" w:rsidRDefault="00141BBE">
      <w:pPr>
        <w:pStyle w:val="ListParagraph"/>
        <w:numPr>
          <w:ilvl w:val="0"/>
          <w:numId w:val="2"/>
        </w:numPr>
        <w:spacing w:after="80"/>
      </w:pPr>
      <w:r>
        <w:t>Pricing scenarios at defined volume points</w:t>
      </w:r>
    </w:p>
    <w:p w14:paraId="199AC87A" w14:textId="77777777" w:rsidR="00D12754" w:rsidRDefault="00141BBE">
      <w:pPr>
        <w:pStyle w:val="ListParagraph"/>
        <w:numPr>
          <w:ilvl w:val="0"/>
          <w:numId w:val="2"/>
        </w:numPr>
        <w:spacing w:after="80"/>
      </w:pPr>
      <w:r>
        <w:t>Return on investment and three-year TCO models</w:t>
      </w:r>
    </w:p>
    <w:p w14:paraId="6209B5A1" w14:textId="77777777" w:rsidR="00D12754" w:rsidRDefault="00141BBE">
      <w:pPr>
        <w:pStyle w:val="ListParagraph"/>
        <w:numPr>
          <w:ilvl w:val="0"/>
          <w:numId w:val="2"/>
        </w:numPr>
        <w:spacing w:after="80"/>
      </w:pPr>
      <w:r>
        <w:t>Like-for-like comparison versus the incumbent</w:t>
      </w:r>
    </w:p>
    <w:p w14:paraId="2989BC01" w14:textId="77777777" w:rsidR="00D12754" w:rsidRDefault="00141BBE">
      <w:pPr>
        <w:pStyle w:val="ListParagraph"/>
        <w:numPr>
          <w:ilvl w:val="0"/>
          <w:numId w:val="2"/>
        </w:numPr>
        <w:spacing w:after="80"/>
      </w:pPr>
      <w:r>
        <w:t>(CEO) A one-page executive summary with credibility indicators</w:t>
      </w:r>
    </w:p>
    <w:p w14:paraId="23FE3607" w14:textId="77777777" w:rsidR="00D12754" w:rsidRDefault="00141BBE">
      <w:pPr>
        <w:pStyle w:val="Heading3"/>
      </w:pPr>
      <w:r>
        <w:t>Example copy line</w:t>
      </w:r>
    </w:p>
    <w:p w14:paraId="6A6B5ED7" w14:textId="77777777" w:rsidR="00D12754" w:rsidRDefault="00141BBE">
      <w:pPr>
        <w:pBdr>
          <w:left w:val="single" w:sz="6" w:space="8" w:color="999999"/>
        </w:pBdr>
        <w:spacing w:after="160"/>
        <w:ind w:left="200"/>
      </w:pPr>
      <w:r>
        <w:rPr>
          <w:i/>
          <w:iCs/>
          <w:color w:val="555555"/>
        </w:rPr>
        <w:t>Reduce processing costs as you scale, with transparent pricing and no hidden scheme or infrastructure fees.</w:t>
      </w:r>
    </w:p>
    <w:p w14:paraId="34225611" w14:textId="77777777" w:rsidR="00D12754" w:rsidRDefault="00141BBE">
      <w:pPr>
        <w:pStyle w:val="Heading2"/>
        <w:spacing w:before="300" w:after="150"/>
      </w:pPr>
      <w:r>
        <w:t>3.3 Primary User — CTO / Head of Engineering</w:t>
      </w:r>
    </w:p>
    <w:p w14:paraId="244C9C99" w14:textId="77777777" w:rsidR="00D12754" w:rsidRDefault="00141BBE">
      <w:pPr>
        <w:spacing w:after="160"/>
      </w:pPr>
      <w:r>
        <w:rPr>
          <w:b/>
          <w:bCs/>
        </w:rPr>
        <w:t xml:space="preserve">Maps to: </w:t>
      </w:r>
      <w:r>
        <w:t>Chief Technology Officer, VP Engineering, Platform Lead, or (at larger companies) a Head of Payments Engineering.</w:t>
      </w:r>
    </w:p>
    <w:p w14:paraId="2A206BEE" w14:textId="77777777" w:rsidR="00D12754" w:rsidRDefault="00141BBE">
      <w:pPr>
        <w:spacing w:after="160"/>
      </w:pPr>
      <w:r>
        <w:rPr>
          <w:b/>
          <w:bCs/>
        </w:rPr>
        <w:t xml:space="preserve">DACI role: </w:t>
      </w:r>
      <w:r>
        <w:t>Approver with technical veto. If the CTO says no, nothing else in the deal matters. This veto tends to kill evaluations early, before commercial conversation even starts.</w:t>
      </w:r>
    </w:p>
    <w:p w14:paraId="38D954D7" w14:textId="77777777" w:rsidR="00D12754" w:rsidRDefault="00141BBE">
      <w:pPr>
        <w:pStyle w:val="Heading3"/>
      </w:pPr>
      <w:r>
        <w:t>Language to use</w:t>
      </w:r>
    </w:p>
    <w:p w14:paraId="04988B9C" w14:textId="77777777" w:rsidR="00D12754" w:rsidRDefault="00141BBE">
      <w:pPr>
        <w:pStyle w:val="ListParagraph"/>
        <w:numPr>
          <w:ilvl w:val="0"/>
          <w:numId w:val="2"/>
        </w:numPr>
        <w:spacing w:after="80"/>
      </w:pPr>
      <w:r>
        <w:lastRenderedPageBreak/>
        <w:t>Latency, idempotency, webhook retries</w:t>
      </w:r>
    </w:p>
    <w:p w14:paraId="6B30886E" w14:textId="77777777" w:rsidR="00D12754" w:rsidRDefault="00141BBE">
      <w:pPr>
        <w:pStyle w:val="ListParagraph"/>
        <w:numPr>
          <w:ilvl w:val="0"/>
          <w:numId w:val="2"/>
        </w:numPr>
        <w:spacing w:after="80"/>
      </w:pPr>
      <w:r>
        <w:t>Event-driven architecture, deterministic behaviour</w:t>
      </w:r>
    </w:p>
    <w:p w14:paraId="3FEEDCF8" w14:textId="77777777" w:rsidR="00D12754" w:rsidRDefault="00141BBE">
      <w:pPr>
        <w:pStyle w:val="ListParagraph"/>
        <w:numPr>
          <w:ilvl w:val="0"/>
          <w:numId w:val="2"/>
        </w:numPr>
        <w:spacing w:after="80"/>
      </w:pPr>
      <w:r>
        <w:t>Stand-in processing, retry logic, authorisation control</w:t>
      </w:r>
    </w:p>
    <w:p w14:paraId="499FFD6B" w14:textId="77777777" w:rsidR="00D12754" w:rsidRDefault="00141BBE">
      <w:pPr>
        <w:pStyle w:val="ListParagraph"/>
        <w:numPr>
          <w:ilvl w:val="0"/>
          <w:numId w:val="2"/>
        </w:numPr>
        <w:spacing w:after="80"/>
      </w:pPr>
      <w:r>
        <w:t>Sub-100 millisecond response, 99.99 percent availability (numbers, not adjectives)</w:t>
      </w:r>
    </w:p>
    <w:p w14:paraId="19C9DE38" w14:textId="77777777" w:rsidR="00D12754" w:rsidRDefault="00141BBE">
      <w:pPr>
        <w:pStyle w:val="Heading3"/>
      </w:pPr>
      <w:r>
        <w:t>Language to avoid</w:t>
      </w:r>
    </w:p>
    <w:p w14:paraId="705ED6D8" w14:textId="77777777" w:rsidR="00D12754" w:rsidRDefault="00141BBE">
      <w:pPr>
        <w:pStyle w:val="ListParagraph"/>
        <w:numPr>
          <w:ilvl w:val="0"/>
          <w:numId w:val="2"/>
        </w:numPr>
        <w:spacing w:after="80"/>
      </w:pPr>
      <w:r>
        <w:t>Flexible, scalable, robust as standalone claims with no proof point</w:t>
      </w:r>
    </w:p>
    <w:p w14:paraId="016507C5" w14:textId="77777777" w:rsidR="00D12754" w:rsidRDefault="00141BBE">
      <w:pPr>
        <w:pStyle w:val="ListParagraph"/>
        <w:numPr>
          <w:ilvl w:val="0"/>
          <w:numId w:val="2"/>
        </w:numPr>
        <w:spacing w:after="80"/>
      </w:pPr>
      <w:r>
        <w:t>Any claim without concrete numbers</w:t>
      </w:r>
    </w:p>
    <w:p w14:paraId="1BE7C83E" w14:textId="77777777" w:rsidR="00D12754" w:rsidRDefault="00141BBE">
      <w:pPr>
        <w:pStyle w:val="ListParagraph"/>
        <w:numPr>
          <w:ilvl w:val="0"/>
          <w:numId w:val="2"/>
        </w:numPr>
        <w:spacing w:after="80"/>
      </w:pPr>
      <w:r>
        <w:t>Presenting the console as the integration surface — the API is the surface for this persona</w:t>
      </w:r>
    </w:p>
    <w:p w14:paraId="25F9A46E" w14:textId="77777777" w:rsidR="00D12754" w:rsidRDefault="00141BBE">
      <w:pPr>
        <w:pStyle w:val="Heading3"/>
      </w:pPr>
      <w:r>
        <w:t>What they need to de-risk</w:t>
      </w:r>
    </w:p>
    <w:p w14:paraId="7525CDE3" w14:textId="77777777" w:rsidR="00D12754" w:rsidRDefault="00141BBE">
      <w:pPr>
        <w:pStyle w:val="ListParagraph"/>
        <w:numPr>
          <w:ilvl w:val="0"/>
          <w:numId w:val="2"/>
        </w:numPr>
        <w:spacing w:after="80"/>
      </w:pPr>
      <w:r>
        <w:t>Will this platform break at scale?</w:t>
      </w:r>
    </w:p>
    <w:p w14:paraId="46586F51" w14:textId="77777777" w:rsidR="00D12754" w:rsidRDefault="00141BBE">
      <w:pPr>
        <w:pStyle w:val="ListParagraph"/>
        <w:numPr>
          <w:ilvl w:val="0"/>
          <w:numId w:val="2"/>
        </w:numPr>
        <w:spacing w:after="80"/>
      </w:pPr>
      <w:r>
        <w:t>Will we lose control of the authorisation logic?</w:t>
      </w:r>
    </w:p>
    <w:p w14:paraId="49B36399" w14:textId="77777777" w:rsidR="00D12754" w:rsidRDefault="00141BBE">
      <w:pPr>
        <w:pStyle w:val="ListParagraph"/>
        <w:numPr>
          <w:ilvl w:val="0"/>
          <w:numId w:val="2"/>
        </w:numPr>
        <w:spacing w:after="80"/>
      </w:pPr>
      <w:r>
        <w:t>Will integration become a long-term architectural constraint?</w:t>
      </w:r>
    </w:p>
    <w:p w14:paraId="0200B103" w14:textId="77777777" w:rsidR="00D12754" w:rsidRDefault="00141BBE">
      <w:pPr>
        <w:pStyle w:val="ListParagraph"/>
        <w:numPr>
          <w:ilvl w:val="0"/>
          <w:numId w:val="2"/>
        </w:numPr>
        <w:spacing w:after="80"/>
      </w:pPr>
      <w:r>
        <w:t>Vendor lock-in at the API level</w:t>
      </w:r>
    </w:p>
    <w:p w14:paraId="6F937E0E" w14:textId="77777777" w:rsidR="00D12754" w:rsidRDefault="00141BBE">
      <w:pPr>
        <w:pStyle w:val="Heading3"/>
      </w:pPr>
      <w:r>
        <w:t>Messaging pillars, in priority order</w:t>
      </w:r>
    </w:p>
    <w:p w14:paraId="0857C140" w14:textId="77777777" w:rsidR="00D12754" w:rsidRDefault="00141BBE">
      <w:pPr>
        <w:pStyle w:val="ListParagraph"/>
        <w:numPr>
          <w:ilvl w:val="0"/>
          <w:numId w:val="2"/>
        </w:numPr>
        <w:spacing w:after="80"/>
      </w:pPr>
      <w:r>
        <w:t>Define and execute your own authorisation logic in real time using configurable rule layers or direct API decisioning</w:t>
      </w:r>
    </w:p>
    <w:p w14:paraId="299D5658" w14:textId="77777777" w:rsidR="00D12754" w:rsidRDefault="00141BBE">
      <w:pPr>
        <w:pStyle w:val="ListParagraph"/>
        <w:numPr>
          <w:ilvl w:val="0"/>
          <w:numId w:val="2"/>
        </w:numPr>
        <w:spacing w:after="80"/>
      </w:pPr>
      <w:r>
        <w:t>Every API is versioned, idempotent, and designed for predictable behaviour at scale</w:t>
      </w:r>
    </w:p>
    <w:p w14:paraId="14063A40" w14:textId="77777777" w:rsidR="00D12754" w:rsidRDefault="00141BBE">
      <w:pPr>
        <w:pStyle w:val="ListParagraph"/>
        <w:numPr>
          <w:ilvl w:val="0"/>
          <w:numId w:val="2"/>
        </w:numPr>
        <w:spacing w:after="80"/>
      </w:pPr>
      <w:r>
        <w:t>Authorisation responses in sub-100ms latency with 99.99% platform availability</w:t>
      </w:r>
    </w:p>
    <w:p w14:paraId="4DF55947" w14:textId="77777777" w:rsidR="00D12754" w:rsidRDefault="00141BBE">
      <w:pPr>
        <w:pStyle w:val="ListParagraph"/>
        <w:numPr>
          <w:ilvl w:val="0"/>
          <w:numId w:val="2"/>
        </w:numPr>
        <w:spacing w:after="80"/>
      </w:pPr>
      <w:r>
        <w:t>Built-in stand-in processing for continuity when client systems are unavailable</w:t>
      </w:r>
    </w:p>
    <w:p w14:paraId="586EE331" w14:textId="77777777" w:rsidR="00D12754" w:rsidRDefault="00141BBE">
      <w:pPr>
        <w:pStyle w:val="Heading3"/>
      </w:pPr>
      <w:r>
        <w:t>Content they expect</w:t>
      </w:r>
    </w:p>
    <w:p w14:paraId="310EA5F2" w14:textId="77777777" w:rsidR="00D12754" w:rsidRDefault="00141BBE">
      <w:pPr>
        <w:pStyle w:val="ListParagraph"/>
        <w:numPr>
          <w:ilvl w:val="0"/>
          <w:numId w:val="2"/>
        </w:numPr>
        <w:spacing w:after="80"/>
      </w:pPr>
      <w:r>
        <w:t xml:space="preserve">Complete, versioned API documentation (Swagger / </w:t>
      </w:r>
      <w:proofErr w:type="spellStart"/>
      <w:r>
        <w:t>OpenAPI</w:t>
      </w:r>
      <w:proofErr w:type="spellEnd"/>
      <w:r>
        <w:t>)</w:t>
      </w:r>
    </w:p>
    <w:p w14:paraId="1A00F1E9" w14:textId="77777777" w:rsidR="00D12754" w:rsidRDefault="00141BBE">
      <w:pPr>
        <w:pStyle w:val="ListParagraph"/>
        <w:numPr>
          <w:ilvl w:val="0"/>
          <w:numId w:val="2"/>
        </w:numPr>
        <w:spacing w:after="80"/>
      </w:pPr>
      <w:r>
        <w:t>Sequence diagrams for authorisation, settlement, reconciliation, dispute</w:t>
      </w:r>
    </w:p>
    <w:p w14:paraId="314D2594" w14:textId="77777777" w:rsidR="00D12754" w:rsidRDefault="00141BBE">
      <w:pPr>
        <w:pStyle w:val="ListParagraph"/>
        <w:numPr>
          <w:ilvl w:val="0"/>
          <w:numId w:val="2"/>
        </w:numPr>
        <w:spacing w:after="80"/>
      </w:pPr>
      <w:r>
        <w:t>Failure-scenario documentation</w:t>
      </w:r>
    </w:p>
    <w:p w14:paraId="77A75F80" w14:textId="77777777" w:rsidR="00D12754" w:rsidRDefault="00141BBE">
      <w:pPr>
        <w:pStyle w:val="ListParagraph"/>
        <w:numPr>
          <w:ilvl w:val="0"/>
          <w:numId w:val="2"/>
        </w:numPr>
        <w:spacing w:after="80"/>
      </w:pPr>
      <w:r>
        <w:t>Self-serve sandbox access with no sales gating</w:t>
      </w:r>
    </w:p>
    <w:p w14:paraId="6B07AF4D" w14:textId="77777777" w:rsidR="00D12754" w:rsidRDefault="00141BBE">
      <w:pPr>
        <w:pStyle w:val="Heading3"/>
      </w:pPr>
      <w:r>
        <w:t>Example copy line</w:t>
      </w:r>
    </w:p>
    <w:p w14:paraId="20DD1C47" w14:textId="77777777" w:rsidR="00D12754" w:rsidRDefault="00141BBE">
      <w:pPr>
        <w:pBdr>
          <w:left w:val="single" w:sz="6" w:space="8" w:color="999999"/>
        </w:pBdr>
        <w:spacing w:after="160"/>
        <w:ind w:left="200"/>
      </w:pPr>
      <w:r>
        <w:rPr>
          <w:i/>
          <w:iCs/>
          <w:color w:val="555555"/>
        </w:rPr>
        <w:t>Intercept every authorisation request, apply your own decision logic, and respond in real time; or rely on configurable stand-in rules when your systems are unavailable.</w:t>
      </w:r>
    </w:p>
    <w:p w14:paraId="5D929AA5" w14:textId="77777777" w:rsidR="00D12754" w:rsidRDefault="00141BBE">
      <w:pPr>
        <w:pStyle w:val="Heading2"/>
        <w:spacing w:before="300" w:after="150"/>
      </w:pPr>
      <w:r>
        <w:t>3.4 Supporting roles</w:t>
      </w:r>
    </w:p>
    <w:p w14:paraId="5C439763" w14:textId="77777777" w:rsidR="00D12754" w:rsidRDefault="00141BBE">
      <w:pPr>
        <w:spacing w:after="160"/>
      </w:pPr>
      <w:r>
        <w:t>These two roles do not have standalone persona documents yet but are fully profiled in the Role-Based Messaging deck. Use them when a sequence or piece of content is aimed at an operational or compliance audience rather than product, finance, or engineering.</w:t>
      </w:r>
    </w:p>
    <w:p w14:paraId="28139CF0" w14:textId="77777777" w:rsidR="00D12754" w:rsidRDefault="00141BBE">
      <w:pPr>
        <w:pStyle w:val="Heading3"/>
      </w:pPr>
      <w:r>
        <w:t>Head of Payments / Programme Lead — Driver (D)</w:t>
      </w:r>
    </w:p>
    <w:p w14:paraId="13787337" w14:textId="77777777" w:rsidR="00D12754" w:rsidRDefault="00141BBE">
      <w:pPr>
        <w:spacing w:after="160"/>
      </w:pPr>
      <w:r>
        <w:t>Runs the vendor evaluation and coordinates stakeholders; losing this person means the deal never reaches formal approval. Use: reconciliation, settlement, disputes. Avoid: technical jargon with no operational context. Pillars: full visibility into every transaction, balance, and event in real time; automated reconciliation, dispute management, and settlement; seamless Visa and Mastercard connectivity. Example line: “Manage transactions, disputes, and settlement from a single operational view, with no manual</w:t>
      </w:r>
      <w:r>
        <w:t xml:space="preserve"> reconciliation required.”</w:t>
      </w:r>
    </w:p>
    <w:p w14:paraId="0EE8B829" w14:textId="77777777" w:rsidR="00D12754" w:rsidRDefault="00141BBE">
      <w:pPr>
        <w:pStyle w:val="Heading3"/>
      </w:pPr>
      <w:r>
        <w:t>Risk and Compliance / Legal — Contributor (C)</w:t>
      </w:r>
    </w:p>
    <w:p w14:paraId="10EDB2B2" w14:textId="77777777" w:rsidR="00D12754" w:rsidRDefault="00141BBE">
      <w:pPr>
        <w:spacing w:after="160"/>
      </w:pPr>
      <w:r>
        <w:t xml:space="preserve">Ensures regulatory and operational risk is acceptable; structures the deal and removes contractual risk. Use: compliance, risk, controls. Avoid: minimising regulatory complexity without evidence. Pillars: built to meet </w:t>
      </w:r>
      <w:r>
        <w:lastRenderedPageBreak/>
        <w:t>PCI DSS, PSD2, DORA, and scheme requirements; integrated fraud monitoring and transaction controls; clear SLAs, pricing, and responsibilities. Example line: “Reduce regulatory burden with built-in compliance and fraud controls designed for card issuing at scale.”</w:t>
      </w:r>
    </w:p>
    <w:p w14:paraId="09ED1A2E" w14:textId="77777777" w:rsidR="00D12754" w:rsidRDefault="00141BBE">
      <w:r>
        <w:br w:type="page"/>
      </w:r>
    </w:p>
    <w:p w14:paraId="6811FD12" w14:textId="77777777" w:rsidR="00D12754" w:rsidRDefault="00141BBE">
      <w:pPr>
        <w:pStyle w:val="Heading1"/>
        <w:spacing w:before="400" w:after="200"/>
      </w:pPr>
      <w:r>
        <w:lastRenderedPageBreak/>
        <w:t>4. How TXN talks about itself</w:t>
      </w:r>
    </w:p>
    <w:p w14:paraId="15269BBF" w14:textId="77777777" w:rsidR="00D12754" w:rsidRDefault="00141BBE">
      <w:pPr>
        <w:spacing w:after="160"/>
      </w:pPr>
      <w:r>
        <w:t>Source: TXN_Core_Messaging_v2.5.docx (07_GTM/03_Positioning_&amp;_Messaging/) — the single canonical source. If any other document, including this playbook, conflicts with Core Messaging, Core Messaging wins.</w:t>
      </w:r>
    </w:p>
    <w:p w14:paraId="053199B3" w14:textId="77777777" w:rsidR="00D12754" w:rsidRDefault="00141BBE">
      <w:pPr>
        <w:pStyle w:val="Heading2"/>
        <w:spacing w:before="300" w:after="150"/>
      </w:pPr>
      <w:r>
        <w:t>4.1 Positioning statement</w:t>
      </w:r>
    </w:p>
    <w:p w14:paraId="5AE21B0D" w14:textId="77777777" w:rsidR="00D12754" w:rsidRDefault="00141BBE">
      <w:pPr>
        <w:pBdr>
          <w:left w:val="single" w:sz="6" w:space="8" w:color="999999"/>
        </w:pBdr>
        <w:spacing w:after="160"/>
        <w:ind w:left="200"/>
      </w:pPr>
      <w:r>
        <w:rPr>
          <w:i/>
          <w:iCs/>
          <w:color w:val="555555"/>
        </w:rPr>
        <w:t>For European fintechs, digital banks, and embedded finance companies that need to launch and scale card programs faster without compromising on platform reliability, TXN is a next-generation issuer-processing platform that combines an intelligent developer and operator experience that removes the complexity of managing card programs with 25 years of proven processing heritage from Direct Transact, our co-founding owner. Unlike legacy processors that force a choice between flexibility and reliability, or fir</w:t>
      </w:r>
      <w:r>
        <w:rPr>
          <w:i/>
          <w:iCs/>
          <w:color w:val="555555"/>
        </w:rPr>
        <w:t>st-wave modern platforms that sacrifice depth for ease, we give teams control, speed, and resilience in one platform across three surfaces (API, console, and agentic AI), so teams can choose their mix.</w:t>
      </w:r>
    </w:p>
    <w:p w14:paraId="2F34B650" w14:textId="77777777" w:rsidR="00D12754" w:rsidRDefault="00141BBE">
      <w:pPr>
        <w:pStyle w:val="Heading2"/>
        <w:spacing w:before="300" w:after="150"/>
      </w:pPr>
      <w:r>
        <w:t>4.2 Ready-to-use short forms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00"/>
      </w:tblGrid>
      <w:tr w:rsidR="00D12754" w14:paraId="6CD89DCC"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1442E6D1" w14:textId="77777777" w:rsidR="00D12754" w:rsidRDefault="00141BBE">
            <w:r>
              <w:rPr>
                <w:b/>
                <w:bCs/>
                <w:color w:val="FFFFFF"/>
                <w:sz w:val="20"/>
                <w:szCs w:val="20"/>
              </w:rPr>
              <w:t>Format</w:t>
            </w:r>
          </w:p>
        </w:tc>
        <w:tc>
          <w:tcPr>
            <w:tcW w:w="7800" w:type="dxa"/>
            <w:shd w:val="clear" w:color="auto" w:fill="1F3864"/>
            <w:tcMar>
              <w:top w:w="80" w:type="dxa"/>
              <w:left w:w="100" w:type="dxa"/>
              <w:bottom w:w="80" w:type="dxa"/>
              <w:right w:w="100" w:type="dxa"/>
            </w:tcMar>
          </w:tcPr>
          <w:p w14:paraId="659DABE7" w14:textId="77777777" w:rsidR="00D12754" w:rsidRDefault="00141BBE">
            <w:r>
              <w:rPr>
                <w:b/>
                <w:bCs/>
                <w:color w:val="FFFFFF"/>
                <w:sz w:val="20"/>
                <w:szCs w:val="20"/>
              </w:rPr>
              <w:t>Copy</w:t>
            </w:r>
          </w:p>
        </w:tc>
      </w:tr>
      <w:tr w:rsidR="00D12754" w14:paraId="3C1B3073" w14:textId="77777777">
        <w:tblPrEx>
          <w:tblCellMar>
            <w:top w:w="0" w:type="dxa"/>
            <w:bottom w:w="0" w:type="dxa"/>
          </w:tblCellMar>
        </w:tblPrEx>
        <w:tc>
          <w:tcPr>
            <w:tcW w:w="2200" w:type="dxa"/>
            <w:tcMar>
              <w:top w:w="80" w:type="dxa"/>
              <w:left w:w="100" w:type="dxa"/>
              <w:bottom w:w="80" w:type="dxa"/>
              <w:right w:w="100" w:type="dxa"/>
            </w:tcMar>
          </w:tcPr>
          <w:p w14:paraId="4D2A95FE" w14:textId="77777777" w:rsidR="00D12754" w:rsidRDefault="00141BBE">
            <w:r>
              <w:rPr>
                <w:color w:val="000000"/>
                <w:sz w:val="20"/>
                <w:szCs w:val="20"/>
              </w:rPr>
              <w:t>Website H1 / one-liner</w:t>
            </w:r>
          </w:p>
        </w:tc>
        <w:tc>
          <w:tcPr>
            <w:tcW w:w="7800" w:type="dxa"/>
            <w:tcMar>
              <w:top w:w="80" w:type="dxa"/>
              <w:left w:w="100" w:type="dxa"/>
              <w:bottom w:w="80" w:type="dxa"/>
              <w:right w:w="100" w:type="dxa"/>
            </w:tcMar>
          </w:tcPr>
          <w:p w14:paraId="75C906EA" w14:textId="77777777" w:rsidR="00D12754" w:rsidRDefault="00141BBE">
            <w:r>
              <w:rPr>
                <w:color w:val="000000"/>
                <w:sz w:val="20"/>
                <w:szCs w:val="20"/>
              </w:rPr>
              <w:t>Intelligence built in. Complexity taken out.</w:t>
            </w:r>
          </w:p>
        </w:tc>
      </w:tr>
      <w:tr w:rsidR="00D12754" w14:paraId="63DFEFB5" w14:textId="77777777">
        <w:tblPrEx>
          <w:tblCellMar>
            <w:top w:w="0" w:type="dxa"/>
            <w:bottom w:w="0" w:type="dxa"/>
          </w:tblCellMar>
        </w:tblPrEx>
        <w:tc>
          <w:tcPr>
            <w:tcW w:w="2200" w:type="dxa"/>
            <w:tcMar>
              <w:top w:w="80" w:type="dxa"/>
              <w:left w:w="100" w:type="dxa"/>
              <w:bottom w:w="80" w:type="dxa"/>
              <w:right w:w="100" w:type="dxa"/>
            </w:tcMar>
          </w:tcPr>
          <w:p w14:paraId="7A1E85C3" w14:textId="77777777" w:rsidR="00D12754" w:rsidRDefault="00141BBE">
            <w:r>
              <w:rPr>
                <w:color w:val="000000"/>
                <w:sz w:val="20"/>
                <w:szCs w:val="20"/>
              </w:rPr>
              <w:t>LinkedIn tagline</w:t>
            </w:r>
          </w:p>
        </w:tc>
        <w:tc>
          <w:tcPr>
            <w:tcW w:w="7800" w:type="dxa"/>
            <w:tcMar>
              <w:top w:w="80" w:type="dxa"/>
              <w:left w:w="100" w:type="dxa"/>
              <w:bottom w:w="80" w:type="dxa"/>
              <w:right w:w="100" w:type="dxa"/>
            </w:tcMar>
          </w:tcPr>
          <w:p w14:paraId="7FFE8FCF" w14:textId="77777777" w:rsidR="00D12754" w:rsidRDefault="00141BBE">
            <w:r>
              <w:rPr>
                <w:color w:val="000000"/>
                <w:sz w:val="20"/>
                <w:szCs w:val="20"/>
              </w:rPr>
              <w:t>Next-generation issuer processing for European fintechs. Intelligent. Proven.</w:t>
            </w:r>
          </w:p>
        </w:tc>
      </w:tr>
      <w:tr w:rsidR="00D12754" w14:paraId="44349FFB" w14:textId="77777777">
        <w:tblPrEx>
          <w:tblCellMar>
            <w:top w:w="0" w:type="dxa"/>
            <w:bottom w:w="0" w:type="dxa"/>
          </w:tblCellMar>
        </w:tblPrEx>
        <w:tc>
          <w:tcPr>
            <w:tcW w:w="2200" w:type="dxa"/>
            <w:tcMar>
              <w:top w:w="80" w:type="dxa"/>
              <w:left w:w="100" w:type="dxa"/>
              <w:bottom w:w="80" w:type="dxa"/>
              <w:right w:w="100" w:type="dxa"/>
            </w:tcMar>
          </w:tcPr>
          <w:p w14:paraId="20FBE82B" w14:textId="77777777" w:rsidR="00D12754" w:rsidRDefault="00141BBE">
            <w:r>
              <w:rPr>
                <w:color w:val="000000"/>
                <w:sz w:val="20"/>
                <w:szCs w:val="20"/>
              </w:rPr>
              <w:t>Tweet / short social (280 chars)</w:t>
            </w:r>
          </w:p>
        </w:tc>
        <w:tc>
          <w:tcPr>
            <w:tcW w:w="7800" w:type="dxa"/>
            <w:tcMar>
              <w:top w:w="80" w:type="dxa"/>
              <w:left w:w="100" w:type="dxa"/>
              <w:bottom w:w="80" w:type="dxa"/>
              <w:right w:w="100" w:type="dxa"/>
            </w:tcMar>
          </w:tcPr>
          <w:p w14:paraId="7B06854C" w14:textId="77777777" w:rsidR="00D12754" w:rsidRDefault="00141BBE">
            <w:r>
              <w:rPr>
                <w:color w:val="000000"/>
                <w:sz w:val="20"/>
                <w:szCs w:val="20"/>
              </w:rPr>
              <w:t>Card programs deserve a modern platform. TXN gives you an intelligent developer and operator experience that removes the complexity of managing card programs, and proven processing reliability, so you can launch in weeks and scale without rewrites.</w:t>
            </w:r>
          </w:p>
        </w:tc>
      </w:tr>
      <w:tr w:rsidR="00D12754" w14:paraId="794E952E" w14:textId="77777777">
        <w:tblPrEx>
          <w:tblCellMar>
            <w:top w:w="0" w:type="dxa"/>
            <w:bottom w:w="0" w:type="dxa"/>
          </w:tblCellMar>
        </w:tblPrEx>
        <w:tc>
          <w:tcPr>
            <w:tcW w:w="2200" w:type="dxa"/>
            <w:tcMar>
              <w:top w:w="80" w:type="dxa"/>
              <w:left w:w="100" w:type="dxa"/>
              <w:bottom w:w="80" w:type="dxa"/>
              <w:right w:w="100" w:type="dxa"/>
            </w:tcMar>
          </w:tcPr>
          <w:p w14:paraId="31EA4543" w14:textId="77777777" w:rsidR="00D12754" w:rsidRDefault="00141BBE">
            <w:r>
              <w:rPr>
                <w:color w:val="000000"/>
                <w:sz w:val="20"/>
                <w:szCs w:val="20"/>
              </w:rPr>
              <w:t>50-word description</w:t>
            </w:r>
          </w:p>
        </w:tc>
        <w:tc>
          <w:tcPr>
            <w:tcW w:w="7800" w:type="dxa"/>
            <w:tcMar>
              <w:top w:w="80" w:type="dxa"/>
              <w:left w:w="100" w:type="dxa"/>
              <w:bottom w:w="80" w:type="dxa"/>
              <w:right w:w="100" w:type="dxa"/>
            </w:tcMar>
          </w:tcPr>
          <w:p w14:paraId="036FF675" w14:textId="77777777" w:rsidR="00D12754" w:rsidRDefault="00141BBE">
            <w:r>
              <w:rPr>
                <w:color w:val="000000"/>
                <w:sz w:val="20"/>
                <w:szCs w:val="20"/>
              </w:rPr>
              <w:t>TXN is a next-generation issuer-processing platform built for European fintechs, digital banks, and embedded finance companies that refuse to compromise. Our platform combines an intelligent developer and operator experience that removes the complexity of managing card programs with 25 years of proven processing heritage from Direct Transact, our co-founding owner, giving teams API, console, and agentic AI control over their card programs.</w:t>
            </w:r>
          </w:p>
        </w:tc>
      </w:tr>
      <w:tr w:rsidR="00D12754" w14:paraId="77CF4886" w14:textId="77777777">
        <w:tblPrEx>
          <w:tblCellMar>
            <w:top w:w="0" w:type="dxa"/>
            <w:bottom w:w="0" w:type="dxa"/>
          </w:tblCellMar>
        </w:tblPrEx>
        <w:tc>
          <w:tcPr>
            <w:tcW w:w="2200" w:type="dxa"/>
            <w:tcMar>
              <w:top w:w="80" w:type="dxa"/>
              <w:left w:w="100" w:type="dxa"/>
              <w:bottom w:w="80" w:type="dxa"/>
              <w:right w:w="100" w:type="dxa"/>
            </w:tcMar>
          </w:tcPr>
          <w:p w14:paraId="56BE0C22" w14:textId="77777777" w:rsidR="00D12754" w:rsidRDefault="00141BBE">
            <w:r>
              <w:rPr>
                <w:color w:val="000000"/>
                <w:sz w:val="20"/>
                <w:szCs w:val="20"/>
              </w:rPr>
              <w:t>Website subhead</w:t>
            </w:r>
          </w:p>
        </w:tc>
        <w:tc>
          <w:tcPr>
            <w:tcW w:w="7800" w:type="dxa"/>
            <w:tcMar>
              <w:top w:w="80" w:type="dxa"/>
              <w:left w:w="100" w:type="dxa"/>
              <w:bottom w:w="80" w:type="dxa"/>
              <w:right w:w="100" w:type="dxa"/>
            </w:tcMar>
          </w:tcPr>
          <w:p w14:paraId="53E448F2" w14:textId="77777777" w:rsidR="00D12754" w:rsidRDefault="00141BBE">
            <w:r>
              <w:rPr>
                <w:color w:val="000000"/>
                <w:sz w:val="20"/>
                <w:szCs w:val="20"/>
              </w:rPr>
              <w:t>An intelligent developer and operator experience that removes the complexity of managing card programs, backed by 25 years of proven processing heritage from Direct Transact, our co-founding owner. Launch in weeks. Scale without rewrites.</w:t>
            </w:r>
          </w:p>
        </w:tc>
      </w:tr>
    </w:tbl>
    <w:p w14:paraId="661E2A00" w14:textId="77777777" w:rsidR="00D12754" w:rsidRDefault="00141BBE">
      <w:pPr>
        <w:pStyle w:val="Heading2"/>
        <w:spacing w:before="300" w:after="150"/>
      </w:pPr>
      <w:r>
        <w:t>4.3 The five messaging pillars</w:t>
      </w:r>
    </w:p>
    <w:p w14:paraId="2E3E1C71" w14:textId="77777777" w:rsidR="00D12754" w:rsidRDefault="00141BBE">
      <w:pPr>
        <w:pStyle w:val="ListParagraph"/>
        <w:numPr>
          <w:ilvl w:val="0"/>
          <w:numId w:val="2"/>
        </w:numPr>
        <w:spacing w:after="80"/>
      </w:pPr>
      <w:r>
        <w:t>Pillar 1 — Launch and evolve products faster. Weeks to launch instead of quarters; cheap iteration after launch. Primary persona: Champion; Primary User validates feasibility.</w:t>
      </w:r>
    </w:p>
    <w:p w14:paraId="1FD5D7BF" w14:textId="77777777" w:rsidR="00D12754" w:rsidRDefault="00141BBE">
      <w:pPr>
        <w:pStyle w:val="ListParagraph"/>
        <w:numPr>
          <w:ilvl w:val="0"/>
          <w:numId w:val="2"/>
        </w:numPr>
        <w:spacing w:after="80"/>
      </w:pPr>
      <w:r>
        <w:t>Pillar 2 — Focus effort on creating customer value. Removes platform plumbing so teams spend time on proposition and growth. Primary persona: Champion; Economic Buyer indirectly via reduced engineering cost.</w:t>
      </w:r>
    </w:p>
    <w:p w14:paraId="69C272CE" w14:textId="77777777" w:rsidR="00D12754" w:rsidRDefault="00141BBE">
      <w:pPr>
        <w:pStyle w:val="ListParagraph"/>
        <w:numPr>
          <w:ilvl w:val="0"/>
          <w:numId w:val="2"/>
        </w:numPr>
        <w:spacing w:after="80"/>
      </w:pPr>
      <w:r>
        <w:t>Pillar 3 — Experiences that delight. Programmable controls and real-time data let clients build cards cardholders notice. Primary persona: Champion.</w:t>
      </w:r>
    </w:p>
    <w:p w14:paraId="63BB406B" w14:textId="77777777" w:rsidR="00D12754" w:rsidRDefault="00141BBE">
      <w:pPr>
        <w:pStyle w:val="ListParagraph"/>
        <w:numPr>
          <w:ilvl w:val="0"/>
          <w:numId w:val="2"/>
        </w:numPr>
        <w:spacing w:after="80"/>
      </w:pPr>
      <w:r>
        <w:t>Pillar 4 — Peace of mind on security and operational resilience. Passes regulated procurement and audit. Primary persona: Primary User and Economic Buyer.</w:t>
      </w:r>
    </w:p>
    <w:p w14:paraId="21A3452E" w14:textId="77777777" w:rsidR="00D12754" w:rsidRDefault="00141BBE">
      <w:pPr>
        <w:pStyle w:val="ListParagraph"/>
        <w:numPr>
          <w:ilvl w:val="0"/>
          <w:numId w:val="2"/>
        </w:numPr>
        <w:spacing w:after="80"/>
      </w:pPr>
      <w:r>
        <w:t>Pillar 5 — Manage card programs efficiently. Lower unit cost, faster incident resolution, data-driven decisions. Primary persona: Economic Buyer and Head of Payments.</w:t>
      </w:r>
    </w:p>
    <w:p w14:paraId="0FA1B64D" w14:textId="77777777" w:rsidR="00D12754" w:rsidRDefault="00141BBE">
      <w:pPr>
        <w:pStyle w:val="Heading2"/>
        <w:spacing w:before="300" w:after="150"/>
      </w:pPr>
      <w:r>
        <w:t>4.4 Elevator pitches</w:t>
      </w:r>
    </w:p>
    <w:p w14:paraId="49DB717A" w14:textId="77777777" w:rsidR="00D12754" w:rsidRDefault="00141BBE">
      <w:pPr>
        <w:pStyle w:val="Heading3"/>
      </w:pPr>
      <w:r>
        <w:t>30-second pitch</w:t>
      </w:r>
    </w:p>
    <w:p w14:paraId="029D366E" w14:textId="77777777" w:rsidR="00D12754" w:rsidRDefault="00141BBE">
      <w:pPr>
        <w:spacing w:after="160"/>
      </w:pPr>
      <w:r>
        <w:t xml:space="preserve">“TXN is a next-generation issuer-processing platform. We help European fintechs, digital banks, and embedded finance companies launch and scale card programs in weeks, not months, with proven </w:t>
      </w:r>
      <w:r>
        <w:lastRenderedPageBreak/>
        <w:t>processing reliability earned over 25 years by Direct Transact, our co-founding owner. Our customers get an intelligent developer and operator experience that removes the complexity of managing card programs, a self-serve console, and agentic AI support for their own AI tools. No compromise between flexibility and resilience.”</w:t>
      </w:r>
    </w:p>
    <w:p w14:paraId="643DDD05" w14:textId="77777777" w:rsidR="00D12754" w:rsidRDefault="00141BBE">
      <w:pPr>
        <w:pStyle w:val="Heading2"/>
        <w:spacing w:before="300" w:after="150"/>
      </w:pPr>
      <w:r>
        <w:t xml:space="preserve">4.5 Competitive differentiation, </w:t>
      </w:r>
      <w:proofErr w:type="gramStart"/>
      <w:r>
        <w:t>at a glance</w:t>
      </w:r>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200"/>
      </w:tblGrid>
      <w:tr w:rsidR="00D12754" w14:paraId="58A56142"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tcPr>
          <w:p w14:paraId="3454F877" w14:textId="77777777" w:rsidR="00D12754" w:rsidRDefault="00141BBE">
            <w:r>
              <w:rPr>
                <w:b/>
                <w:bCs/>
                <w:color w:val="FFFFFF"/>
                <w:sz w:val="20"/>
                <w:szCs w:val="20"/>
              </w:rPr>
              <w:t>Versus</w:t>
            </w:r>
          </w:p>
        </w:tc>
        <w:tc>
          <w:tcPr>
            <w:tcW w:w="8200" w:type="dxa"/>
            <w:shd w:val="clear" w:color="auto" w:fill="1F3864"/>
            <w:tcMar>
              <w:top w:w="80" w:type="dxa"/>
              <w:left w:w="100" w:type="dxa"/>
              <w:bottom w:w="80" w:type="dxa"/>
              <w:right w:w="100" w:type="dxa"/>
            </w:tcMar>
          </w:tcPr>
          <w:p w14:paraId="3ACCAA13" w14:textId="77777777" w:rsidR="00D12754" w:rsidRDefault="00141BBE">
            <w:r>
              <w:rPr>
                <w:b/>
                <w:bCs/>
                <w:color w:val="FFFFFF"/>
                <w:sz w:val="20"/>
                <w:szCs w:val="20"/>
              </w:rPr>
              <w:t>Where TXN wins</w:t>
            </w:r>
          </w:p>
        </w:tc>
      </w:tr>
      <w:tr w:rsidR="00D12754" w14:paraId="1BB57E98" w14:textId="77777777">
        <w:tblPrEx>
          <w:tblCellMar>
            <w:top w:w="0" w:type="dxa"/>
            <w:bottom w:w="0" w:type="dxa"/>
          </w:tblCellMar>
        </w:tblPrEx>
        <w:tc>
          <w:tcPr>
            <w:tcW w:w="1800" w:type="dxa"/>
            <w:tcMar>
              <w:top w:w="80" w:type="dxa"/>
              <w:left w:w="100" w:type="dxa"/>
              <w:bottom w:w="80" w:type="dxa"/>
              <w:right w:w="100" w:type="dxa"/>
            </w:tcMar>
          </w:tcPr>
          <w:p w14:paraId="5B911052" w14:textId="77777777" w:rsidR="00D12754" w:rsidRDefault="00141BBE">
            <w:r>
              <w:rPr>
                <w:color w:val="000000"/>
                <w:sz w:val="20"/>
                <w:szCs w:val="20"/>
              </w:rPr>
              <w:t>Marqeta</w:t>
            </w:r>
          </w:p>
        </w:tc>
        <w:tc>
          <w:tcPr>
            <w:tcW w:w="8200" w:type="dxa"/>
            <w:tcMar>
              <w:top w:w="80" w:type="dxa"/>
              <w:left w:w="100" w:type="dxa"/>
              <w:bottom w:w="80" w:type="dxa"/>
              <w:right w:w="100" w:type="dxa"/>
            </w:tcMar>
          </w:tcPr>
          <w:p w14:paraId="672BF07B" w14:textId="77777777" w:rsidR="00D12754" w:rsidRDefault="00141BBE">
            <w:r>
              <w:rPr>
                <w:color w:val="000000"/>
                <w:sz w:val="20"/>
                <w:szCs w:val="20"/>
              </w:rPr>
              <w:t>Proven regulated processing heritage via Direct Transact; lower total cost at European scale; single platform rather than stitched layers; European-native delivery.</w:t>
            </w:r>
          </w:p>
        </w:tc>
      </w:tr>
      <w:tr w:rsidR="00D12754" w14:paraId="5078A6A4" w14:textId="77777777">
        <w:tblPrEx>
          <w:tblCellMar>
            <w:top w:w="0" w:type="dxa"/>
            <w:bottom w:w="0" w:type="dxa"/>
          </w:tblCellMar>
        </w:tblPrEx>
        <w:tc>
          <w:tcPr>
            <w:tcW w:w="1800" w:type="dxa"/>
            <w:tcMar>
              <w:top w:w="80" w:type="dxa"/>
              <w:left w:w="100" w:type="dxa"/>
              <w:bottom w:w="80" w:type="dxa"/>
              <w:right w:w="100" w:type="dxa"/>
            </w:tcMar>
          </w:tcPr>
          <w:p w14:paraId="1CC653E1" w14:textId="77777777" w:rsidR="00D12754" w:rsidRDefault="00141BBE">
            <w:r>
              <w:rPr>
                <w:color w:val="000000"/>
                <w:sz w:val="20"/>
                <w:szCs w:val="20"/>
              </w:rPr>
              <w:t>Paymentology</w:t>
            </w:r>
          </w:p>
        </w:tc>
        <w:tc>
          <w:tcPr>
            <w:tcW w:w="8200" w:type="dxa"/>
            <w:tcMar>
              <w:top w:w="80" w:type="dxa"/>
              <w:left w:w="100" w:type="dxa"/>
              <w:bottom w:w="80" w:type="dxa"/>
              <w:right w:w="100" w:type="dxa"/>
            </w:tcMar>
          </w:tcPr>
          <w:p w14:paraId="7F8C9D3A" w14:textId="77777777" w:rsidR="00D12754" w:rsidRDefault="00141BBE">
            <w:r>
              <w:rPr>
                <w:color w:val="000000"/>
                <w:sz w:val="20"/>
                <w:szCs w:val="20"/>
              </w:rPr>
              <w:t>Intelligent developer and operator experience; self-serve console; faster time-to-launch; stronger European sub-sector coverage.</w:t>
            </w:r>
          </w:p>
        </w:tc>
      </w:tr>
      <w:tr w:rsidR="00D12754" w14:paraId="17EDE3BC" w14:textId="77777777">
        <w:tblPrEx>
          <w:tblCellMar>
            <w:top w:w="0" w:type="dxa"/>
            <w:bottom w:w="0" w:type="dxa"/>
          </w:tblCellMar>
        </w:tblPrEx>
        <w:tc>
          <w:tcPr>
            <w:tcW w:w="1800" w:type="dxa"/>
            <w:tcMar>
              <w:top w:w="80" w:type="dxa"/>
              <w:left w:w="100" w:type="dxa"/>
              <w:bottom w:w="80" w:type="dxa"/>
              <w:right w:w="100" w:type="dxa"/>
            </w:tcMar>
          </w:tcPr>
          <w:p w14:paraId="3F9DC30F" w14:textId="77777777" w:rsidR="00D12754" w:rsidRDefault="00141BBE">
            <w:r>
              <w:rPr>
                <w:color w:val="000000"/>
                <w:sz w:val="20"/>
                <w:szCs w:val="20"/>
              </w:rPr>
              <w:t>Thredd (ex-GPS)</w:t>
            </w:r>
          </w:p>
        </w:tc>
        <w:tc>
          <w:tcPr>
            <w:tcW w:w="8200" w:type="dxa"/>
            <w:tcMar>
              <w:top w:w="80" w:type="dxa"/>
              <w:left w:w="100" w:type="dxa"/>
              <w:bottom w:w="80" w:type="dxa"/>
              <w:right w:w="100" w:type="dxa"/>
            </w:tcMar>
          </w:tcPr>
          <w:p w14:paraId="2250FC5B" w14:textId="77777777" w:rsidR="00D12754" w:rsidRDefault="00141BBE">
            <w:r>
              <w:rPr>
                <w:color w:val="000000"/>
                <w:sz w:val="20"/>
                <w:szCs w:val="20"/>
              </w:rPr>
              <w:t>Cloud-native architecture versus legacy roots; programmable controls; agentic AI surface.</w:t>
            </w:r>
          </w:p>
        </w:tc>
      </w:tr>
      <w:tr w:rsidR="00D12754" w14:paraId="7E7DB384" w14:textId="77777777">
        <w:tblPrEx>
          <w:tblCellMar>
            <w:top w:w="0" w:type="dxa"/>
            <w:bottom w:w="0" w:type="dxa"/>
          </w:tblCellMar>
        </w:tblPrEx>
        <w:tc>
          <w:tcPr>
            <w:tcW w:w="1800" w:type="dxa"/>
            <w:tcMar>
              <w:top w:w="80" w:type="dxa"/>
              <w:left w:w="100" w:type="dxa"/>
              <w:bottom w:w="80" w:type="dxa"/>
              <w:right w:w="100" w:type="dxa"/>
            </w:tcMar>
          </w:tcPr>
          <w:p w14:paraId="1C467160" w14:textId="77777777" w:rsidR="00D12754" w:rsidRDefault="00141BBE">
            <w:r>
              <w:rPr>
                <w:color w:val="000000"/>
                <w:sz w:val="20"/>
                <w:szCs w:val="20"/>
              </w:rPr>
              <w:t>Enfuce</w:t>
            </w:r>
          </w:p>
        </w:tc>
        <w:tc>
          <w:tcPr>
            <w:tcW w:w="8200" w:type="dxa"/>
            <w:tcMar>
              <w:top w:w="80" w:type="dxa"/>
              <w:left w:w="100" w:type="dxa"/>
              <w:bottom w:w="80" w:type="dxa"/>
              <w:right w:w="100" w:type="dxa"/>
            </w:tcMar>
          </w:tcPr>
          <w:p w14:paraId="55782DB1" w14:textId="77777777" w:rsidR="00D12754" w:rsidRDefault="00141BBE">
            <w:r>
              <w:rPr>
                <w:color w:val="000000"/>
                <w:sz w:val="20"/>
                <w:szCs w:val="20"/>
              </w:rPr>
              <w:t>Broader sub-sector coverage; deeper processing heritage; stronger developer and operator experience.</w:t>
            </w:r>
          </w:p>
        </w:tc>
      </w:tr>
      <w:tr w:rsidR="00D12754" w14:paraId="589959F7" w14:textId="77777777">
        <w:tblPrEx>
          <w:tblCellMar>
            <w:top w:w="0" w:type="dxa"/>
            <w:bottom w:w="0" w:type="dxa"/>
          </w:tblCellMar>
        </w:tblPrEx>
        <w:tc>
          <w:tcPr>
            <w:tcW w:w="1800" w:type="dxa"/>
            <w:tcMar>
              <w:top w:w="80" w:type="dxa"/>
              <w:left w:w="100" w:type="dxa"/>
              <w:bottom w:w="80" w:type="dxa"/>
              <w:right w:w="100" w:type="dxa"/>
            </w:tcMar>
          </w:tcPr>
          <w:p w14:paraId="375CD573" w14:textId="77777777" w:rsidR="00D12754" w:rsidRDefault="00141BBE">
            <w:r>
              <w:rPr>
                <w:color w:val="000000"/>
                <w:sz w:val="20"/>
                <w:szCs w:val="20"/>
              </w:rPr>
              <w:t>Episode Six</w:t>
            </w:r>
          </w:p>
        </w:tc>
        <w:tc>
          <w:tcPr>
            <w:tcW w:w="8200" w:type="dxa"/>
            <w:tcMar>
              <w:top w:w="80" w:type="dxa"/>
              <w:left w:w="100" w:type="dxa"/>
              <w:bottom w:w="80" w:type="dxa"/>
              <w:right w:w="100" w:type="dxa"/>
            </w:tcMar>
          </w:tcPr>
          <w:p w14:paraId="7F757869" w14:textId="77777777" w:rsidR="00D12754" w:rsidRDefault="00141BBE">
            <w:r>
              <w:rPr>
                <w:color w:val="000000"/>
                <w:sz w:val="20"/>
                <w:szCs w:val="20"/>
              </w:rPr>
              <w:t>Deeper regulated processing heritage; stronger European reference base as TXN matures; broader sub-sector coverage.</w:t>
            </w:r>
          </w:p>
        </w:tc>
      </w:tr>
      <w:tr w:rsidR="00D12754" w14:paraId="03C7E88D" w14:textId="77777777">
        <w:tblPrEx>
          <w:tblCellMar>
            <w:top w:w="0" w:type="dxa"/>
            <w:bottom w:w="0" w:type="dxa"/>
          </w:tblCellMar>
        </w:tblPrEx>
        <w:tc>
          <w:tcPr>
            <w:tcW w:w="1800" w:type="dxa"/>
            <w:tcMar>
              <w:top w:w="80" w:type="dxa"/>
              <w:left w:w="100" w:type="dxa"/>
              <w:bottom w:w="80" w:type="dxa"/>
              <w:right w:w="100" w:type="dxa"/>
            </w:tcMar>
          </w:tcPr>
          <w:p w14:paraId="0E1D424F" w14:textId="77777777" w:rsidR="00D12754" w:rsidRDefault="00141BBE">
            <w:r>
              <w:rPr>
                <w:color w:val="000000"/>
                <w:sz w:val="20"/>
                <w:szCs w:val="20"/>
              </w:rPr>
              <w:t>Pismo</w:t>
            </w:r>
          </w:p>
        </w:tc>
        <w:tc>
          <w:tcPr>
            <w:tcW w:w="8200" w:type="dxa"/>
            <w:tcMar>
              <w:top w:w="80" w:type="dxa"/>
              <w:left w:w="100" w:type="dxa"/>
              <w:bottom w:w="80" w:type="dxa"/>
              <w:right w:w="100" w:type="dxa"/>
            </w:tcMar>
          </w:tcPr>
          <w:p w14:paraId="1385818E" w14:textId="77777777" w:rsidR="00D12754" w:rsidRDefault="00141BBE">
            <w:r>
              <w:rPr>
                <w:color w:val="000000"/>
                <w:sz w:val="20"/>
                <w:szCs w:val="20"/>
              </w:rPr>
              <w:t>European-native scheme and BIN sponsor relationships with no Visa-ownership conflict; proven European regulatory fluency.</w:t>
            </w:r>
          </w:p>
        </w:tc>
      </w:tr>
    </w:tbl>
    <w:p w14:paraId="27311309" w14:textId="77777777" w:rsidR="00D12754" w:rsidRDefault="00141BBE">
      <w:pPr>
        <w:spacing w:after="160"/>
      </w:pPr>
      <w:r>
        <w:t>Full detail, including each competitor's recent signals and TXN's hypothesised win/loss themes against them, is held in TXN_GTM_Competitive_Landscape_v0.2.docx and summarised in Section 6 of this playbook.</w:t>
      </w:r>
    </w:p>
    <w:p w14:paraId="20B40162" w14:textId="77777777" w:rsidR="00D12754" w:rsidRDefault="00141BBE">
      <w:r>
        <w:br w:type="page"/>
      </w:r>
    </w:p>
    <w:p w14:paraId="34A5E086" w14:textId="77777777" w:rsidR="00D12754" w:rsidRDefault="00141BBE">
      <w:pPr>
        <w:pStyle w:val="Heading1"/>
        <w:spacing w:before="400" w:after="200"/>
      </w:pPr>
      <w:r>
        <w:lastRenderedPageBreak/>
        <w:t>5. Tone of voice and hard rules</w:t>
      </w:r>
    </w:p>
    <w:p w14:paraId="5AA338F0" w14:textId="77777777" w:rsidR="00D12754" w:rsidRDefault="00141BBE">
      <w:pPr>
        <w:spacing w:after="160"/>
      </w:pPr>
      <w:r>
        <w:t>These rules are non-negotiable and apply to every email, LinkedIn message, and piece of content produced on TXN's behalf. Source: Core Messaging v2.5 Section 10, TXN_JV_Messaging_Framework_v2.2.docx, and the 07_GTM CLAUDE.md governance note.</w:t>
      </w:r>
    </w:p>
    <w:p w14:paraId="42CC3B3C" w14:textId="77777777" w:rsidR="00D12754" w:rsidRDefault="00141BBE">
      <w:pPr>
        <w:pStyle w:val="Heading2"/>
        <w:spacing w:before="300" w:after="150"/>
      </w:pPr>
      <w:r>
        <w:t>5.1 How TXN sounds</w:t>
      </w:r>
    </w:p>
    <w:p w14:paraId="300943CA" w14:textId="77777777" w:rsidR="00D12754" w:rsidRDefault="00141BBE">
      <w:pPr>
        <w:pStyle w:val="ListParagraph"/>
        <w:numPr>
          <w:ilvl w:val="0"/>
          <w:numId w:val="2"/>
        </w:numPr>
        <w:spacing w:after="80"/>
      </w:pPr>
      <w:r>
        <w:t>Confident, plain-spoken, technically fluent. We respect the reader's time and intelligence.</w:t>
      </w:r>
    </w:p>
    <w:p w14:paraId="6E7A71CC" w14:textId="77777777" w:rsidR="00D12754" w:rsidRDefault="00141BBE">
      <w:pPr>
        <w:pStyle w:val="ListParagraph"/>
        <w:numPr>
          <w:ilvl w:val="0"/>
          <w:numId w:val="2"/>
        </w:numPr>
        <w:spacing w:after="80"/>
      </w:pPr>
      <w:r>
        <w:t>We say what we do and what it costs the customer not to have us.</w:t>
      </w:r>
    </w:p>
    <w:p w14:paraId="6A6CA202" w14:textId="77777777" w:rsidR="00D12754" w:rsidRDefault="00141BBE">
      <w:pPr>
        <w:pStyle w:val="ListParagraph"/>
        <w:numPr>
          <w:ilvl w:val="0"/>
          <w:numId w:val="2"/>
        </w:numPr>
        <w:spacing w:after="80"/>
      </w:pPr>
      <w:r>
        <w:t>We do not sound like vendor jargon, hype, or generic payments marketing speak.</w:t>
      </w:r>
    </w:p>
    <w:p w14:paraId="64900D27" w14:textId="77777777" w:rsidR="00D12754" w:rsidRDefault="00141BBE">
      <w:pPr>
        <w:pStyle w:val="Heading2"/>
        <w:spacing w:before="300" w:after="150"/>
      </w:pPr>
      <w:r>
        <w:t>5.2 Style rules</w:t>
      </w:r>
    </w:p>
    <w:p w14:paraId="055576A0" w14:textId="77777777" w:rsidR="00D12754" w:rsidRDefault="00141BBE">
      <w:pPr>
        <w:pStyle w:val="ListParagraph"/>
        <w:numPr>
          <w:ilvl w:val="0"/>
          <w:numId w:val="2"/>
        </w:numPr>
        <w:spacing w:after="80"/>
      </w:pPr>
      <w:r>
        <w:t>British English spelling throughout (realise, colour, analyse, organisation), with one deliberate exception below.</w:t>
      </w:r>
    </w:p>
    <w:p w14:paraId="3AB4895B" w14:textId="77777777" w:rsidR="00D12754" w:rsidRDefault="00141BBE">
      <w:pPr>
        <w:pStyle w:val="ListParagraph"/>
        <w:numPr>
          <w:ilvl w:val="0"/>
          <w:numId w:val="2"/>
        </w:numPr>
        <w:spacing w:after="80"/>
      </w:pPr>
      <w:r>
        <w:t>Exception: use “program” and “programs”, never “programme” or “programmes”. TXN's own platform UI uses this spelling and consistency with the product takes precedence.</w:t>
      </w:r>
    </w:p>
    <w:p w14:paraId="3B06287F" w14:textId="77777777" w:rsidR="00D12754" w:rsidRDefault="00141BBE">
      <w:pPr>
        <w:pStyle w:val="ListParagraph"/>
        <w:numPr>
          <w:ilvl w:val="0"/>
          <w:numId w:val="2"/>
        </w:numPr>
        <w:spacing w:after="80"/>
      </w:pPr>
      <w:r>
        <w:t xml:space="preserve">No </w:t>
      </w:r>
      <w:proofErr w:type="spellStart"/>
      <w:r>
        <w:t>em</w:t>
      </w:r>
      <w:proofErr w:type="spellEnd"/>
      <w:r>
        <w:t xml:space="preserve"> dashes. Use commas, colons, parentheses, or full stops instead.</w:t>
      </w:r>
    </w:p>
    <w:p w14:paraId="764C7211" w14:textId="77777777" w:rsidR="00D12754" w:rsidRDefault="00141BBE">
      <w:pPr>
        <w:pStyle w:val="ListParagraph"/>
        <w:numPr>
          <w:ilvl w:val="0"/>
          <w:numId w:val="2"/>
        </w:numPr>
        <w:spacing w:after="80"/>
      </w:pPr>
      <w:r>
        <w:t>Active voice. No passive constructions.</w:t>
      </w:r>
    </w:p>
    <w:p w14:paraId="6DC0DF86" w14:textId="77777777" w:rsidR="00D12754" w:rsidRDefault="00141BBE">
      <w:pPr>
        <w:pStyle w:val="ListParagraph"/>
        <w:numPr>
          <w:ilvl w:val="0"/>
          <w:numId w:val="2"/>
        </w:numPr>
        <w:spacing w:after="80"/>
      </w:pPr>
      <w:r>
        <w:t>No AI-isms: revolutionary, transformative, seamlessly, cutting-edge, leverage (as a verb), best-in-class, synergies, disrupt, game-changing, world-class.</w:t>
      </w:r>
    </w:p>
    <w:p w14:paraId="1B4C005B" w14:textId="77777777" w:rsidR="00D12754" w:rsidRDefault="00141BBE">
      <w:pPr>
        <w:pStyle w:val="ListParagraph"/>
        <w:numPr>
          <w:ilvl w:val="0"/>
          <w:numId w:val="2"/>
        </w:numPr>
        <w:spacing w:after="80"/>
      </w:pPr>
      <w:r>
        <w:t>Every quantitative claim needs an owner and a source. No rounding up. If we cannot cite it, we do not claim it.</w:t>
      </w:r>
    </w:p>
    <w:p w14:paraId="4DB67375" w14:textId="77777777" w:rsidR="00D12754" w:rsidRDefault="00141BBE">
      <w:pPr>
        <w:pStyle w:val="Heading2"/>
        <w:spacing w:before="300" w:after="150"/>
      </w:pPr>
      <w:r>
        <w:t>5.3 Words to use and avoid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000"/>
      </w:tblGrid>
      <w:tr w:rsidR="00D12754" w14:paraId="0653E29F" w14:textId="77777777">
        <w:tblPrEx>
          <w:tblCellMar>
            <w:top w:w="0" w:type="dxa"/>
            <w:bottom w:w="0" w:type="dxa"/>
          </w:tblCellMar>
        </w:tblPrEx>
        <w:trPr>
          <w:tblHeader/>
        </w:trPr>
        <w:tc>
          <w:tcPr>
            <w:tcW w:w="5000" w:type="dxa"/>
            <w:shd w:val="clear" w:color="auto" w:fill="1F3864"/>
            <w:tcMar>
              <w:top w:w="80" w:type="dxa"/>
              <w:left w:w="100" w:type="dxa"/>
              <w:bottom w:w="80" w:type="dxa"/>
              <w:right w:w="100" w:type="dxa"/>
            </w:tcMar>
          </w:tcPr>
          <w:p w14:paraId="6B782585" w14:textId="77777777" w:rsidR="00D12754" w:rsidRDefault="00141BBE">
            <w:r>
              <w:rPr>
                <w:b/>
                <w:bCs/>
                <w:color w:val="FFFFFF"/>
                <w:sz w:val="20"/>
                <w:szCs w:val="20"/>
              </w:rPr>
              <w:t>Use</w:t>
            </w:r>
          </w:p>
        </w:tc>
        <w:tc>
          <w:tcPr>
            <w:tcW w:w="5000" w:type="dxa"/>
            <w:shd w:val="clear" w:color="auto" w:fill="1F3864"/>
            <w:tcMar>
              <w:top w:w="80" w:type="dxa"/>
              <w:left w:w="100" w:type="dxa"/>
              <w:bottom w:w="80" w:type="dxa"/>
              <w:right w:w="100" w:type="dxa"/>
            </w:tcMar>
          </w:tcPr>
          <w:p w14:paraId="7B444D3C" w14:textId="77777777" w:rsidR="00D12754" w:rsidRDefault="00141BBE">
            <w:r>
              <w:rPr>
                <w:b/>
                <w:bCs/>
                <w:color w:val="FFFFFF"/>
                <w:sz w:val="20"/>
                <w:szCs w:val="20"/>
              </w:rPr>
              <w:t>Avoid</w:t>
            </w:r>
          </w:p>
        </w:tc>
      </w:tr>
      <w:tr w:rsidR="00D12754" w14:paraId="10FA4157" w14:textId="77777777">
        <w:tblPrEx>
          <w:tblCellMar>
            <w:top w:w="0" w:type="dxa"/>
            <w:bottom w:w="0" w:type="dxa"/>
          </w:tblCellMar>
        </w:tblPrEx>
        <w:tc>
          <w:tcPr>
            <w:tcW w:w="5000" w:type="dxa"/>
            <w:tcMar>
              <w:top w:w="80" w:type="dxa"/>
              <w:left w:w="100" w:type="dxa"/>
              <w:bottom w:w="80" w:type="dxa"/>
              <w:right w:w="100" w:type="dxa"/>
            </w:tcMar>
          </w:tcPr>
          <w:p w14:paraId="5B29AFEC" w14:textId="77777777" w:rsidR="00D12754" w:rsidRDefault="00141BBE">
            <w:r>
              <w:rPr>
                <w:color w:val="000000"/>
                <w:sz w:val="20"/>
                <w:szCs w:val="20"/>
              </w:rPr>
              <w:t>Platform, processing, program, console, API, agentic, reliable, proven, flexible, issuer, scheme, cardholder, digital banking, embedded finance, expense management, lending, FX</w:t>
            </w:r>
          </w:p>
        </w:tc>
        <w:tc>
          <w:tcPr>
            <w:tcW w:w="5000" w:type="dxa"/>
            <w:tcMar>
              <w:top w:w="80" w:type="dxa"/>
              <w:left w:w="100" w:type="dxa"/>
              <w:bottom w:w="80" w:type="dxa"/>
              <w:right w:w="100" w:type="dxa"/>
            </w:tcMar>
          </w:tcPr>
          <w:p w14:paraId="694ED97B" w14:textId="77777777" w:rsidR="00D12754" w:rsidRDefault="00141BBE">
            <w:r>
              <w:rPr>
                <w:color w:val="000000"/>
                <w:sz w:val="20"/>
                <w:szCs w:val="20"/>
              </w:rPr>
              <w:t>Solution (when platform is meant), ecosystem (when partners is meant), bank-grade, enterprise (out of ICP scope), revolutionary, game-changing, world-class, cutting-edge, synergies, leverage (as a verb)</w:t>
            </w:r>
          </w:p>
        </w:tc>
      </w:tr>
    </w:tbl>
    <w:p w14:paraId="6BA97188" w14:textId="77777777" w:rsidR="00D12754" w:rsidRDefault="00141BBE">
      <w:pPr>
        <w:pStyle w:val="Heading2"/>
        <w:spacing w:before="300" w:after="150"/>
      </w:pPr>
      <w:r>
        <w:t>5.4 The AI messaging anchor</w:t>
      </w:r>
    </w:p>
    <w:p w14:paraId="5E7560D2" w14:textId="77777777" w:rsidR="00D12754" w:rsidRDefault="00141BBE">
      <w:pPr>
        <w:pBdr>
          <w:left w:val="single" w:sz="6" w:space="8" w:color="999999"/>
        </w:pBdr>
        <w:spacing w:after="160"/>
        <w:ind w:left="200"/>
      </w:pPr>
      <w:r>
        <w:rPr>
          <w:i/>
          <w:iCs/>
          <w:color w:val="555555"/>
        </w:rPr>
        <w:t>“Intelligence built in. Complexity taken out.” — use verbatim. Do not paraphrase or vary the two halves independently.</w:t>
      </w:r>
    </w:p>
    <w:p w14:paraId="58104037" w14:textId="77777777" w:rsidR="00D12754" w:rsidRDefault="00141BBE">
      <w:pPr>
        <w:spacing w:after="160"/>
      </w:pPr>
      <w:r>
        <w:t>AI is the mechanism that delivers outcomes, not TXN's identity claim. Never lead with “AI-first”, “AI-powered”, or a technology claim; lead with what the client achieves (running a program without card experts, launching in days not months, fewer costly errors). Full outcome definitions are in TXN_AI_Target_Outcomes_Framework_v1.0.docx (summarised in Section 7 of this playbook).</w:t>
      </w:r>
    </w:p>
    <w:p w14:paraId="027C555A" w14:textId="77777777" w:rsidR="00D12754" w:rsidRDefault="00141BBE">
      <w:pPr>
        <w:pStyle w:val="Heading2"/>
        <w:spacing w:before="300" w:after="150"/>
      </w:pPr>
      <w:r>
        <w:t>5.5 JV ownership language — the rules that get this wrong most often</w:t>
      </w:r>
    </w:p>
    <w:p w14:paraId="76E3093A" w14:textId="77777777" w:rsidR="00D12754" w:rsidRDefault="00141BBE">
      <w:pPr>
        <w:spacing w:after="160"/>
      </w:pPr>
      <w:r>
        <w:t xml:space="preserve">This is the single most common way outbound copy and content </w:t>
      </w:r>
      <w:proofErr w:type="gramStart"/>
      <w:r>
        <w:t>goes</w:t>
      </w:r>
      <w:proofErr w:type="gramEnd"/>
      <w:r>
        <w:t xml:space="preserve"> </w:t>
      </w:r>
      <w:proofErr w:type="gramStart"/>
      <w:r>
        <w:t>off-brand</w:t>
      </w:r>
      <w:proofErr w:type="gramEnd"/>
      <w:r>
        <w:t>. Direct Transact and Paycorp are each a 50% co-founding owner of TXN, not vendors, not a parent company, and not infrastructure providers.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800"/>
      </w:tblGrid>
      <w:tr w:rsidR="00D12754" w14:paraId="6B215477" w14:textId="77777777">
        <w:tblPrEx>
          <w:tblCellMar>
            <w:top w:w="0" w:type="dxa"/>
            <w:bottom w:w="0" w:type="dxa"/>
          </w:tblCellMar>
        </w:tblPrEx>
        <w:trPr>
          <w:tblHeader/>
        </w:trPr>
        <w:tc>
          <w:tcPr>
            <w:tcW w:w="4200" w:type="dxa"/>
            <w:shd w:val="clear" w:color="auto" w:fill="1F3864"/>
            <w:tcMar>
              <w:top w:w="80" w:type="dxa"/>
              <w:left w:w="100" w:type="dxa"/>
              <w:bottom w:w="80" w:type="dxa"/>
              <w:right w:w="100" w:type="dxa"/>
            </w:tcMar>
          </w:tcPr>
          <w:p w14:paraId="7EE5E45D" w14:textId="77777777" w:rsidR="00D12754" w:rsidRDefault="00141BBE">
            <w:r>
              <w:rPr>
                <w:b/>
                <w:bCs/>
                <w:color w:val="FFFFFF"/>
                <w:sz w:val="20"/>
                <w:szCs w:val="20"/>
              </w:rPr>
              <w:t>Always say</w:t>
            </w:r>
          </w:p>
        </w:tc>
        <w:tc>
          <w:tcPr>
            <w:tcW w:w="5800" w:type="dxa"/>
            <w:shd w:val="clear" w:color="auto" w:fill="1F3864"/>
            <w:tcMar>
              <w:top w:w="80" w:type="dxa"/>
              <w:left w:w="100" w:type="dxa"/>
              <w:bottom w:w="80" w:type="dxa"/>
              <w:right w:w="100" w:type="dxa"/>
            </w:tcMar>
          </w:tcPr>
          <w:p w14:paraId="5476C2F0" w14:textId="77777777" w:rsidR="00D12754" w:rsidRDefault="00141BBE">
            <w:r>
              <w:rPr>
                <w:b/>
                <w:bCs/>
                <w:color w:val="FFFFFF"/>
                <w:sz w:val="20"/>
                <w:szCs w:val="20"/>
              </w:rPr>
              <w:t>Never say</w:t>
            </w:r>
          </w:p>
        </w:tc>
      </w:tr>
      <w:tr w:rsidR="00D12754" w14:paraId="3AC5A45C" w14:textId="77777777">
        <w:tblPrEx>
          <w:tblCellMar>
            <w:top w:w="0" w:type="dxa"/>
            <w:bottom w:w="0" w:type="dxa"/>
          </w:tblCellMar>
        </w:tblPrEx>
        <w:tc>
          <w:tcPr>
            <w:tcW w:w="4200" w:type="dxa"/>
            <w:tcMar>
              <w:top w:w="80" w:type="dxa"/>
              <w:left w:w="100" w:type="dxa"/>
              <w:bottom w:w="80" w:type="dxa"/>
              <w:right w:w="100" w:type="dxa"/>
            </w:tcMar>
          </w:tcPr>
          <w:p w14:paraId="78B24CEB" w14:textId="77777777" w:rsidR="00D12754" w:rsidRDefault="00141BBE">
            <w:r>
              <w:rPr>
                <w:color w:val="000000"/>
                <w:sz w:val="20"/>
                <w:szCs w:val="20"/>
              </w:rPr>
              <w:t>“Direct Transact, our co-founding owner”</w:t>
            </w:r>
          </w:p>
        </w:tc>
        <w:tc>
          <w:tcPr>
            <w:tcW w:w="5800" w:type="dxa"/>
            <w:tcMar>
              <w:top w:w="80" w:type="dxa"/>
              <w:left w:w="100" w:type="dxa"/>
              <w:bottom w:w="80" w:type="dxa"/>
              <w:right w:w="100" w:type="dxa"/>
            </w:tcMar>
          </w:tcPr>
          <w:p w14:paraId="6B3DBE97" w14:textId="77777777" w:rsidR="00D12754" w:rsidRDefault="00141BBE">
            <w:r>
              <w:rPr>
                <w:color w:val="000000"/>
                <w:sz w:val="20"/>
                <w:szCs w:val="20"/>
              </w:rPr>
              <w:t>“our partner Direct Transact” / “processing partner”</w:t>
            </w:r>
          </w:p>
        </w:tc>
      </w:tr>
      <w:tr w:rsidR="00D12754" w14:paraId="4375597C" w14:textId="77777777">
        <w:tblPrEx>
          <w:tblCellMar>
            <w:top w:w="0" w:type="dxa"/>
            <w:bottom w:w="0" w:type="dxa"/>
          </w:tblCellMar>
        </w:tblPrEx>
        <w:tc>
          <w:tcPr>
            <w:tcW w:w="4200" w:type="dxa"/>
            <w:tcMar>
              <w:top w:w="80" w:type="dxa"/>
              <w:left w:w="100" w:type="dxa"/>
              <w:bottom w:w="80" w:type="dxa"/>
              <w:right w:w="100" w:type="dxa"/>
            </w:tcMar>
          </w:tcPr>
          <w:p w14:paraId="4B3F40DA" w14:textId="77777777" w:rsidR="00D12754" w:rsidRDefault="00141BBE">
            <w:r>
              <w:rPr>
                <w:color w:val="000000"/>
                <w:sz w:val="20"/>
                <w:szCs w:val="20"/>
              </w:rPr>
              <w:t>“Paycorp, our co-founding owner”</w:t>
            </w:r>
          </w:p>
        </w:tc>
        <w:tc>
          <w:tcPr>
            <w:tcW w:w="5800" w:type="dxa"/>
            <w:tcMar>
              <w:top w:w="80" w:type="dxa"/>
              <w:left w:w="100" w:type="dxa"/>
              <w:bottom w:w="80" w:type="dxa"/>
              <w:right w:w="100" w:type="dxa"/>
            </w:tcMar>
          </w:tcPr>
          <w:p w14:paraId="54A7C675" w14:textId="77777777" w:rsidR="00D12754" w:rsidRDefault="00141BBE">
            <w:r>
              <w:rPr>
                <w:color w:val="000000"/>
                <w:sz w:val="20"/>
                <w:szCs w:val="20"/>
              </w:rPr>
              <w:t>“Paycorp, our parent group”</w:t>
            </w:r>
          </w:p>
        </w:tc>
      </w:tr>
      <w:tr w:rsidR="00D12754" w14:paraId="3922C60F" w14:textId="77777777">
        <w:tblPrEx>
          <w:tblCellMar>
            <w:top w:w="0" w:type="dxa"/>
            <w:bottom w:w="0" w:type="dxa"/>
          </w:tblCellMar>
        </w:tblPrEx>
        <w:tc>
          <w:tcPr>
            <w:tcW w:w="4200" w:type="dxa"/>
            <w:tcMar>
              <w:top w:w="80" w:type="dxa"/>
              <w:left w:w="100" w:type="dxa"/>
              <w:bottom w:w="80" w:type="dxa"/>
              <w:right w:w="100" w:type="dxa"/>
            </w:tcMar>
          </w:tcPr>
          <w:p w14:paraId="07F6C1DE" w14:textId="77777777" w:rsidR="00D12754" w:rsidRDefault="00141BBE">
            <w:r>
              <w:rPr>
                <w:color w:val="000000"/>
                <w:sz w:val="20"/>
                <w:szCs w:val="20"/>
              </w:rPr>
              <w:lastRenderedPageBreak/>
              <w:t>“TXN's processing reliability is rooted in Direct Transact's 25-year track record”</w:t>
            </w:r>
          </w:p>
        </w:tc>
        <w:tc>
          <w:tcPr>
            <w:tcW w:w="5800" w:type="dxa"/>
            <w:tcMar>
              <w:top w:w="80" w:type="dxa"/>
              <w:left w:w="100" w:type="dxa"/>
              <w:bottom w:w="80" w:type="dxa"/>
              <w:right w:w="100" w:type="dxa"/>
            </w:tcMar>
          </w:tcPr>
          <w:p w14:paraId="207810A1" w14:textId="77777777" w:rsidR="00D12754" w:rsidRDefault="00141BBE">
            <w:r>
              <w:rPr>
                <w:color w:val="000000"/>
                <w:sz w:val="20"/>
                <w:szCs w:val="20"/>
              </w:rPr>
              <w:t>“TXN is built on / runs on / is powered by Direct Transact's platform”, “inherit infrastructure”</w:t>
            </w:r>
          </w:p>
        </w:tc>
      </w:tr>
      <w:tr w:rsidR="00D12754" w14:paraId="192AF3B0" w14:textId="77777777">
        <w:tblPrEx>
          <w:tblCellMar>
            <w:top w:w="0" w:type="dxa"/>
            <w:bottom w:w="0" w:type="dxa"/>
          </w:tblCellMar>
        </w:tblPrEx>
        <w:tc>
          <w:tcPr>
            <w:tcW w:w="4200" w:type="dxa"/>
            <w:tcMar>
              <w:top w:w="80" w:type="dxa"/>
              <w:left w:w="100" w:type="dxa"/>
              <w:bottom w:w="80" w:type="dxa"/>
              <w:right w:w="100" w:type="dxa"/>
            </w:tcMar>
          </w:tcPr>
          <w:p w14:paraId="0614F190" w14:textId="77777777" w:rsidR="00D12754" w:rsidRDefault="00141BBE">
            <w:r>
              <w:rPr>
                <w:color w:val="000000"/>
                <w:sz w:val="20"/>
                <w:szCs w:val="20"/>
              </w:rPr>
              <w:t>A specific metric (99.99% uptime, PCI DSS, R50bn+ monthly)</w:t>
            </w:r>
          </w:p>
        </w:tc>
        <w:tc>
          <w:tcPr>
            <w:tcW w:w="5800" w:type="dxa"/>
            <w:tcMar>
              <w:top w:w="80" w:type="dxa"/>
              <w:left w:w="100" w:type="dxa"/>
              <w:bottom w:w="80" w:type="dxa"/>
              <w:right w:w="100" w:type="dxa"/>
            </w:tcMar>
          </w:tcPr>
          <w:p w14:paraId="6C83D90F" w14:textId="77777777" w:rsidR="00D12754" w:rsidRDefault="00141BBE">
            <w:r>
              <w:rPr>
                <w:color w:val="000000"/>
                <w:sz w:val="20"/>
                <w:szCs w:val="20"/>
              </w:rPr>
              <w:t>“bank-grade” (banned overclaim)</w:t>
            </w:r>
          </w:p>
        </w:tc>
      </w:tr>
      <w:tr w:rsidR="00D12754" w14:paraId="18E8AB8A" w14:textId="77777777">
        <w:tblPrEx>
          <w:tblCellMar>
            <w:top w:w="0" w:type="dxa"/>
            <w:bottom w:w="0" w:type="dxa"/>
          </w:tblCellMar>
        </w:tblPrEx>
        <w:tc>
          <w:tcPr>
            <w:tcW w:w="4200" w:type="dxa"/>
            <w:tcMar>
              <w:top w:w="80" w:type="dxa"/>
              <w:left w:w="100" w:type="dxa"/>
              <w:bottom w:w="80" w:type="dxa"/>
              <w:right w:w="100" w:type="dxa"/>
            </w:tcMar>
          </w:tcPr>
          <w:p w14:paraId="1FD35552" w14:textId="77777777" w:rsidR="00D12754" w:rsidRDefault="00141BBE">
            <w:r>
              <w:rPr>
                <w:color w:val="000000"/>
                <w:sz w:val="20"/>
                <w:szCs w:val="20"/>
              </w:rPr>
              <w:t>25 years, attributed to Direct Transact specifically</w:t>
            </w:r>
          </w:p>
        </w:tc>
        <w:tc>
          <w:tcPr>
            <w:tcW w:w="5800" w:type="dxa"/>
            <w:tcMar>
              <w:top w:w="80" w:type="dxa"/>
              <w:left w:w="100" w:type="dxa"/>
              <w:bottom w:w="80" w:type="dxa"/>
              <w:right w:w="100" w:type="dxa"/>
            </w:tcMar>
          </w:tcPr>
          <w:p w14:paraId="097CEEFA" w14:textId="77777777" w:rsidR="00D12754" w:rsidRDefault="00141BBE">
            <w:r>
              <w:rPr>
                <w:color w:val="000000"/>
                <w:sz w:val="20"/>
                <w:szCs w:val="20"/>
              </w:rPr>
              <w:t>“23 years” (wrong figure) or “50 years combined” (conflates two separate claims)</w:t>
            </w:r>
          </w:p>
        </w:tc>
      </w:tr>
    </w:tbl>
    <w:p w14:paraId="310981E2" w14:textId="77777777" w:rsidR="00D12754" w:rsidRDefault="00141BBE">
      <w:pPr>
        <w:spacing w:after="160"/>
      </w:pPr>
      <w:r>
        <w:t>Before publishing or sending any sentence that mentions Direct Transact or Paycorp, run the four tests from the JV Messaging Framework: (1) does it imply TXN's technology was built on or depends on DT's system; (2) does it imply TXN outsourced processing to a third party; (3) could a European reader read it as “TXN is an old South African banking platform”; (4) does the sentence end on what TXN delivers, not on the owner. If any answer is wrong, rewrite before sending.</w:t>
      </w:r>
    </w:p>
    <w:p w14:paraId="54C89025" w14:textId="77777777" w:rsidR="00D12754" w:rsidRDefault="00141BBE">
      <w:r>
        <w:br w:type="page"/>
      </w:r>
    </w:p>
    <w:p w14:paraId="2D4EBB80" w14:textId="77777777" w:rsidR="00D12754" w:rsidRDefault="00141BBE">
      <w:pPr>
        <w:pStyle w:val="Heading1"/>
        <w:spacing w:before="400" w:after="200"/>
      </w:pPr>
      <w:r>
        <w:lastRenderedPageBreak/>
        <w:t>6. Competitive landscape, condensed</w:t>
      </w:r>
    </w:p>
    <w:p w14:paraId="407BF218" w14:textId="77777777" w:rsidR="00D12754" w:rsidRDefault="00141BBE">
      <w:pPr>
        <w:spacing w:after="160"/>
      </w:pPr>
      <w:r>
        <w:t>Source: TXN_GTM_Competitive_Landscape_v0.2.docx (07_GTM/06_Competitive_&amp;_Market_Intel/). Full competitor-by-competitor detail, market trend analysis, and the complete win/loss theme write-up live in the source document; this section gives the operating summary needed for sequence drafting and objection-adjacent content.</w:t>
      </w:r>
    </w:p>
    <w:p w14:paraId="6E035F54" w14:textId="77777777" w:rsidR="00D12754" w:rsidRDefault="00141BBE">
      <w:pPr>
        <w:pStyle w:val="Heading2"/>
        <w:spacing w:before="300" w:after="150"/>
      </w:pPr>
      <w:r>
        <w:t>6.1 The five categories of alternative TXN displaces</w:t>
      </w:r>
    </w:p>
    <w:p w14:paraId="126D06D7" w14:textId="77777777" w:rsidR="00D12754" w:rsidRDefault="00141BBE">
      <w:pPr>
        <w:pStyle w:val="ListParagraph"/>
        <w:numPr>
          <w:ilvl w:val="0"/>
          <w:numId w:val="2"/>
        </w:numPr>
        <w:spacing w:after="80"/>
      </w:pPr>
      <w:r>
        <w:t xml:space="preserve">Direct platform competitors: Marqeta, Paymentology, Thredd, Enfuce, Episode Six, Pismo. </w:t>
      </w:r>
      <w:proofErr w:type="spellStart"/>
      <w:r>
        <w:t>Outposition</w:t>
      </w:r>
      <w:proofErr w:type="spellEnd"/>
      <w:r>
        <w:t xml:space="preserve"> on the named competitor's specific weakness; never generalise.</w:t>
      </w:r>
    </w:p>
    <w:p w14:paraId="7BAC1A2D" w14:textId="77777777" w:rsidR="00D12754" w:rsidRDefault="00141BBE">
      <w:pPr>
        <w:pStyle w:val="ListParagraph"/>
        <w:numPr>
          <w:ilvl w:val="0"/>
          <w:numId w:val="2"/>
        </w:numPr>
        <w:spacing w:after="80"/>
      </w:pPr>
      <w:r>
        <w:t>Point solutions: single-capability vendors (fraud, tokenisation, ledger, disputes). Win on consolidation: fewer vendors, lower TCO, clearer accountability.</w:t>
      </w:r>
    </w:p>
    <w:p w14:paraId="147539C5" w14:textId="77777777" w:rsidR="00D12754" w:rsidRDefault="00141BBE">
      <w:pPr>
        <w:pStyle w:val="ListParagraph"/>
        <w:numPr>
          <w:ilvl w:val="0"/>
          <w:numId w:val="2"/>
        </w:numPr>
        <w:spacing w:after="80"/>
      </w:pPr>
      <w:r>
        <w:t xml:space="preserve">Adjacent players expanding </w:t>
      </w:r>
      <w:proofErr w:type="gramStart"/>
      <w:r>
        <w:t>in:</w:t>
      </w:r>
      <w:proofErr w:type="gramEnd"/>
      <w:r>
        <w:t xml:space="preserve"> schemes, BIN sponsors, and BaaS platforms adding issuer functions. Win on specialist depth.</w:t>
      </w:r>
    </w:p>
    <w:p w14:paraId="7035F2FC" w14:textId="77777777" w:rsidR="00D12754" w:rsidRDefault="00141BBE">
      <w:pPr>
        <w:pStyle w:val="ListParagraph"/>
        <w:numPr>
          <w:ilvl w:val="0"/>
          <w:numId w:val="2"/>
        </w:numPr>
        <w:spacing w:after="80"/>
      </w:pPr>
      <w:r>
        <w:t>Internal builds: companies building issuer processing in-house. Win on five-year TCO and time-to-market; building looks attractive at year one and painful at year three.</w:t>
      </w:r>
    </w:p>
    <w:p w14:paraId="60B7A521" w14:textId="77777777" w:rsidR="00D12754" w:rsidRDefault="00141BBE">
      <w:pPr>
        <w:pStyle w:val="ListParagraph"/>
        <w:numPr>
          <w:ilvl w:val="0"/>
          <w:numId w:val="2"/>
        </w:numPr>
        <w:spacing w:after="80"/>
      </w:pPr>
      <w:r>
        <w:t>Doing nothing: staying on the incumbent. The most common competitor, especially at Tier 2/3. Win by making the cost of inaction visible.</w:t>
      </w:r>
    </w:p>
    <w:p w14:paraId="0046DF4C" w14:textId="77777777" w:rsidR="00D12754" w:rsidRDefault="00141BBE">
      <w:pPr>
        <w:pStyle w:val="Heading2"/>
        <w:spacing w:before="300" w:after="150"/>
      </w:pPr>
      <w:r>
        <w:t>6.2 Hypothesised win themes (pre-launch, not yet evidence-backed)</w:t>
      </w:r>
    </w:p>
    <w:p w14:paraId="39F12733" w14:textId="77777777" w:rsidR="00D12754" w:rsidRDefault="00141BBE">
      <w:pPr>
        <w:pStyle w:val="ListParagraph"/>
        <w:numPr>
          <w:ilvl w:val="0"/>
          <w:numId w:val="2"/>
        </w:numPr>
        <w:spacing w:after="80"/>
      </w:pPr>
      <w:r>
        <w:t>Proven processing heritage in a market questioning platform longevity (Direct Transact's 25 years, via ownership).</w:t>
      </w:r>
    </w:p>
    <w:p w14:paraId="73799908" w14:textId="77777777" w:rsidR="00D12754" w:rsidRDefault="00141BBE">
      <w:pPr>
        <w:pStyle w:val="ListParagraph"/>
        <w:numPr>
          <w:ilvl w:val="0"/>
          <w:numId w:val="2"/>
        </w:numPr>
        <w:spacing w:after="80"/>
      </w:pPr>
      <w:r>
        <w:t>The intelligent operator experience — no competitor has yet demonstrated this at TXN's target bar.</w:t>
      </w:r>
    </w:p>
    <w:p w14:paraId="1AF0B767" w14:textId="77777777" w:rsidR="00D12754" w:rsidRDefault="00141BBE">
      <w:pPr>
        <w:pStyle w:val="ListParagraph"/>
        <w:numPr>
          <w:ilvl w:val="0"/>
          <w:numId w:val="2"/>
        </w:numPr>
        <w:spacing w:after="80"/>
      </w:pPr>
      <w:r>
        <w:t>European-native, without a divergence tax across UK/EU regulatory splits.</w:t>
      </w:r>
    </w:p>
    <w:p w14:paraId="1FB8A8B0" w14:textId="77777777" w:rsidR="00D12754" w:rsidRDefault="00141BBE">
      <w:pPr>
        <w:pStyle w:val="ListParagraph"/>
        <w:numPr>
          <w:ilvl w:val="0"/>
          <w:numId w:val="2"/>
        </w:numPr>
        <w:spacing w:after="80"/>
      </w:pPr>
      <w:r>
        <w:t>Compliance as a delivered outcome rather than the client's problem to solve.</w:t>
      </w:r>
    </w:p>
    <w:p w14:paraId="0A2C193E" w14:textId="77777777" w:rsidR="00D12754" w:rsidRDefault="00141BBE">
      <w:pPr>
        <w:pStyle w:val="ListParagraph"/>
        <w:numPr>
          <w:ilvl w:val="0"/>
          <w:numId w:val="2"/>
        </w:numPr>
        <w:spacing w:after="80"/>
      </w:pPr>
      <w:r>
        <w:t>Lower total cost of ownership on like-for-like configurations.</w:t>
      </w:r>
    </w:p>
    <w:p w14:paraId="58D126EE" w14:textId="77777777" w:rsidR="00D12754" w:rsidRDefault="00141BBE">
      <w:pPr>
        <w:pStyle w:val="Heading2"/>
        <w:spacing w:before="300" w:after="150"/>
      </w:pPr>
      <w:r>
        <w:t>6.3 Hypothesised loss themes and how to mitigate in copy</w:t>
      </w:r>
    </w:p>
    <w:p w14:paraId="6ACF5645" w14:textId="77777777" w:rsidR="00D12754" w:rsidRDefault="00141BBE">
      <w:pPr>
        <w:pStyle w:val="ListParagraph"/>
        <w:numPr>
          <w:ilvl w:val="0"/>
          <w:numId w:val="2"/>
        </w:numPr>
        <w:spacing w:after="80"/>
      </w:pPr>
      <w:r>
        <w:t>Thinner reference base than incumbents — bridge with the Direct Transact heritage claim and the first-client program; never invent a reference.</w:t>
      </w:r>
    </w:p>
    <w:p w14:paraId="2F2D7ECB" w14:textId="77777777" w:rsidR="00D12754" w:rsidRDefault="00141BBE">
      <w:pPr>
        <w:pStyle w:val="ListParagraph"/>
        <w:numPr>
          <w:ilvl w:val="0"/>
          <w:numId w:val="2"/>
        </w:numPr>
        <w:spacing w:after="80"/>
      </w:pPr>
      <w:r>
        <w:t>Pre-launch delivery ambiguity — always give a specific dependency-based answer to “when can we go live”, never a vague timeline.</w:t>
      </w:r>
    </w:p>
    <w:p w14:paraId="7F65F09B" w14:textId="77777777" w:rsidR="00D12754" w:rsidRDefault="00141BBE">
      <w:pPr>
        <w:pStyle w:val="ListParagraph"/>
        <w:numPr>
          <w:ilvl w:val="0"/>
          <w:numId w:val="2"/>
        </w:numPr>
        <w:spacing w:after="80"/>
      </w:pPr>
      <w:r>
        <w:t>The Teraflow AI delivery dependency — do not overclaim AI capability beyond what Section 7 confirms is live at MVP.</w:t>
      </w:r>
    </w:p>
    <w:p w14:paraId="04CC79BA" w14:textId="77777777" w:rsidR="00D12754" w:rsidRDefault="00141BBE">
      <w:pPr>
        <w:pStyle w:val="ListParagraph"/>
        <w:numPr>
          <w:ilvl w:val="0"/>
          <w:numId w:val="2"/>
        </w:numPr>
        <w:spacing w:after="80"/>
      </w:pPr>
      <w:r>
        <w:t>Single-market focus perception — always pair MVP-market mentions with Phase 1a/1b and full EEA+UK scope language.</w:t>
      </w:r>
    </w:p>
    <w:p w14:paraId="33667B02" w14:textId="77777777" w:rsidR="00D12754" w:rsidRDefault="00141BBE">
      <w:pPr>
        <w:pStyle w:val="ListParagraph"/>
        <w:numPr>
          <w:ilvl w:val="0"/>
          <w:numId w:val="2"/>
        </w:numPr>
        <w:spacing w:after="80"/>
      </w:pPr>
      <w:r>
        <w:t>Buyer preference for a known name — lean on the co-founding owner framing to establish TXN as backed by known European players, not a standalone new entrant.</w:t>
      </w:r>
    </w:p>
    <w:p w14:paraId="7D89DC88" w14:textId="77777777" w:rsidR="00D12754" w:rsidRDefault="00141BBE">
      <w:pPr>
        <w:pBdr>
          <w:left w:val="single" w:sz="6" w:space="8" w:color="999999"/>
        </w:pBdr>
        <w:spacing w:after="160"/>
        <w:ind w:left="200"/>
      </w:pPr>
      <w:r>
        <w:rPr>
          <w:i/>
          <w:iCs/>
          <w:color w:val="555555"/>
        </w:rPr>
        <w:t xml:space="preserve">Pre-launch honesty rule: TXN is pre-launch as of mid-2026. Win and loss themes here are hypothesised, not </w:t>
      </w:r>
      <w:proofErr w:type="gramStart"/>
      <w:r>
        <w:rPr>
          <w:i/>
          <w:iCs/>
          <w:color w:val="555555"/>
        </w:rPr>
        <w:t>evidence-backed</w:t>
      </w:r>
      <w:proofErr w:type="gramEnd"/>
      <w:r>
        <w:rPr>
          <w:i/>
          <w:iCs/>
          <w:color w:val="555555"/>
        </w:rPr>
        <w:t>. For reference, timing, and delivery questions, answer with the real mitigation, never a denial, and never manufacture a reference or case study that does not exist.</w:t>
      </w:r>
    </w:p>
    <w:p w14:paraId="2CDE4152" w14:textId="77777777" w:rsidR="00D12754" w:rsidRDefault="00141BBE">
      <w:r>
        <w:br w:type="page"/>
      </w:r>
    </w:p>
    <w:p w14:paraId="657CC0A0" w14:textId="77777777" w:rsidR="00D12754" w:rsidRDefault="00141BBE">
      <w:pPr>
        <w:pStyle w:val="Heading1"/>
        <w:spacing w:before="400" w:after="200"/>
      </w:pPr>
      <w:r>
        <w:lastRenderedPageBreak/>
        <w:t>7. Product facts to use in copy</w:t>
      </w:r>
    </w:p>
    <w:p w14:paraId="7DF6B228" w14:textId="77777777" w:rsidR="00D12754" w:rsidRDefault="00141BBE">
      <w:pPr>
        <w:spacing w:after="160"/>
      </w:pPr>
      <w:r>
        <w:t>Source: TXN_GTM_Product_Overview_v1.0.docx and TXN_AI_Target_Outcomes_Framework_v1.0.docx (07_GTM/01_Company_&amp;_Product/ and 07_GTM/03_Positioning_&amp;_Messaging/). Keep the distinction below intact in every piece of copy: some numbers are proven today: others are engineering targets for a platform that is not yet in live production.</w:t>
      </w:r>
    </w:p>
    <w:p w14:paraId="7C1DA848" w14:textId="77777777" w:rsidR="00D12754" w:rsidRDefault="00141BBE">
      <w:pPr>
        <w:pStyle w:val="Heading2"/>
        <w:spacing w:before="300" w:after="150"/>
      </w:pPr>
      <w:r>
        <w:t>7.1 What TXN is</w:t>
      </w:r>
    </w:p>
    <w:p w14:paraId="18CDC6D3" w14:textId="77777777" w:rsidR="00D12754" w:rsidRDefault="00141BBE">
      <w:pPr>
        <w:spacing w:after="160"/>
      </w:pPr>
      <w:r>
        <w:t>A next-generation issuer-processing platform built as four components: the TXN API (the stable, deterministic machine-to-machine surface), TXN Console (the self-serve operator console), TXN Intelligence (the AI layer, which runs alongside the platform, not inside the real-time transaction path), and the TXN Developer Portal (self-service discovery, docs, and sandbox).</w:t>
      </w:r>
    </w:p>
    <w:p w14:paraId="29513916" w14:textId="77777777" w:rsidR="00D12754" w:rsidRDefault="00141BBE">
      <w:pPr>
        <w:pStyle w:val="Heading2"/>
        <w:spacing w:before="300" w:after="150"/>
      </w:pPr>
      <w:r>
        <w:t>7.2 Proven heritage — citeable today</w:t>
      </w:r>
    </w:p>
    <w:p w14:paraId="2C07CFD1" w14:textId="77777777" w:rsidR="00D12754" w:rsidRDefault="00141BBE">
      <w:pPr>
        <w:pStyle w:val="ListParagraph"/>
        <w:numPr>
          <w:ilvl w:val="0"/>
          <w:numId w:val="2"/>
        </w:numPr>
        <w:spacing w:after="80"/>
      </w:pPr>
      <w:r>
        <w:t>Direct Transact, our co-founding owner: 25 years of processing heritage, over R50bn processed monthly, 99.99% uptime, Visa and Mastercard certification, PASA System Operator status, PCI DSS and ISAE 3402.</w:t>
      </w:r>
    </w:p>
    <w:p w14:paraId="42BC6210" w14:textId="77777777" w:rsidR="00D12754" w:rsidRDefault="00141BBE">
      <w:pPr>
        <w:pStyle w:val="ListParagraph"/>
        <w:numPr>
          <w:ilvl w:val="0"/>
          <w:numId w:val="2"/>
        </w:numPr>
        <w:spacing w:after="80"/>
      </w:pPr>
      <w:r>
        <w:t>Paycorp, our co-founding owner: 25 years of international payments experience, over $9bn processed annually, long-standing bank, scheme, and regulator relationships across Southern Africa, Central and Eastern Europe, and the UK.</w:t>
      </w:r>
    </w:p>
    <w:p w14:paraId="500AD12F" w14:textId="77777777" w:rsidR="00D12754" w:rsidRDefault="00141BBE">
      <w:pPr>
        <w:pStyle w:val="Heading2"/>
        <w:spacing w:before="300" w:after="150"/>
      </w:pPr>
      <w:r>
        <w:t>7.3 Platform design targets — engineered for launch, not yet production-proven</w:t>
      </w:r>
    </w:p>
    <w:p w14:paraId="4A07DBF4" w14:textId="77777777" w:rsidR="00D12754" w:rsidRDefault="00141BBE">
      <w:pPr>
        <w:spacing w:after="160"/>
      </w:pPr>
      <w:r>
        <w:t>Present these as targets the platform is built to meet, never as an achieved, in-production result, until validated: 99.99% monthly availability for production core; API P95 under 300ms and P99 under 1s for critical calls; new programs deployable within 15 minutes under standard conditions; PCI DSS Level 1, OAuth 2.0, PSD2/SCA, 3DS 2.x, WCAG 2.1 AA.</w:t>
      </w:r>
    </w:p>
    <w:p w14:paraId="2A8DFE5A" w14:textId="77777777" w:rsidR="00D12754" w:rsidRDefault="00141BBE">
      <w:pPr>
        <w:pStyle w:val="Heading2"/>
        <w:spacing w:before="300" w:after="150"/>
      </w:pPr>
      <w:r>
        <w:t>7.4 The AI outcomes to lead with (never lead with the technology)</w:t>
      </w:r>
    </w:p>
    <w:p w14:paraId="24638CF4" w14:textId="77777777" w:rsidR="00D12754" w:rsidRDefault="00141BBE">
      <w:pPr>
        <w:pStyle w:val="ListParagraph"/>
        <w:numPr>
          <w:ilvl w:val="0"/>
          <w:numId w:val="2"/>
        </w:numPr>
        <w:spacing w:after="80"/>
      </w:pPr>
      <w:r>
        <w:t>Run a card program without employing card experts</w:t>
      </w:r>
    </w:p>
    <w:p w14:paraId="1A232058" w14:textId="77777777" w:rsidR="00D12754" w:rsidRDefault="00141BBE">
      <w:pPr>
        <w:pStyle w:val="ListParagraph"/>
        <w:numPr>
          <w:ilvl w:val="0"/>
          <w:numId w:val="2"/>
        </w:numPr>
        <w:spacing w:after="80"/>
      </w:pPr>
      <w:r>
        <w:t>Launch in days, not months (target: under 10 business days from signature to first live transaction)</w:t>
      </w:r>
    </w:p>
    <w:p w14:paraId="509C902E" w14:textId="77777777" w:rsidR="00D12754" w:rsidRDefault="00141BBE">
      <w:pPr>
        <w:pStyle w:val="ListParagraph"/>
        <w:numPr>
          <w:ilvl w:val="0"/>
          <w:numId w:val="2"/>
        </w:numPr>
        <w:spacing w:after="80"/>
      </w:pPr>
      <w:r>
        <w:t>Fewer costly configuration errors</w:t>
      </w:r>
    </w:p>
    <w:p w14:paraId="2154281A" w14:textId="77777777" w:rsidR="00D12754" w:rsidRDefault="00141BBE">
      <w:pPr>
        <w:pStyle w:val="ListParagraph"/>
        <w:numPr>
          <w:ilvl w:val="0"/>
          <w:numId w:val="2"/>
        </w:numPr>
        <w:spacing w:after="80"/>
      </w:pPr>
      <w:r>
        <w:t>A program that actively improves over time (proactive optimisation, not reactive review)</w:t>
      </w:r>
    </w:p>
    <w:p w14:paraId="34933CCC" w14:textId="77777777" w:rsidR="00D12754" w:rsidRDefault="00141BBE">
      <w:pPr>
        <w:pStyle w:val="ListParagraph"/>
        <w:numPr>
          <w:ilvl w:val="0"/>
          <w:numId w:val="2"/>
        </w:numPr>
        <w:spacing w:after="80"/>
      </w:pPr>
      <w:r>
        <w:t>Compliance confidence without regulatory expertise on staff</w:t>
      </w:r>
    </w:p>
    <w:p w14:paraId="0F901F4D" w14:textId="77777777" w:rsidR="00D12754" w:rsidRDefault="00141BBE">
      <w:pPr>
        <w:spacing w:after="160"/>
      </w:pPr>
      <w:r>
        <w:t>These five outcomes are the client-facing content to draw on whenever a sequence, LinkedIn post, or content asset touches AI. Anchor every AI mention to one of these outcomes and to the anchor phrase in Section 5.4; never present AI as a standalone feature or identity claim.</w:t>
      </w:r>
    </w:p>
    <w:p w14:paraId="270D8180" w14:textId="77777777" w:rsidR="00D12754" w:rsidRDefault="00141BBE">
      <w:r>
        <w:br w:type="page"/>
      </w:r>
    </w:p>
    <w:p w14:paraId="4C2DCBA3" w14:textId="77777777" w:rsidR="00D12754" w:rsidRDefault="00141BBE">
      <w:pPr>
        <w:pStyle w:val="Heading1"/>
        <w:spacing w:before="400" w:after="200"/>
      </w:pPr>
      <w:r>
        <w:lastRenderedPageBreak/>
        <w:t>8. Outbound sequence process, structure, and rules</w:t>
      </w:r>
    </w:p>
    <w:p w14:paraId="13EA18A4" w14:textId="77777777" w:rsidR="00D12754" w:rsidRDefault="00141BBE">
      <w:pPr>
        <w:spacing w:after="160"/>
      </w:pPr>
      <w:r>
        <w:t>Source: TXN_GTM_Prospecting_Process_v0.4.docx (07_GTM/04_Sales_Motion/). This is the process the partner is being engaged to execute or accelerate. Read this section closely: it sets the sequence structure, the compliance rules, and the metrics the partner will be measured against.</w:t>
      </w:r>
    </w:p>
    <w:p w14:paraId="16BFF8B0" w14:textId="77777777" w:rsidR="00D12754" w:rsidRDefault="00141BBE">
      <w:pPr>
        <w:pStyle w:val="Heading2"/>
        <w:spacing w:before="300" w:after="150"/>
      </w:pPr>
      <w:r>
        <w:t>8.1 The seven-stage flow</w:t>
      </w:r>
    </w:p>
    <w:p w14:paraId="5DB438C0" w14:textId="77777777" w:rsidR="00D12754" w:rsidRDefault="00141BBE">
      <w:pPr>
        <w:spacing w:after="160"/>
      </w:pPr>
      <w:r>
        <w:t>Account discovery → account qualification and tiering → contact discovery and enrichment → personalisation research → sequence drafting and sending → reply triage and follow-up → meeting booked and handoff to Sales. TXN currently runs this manually at low volume (“Phase A”). Phase B (automated sequencing platform, dedicated sending domain, paid data tools) triggers only once defined volume thresholds are hit — see 8.4.</w:t>
      </w:r>
    </w:p>
    <w:p w14:paraId="65F1FC28" w14:textId="77777777" w:rsidR="00D12754" w:rsidRDefault="00141BBE">
      <w:pPr>
        <w:pStyle w:val="Heading2"/>
        <w:spacing w:before="300" w:after="150"/>
      </w:pPr>
      <w:r>
        <w:t>8.2 Standard sequence structure (5 touches over 24 days)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7000"/>
      </w:tblGrid>
      <w:tr w:rsidR="00D12754" w14:paraId="3030838F"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tcPr>
          <w:p w14:paraId="0F6385A4" w14:textId="77777777" w:rsidR="00D12754" w:rsidRDefault="00141BBE">
            <w:r>
              <w:rPr>
                <w:b/>
                <w:bCs/>
                <w:color w:val="FFFFFF"/>
                <w:sz w:val="20"/>
                <w:szCs w:val="20"/>
              </w:rPr>
              <w:t>Day</w:t>
            </w:r>
          </w:p>
        </w:tc>
        <w:tc>
          <w:tcPr>
            <w:tcW w:w="1800" w:type="dxa"/>
            <w:shd w:val="clear" w:color="auto" w:fill="1F3864"/>
            <w:tcMar>
              <w:top w:w="80" w:type="dxa"/>
              <w:left w:w="100" w:type="dxa"/>
              <w:bottom w:w="80" w:type="dxa"/>
              <w:right w:w="100" w:type="dxa"/>
            </w:tcMar>
          </w:tcPr>
          <w:p w14:paraId="780AA8C3" w14:textId="77777777" w:rsidR="00D12754" w:rsidRDefault="00141BBE">
            <w:r>
              <w:rPr>
                <w:b/>
                <w:bCs/>
                <w:color w:val="FFFFFF"/>
                <w:sz w:val="20"/>
                <w:szCs w:val="20"/>
              </w:rPr>
              <w:t>Touch</w:t>
            </w:r>
          </w:p>
        </w:tc>
        <w:tc>
          <w:tcPr>
            <w:tcW w:w="7000" w:type="dxa"/>
            <w:shd w:val="clear" w:color="auto" w:fill="1F3864"/>
            <w:tcMar>
              <w:top w:w="80" w:type="dxa"/>
              <w:left w:w="100" w:type="dxa"/>
              <w:bottom w:w="80" w:type="dxa"/>
              <w:right w:w="100" w:type="dxa"/>
            </w:tcMar>
          </w:tcPr>
          <w:p w14:paraId="4BF925EB" w14:textId="77777777" w:rsidR="00D12754" w:rsidRDefault="00141BBE">
            <w:r>
              <w:rPr>
                <w:b/>
                <w:bCs/>
                <w:color w:val="FFFFFF"/>
                <w:sz w:val="20"/>
                <w:szCs w:val="20"/>
              </w:rPr>
              <w:t>Content</w:t>
            </w:r>
          </w:p>
        </w:tc>
      </w:tr>
      <w:tr w:rsidR="00D12754" w14:paraId="65617B6C" w14:textId="77777777">
        <w:tblPrEx>
          <w:tblCellMar>
            <w:top w:w="0" w:type="dxa"/>
            <w:bottom w:w="0" w:type="dxa"/>
          </w:tblCellMar>
        </w:tblPrEx>
        <w:tc>
          <w:tcPr>
            <w:tcW w:w="1200" w:type="dxa"/>
            <w:tcMar>
              <w:top w:w="80" w:type="dxa"/>
              <w:left w:w="100" w:type="dxa"/>
              <w:bottom w:w="80" w:type="dxa"/>
              <w:right w:w="100" w:type="dxa"/>
            </w:tcMar>
          </w:tcPr>
          <w:p w14:paraId="5033E0F6" w14:textId="77777777" w:rsidR="00D12754" w:rsidRDefault="00141BBE">
            <w:r>
              <w:rPr>
                <w:color w:val="000000"/>
                <w:sz w:val="20"/>
                <w:szCs w:val="20"/>
              </w:rPr>
              <w:t>Day 1</w:t>
            </w:r>
          </w:p>
        </w:tc>
        <w:tc>
          <w:tcPr>
            <w:tcW w:w="1800" w:type="dxa"/>
            <w:tcMar>
              <w:top w:w="80" w:type="dxa"/>
              <w:left w:w="100" w:type="dxa"/>
              <w:bottom w:w="80" w:type="dxa"/>
              <w:right w:w="100" w:type="dxa"/>
            </w:tcMar>
          </w:tcPr>
          <w:p w14:paraId="714A194D" w14:textId="77777777" w:rsidR="00D12754" w:rsidRDefault="00141BBE">
            <w:r>
              <w:rPr>
                <w:color w:val="000000"/>
                <w:sz w:val="20"/>
                <w:szCs w:val="20"/>
              </w:rPr>
              <w:t>Introduction</w:t>
            </w:r>
          </w:p>
        </w:tc>
        <w:tc>
          <w:tcPr>
            <w:tcW w:w="7000" w:type="dxa"/>
            <w:tcMar>
              <w:top w:w="80" w:type="dxa"/>
              <w:left w:w="100" w:type="dxa"/>
              <w:bottom w:w="80" w:type="dxa"/>
              <w:right w:w="100" w:type="dxa"/>
            </w:tcMar>
          </w:tcPr>
          <w:p w14:paraId="42B99A4E" w14:textId="77777777" w:rsidR="00D12754" w:rsidRDefault="00141BBE">
            <w:r>
              <w:rPr>
                <w:color w:val="000000"/>
                <w:sz w:val="20"/>
                <w:szCs w:val="20"/>
              </w:rPr>
              <w:t>Personalisation hook, one pillar reference, low-commitment CTA (invitation to reply, not to book).</w:t>
            </w:r>
          </w:p>
        </w:tc>
      </w:tr>
      <w:tr w:rsidR="00D12754" w14:paraId="2FB860BF" w14:textId="77777777">
        <w:tblPrEx>
          <w:tblCellMar>
            <w:top w:w="0" w:type="dxa"/>
            <w:bottom w:w="0" w:type="dxa"/>
          </w:tblCellMar>
        </w:tblPrEx>
        <w:tc>
          <w:tcPr>
            <w:tcW w:w="1200" w:type="dxa"/>
            <w:tcMar>
              <w:top w:w="80" w:type="dxa"/>
              <w:left w:w="100" w:type="dxa"/>
              <w:bottom w:w="80" w:type="dxa"/>
              <w:right w:w="100" w:type="dxa"/>
            </w:tcMar>
          </w:tcPr>
          <w:p w14:paraId="67C8DD50" w14:textId="77777777" w:rsidR="00D12754" w:rsidRDefault="00141BBE">
            <w:r>
              <w:rPr>
                <w:color w:val="000000"/>
                <w:sz w:val="20"/>
                <w:szCs w:val="20"/>
              </w:rPr>
              <w:t>Day 4</w:t>
            </w:r>
          </w:p>
        </w:tc>
        <w:tc>
          <w:tcPr>
            <w:tcW w:w="1800" w:type="dxa"/>
            <w:tcMar>
              <w:top w:w="80" w:type="dxa"/>
              <w:left w:w="100" w:type="dxa"/>
              <w:bottom w:w="80" w:type="dxa"/>
              <w:right w:w="100" w:type="dxa"/>
            </w:tcMar>
          </w:tcPr>
          <w:p w14:paraId="1FDF224D" w14:textId="77777777" w:rsidR="00D12754" w:rsidRDefault="00141BBE">
            <w:r>
              <w:rPr>
                <w:color w:val="000000"/>
                <w:sz w:val="20"/>
                <w:szCs w:val="20"/>
              </w:rPr>
              <w:t>Nudge</w:t>
            </w:r>
          </w:p>
        </w:tc>
        <w:tc>
          <w:tcPr>
            <w:tcW w:w="7000" w:type="dxa"/>
            <w:tcMar>
              <w:top w:w="80" w:type="dxa"/>
              <w:left w:w="100" w:type="dxa"/>
              <w:bottom w:w="80" w:type="dxa"/>
              <w:right w:w="100" w:type="dxa"/>
            </w:tcMar>
          </w:tcPr>
          <w:p w14:paraId="4E33AE73" w14:textId="77777777" w:rsidR="00D12754" w:rsidRDefault="00141BBE">
            <w:r>
              <w:rPr>
                <w:color w:val="000000"/>
                <w:sz w:val="20"/>
                <w:szCs w:val="20"/>
              </w:rPr>
              <w:t>Different angle to Day 1, one specific persona-relevant proof point.</w:t>
            </w:r>
          </w:p>
        </w:tc>
      </w:tr>
      <w:tr w:rsidR="00D12754" w14:paraId="1C23DAC0" w14:textId="77777777">
        <w:tblPrEx>
          <w:tblCellMar>
            <w:top w:w="0" w:type="dxa"/>
            <w:bottom w:w="0" w:type="dxa"/>
          </w:tblCellMar>
        </w:tblPrEx>
        <w:tc>
          <w:tcPr>
            <w:tcW w:w="1200" w:type="dxa"/>
            <w:tcMar>
              <w:top w:w="80" w:type="dxa"/>
              <w:left w:w="100" w:type="dxa"/>
              <w:bottom w:w="80" w:type="dxa"/>
              <w:right w:w="100" w:type="dxa"/>
            </w:tcMar>
          </w:tcPr>
          <w:p w14:paraId="4F64599A" w14:textId="77777777" w:rsidR="00D12754" w:rsidRDefault="00141BBE">
            <w:r>
              <w:rPr>
                <w:color w:val="000000"/>
                <w:sz w:val="20"/>
                <w:szCs w:val="20"/>
              </w:rPr>
              <w:t>Day 8</w:t>
            </w:r>
          </w:p>
        </w:tc>
        <w:tc>
          <w:tcPr>
            <w:tcW w:w="1800" w:type="dxa"/>
            <w:tcMar>
              <w:top w:w="80" w:type="dxa"/>
              <w:left w:w="100" w:type="dxa"/>
              <w:bottom w:w="80" w:type="dxa"/>
              <w:right w:w="100" w:type="dxa"/>
            </w:tcMar>
          </w:tcPr>
          <w:p w14:paraId="57CE3718" w14:textId="77777777" w:rsidR="00D12754" w:rsidRDefault="00141BBE">
            <w:r>
              <w:rPr>
                <w:color w:val="000000"/>
                <w:sz w:val="20"/>
                <w:szCs w:val="20"/>
              </w:rPr>
              <w:t>Value-add</w:t>
            </w:r>
          </w:p>
        </w:tc>
        <w:tc>
          <w:tcPr>
            <w:tcW w:w="7000" w:type="dxa"/>
            <w:tcMar>
              <w:top w:w="80" w:type="dxa"/>
              <w:left w:w="100" w:type="dxa"/>
              <w:bottom w:w="80" w:type="dxa"/>
              <w:right w:w="100" w:type="dxa"/>
            </w:tcMar>
          </w:tcPr>
          <w:p w14:paraId="1D247EDE" w14:textId="77777777" w:rsidR="00D12754" w:rsidRDefault="00141BBE">
            <w:r>
              <w:rPr>
                <w:color w:val="000000"/>
                <w:sz w:val="20"/>
                <w:szCs w:val="20"/>
              </w:rPr>
              <w:t>A specific relevant asset: case study, competitive differentiation snapshot, or sub-sector one-pager.</w:t>
            </w:r>
          </w:p>
        </w:tc>
      </w:tr>
      <w:tr w:rsidR="00D12754" w14:paraId="3302C5C8" w14:textId="77777777">
        <w:tblPrEx>
          <w:tblCellMar>
            <w:top w:w="0" w:type="dxa"/>
            <w:bottom w:w="0" w:type="dxa"/>
          </w:tblCellMar>
        </w:tblPrEx>
        <w:tc>
          <w:tcPr>
            <w:tcW w:w="1200" w:type="dxa"/>
            <w:tcMar>
              <w:top w:w="80" w:type="dxa"/>
              <w:left w:w="100" w:type="dxa"/>
              <w:bottom w:w="80" w:type="dxa"/>
              <w:right w:w="100" w:type="dxa"/>
            </w:tcMar>
          </w:tcPr>
          <w:p w14:paraId="268BB1E5" w14:textId="77777777" w:rsidR="00D12754" w:rsidRDefault="00141BBE">
            <w:r>
              <w:rPr>
                <w:color w:val="000000"/>
                <w:sz w:val="20"/>
                <w:szCs w:val="20"/>
              </w:rPr>
              <w:t>Day 15</w:t>
            </w:r>
          </w:p>
        </w:tc>
        <w:tc>
          <w:tcPr>
            <w:tcW w:w="1800" w:type="dxa"/>
            <w:tcMar>
              <w:top w:w="80" w:type="dxa"/>
              <w:left w:w="100" w:type="dxa"/>
              <w:bottom w:w="80" w:type="dxa"/>
              <w:right w:w="100" w:type="dxa"/>
            </w:tcMar>
          </w:tcPr>
          <w:p w14:paraId="5834763B" w14:textId="77777777" w:rsidR="00D12754" w:rsidRDefault="00141BBE">
            <w:r>
              <w:rPr>
                <w:color w:val="000000"/>
                <w:sz w:val="20"/>
                <w:szCs w:val="20"/>
              </w:rPr>
              <w:t>Angle change</w:t>
            </w:r>
          </w:p>
        </w:tc>
        <w:tc>
          <w:tcPr>
            <w:tcW w:w="7000" w:type="dxa"/>
            <w:tcMar>
              <w:top w:w="80" w:type="dxa"/>
              <w:left w:w="100" w:type="dxa"/>
              <w:bottom w:w="80" w:type="dxa"/>
              <w:right w:w="100" w:type="dxa"/>
            </w:tcMar>
          </w:tcPr>
          <w:p w14:paraId="6FA89FAE" w14:textId="77777777" w:rsidR="00D12754" w:rsidRDefault="00141BBE">
            <w:r>
              <w:rPr>
                <w:color w:val="000000"/>
                <w:sz w:val="20"/>
                <w:szCs w:val="20"/>
              </w:rPr>
              <w:t>Different pillar, different proof point, different tone. Often framed as one last idea.</w:t>
            </w:r>
          </w:p>
        </w:tc>
      </w:tr>
      <w:tr w:rsidR="00D12754" w14:paraId="1FFB8D86" w14:textId="77777777">
        <w:tblPrEx>
          <w:tblCellMar>
            <w:top w:w="0" w:type="dxa"/>
            <w:bottom w:w="0" w:type="dxa"/>
          </w:tblCellMar>
        </w:tblPrEx>
        <w:tc>
          <w:tcPr>
            <w:tcW w:w="1200" w:type="dxa"/>
            <w:tcMar>
              <w:top w:w="80" w:type="dxa"/>
              <w:left w:w="100" w:type="dxa"/>
              <w:bottom w:w="80" w:type="dxa"/>
              <w:right w:w="100" w:type="dxa"/>
            </w:tcMar>
          </w:tcPr>
          <w:p w14:paraId="0C6A4EF8" w14:textId="77777777" w:rsidR="00D12754" w:rsidRDefault="00141BBE">
            <w:r>
              <w:rPr>
                <w:color w:val="000000"/>
                <w:sz w:val="20"/>
                <w:szCs w:val="20"/>
              </w:rPr>
              <w:t>Day 24</w:t>
            </w:r>
          </w:p>
        </w:tc>
        <w:tc>
          <w:tcPr>
            <w:tcW w:w="1800" w:type="dxa"/>
            <w:tcMar>
              <w:top w:w="80" w:type="dxa"/>
              <w:left w:w="100" w:type="dxa"/>
              <w:bottom w:w="80" w:type="dxa"/>
              <w:right w:w="100" w:type="dxa"/>
            </w:tcMar>
          </w:tcPr>
          <w:p w14:paraId="6564343E" w14:textId="77777777" w:rsidR="00D12754" w:rsidRDefault="00141BBE">
            <w:r>
              <w:rPr>
                <w:color w:val="000000"/>
                <w:sz w:val="20"/>
                <w:szCs w:val="20"/>
              </w:rPr>
              <w:t>Break-up</w:t>
            </w:r>
          </w:p>
        </w:tc>
        <w:tc>
          <w:tcPr>
            <w:tcW w:w="7000" w:type="dxa"/>
            <w:tcMar>
              <w:top w:w="80" w:type="dxa"/>
              <w:left w:w="100" w:type="dxa"/>
              <w:bottom w:w="80" w:type="dxa"/>
              <w:right w:w="100" w:type="dxa"/>
            </w:tcMar>
          </w:tcPr>
          <w:p w14:paraId="5035188C" w14:textId="77777777" w:rsidR="00D12754" w:rsidRDefault="00141BBE">
            <w:r>
              <w:rPr>
                <w:color w:val="000000"/>
                <w:sz w:val="20"/>
                <w:szCs w:val="20"/>
              </w:rPr>
              <w:t>Explicit, low-pressure close-out. Often generates a reply where earlier touches did not.</w:t>
            </w:r>
          </w:p>
        </w:tc>
      </w:tr>
    </w:tbl>
    <w:p w14:paraId="10711F48" w14:textId="77777777" w:rsidR="00D12754" w:rsidRDefault="00141BBE">
      <w:pPr>
        <w:spacing w:after="160"/>
      </w:pPr>
      <w:r>
        <w:t>An optional LinkedIn touch may sit between emails for Priority 1 accounts. No personalisation, no send: every contact needs two to four sentences of relevant, verifiable personalisation grounded in a public source (a LinkedIn post, a funding announcement, an executive move) before the first message goes out. Generic personalisation (congratulations on a funding round with no connection to a pillar) does not qualify.</w:t>
      </w:r>
    </w:p>
    <w:p w14:paraId="5EC9B936" w14:textId="77777777" w:rsidR="00D12754" w:rsidRDefault="00141BBE">
      <w:pPr>
        <w:pStyle w:val="Heading2"/>
        <w:spacing w:before="300" w:after="150"/>
      </w:pPr>
      <w:r>
        <w:t>8.3 Sending rules — apply to every email and LinkedIn message</w:t>
      </w:r>
    </w:p>
    <w:p w14:paraId="7BD34553" w14:textId="77777777" w:rsidR="00D12754" w:rsidRDefault="00141BBE">
      <w:pPr>
        <w:pStyle w:val="ListParagraph"/>
        <w:numPr>
          <w:ilvl w:val="0"/>
          <w:numId w:val="2"/>
        </w:numPr>
        <w:spacing w:after="80"/>
      </w:pPr>
      <w:r>
        <w:t>British English; program and programs, never programme or programmes.</w:t>
      </w:r>
    </w:p>
    <w:p w14:paraId="731772E4" w14:textId="77777777" w:rsidR="00D12754" w:rsidRDefault="00141BBE">
      <w:pPr>
        <w:pStyle w:val="ListParagraph"/>
        <w:numPr>
          <w:ilvl w:val="0"/>
          <w:numId w:val="2"/>
        </w:numPr>
        <w:spacing w:after="80"/>
      </w:pPr>
      <w:r>
        <w:t xml:space="preserve">No </w:t>
      </w:r>
      <w:proofErr w:type="spellStart"/>
      <w:r>
        <w:t>em</w:t>
      </w:r>
      <w:proofErr w:type="spellEnd"/>
      <w:r>
        <w:t xml:space="preserve"> dashes.</w:t>
      </w:r>
    </w:p>
    <w:p w14:paraId="659F8AB0" w14:textId="77777777" w:rsidR="00D12754" w:rsidRDefault="00141BBE">
      <w:pPr>
        <w:pStyle w:val="ListParagraph"/>
        <w:numPr>
          <w:ilvl w:val="0"/>
          <w:numId w:val="2"/>
        </w:numPr>
        <w:spacing w:after="80"/>
      </w:pPr>
      <w:r>
        <w:t>No AI-isms (see Section 5.2 list).</w:t>
      </w:r>
    </w:p>
    <w:p w14:paraId="34987780" w14:textId="77777777" w:rsidR="00D12754" w:rsidRDefault="00141BBE">
      <w:pPr>
        <w:pStyle w:val="ListParagraph"/>
        <w:numPr>
          <w:ilvl w:val="0"/>
          <w:numId w:val="2"/>
        </w:numPr>
        <w:spacing w:after="80"/>
      </w:pPr>
      <w:r>
        <w:t>Ownership references use the approved formulations only (Section 5.5); banned phrases must never appear.</w:t>
      </w:r>
    </w:p>
    <w:p w14:paraId="582D431D" w14:textId="77777777" w:rsidR="00D12754" w:rsidRDefault="00141BBE">
      <w:pPr>
        <w:pStyle w:val="ListParagraph"/>
        <w:numPr>
          <w:ilvl w:val="0"/>
          <w:numId w:val="2"/>
        </w:numPr>
        <w:spacing w:after="80"/>
      </w:pPr>
      <w:r>
        <w:t>Each email under 120 words. Subject line under 60 characters. One CTA per email.</w:t>
      </w:r>
    </w:p>
    <w:p w14:paraId="5B7492AA" w14:textId="77777777" w:rsidR="00D12754" w:rsidRDefault="00141BBE">
      <w:pPr>
        <w:pStyle w:val="ListParagraph"/>
        <w:numPr>
          <w:ilvl w:val="0"/>
          <w:numId w:val="2"/>
        </w:numPr>
        <w:spacing w:after="80"/>
      </w:pPr>
      <w:r>
        <w:t>No two contacts at the same company receive identical text — vary the opening, pillar, and proof point.</w:t>
      </w:r>
    </w:p>
    <w:p w14:paraId="222B6983" w14:textId="77777777" w:rsidR="00D12754" w:rsidRDefault="00141BBE">
      <w:pPr>
        <w:pStyle w:val="ListParagraph"/>
        <w:numPr>
          <w:ilvl w:val="0"/>
          <w:numId w:val="2"/>
        </w:numPr>
        <w:spacing w:after="80"/>
      </w:pPr>
      <w:r>
        <w:t>Sending window 08:00–17:00 local time in the target country; sends weighted Tuesday to Thursday.</w:t>
      </w:r>
    </w:p>
    <w:p w14:paraId="767B93B0" w14:textId="77777777" w:rsidR="00D12754" w:rsidRDefault="00141BBE">
      <w:pPr>
        <w:pStyle w:val="ListParagraph"/>
        <w:numPr>
          <w:ilvl w:val="0"/>
          <w:numId w:val="2"/>
        </w:numPr>
        <w:spacing w:after="80"/>
      </w:pPr>
      <w:r>
        <w:t>Unsubscribe mechanism (link or plain-text reply instruction) and TXN's registered business address in every footer, not Direct Transact's or Paycorp's address.</w:t>
      </w:r>
    </w:p>
    <w:p w14:paraId="7DDDC39D" w14:textId="77777777" w:rsidR="00D12754" w:rsidRDefault="00141BBE">
      <w:pPr>
        <w:pStyle w:val="Heading2"/>
        <w:spacing w:before="300" w:after="150"/>
      </w:pPr>
      <w:r>
        <w:t>8.4 LinkedIn-specific constraint</w:t>
      </w:r>
    </w:p>
    <w:p w14:paraId="3FA667D4" w14:textId="77777777" w:rsidR="00D12754" w:rsidRDefault="00141BBE">
      <w:pPr>
        <w:spacing w:after="160"/>
      </w:pPr>
      <w:r>
        <w:t xml:space="preserve">LinkedIn's Terms of Service prohibit automated access or bot use of any kind. This is a LinkedIn platform rule, not specific to any one tool. The compliant workflow is human-plus-AI: a person runs LinkedIn Sales Navigator searches and captures profile and post content manually, and that captured material is then used </w:t>
      </w:r>
      <w:r>
        <w:lastRenderedPageBreak/>
        <w:t>to structure contact records and draft personalisation. Do not propose or run automated LinkedIn scraping, bulk connection requests, or bot-driven messaging on TXN's behalf.</w:t>
      </w:r>
    </w:p>
    <w:p w14:paraId="6DEA0B5A" w14:textId="77777777" w:rsidR="00D12754" w:rsidRDefault="00141BBE">
      <w:pPr>
        <w:pStyle w:val="Heading2"/>
        <w:spacing w:before="300" w:after="150"/>
      </w:pPr>
      <w:r>
        <w:t>8.5 Compliance baseline (GDPR / PECR)</w:t>
      </w:r>
    </w:p>
    <w:p w14:paraId="46C265A5" w14:textId="77777777" w:rsidR="00D12754" w:rsidRDefault="00141BBE">
      <w:pPr>
        <w:pStyle w:val="ListParagraph"/>
        <w:numPr>
          <w:ilvl w:val="0"/>
          <w:numId w:val="2"/>
        </w:numPr>
        <w:spacing w:after="80"/>
      </w:pPr>
      <w:r>
        <w:t>Lawful basis is legitimate interest for B2B outbound in most EEA jurisdictions; document the justification per ICP segment.</w:t>
      </w:r>
    </w:p>
    <w:p w14:paraId="2AC23EA3" w14:textId="77777777" w:rsidR="00D12754" w:rsidRDefault="00141BBE">
      <w:pPr>
        <w:pStyle w:val="ListParagraph"/>
        <w:numPr>
          <w:ilvl w:val="0"/>
          <w:numId w:val="2"/>
        </w:numPr>
        <w:spacing w:after="80"/>
      </w:pPr>
      <w:r>
        <w:t>Every email carries a clear unsubscribe mechanism; every unsubscribe is honoured within 48 hours and added to a permanent suppression list.</w:t>
      </w:r>
    </w:p>
    <w:p w14:paraId="78E9C8EE" w14:textId="77777777" w:rsidR="00D12754" w:rsidRDefault="00141BBE">
      <w:pPr>
        <w:pStyle w:val="ListParagraph"/>
        <w:numPr>
          <w:ilvl w:val="0"/>
          <w:numId w:val="2"/>
        </w:numPr>
        <w:spacing w:after="80"/>
      </w:pPr>
      <w:r>
        <w:t>Germany: consent-based under UWG — exclude from cold email outbound; LinkedIn or inbound only.</w:t>
      </w:r>
    </w:p>
    <w:p w14:paraId="3BCE4ADF" w14:textId="77777777" w:rsidR="00D12754" w:rsidRDefault="00141BBE">
      <w:pPr>
        <w:pStyle w:val="ListParagraph"/>
        <w:numPr>
          <w:ilvl w:val="0"/>
          <w:numId w:val="2"/>
        </w:numPr>
        <w:spacing w:after="80"/>
      </w:pPr>
      <w:r>
        <w:t>UK PECR: corporate subscribers with named contacts are permitted under legitimate interest; sole traders and unincorporated partnerships are consent-based and excluded.</w:t>
      </w:r>
    </w:p>
    <w:p w14:paraId="741B22F4" w14:textId="77777777" w:rsidR="00D12754" w:rsidRDefault="00141BBE">
      <w:pPr>
        <w:pStyle w:val="ListParagraph"/>
        <w:numPr>
          <w:ilvl w:val="0"/>
          <w:numId w:val="2"/>
        </w:numPr>
        <w:spacing w:after="80"/>
      </w:pPr>
      <w:r>
        <w:t>Sender identification (TXN's registered business address) required in every footer.</w:t>
      </w:r>
    </w:p>
    <w:p w14:paraId="5018D197" w14:textId="77777777" w:rsidR="00D12754" w:rsidRDefault="00141BBE">
      <w:pPr>
        <w:pStyle w:val="Heading2"/>
        <w:spacing w:before="300" w:after="150"/>
      </w:pPr>
      <w:r>
        <w:t>8.6 Metrics the partner's output will be judged against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4600"/>
      </w:tblGrid>
      <w:tr w:rsidR="00D12754" w14:paraId="586D6DB0"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tcPr>
          <w:p w14:paraId="632D7DB9" w14:textId="77777777" w:rsidR="00D12754" w:rsidRDefault="00141BBE">
            <w:r>
              <w:rPr>
                <w:b/>
                <w:bCs/>
                <w:color w:val="FFFFFF"/>
                <w:sz w:val="20"/>
                <w:szCs w:val="20"/>
              </w:rPr>
              <w:t>Stage</w:t>
            </w:r>
          </w:p>
        </w:tc>
        <w:tc>
          <w:tcPr>
            <w:tcW w:w="3600" w:type="dxa"/>
            <w:shd w:val="clear" w:color="auto" w:fill="1F3864"/>
            <w:tcMar>
              <w:top w:w="80" w:type="dxa"/>
              <w:left w:w="100" w:type="dxa"/>
              <w:bottom w:w="80" w:type="dxa"/>
              <w:right w:w="100" w:type="dxa"/>
            </w:tcMar>
          </w:tcPr>
          <w:p w14:paraId="633D0350" w14:textId="77777777" w:rsidR="00D12754" w:rsidRDefault="00141BBE">
            <w:r>
              <w:rPr>
                <w:b/>
                <w:bCs/>
                <w:color w:val="FFFFFF"/>
                <w:sz w:val="20"/>
                <w:szCs w:val="20"/>
              </w:rPr>
              <w:t>Metric</w:t>
            </w:r>
          </w:p>
        </w:tc>
        <w:tc>
          <w:tcPr>
            <w:tcW w:w="4600" w:type="dxa"/>
            <w:shd w:val="clear" w:color="auto" w:fill="1F3864"/>
            <w:tcMar>
              <w:top w:w="80" w:type="dxa"/>
              <w:left w:w="100" w:type="dxa"/>
              <w:bottom w:w="80" w:type="dxa"/>
              <w:right w:w="100" w:type="dxa"/>
            </w:tcMar>
          </w:tcPr>
          <w:p w14:paraId="36B4FD7D" w14:textId="77777777" w:rsidR="00D12754" w:rsidRDefault="00141BBE">
            <w:r>
              <w:rPr>
                <w:b/>
                <w:bCs/>
                <w:color w:val="FFFFFF"/>
                <w:sz w:val="20"/>
                <w:szCs w:val="20"/>
              </w:rPr>
              <w:t>Target range</w:t>
            </w:r>
          </w:p>
        </w:tc>
      </w:tr>
      <w:tr w:rsidR="00D12754" w14:paraId="0EAA3467" w14:textId="77777777">
        <w:tblPrEx>
          <w:tblCellMar>
            <w:top w:w="0" w:type="dxa"/>
            <w:bottom w:w="0" w:type="dxa"/>
          </w:tblCellMar>
        </w:tblPrEx>
        <w:tc>
          <w:tcPr>
            <w:tcW w:w="1800" w:type="dxa"/>
            <w:tcMar>
              <w:top w:w="80" w:type="dxa"/>
              <w:left w:w="100" w:type="dxa"/>
              <w:bottom w:w="80" w:type="dxa"/>
              <w:right w:w="100" w:type="dxa"/>
            </w:tcMar>
          </w:tcPr>
          <w:p w14:paraId="7915EB80" w14:textId="77777777" w:rsidR="00D12754" w:rsidRDefault="00141BBE">
            <w:r>
              <w:rPr>
                <w:color w:val="000000"/>
                <w:sz w:val="20"/>
                <w:szCs w:val="20"/>
              </w:rPr>
              <w:t>Sending</w:t>
            </w:r>
          </w:p>
        </w:tc>
        <w:tc>
          <w:tcPr>
            <w:tcW w:w="3600" w:type="dxa"/>
            <w:tcMar>
              <w:top w:w="80" w:type="dxa"/>
              <w:left w:w="100" w:type="dxa"/>
              <w:bottom w:w="80" w:type="dxa"/>
              <w:right w:w="100" w:type="dxa"/>
            </w:tcMar>
          </w:tcPr>
          <w:p w14:paraId="58F88349" w14:textId="77777777" w:rsidR="00D12754" w:rsidRDefault="00141BBE">
            <w:r>
              <w:rPr>
                <w:color w:val="000000"/>
                <w:sz w:val="20"/>
                <w:szCs w:val="20"/>
              </w:rPr>
              <w:t>Reply rate</w:t>
            </w:r>
          </w:p>
        </w:tc>
        <w:tc>
          <w:tcPr>
            <w:tcW w:w="4600" w:type="dxa"/>
            <w:tcMar>
              <w:top w:w="80" w:type="dxa"/>
              <w:left w:w="100" w:type="dxa"/>
              <w:bottom w:w="80" w:type="dxa"/>
              <w:right w:w="100" w:type="dxa"/>
            </w:tcMar>
          </w:tcPr>
          <w:p w14:paraId="50D1760A" w14:textId="77777777" w:rsidR="00D12754" w:rsidRDefault="00141BBE">
            <w:r>
              <w:rPr>
                <w:color w:val="000000"/>
                <w:sz w:val="20"/>
                <w:szCs w:val="20"/>
              </w:rPr>
              <w:t>5% to 10% (the single most important signal at current volume)</w:t>
            </w:r>
          </w:p>
        </w:tc>
      </w:tr>
      <w:tr w:rsidR="00D12754" w14:paraId="097AC95C" w14:textId="77777777">
        <w:tblPrEx>
          <w:tblCellMar>
            <w:top w:w="0" w:type="dxa"/>
            <w:bottom w:w="0" w:type="dxa"/>
          </w:tblCellMar>
        </w:tblPrEx>
        <w:tc>
          <w:tcPr>
            <w:tcW w:w="1800" w:type="dxa"/>
            <w:tcMar>
              <w:top w:w="80" w:type="dxa"/>
              <w:left w:w="100" w:type="dxa"/>
              <w:bottom w:w="80" w:type="dxa"/>
              <w:right w:w="100" w:type="dxa"/>
            </w:tcMar>
          </w:tcPr>
          <w:p w14:paraId="32A913EF" w14:textId="77777777" w:rsidR="00D12754" w:rsidRDefault="00141BBE">
            <w:r>
              <w:rPr>
                <w:color w:val="000000"/>
                <w:sz w:val="20"/>
                <w:szCs w:val="20"/>
              </w:rPr>
              <w:t>Sending</w:t>
            </w:r>
          </w:p>
        </w:tc>
        <w:tc>
          <w:tcPr>
            <w:tcW w:w="3600" w:type="dxa"/>
            <w:tcMar>
              <w:top w:w="80" w:type="dxa"/>
              <w:left w:w="100" w:type="dxa"/>
              <w:bottom w:w="80" w:type="dxa"/>
              <w:right w:w="100" w:type="dxa"/>
            </w:tcMar>
          </w:tcPr>
          <w:p w14:paraId="1B6E7A5D" w14:textId="77777777" w:rsidR="00D12754" w:rsidRDefault="00141BBE">
            <w:r>
              <w:rPr>
                <w:color w:val="000000"/>
                <w:sz w:val="20"/>
                <w:szCs w:val="20"/>
              </w:rPr>
              <w:t>Deliverability / inbox placement</w:t>
            </w:r>
          </w:p>
        </w:tc>
        <w:tc>
          <w:tcPr>
            <w:tcW w:w="4600" w:type="dxa"/>
            <w:tcMar>
              <w:top w:w="80" w:type="dxa"/>
              <w:left w:w="100" w:type="dxa"/>
              <w:bottom w:w="80" w:type="dxa"/>
              <w:right w:w="100" w:type="dxa"/>
            </w:tcMar>
          </w:tcPr>
          <w:p w14:paraId="785900A6" w14:textId="77777777" w:rsidR="00D12754" w:rsidRDefault="00141BBE">
            <w:r>
              <w:rPr>
                <w:color w:val="000000"/>
                <w:sz w:val="20"/>
                <w:szCs w:val="20"/>
              </w:rPr>
              <w:t>Above 90%</w:t>
            </w:r>
          </w:p>
        </w:tc>
      </w:tr>
      <w:tr w:rsidR="00D12754" w14:paraId="4F15F1E3" w14:textId="77777777">
        <w:tblPrEx>
          <w:tblCellMar>
            <w:top w:w="0" w:type="dxa"/>
            <w:bottom w:w="0" w:type="dxa"/>
          </w:tblCellMar>
        </w:tblPrEx>
        <w:tc>
          <w:tcPr>
            <w:tcW w:w="1800" w:type="dxa"/>
            <w:tcMar>
              <w:top w:w="80" w:type="dxa"/>
              <w:left w:w="100" w:type="dxa"/>
              <w:bottom w:w="80" w:type="dxa"/>
              <w:right w:w="100" w:type="dxa"/>
            </w:tcMar>
          </w:tcPr>
          <w:p w14:paraId="468B74DC" w14:textId="77777777" w:rsidR="00D12754" w:rsidRDefault="00141BBE">
            <w:r>
              <w:rPr>
                <w:color w:val="000000"/>
                <w:sz w:val="20"/>
                <w:szCs w:val="20"/>
              </w:rPr>
              <w:t>Reply triage</w:t>
            </w:r>
          </w:p>
        </w:tc>
        <w:tc>
          <w:tcPr>
            <w:tcW w:w="3600" w:type="dxa"/>
            <w:tcMar>
              <w:top w:w="80" w:type="dxa"/>
              <w:left w:w="100" w:type="dxa"/>
              <w:bottom w:w="80" w:type="dxa"/>
              <w:right w:w="100" w:type="dxa"/>
            </w:tcMar>
          </w:tcPr>
          <w:p w14:paraId="6F0EFCBA" w14:textId="77777777" w:rsidR="00D12754" w:rsidRDefault="00141BBE">
            <w:r>
              <w:rPr>
                <w:color w:val="000000"/>
                <w:sz w:val="20"/>
                <w:szCs w:val="20"/>
              </w:rPr>
              <w:t>Positive reply rate (% of sends)</w:t>
            </w:r>
          </w:p>
        </w:tc>
        <w:tc>
          <w:tcPr>
            <w:tcW w:w="4600" w:type="dxa"/>
            <w:tcMar>
              <w:top w:w="80" w:type="dxa"/>
              <w:left w:w="100" w:type="dxa"/>
              <w:bottom w:w="80" w:type="dxa"/>
              <w:right w:w="100" w:type="dxa"/>
            </w:tcMar>
          </w:tcPr>
          <w:p w14:paraId="2D025F7C" w14:textId="77777777" w:rsidR="00D12754" w:rsidRDefault="00141BBE">
            <w:r>
              <w:rPr>
                <w:color w:val="000000"/>
                <w:sz w:val="20"/>
                <w:szCs w:val="20"/>
              </w:rPr>
              <w:t>0.5% to 2%</w:t>
            </w:r>
          </w:p>
        </w:tc>
      </w:tr>
      <w:tr w:rsidR="00D12754" w14:paraId="7B711E05" w14:textId="77777777">
        <w:tblPrEx>
          <w:tblCellMar>
            <w:top w:w="0" w:type="dxa"/>
            <w:bottom w:w="0" w:type="dxa"/>
          </w:tblCellMar>
        </w:tblPrEx>
        <w:tc>
          <w:tcPr>
            <w:tcW w:w="1800" w:type="dxa"/>
            <w:tcMar>
              <w:top w:w="80" w:type="dxa"/>
              <w:left w:w="100" w:type="dxa"/>
              <w:bottom w:w="80" w:type="dxa"/>
              <w:right w:w="100" w:type="dxa"/>
            </w:tcMar>
          </w:tcPr>
          <w:p w14:paraId="17ED6324" w14:textId="77777777" w:rsidR="00D12754" w:rsidRDefault="00141BBE">
            <w:r>
              <w:rPr>
                <w:color w:val="000000"/>
                <w:sz w:val="20"/>
                <w:szCs w:val="20"/>
              </w:rPr>
              <w:t>Meeting booked</w:t>
            </w:r>
          </w:p>
        </w:tc>
        <w:tc>
          <w:tcPr>
            <w:tcW w:w="3600" w:type="dxa"/>
            <w:tcMar>
              <w:top w:w="80" w:type="dxa"/>
              <w:left w:w="100" w:type="dxa"/>
              <w:bottom w:w="80" w:type="dxa"/>
              <w:right w:w="100" w:type="dxa"/>
            </w:tcMar>
          </w:tcPr>
          <w:p w14:paraId="09010F1C" w14:textId="77777777" w:rsidR="00D12754" w:rsidRDefault="00141BBE">
            <w:r>
              <w:rPr>
                <w:color w:val="000000"/>
                <w:sz w:val="20"/>
                <w:szCs w:val="20"/>
              </w:rPr>
              <w:t>Positive reply to meeting conversion</w:t>
            </w:r>
          </w:p>
        </w:tc>
        <w:tc>
          <w:tcPr>
            <w:tcW w:w="4600" w:type="dxa"/>
            <w:tcMar>
              <w:top w:w="80" w:type="dxa"/>
              <w:left w:w="100" w:type="dxa"/>
              <w:bottom w:w="80" w:type="dxa"/>
              <w:right w:w="100" w:type="dxa"/>
            </w:tcMar>
          </w:tcPr>
          <w:p w14:paraId="08AD4D0A" w14:textId="77777777" w:rsidR="00D12754" w:rsidRDefault="00141BBE">
            <w:r>
              <w:rPr>
                <w:color w:val="000000"/>
                <w:sz w:val="20"/>
                <w:szCs w:val="20"/>
              </w:rPr>
              <w:t>Above 60%</w:t>
            </w:r>
          </w:p>
        </w:tc>
      </w:tr>
    </w:tbl>
    <w:p w14:paraId="3D999828" w14:textId="77777777" w:rsidR="00D12754" w:rsidRDefault="00141BBE">
      <w:pPr>
        <w:spacing w:after="160"/>
      </w:pPr>
      <w:r>
        <w:t>A low reply rate at low volume signals a problem with targeting, personalisation, or messaging, not a problem to be solved by adding automation or volume. Escalate that signal to Ian Johnson rather than compensating with higher send volume.</w:t>
      </w:r>
    </w:p>
    <w:p w14:paraId="486F176A" w14:textId="77777777" w:rsidR="00D12754" w:rsidRDefault="00141BBE">
      <w:r>
        <w:br w:type="page"/>
      </w:r>
    </w:p>
    <w:p w14:paraId="68E21206" w14:textId="77777777" w:rsidR="00D12754" w:rsidRDefault="00141BBE">
      <w:pPr>
        <w:pStyle w:val="Heading1"/>
        <w:spacing w:before="400" w:after="200"/>
      </w:pPr>
      <w:r>
        <w:lastRenderedPageBreak/>
        <w:t>9. Objection handling quick reference</w:t>
      </w:r>
    </w:p>
    <w:p w14:paraId="43DA6C30" w14:textId="77777777" w:rsidR="00D12754" w:rsidRDefault="00141BBE">
      <w:pPr>
        <w:spacing w:after="160"/>
      </w:pPr>
      <w:r>
        <w:t>Source: TXN_GTM_Objection_Handling_v1.1.docx (07_GTM/04_Sales_Motion/). Use this when drafting reply-handling copy, LinkedIn comment responses, or any content that anticipates a buyer pushback. The master frame: TXN refuses the compromise between flexibility and reliability that legacy processors and first-wave modern platforms both force.</w:t>
      </w:r>
    </w:p>
    <w:p w14:paraId="2D753884" w14:textId="77777777" w:rsidR="00D12754" w:rsidRDefault="00141BBE">
      <w:pPr>
        <w:pStyle w:val="Heading2"/>
        <w:spacing w:before="300" w:after="150"/>
      </w:pPr>
      <w:r>
        <w:t>9.1 The four-step method</w:t>
      </w:r>
    </w:p>
    <w:p w14:paraId="0505F9F2" w14:textId="77777777" w:rsidR="00D12754" w:rsidRDefault="00141BBE">
      <w:pPr>
        <w:pStyle w:val="ListParagraph"/>
        <w:numPr>
          <w:ilvl w:val="0"/>
          <w:numId w:val="2"/>
        </w:numPr>
        <w:spacing w:after="80"/>
      </w:pPr>
      <w:r>
        <w:t>Acknowledge the concern and repeat it back.</w:t>
      </w:r>
    </w:p>
    <w:p w14:paraId="51527229" w14:textId="77777777" w:rsidR="00D12754" w:rsidRDefault="00141BBE">
      <w:pPr>
        <w:pStyle w:val="ListParagraph"/>
        <w:numPr>
          <w:ilvl w:val="0"/>
          <w:numId w:val="2"/>
        </w:numPr>
        <w:spacing w:after="80"/>
      </w:pPr>
      <w:r>
        <w:t>Understand by asking a question before answering — the real concern is often not the one stated.</w:t>
      </w:r>
    </w:p>
    <w:p w14:paraId="62F2600A" w14:textId="77777777" w:rsidR="00D12754" w:rsidRDefault="00141BBE">
      <w:pPr>
        <w:pStyle w:val="ListParagraph"/>
        <w:numPr>
          <w:ilvl w:val="0"/>
          <w:numId w:val="2"/>
        </w:numPr>
        <w:spacing w:after="80"/>
      </w:pPr>
      <w:r>
        <w:t>Reframe on the outcome the buyer is trying to reach.</w:t>
      </w:r>
    </w:p>
    <w:p w14:paraId="075B54F9" w14:textId="77777777" w:rsidR="00D12754" w:rsidRDefault="00141BBE">
      <w:pPr>
        <w:pStyle w:val="ListParagraph"/>
        <w:numPr>
          <w:ilvl w:val="0"/>
          <w:numId w:val="2"/>
        </w:numPr>
        <w:spacing w:after="80"/>
      </w:pPr>
      <w:r>
        <w:t>Resolve with a specific, sourced proof point or a clear next step.</w:t>
      </w:r>
    </w:p>
    <w:p w14:paraId="55D7992A" w14:textId="77777777" w:rsidR="00D12754" w:rsidRDefault="00141BBE">
      <w:pPr>
        <w:pStyle w:val="Heading2"/>
        <w:spacing w:before="300" w:after="150"/>
      </w:pPr>
      <w:r>
        <w:t>9.2 Common objections, condensed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D12754" w14:paraId="1A22A9E8"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4B1BCFC0" w14:textId="77777777" w:rsidR="00D12754" w:rsidRDefault="00141BBE">
            <w:r>
              <w:rPr>
                <w:b/>
                <w:bCs/>
                <w:color w:val="FFFFFF"/>
                <w:sz w:val="20"/>
                <w:szCs w:val="20"/>
              </w:rPr>
              <w:t>Objection</w:t>
            </w:r>
          </w:p>
        </w:tc>
        <w:tc>
          <w:tcPr>
            <w:tcW w:w="6800" w:type="dxa"/>
            <w:shd w:val="clear" w:color="auto" w:fill="1F3864"/>
            <w:tcMar>
              <w:top w:w="80" w:type="dxa"/>
              <w:left w:w="100" w:type="dxa"/>
              <w:bottom w:w="80" w:type="dxa"/>
              <w:right w:w="100" w:type="dxa"/>
            </w:tcMar>
          </w:tcPr>
          <w:p w14:paraId="04FDDD62" w14:textId="77777777" w:rsidR="00D12754" w:rsidRDefault="00141BBE">
            <w:r>
              <w:rPr>
                <w:b/>
                <w:bCs/>
                <w:color w:val="FFFFFF"/>
                <w:sz w:val="20"/>
                <w:szCs w:val="20"/>
              </w:rPr>
              <w:t>Response direction</w:t>
            </w:r>
          </w:p>
        </w:tc>
      </w:tr>
      <w:tr w:rsidR="00D12754" w14:paraId="5421221C" w14:textId="77777777">
        <w:tblPrEx>
          <w:tblCellMar>
            <w:top w:w="0" w:type="dxa"/>
            <w:bottom w:w="0" w:type="dxa"/>
          </w:tblCellMar>
        </w:tblPrEx>
        <w:tc>
          <w:tcPr>
            <w:tcW w:w="3200" w:type="dxa"/>
            <w:tcMar>
              <w:top w:w="80" w:type="dxa"/>
              <w:left w:w="100" w:type="dxa"/>
              <w:bottom w:w="80" w:type="dxa"/>
              <w:right w:w="100" w:type="dxa"/>
            </w:tcMar>
          </w:tcPr>
          <w:p w14:paraId="3EDCF0B0" w14:textId="77777777" w:rsidR="00D12754" w:rsidRDefault="00141BBE">
            <w:r>
              <w:rPr>
                <w:color w:val="000000"/>
                <w:sz w:val="20"/>
                <w:szCs w:val="20"/>
              </w:rPr>
              <w:t>“You're more expensive than X.”</w:t>
            </w:r>
          </w:p>
        </w:tc>
        <w:tc>
          <w:tcPr>
            <w:tcW w:w="6800" w:type="dxa"/>
            <w:tcMar>
              <w:top w:w="80" w:type="dxa"/>
              <w:left w:w="100" w:type="dxa"/>
              <w:bottom w:w="80" w:type="dxa"/>
              <w:right w:w="100" w:type="dxa"/>
            </w:tcMar>
          </w:tcPr>
          <w:p w14:paraId="3D0A6DC0" w14:textId="77777777" w:rsidR="00D12754" w:rsidRDefault="00141BBE">
            <w:r>
              <w:rPr>
                <w:color w:val="000000"/>
                <w:sz w:val="20"/>
                <w:szCs w:val="20"/>
              </w:rPr>
              <w:t>Shift from licence price to cost of running the program; TXN needs fewer specialists and less engineering time. Compare like-for-like at expected volume. Never lead with a discount.</w:t>
            </w:r>
          </w:p>
        </w:tc>
      </w:tr>
      <w:tr w:rsidR="00D12754" w14:paraId="4A1051B8" w14:textId="77777777">
        <w:tblPrEx>
          <w:tblCellMar>
            <w:top w:w="0" w:type="dxa"/>
            <w:bottom w:w="0" w:type="dxa"/>
          </w:tblCellMar>
        </w:tblPrEx>
        <w:tc>
          <w:tcPr>
            <w:tcW w:w="3200" w:type="dxa"/>
            <w:tcMar>
              <w:top w:w="80" w:type="dxa"/>
              <w:left w:w="100" w:type="dxa"/>
              <w:bottom w:w="80" w:type="dxa"/>
              <w:right w:w="100" w:type="dxa"/>
            </w:tcMar>
          </w:tcPr>
          <w:p w14:paraId="16267154" w14:textId="77777777" w:rsidR="00D12754" w:rsidRDefault="00141BBE">
            <w:r>
              <w:rPr>
                <w:color w:val="000000"/>
                <w:sz w:val="20"/>
                <w:szCs w:val="20"/>
              </w:rPr>
              <w:t>“Is the AI just hype?”</w:t>
            </w:r>
          </w:p>
        </w:tc>
        <w:tc>
          <w:tcPr>
            <w:tcW w:w="6800" w:type="dxa"/>
            <w:tcMar>
              <w:top w:w="80" w:type="dxa"/>
              <w:left w:w="100" w:type="dxa"/>
              <w:bottom w:w="80" w:type="dxa"/>
              <w:right w:w="100" w:type="dxa"/>
            </w:tcMar>
          </w:tcPr>
          <w:p w14:paraId="5BD65F3B" w14:textId="77777777" w:rsidR="00D12754" w:rsidRDefault="00141BBE">
            <w:r>
              <w:rPr>
                <w:color w:val="000000"/>
                <w:sz w:val="20"/>
                <w:szCs w:val="20"/>
              </w:rPr>
              <w:t>Lead with the outcome (running a program without card experts); AI is the mechanism, runs outside the real-time transaction path, and a person stays in the decision loop.</w:t>
            </w:r>
          </w:p>
        </w:tc>
      </w:tr>
      <w:tr w:rsidR="00D12754" w14:paraId="5F2E10A7" w14:textId="77777777">
        <w:tblPrEx>
          <w:tblCellMar>
            <w:top w:w="0" w:type="dxa"/>
            <w:bottom w:w="0" w:type="dxa"/>
          </w:tblCellMar>
        </w:tblPrEx>
        <w:tc>
          <w:tcPr>
            <w:tcW w:w="3200" w:type="dxa"/>
            <w:tcMar>
              <w:top w:w="80" w:type="dxa"/>
              <w:left w:w="100" w:type="dxa"/>
              <w:bottom w:w="80" w:type="dxa"/>
              <w:right w:w="100" w:type="dxa"/>
            </w:tcMar>
          </w:tcPr>
          <w:p w14:paraId="6F1BE046" w14:textId="77777777" w:rsidR="00D12754" w:rsidRDefault="00141BBE">
            <w:r>
              <w:rPr>
                <w:color w:val="000000"/>
                <w:sz w:val="20"/>
                <w:szCs w:val="20"/>
              </w:rPr>
              <w:t>“You are pre-launch and unproven.”</w:t>
            </w:r>
          </w:p>
        </w:tc>
        <w:tc>
          <w:tcPr>
            <w:tcW w:w="6800" w:type="dxa"/>
            <w:tcMar>
              <w:top w:w="80" w:type="dxa"/>
              <w:left w:w="100" w:type="dxa"/>
              <w:bottom w:w="80" w:type="dxa"/>
              <w:right w:w="100" w:type="dxa"/>
            </w:tcMar>
          </w:tcPr>
          <w:p w14:paraId="1B77D4DE" w14:textId="77777777" w:rsidR="00D12754" w:rsidRDefault="00141BBE">
            <w:r>
              <w:rPr>
                <w:color w:val="000000"/>
                <w:sz w:val="20"/>
                <w:szCs w:val="20"/>
              </w:rPr>
              <w:t>Acknowledge plainly. TXN's processing reliability comes from Direct Transact's 25 years, via ownership, not a vendor contract.</w:t>
            </w:r>
          </w:p>
        </w:tc>
      </w:tr>
      <w:tr w:rsidR="00D12754" w14:paraId="7519FFC8" w14:textId="77777777">
        <w:tblPrEx>
          <w:tblCellMar>
            <w:top w:w="0" w:type="dxa"/>
            <w:bottom w:w="0" w:type="dxa"/>
          </w:tblCellMar>
        </w:tblPrEx>
        <w:tc>
          <w:tcPr>
            <w:tcW w:w="3200" w:type="dxa"/>
            <w:tcMar>
              <w:top w:w="80" w:type="dxa"/>
              <w:left w:w="100" w:type="dxa"/>
              <w:bottom w:w="80" w:type="dxa"/>
              <w:right w:w="100" w:type="dxa"/>
            </w:tcMar>
          </w:tcPr>
          <w:p w14:paraId="0541C5DE" w14:textId="77777777" w:rsidR="00D12754" w:rsidRDefault="00141BBE">
            <w:r>
              <w:rPr>
                <w:color w:val="000000"/>
                <w:sz w:val="20"/>
                <w:szCs w:val="20"/>
              </w:rPr>
              <w:t>“</w:t>
            </w:r>
            <w:proofErr w:type="gramStart"/>
            <w:r>
              <w:rPr>
                <w:color w:val="000000"/>
                <w:sz w:val="20"/>
                <w:szCs w:val="20"/>
              </w:rPr>
              <w:t>Is</w:t>
            </w:r>
            <w:proofErr w:type="gramEnd"/>
            <w:r>
              <w:rPr>
                <w:color w:val="000000"/>
                <w:sz w:val="20"/>
                <w:szCs w:val="20"/>
              </w:rPr>
              <w:t xml:space="preserve"> this just Direct Transact, are you reselling it?”</w:t>
            </w:r>
          </w:p>
        </w:tc>
        <w:tc>
          <w:tcPr>
            <w:tcW w:w="6800" w:type="dxa"/>
            <w:tcMar>
              <w:top w:w="80" w:type="dxa"/>
              <w:left w:w="100" w:type="dxa"/>
              <w:bottom w:w="80" w:type="dxa"/>
              <w:right w:w="100" w:type="dxa"/>
            </w:tcMar>
          </w:tcPr>
          <w:p w14:paraId="4750780A" w14:textId="77777777" w:rsidR="00D12754" w:rsidRDefault="00141BBE">
            <w:r>
              <w:rPr>
                <w:color w:val="000000"/>
                <w:sz w:val="20"/>
                <w:szCs w:val="20"/>
              </w:rPr>
              <w:t>TXN and Direct Transact are different products for different markets. What TXN draws from DT is reliability and certifications, not a technology stack, because DT is a co-founding owner. Ownership, not outsourcing.</w:t>
            </w:r>
          </w:p>
        </w:tc>
      </w:tr>
      <w:tr w:rsidR="00D12754" w14:paraId="0D033191" w14:textId="77777777">
        <w:tblPrEx>
          <w:tblCellMar>
            <w:top w:w="0" w:type="dxa"/>
            <w:bottom w:w="0" w:type="dxa"/>
          </w:tblCellMar>
        </w:tblPrEx>
        <w:tc>
          <w:tcPr>
            <w:tcW w:w="3200" w:type="dxa"/>
            <w:tcMar>
              <w:top w:w="80" w:type="dxa"/>
              <w:left w:w="100" w:type="dxa"/>
              <w:bottom w:w="80" w:type="dxa"/>
              <w:right w:w="100" w:type="dxa"/>
            </w:tcMar>
          </w:tcPr>
          <w:p w14:paraId="017687EF" w14:textId="77777777" w:rsidR="00D12754" w:rsidRDefault="00141BBE">
            <w:r>
              <w:rPr>
                <w:color w:val="000000"/>
                <w:sz w:val="20"/>
                <w:szCs w:val="20"/>
              </w:rPr>
              <w:t>“We'll stay on our incumbent for now.”</w:t>
            </w:r>
          </w:p>
        </w:tc>
        <w:tc>
          <w:tcPr>
            <w:tcW w:w="6800" w:type="dxa"/>
            <w:tcMar>
              <w:top w:w="80" w:type="dxa"/>
              <w:left w:w="100" w:type="dxa"/>
              <w:bottom w:w="80" w:type="dxa"/>
              <w:right w:w="100" w:type="dxa"/>
            </w:tcMar>
          </w:tcPr>
          <w:p w14:paraId="3B497B12" w14:textId="77777777" w:rsidR="00D12754" w:rsidRDefault="00141BBE">
            <w:r>
              <w:rPr>
                <w:color w:val="000000"/>
                <w:sz w:val="20"/>
                <w:szCs w:val="20"/>
              </w:rPr>
              <w:t>Quantify the cost of waiting: throttled product velocity and accumulating integration debt, paid for in lost customer value.</w:t>
            </w:r>
          </w:p>
        </w:tc>
      </w:tr>
    </w:tbl>
    <w:p w14:paraId="4E914651" w14:textId="77777777" w:rsidR="00D12754" w:rsidRDefault="00141BBE">
      <w:pPr>
        <w:spacing w:after="160"/>
      </w:pPr>
      <w:r>
        <w:t>Two rules protect the message in every objection response: attribute the 25-year heritage to Direct Transact specifically, never to TXN the company; and lead with what the client achieves, using the AI anchor phrase verbatim where AI comes up.</w:t>
      </w:r>
    </w:p>
    <w:p w14:paraId="36436592" w14:textId="77777777" w:rsidR="00D12754" w:rsidRDefault="00141BBE">
      <w:r>
        <w:br w:type="page"/>
      </w:r>
    </w:p>
    <w:p w14:paraId="529C6B34" w14:textId="77777777" w:rsidR="00D12754" w:rsidRDefault="00141BBE">
      <w:pPr>
        <w:pStyle w:val="Heading1"/>
        <w:spacing w:before="400" w:after="200"/>
      </w:pPr>
      <w:r>
        <w:lastRenderedPageBreak/>
        <w:t>10. One-page guardrail summary</w:t>
      </w:r>
    </w:p>
    <w:p w14:paraId="55C98993" w14:textId="77777777" w:rsidR="00D12754" w:rsidRDefault="00141BBE">
      <w:pPr>
        <w:spacing w:after="160"/>
      </w:pPr>
      <w:r>
        <w:t>Keep this open while drafting. It is the fastest way to self-check a draft before it goes to Ian for review.</w:t>
      </w:r>
    </w:p>
    <w:p w14:paraId="2FAFA485" w14:textId="77777777" w:rsidR="00D12754" w:rsidRDefault="00141BBE">
      <w:pPr>
        <w:pStyle w:val="Heading2"/>
        <w:spacing w:before="300" w:after="150"/>
      </w:pPr>
      <w:r>
        <w:t>Always</w:t>
      </w:r>
    </w:p>
    <w:p w14:paraId="00474D2D" w14:textId="77777777" w:rsidR="00D12754" w:rsidRDefault="00141BBE">
      <w:pPr>
        <w:pStyle w:val="ListParagraph"/>
        <w:numPr>
          <w:ilvl w:val="0"/>
          <w:numId w:val="2"/>
        </w:numPr>
        <w:spacing w:after="80"/>
      </w:pPr>
      <w:r>
        <w:t>“Direct Transact, our co-founding owner” and “Paycorp, our co-founding owner” — verbatim.</w:t>
      </w:r>
    </w:p>
    <w:p w14:paraId="4A685611" w14:textId="77777777" w:rsidR="00D12754" w:rsidRDefault="00141BBE">
      <w:pPr>
        <w:pStyle w:val="ListParagraph"/>
        <w:numPr>
          <w:ilvl w:val="0"/>
          <w:numId w:val="2"/>
        </w:numPr>
        <w:spacing w:after="80"/>
      </w:pPr>
      <w:r>
        <w:t>“Intelligence built in. Complexity taken out.” — verbatim, for any AI-related headline or anchor.</w:t>
      </w:r>
    </w:p>
    <w:p w14:paraId="1FBAB627" w14:textId="77777777" w:rsidR="00D12754" w:rsidRDefault="00141BBE">
      <w:pPr>
        <w:pStyle w:val="ListParagraph"/>
        <w:numPr>
          <w:ilvl w:val="0"/>
          <w:numId w:val="2"/>
        </w:numPr>
        <w:spacing w:after="80"/>
      </w:pPr>
      <w:r>
        <w:t>British English, except program/programs (not programme/programmes).</w:t>
      </w:r>
    </w:p>
    <w:p w14:paraId="58EAAE37" w14:textId="77777777" w:rsidR="00D12754" w:rsidRDefault="00141BBE">
      <w:pPr>
        <w:pStyle w:val="ListParagraph"/>
        <w:numPr>
          <w:ilvl w:val="0"/>
          <w:numId w:val="2"/>
        </w:numPr>
        <w:spacing w:after="80"/>
      </w:pPr>
      <w:r>
        <w:t>A source or owner for every number used.</w:t>
      </w:r>
    </w:p>
    <w:p w14:paraId="3E2A48BA" w14:textId="77777777" w:rsidR="00D12754" w:rsidRDefault="00141BBE">
      <w:pPr>
        <w:pStyle w:val="ListParagraph"/>
        <w:numPr>
          <w:ilvl w:val="0"/>
          <w:numId w:val="2"/>
        </w:numPr>
        <w:spacing w:after="80"/>
      </w:pPr>
      <w:r>
        <w:t>Personalisation grounded in a real, verifiable public signal before any send.</w:t>
      </w:r>
    </w:p>
    <w:p w14:paraId="7734CBC1" w14:textId="77777777" w:rsidR="00D12754" w:rsidRDefault="00141BBE">
      <w:pPr>
        <w:pStyle w:val="Heading2"/>
        <w:spacing w:before="300" w:after="150"/>
      </w:pPr>
      <w:r>
        <w:t>Never</w:t>
      </w:r>
    </w:p>
    <w:p w14:paraId="3F799031" w14:textId="77777777" w:rsidR="00D12754" w:rsidRDefault="00141BBE">
      <w:pPr>
        <w:pStyle w:val="ListParagraph"/>
        <w:numPr>
          <w:ilvl w:val="0"/>
          <w:numId w:val="2"/>
        </w:numPr>
        <w:spacing w:after="80"/>
      </w:pPr>
      <w:r>
        <w:t>“Bank-grade”, “built on”, “powered by”, “partner” (for DT/Paycorp), “parent group”, “underlying infrastructure”, “inherit”, “50 years combined”, “23 years”.</w:t>
      </w:r>
    </w:p>
    <w:p w14:paraId="359D82FD" w14:textId="77777777" w:rsidR="00D12754" w:rsidRDefault="00141BBE">
      <w:pPr>
        <w:pStyle w:val="ListParagraph"/>
        <w:numPr>
          <w:ilvl w:val="0"/>
          <w:numId w:val="2"/>
        </w:numPr>
        <w:spacing w:after="80"/>
      </w:pPr>
      <w:r>
        <w:t>Em dashes.</w:t>
      </w:r>
    </w:p>
    <w:p w14:paraId="76B6FFEB" w14:textId="77777777" w:rsidR="00D12754" w:rsidRDefault="00141BBE">
      <w:pPr>
        <w:pStyle w:val="ListParagraph"/>
        <w:numPr>
          <w:ilvl w:val="0"/>
          <w:numId w:val="2"/>
        </w:numPr>
        <w:spacing w:after="80"/>
      </w:pPr>
      <w:r>
        <w:t>Revolutionary, transformative, seamlessly, cutting-edge, leverage (as a verb), best-in-class, synergies, disrupt, game-changing, world-class.</w:t>
      </w:r>
    </w:p>
    <w:p w14:paraId="6584DCAB" w14:textId="77777777" w:rsidR="00D12754" w:rsidRDefault="00141BBE">
      <w:pPr>
        <w:pStyle w:val="ListParagraph"/>
        <w:numPr>
          <w:ilvl w:val="0"/>
          <w:numId w:val="2"/>
        </w:numPr>
        <w:spacing w:after="80"/>
      </w:pPr>
      <w:r>
        <w:t>Automated LinkedIn scraping, bulk connection requests, or bot-driven LinkedIn messaging.</w:t>
      </w:r>
    </w:p>
    <w:p w14:paraId="35128787" w14:textId="77777777" w:rsidR="00D12754" w:rsidRDefault="00141BBE">
      <w:pPr>
        <w:pStyle w:val="ListParagraph"/>
        <w:numPr>
          <w:ilvl w:val="0"/>
          <w:numId w:val="2"/>
        </w:numPr>
        <w:spacing w:after="80"/>
      </w:pPr>
      <w:r>
        <w:t xml:space="preserve">Discounting to win a </w:t>
      </w:r>
      <w:proofErr w:type="gramStart"/>
      <w:r>
        <w:t>conversation, or</w:t>
      </w:r>
      <w:proofErr w:type="gramEnd"/>
      <w:r>
        <w:t xml:space="preserve"> leading a commercial objection with price.</w:t>
      </w:r>
    </w:p>
    <w:p w14:paraId="22E6261A" w14:textId="77777777" w:rsidR="00D12754" w:rsidRDefault="00141BBE">
      <w:pPr>
        <w:pStyle w:val="ListParagraph"/>
        <w:numPr>
          <w:ilvl w:val="0"/>
          <w:numId w:val="2"/>
        </w:numPr>
        <w:spacing w:after="80"/>
      </w:pPr>
      <w:r>
        <w:t>Presenting an engineered platform target (Section 7.3) as an achieved, in-production result.</w:t>
      </w:r>
    </w:p>
    <w:p w14:paraId="72508809" w14:textId="77777777" w:rsidR="00D12754" w:rsidRDefault="00141BBE">
      <w:pPr>
        <w:pStyle w:val="ListParagraph"/>
        <w:numPr>
          <w:ilvl w:val="0"/>
          <w:numId w:val="2"/>
        </w:numPr>
        <w:spacing w:after="80"/>
      </w:pPr>
      <w:r>
        <w:t>Inventing a customer reference, case study, or quote that does not exist. TXN is pre-launch; say so plainly when asked.</w:t>
      </w:r>
    </w:p>
    <w:p w14:paraId="167FC43F" w14:textId="77777777" w:rsidR="00D12754" w:rsidRDefault="00141BBE">
      <w:r>
        <w:br w:type="page"/>
      </w:r>
    </w:p>
    <w:p w14:paraId="3E986BD8" w14:textId="77777777" w:rsidR="00D12754" w:rsidRDefault="00141BBE">
      <w:pPr>
        <w:pStyle w:val="Heading1"/>
        <w:spacing w:before="400" w:after="200"/>
      </w:pPr>
      <w:r>
        <w:lastRenderedPageBreak/>
        <w:t>Appendix A: Source documents and why each matters</w:t>
      </w:r>
    </w:p>
    <w:p w14:paraId="786E17D4" w14:textId="77777777" w:rsidR="00D12754" w:rsidRDefault="00141BBE">
      <w:pPr>
        <w:spacing w:after="160"/>
      </w:pPr>
      <w:r>
        <w:t xml:space="preserve">Every document below was reviewed in TXN's SharePoint GTM library (Shared Documents/TXN Global/07_GTM, site: </w:t>
      </w:r>
      <w:proofErr w:type="spellStart"/>
      <w:r>
        <w:t>TXNGlobal</w:t>
      </w:r>
      <w:proofErr w:type="spellEnd"/>
      <w:r>
        <w:t xml:space="preserve">) </w:t>
      </w:r>
      <w:proofErr w:type="gramStart"/>
      <w:r>
        <w:t>in the course of</w:t>
      </w:r>
      <w:proofErr w:type="gramEnd"/>
      <w:r>
        <w:t xml:space="preserve"> building this playbook. “Essential” documents are worth sharing with the partner directly as reference material; “Situational” documents are useful on request but not needed up front.</w:t>
      </w:r>
    </w:p>
    <w:p w14:paraId="32952278" w14:textId="77777777" w:rsidR="00D12754" w:rsidRDefault="00141BBE">
      <w:pPr>
        <w:pStyle w:val="Heading2"/>
        <w:spacing w:before="300" w:after="150"/>
      </w:pPr>
      <w:r>
        <w:t>Essential — share with the partner directly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2969"/>
        <w:gridCol w:w="2779"/>
      </w:tblGrid>
      <w:tr w:rsidR="00D12754" w14:paraId="192FB1B1"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1E581237" w14:textId="77777777" w:rsidR="00D12754" w:rsidRDefault="00141BBE">
            <w:r>
              <w:rPr>
                <w:b/>
                <w:bCs/>
                <w:color w:val="FFFFFF"/>
                <w:sz w:val="20"/>
                <w:szCs w:val="20"/>
              </w:rPr>
              <w:t>Document</w:t>
            </w:r>
          </w:p>
        </w:tc>
        <w:tc>
          <w:tcPr>
            <w:tcW w:w="2200" w:type="dxa"/>
            <w:shd w:val="clear" w:color="auto" w:fill="1F3864"/>
            <w:tcMar>
              <w:top w:w="80" w:type="dxa"/>
              <w:left w:w="100" w:type="dxa"/>
              <w:bottom w:w="80" w:type="dxa"/>
              <w:right w:w="100" w:type="dxa"/>
            </w:tcMar>
          </w:tcPr>
          <w:p w14:paraId="33BF796F" w14:textId="77777777" w:rsidR="00D12754" w:rsidRDefault="00141BBE">
            <w:r>
              <w:rPr>
                <w:b/>
                <w:bCs/>
                <w:color w:val="FFFFFF"/>
                <w:sz w:val="20"/>
                <w:szCs w:val="20"/>
              </w:rPr>
              <w:t>Location</w:t>
            </w:r>
          </w:p>
        </w:tc>
        <w:tc>
          <w:tcPr>
            <w:tcW w:w="4800" w:type="dxa"/>
            <w:shd w:val="clear" w:color="auto" w:fill="1F3864"/>
            <w:tcMar>
              <w:top w:w="80" w:type="dxa"/>
              <w:left w:w="100" w:type="dxa"/>
              <w:bottom w:w="80" w:type="dxa"/>
              <w:right w:w="100" w:type="dxa"/>
            </w:tcMar>
          </w:tcPr>
          <w:p w14:paraId="53A26CAB" w14:textId="77777777" w:rsidR="00D12754" w:rsidRDefault="00141BBE">
            <w:r>
              <w:rPr>
                <w:b/>
                <w:bCs/>
                <w:color w:val="FFFFFF"/>
                <w:sz w:val="20"/>
                <w:szCs w:val="20"/>
              </w:rPr>
              <w:t>Why it matters</w:t>
            </w:r>
          </w:p>
        </w:tc>
      </w:tr>
      <w:tr w:rsidR="00D12754" w14:paraId="326DE281" w14:textId="77777777">
        <w:tblPrEx>
          <w:tblCellMar>
            <w:top w:w="0" w:type="dxa"/>
            <w:bottom w:w="0" w:type="dxa"/>
          </w:tblCellMar>
        </w:tblPrEx>
        <w:tc>
          <w:tcPr>
            <w:tcW w:w="3000" w:type="dxa"/>
            <w:tcMar>
              <w:top w:w="80" w:type="dxa"/>
              <w:left w:w="100" w:type="dxa"/>
              <w:bottom w:w="80" w:type="dxa"/>
              <w:right w:w="100" w:type="dxa"/>
            </w:tcMar>
          </w:tcPr>
          <w:p w14:paraId="55C09769" w14:textId="77777777" w:rsidR="00D12754" w:rsidRDefault="00141BBE">
            <w:r>
              <w:rPr>
                <w:color w:val="000000"/>
                <w:sz w:val="20"/>
                <w:szCs w:val="20"/>
              </w:rPr>
              <w:t>TXN_Core_Messaging_v2.5.docx</w:t>
            </w:r>
          </w:p>
        </w:tc>
        <w:tc>
          <w:tcPr>
            <w:tcW w:w="2200" w:type="dxa"/>
            <w:tcMar>
              <w:top w:w="80" w:type="dxa"/>
              <w:left w:w="100" w:type="dxa"/>
              <w:bottom w:w="80" w:type="dxa"/>
              <w:right w:w="100" w:type="dxa"/>
            </w:tcMar>
          </w:tcPr>
          <w:p w14:paraId="587D7541" w14:textId="77777777" w:rsidR="00D12754" w:rsidRDefault="00141BBE">
            <w:r>
              <w:rPr>
                <w:color w:val="000000"/>
                <w:sz w:val="20"/>
                <w:szCs w:val="20"/>
              </w:rPr>
              <w:t>03_Positioning_&amp;_Messaging/</w:t>
            </w:r>
          </w:p>
        </w:tc>
        <w:tc>
          <w:tcPr>
            <w:tcW w:w="4800" w:type="dxa"/>
            <w:tcMar>
              <w:top w:w="80" w:type="dxa"/>
              <w:left w:w="100" w:type="dxa"/>
              <w:bottom w:w="80" w:type="dxa"/>
              <w:right w:w="100" w:type="dxa"/>
            </w:tcMar>
          </w:tcPr>
          <w:p w14:paraId="60081DD8" w14:textId="77777777" w:rsidR="00D12754" w:rsidRDefault="00141BBE">
            <w:r>
              <w:rPr>
                <w:color w:val="000000"/>
                <w:sz w:val="20"/>
                <w:szCs w:val="20"/>
              </w:rPr>
              <w:t>The canonical positioning statement, five messaging pillars, tone of voice, boilerplate copy blocks, and competitive differentiation summary. Everything else derives from this.</w:t>
            </w:r>
          </w:p>
        </w:tc>
      </w:tr>
      <w:tr w:rsidR="00D12754" w14:paraId="266A99A9" w14:textId="77777777">
        <w:tblPrEx>
          <w:tblCellMar>
            <w:top w:w="0" w:type="dxa"/>
            <w:bottom w:w="0" w:type="dxa"/>
          </w:tblCellMar>
        </w:tblPrEx>
        <w:tc>
          <w:tcPr>
            <w:tcW w:w="3000" w:type="dxa"/>
            <w:tcMar>
              <w:top w:w="80" w:type="dxa"/>
              <w:left w:w="100" w:type="dxa"/>
              <w:bottom w:w="80" w:type="dxa"/>
              <w:right w:w="100" w:type="dxa"/>
            </w:tcMar>
          </w:tcPr>
          <w:p w14:paraId="3C972C15" w14:textId="77777777" w:rsidR="00D12754" w:rsidRDefault="00141BBE">
            <w:r>
              <w:rPr>
                <w:color w:val="000000"/>
                <w:sz w:val="20"/>
                <w:szCs w:val="20"/>
              </w:rPr>
              <w:t>TXN_GTM_ICP_Definition_v0.4.docx</w:t>
            </w:r>
          </w:p>
        </w:tc>
        <w:tc>
          <w:tcPr>
            <w:tcW w:w="2200" w:type="dxa"/>
            <w:tcMar>
              <w:top w:w="80" w:type="dxa"/>
              <w:left w:w="100" w:type="dxa"/>
              <w:bottom w:w="80" w:type="dxa"/>
              <w:right w:w="100" w:type="dxa"/>
            </w:tcMar>
          </w:tcPr>
          <w:p w14:paraId="0E82E478" w14:textId="77777777" w:rsidR="00D12754" w:rsidRDefault="00141BBE">
            <w:r>
              <w:rPr>
                <w:color w:val="000000"/>
                <w:sz w:val="20"/>
                <w:szCs w:val="20"/>
              </w:rPr>
              <w:t>02_ICP_&amp;_Personas/</w:t>
            </w:r>
          </w:p>
        </w:tc>
        <w:tc>
          <w:tcPr>
            <w:tcW w:w="4800" w:type="dxa"/>
            <w:tcMar>
              <w:top w:w="80" w:type="dxa"/>
              <w:left w:w="100" w:type="dxa"/>
              <w:bottom w:w="80" w:type="dxa"/>
              <w:right w:w="100" w:type="dxa"/>
            </w:tcMar>
          </w:tcPr>
          <w:p w14:paraId="4E8383F8" w14:textId="77777777" w:rsidR="00D12754" w:rsidRDefault="00141BBE">
            <w:r>
              <w:rPr>
                <w:color w:val="000000"/>
                <w:sz w:val="20"/>
                <w:szCs w:val="20"/>
              </w:rPr>
              <w:t>Defines exactly who to target, the anti-profile, and the tiering that governs how much outbound and content investment an account gets.</w:t>
            </w:r>
          </w:p>
        </w:tc>
      </w:tr>
      <w:tr w:rsidR="00D12754" w14:paraId="2E64A78C" w14:textId="77777777">
        <w:tblPrEx>
          <w:tblCellMar>
            <w:top w:w="0" w:type="dxa"/>
            <w:bottom w:w="0" w:type="dxa"/>
          </w:tblCellMar>
        </w:tblPrEx>
        <w:tc>
          <w:tcPr>
            <w:tcW w:w="3000" w:type="dxa"/>
            <w:tcMar>
              <w:top w:w="80" w:type="dxa"/>
              <w:left w:w="100" w:type="dxa"/>
              <w:bottom w:w="80" w:type="dxa"/>
              <w:right w:w="100" w:type="dxa"/>
            </w:tcMar>
          </w:tcPr>
          <w:p w14:paraId="6295B6B1" w14:textId="77777777" w:rsidR="00D12754" w:rsidRDefault="00141BBE">
            <w:r>
              <w:rPr>
                <w:color w:val="000000"/>
                <w:sz w:val="20"/>
                <w:szCs w:val="20"/>
              </w:rPr>
              <w:t>TXN_GTM_Persona_Champion_v0.1.docx</w:t>
            </w:r>
          </w:p>
        </w:tc>
        <w:tc>
          <w:tcPr>
            <w:tcW w:w="2200" w:type="dxa"/>
            <w:tcMar>
              <w:top w:w="80" w:type="dxa"/>
              <w:left w:w="100" w:type="dxa"/>
              <w:bottom w:w="80" w:type="dxa"/>
              <w:right w:w="100" w:type="dxa"/>
            </w:tcMar>
          </w:tcPr>
          <w:p w14:paraId="248E9D63" w14:textId="77777777" w:rsidR="00D12754" w:rsidRDefault="00141BBE">
            <w:r>
              <w:rPr>
                <w:color w:val="000000"/>
                <w:sz w:val="20"/>
                <w:szCs w:val="20"/>
              </w:rPr>
              <w:t>02_ICP_&amp;_Personas/</w:t>
            </w:r>
          </w:p>
        </w:tc>
        <w:tc>
          <w:tcPr>
            <w:tcW w:w="4800" w:type="dxa"/>
            <w:tcMar>
              <w:top w:w="80" w:type="dxa"/>
              <w:left w:w="100" w:type="dxa"/>
              <w:bottom w:w="80" w:type="dxa"/>
              <w:right w:w="100" w:type="dxa"/>
            </w:tcMar>
          </w:tcPr>
          <w:p w14:paraId="0E38A6D3" w14:textId="77777777" w:rsidR="00D12754" w:rsidRDefault="00141BBE">
            <w:r>
              <w:rPr>
                <w:color w:val="000000"/>
                <w:sz w:val="20"/>
                <w:szCs w:val="20"/>
              </w:rPr>
              <w:t>Language, pillars, and content expectations for the CPO / Head of Product buyer.</w:t>
            </w:r>
          </w:p>
        </w:tc>
      </w:tr>
      <w:tr w:rsidR="00D12754" w14:paraId="39BB9A2C" w14:textId="77777777">
        <w:tblPrEx>
          <w:tblCellMar>
            <w:top w:w="0" w:type="dxa"/>
            <w:bottom w:w="0" w:type="dxa"/>
          </w:tblCellMar>
        </w:tblPrEx>
        <w:tc>
          <w:tcPr>
            <w:tcW w:w="3000" w:type="dxa"/>
            <w:tcMar>
              <w:top w:w="80" w:type="dxa"/>
              <w:left w:w="100" w:type="dxa"/>
              <w:bottom w:w="80" w:type="dxa"/>
              <w:right w:w="100" w:type="dxa"/>
            </w:tcMar>
          </w:tcPr>
          <w:p w14:paraId="667C76DB" w14:textId="77777777" w:rsidR="00D12754" w:rsidRDefault="00141BBE">
            <w:r>
              <w:rPr>
                <w:color w:val="000000"/>
                <w:sz w:val="20"/>
                <w:szCs w:val="20"/>
              </w:rPr>
              <w:t>TXN_GTM_Persona_Economic_Buyer_v0.1.docx</w:t>
            </w:r>
          </w:p>
        </w:tc>
        <w:tc>
          <w:tcPr>
            <w:tcW w:w="2200" w:type="dxa"/>
            <w:tcMar>
              <w:top w:w="80" w:type="dxa"/>
              <w:left w:w="100" w:type="dxa"/>
              <w:bottom w:w="80" w:type="dxa"/>
              <w:right w:w="100" w:type="dxa"/>
            </w:tcMar>
          </w:tcPr>
          <w:p w14:paraId="4FE896F6" w14:textId="77777777" w:rsidR="00D12754" w:rsidRDefault="00141BBE">
            <w:r>
              <w:rPr>
                <w:color w:val="000000"/>
                <w:sz w:val="20"/>
                <w:szCs w:val="20"/>
              </w:rPr>
              <w:t>02_ICP_&amp;_Personas/</w:t>
            </w:r>
          </w:p>
        </w:tc>
        <w:tc>
          <w:tcPr>
            <w:tcW w:w="4800" w:type="dxa"/>
            <w:tcMar>
              <w:top w:w="80" w:type="dxa"/>
              <w:left w:w="100" w:type="dxa"/>
              <w:bottom w:w="80" w:type="dxa"/>
              <w:right w:w="100" w:type="dxa"/>
            </w:tcMar>
          </w:tcPr>
          <w:p w14:paraId="28F42852" w14:textId="77777777" w:rsidR="00D12754" w:rsidRDefault="00141BBE">
            <w:r>
              <w:rPr>
                <w:color w:val="000000"/>
                <w:sz w:val="20"/>
                <w:szCs w:val="20"/>
              </w:rPr>
              <w:t>Language, pillars, and content expectations for the CFO / CEO buyer.</w:t>
            </w:r>
          </w:p>
        </w:tc>
      </w:tr>
      <w:tr w:rsidR="00D12754" w14:paraId="18D52F2A" w14:textId="77777777">
        <w:tblPrEx>
          <w:tblCellMar>
            <w:top w:w="0" w:type="dxa"/>
            <w:bottom w:w="0" w:type="dxa"/>
          </w:tblCellMar>
        </w:tblPrEx>
        <w:tc>
          <w:tcPr>
            <w:tcW w:w="3000" w:type="dxa"/>
            <w:tcMar>
              <w:top w:w="80" w:type="dxa"/>
              <w:left w:w="100" w:type="dxa"/>
              <w:bottom w:w="80" w:type="dxa"/>
              <w:right w:w="100" w:type="dxa"/>
            </w:tcMar>
          </w:tcPr>
          <w:p w14:paraId="6D164F4A" w14:textId="77777777" w:rsidR="00D12754" w:rsidRDefault="00141BBE">
            <w:r>
              <w:rPr>
                <w:color w:val="000000"/>
                <w:sz w:val="20"/>
                <w:szCs w:val="20"/>
              </w:rPr>
              <w:t>TXN_GTM_Persona_Primary_User_v0.1.docx</w:t>
            </w:r>
          </w:p>
        </w:tc>
        <w:tc>
          <w:tcPr>
            <w:tcW w:w="2200" w:type="dxa"/>
            <w:tcMar>
              <w:top w:w="80" w:type="dxa"/>
              <w:left w:w="100" w:type="dxa"/>
              <w:bottom w:w="80" w:type="dxa"/>
              <w:right w:w="100" w:type="dxa"/>
            </w:tcMar>
          </w:tcPr>
          <w:p w14:paraId="0BECCAC3" w14:textId="77777777" w:rsidR="00D12754" w:rsidRDefault="00141BBE">
            <w:r>
              <w:rPr>
                <w:color w:val="000000"/>
                <w:sz w:val="20"/>
                <w:szCs w:val="20"/>
              </w:rPr>
              <w:t>02_ICP_&amp;_Personas/</w:t>
            </w:r>
          </w:p>
        </w:tc>
        <w:tc>
          <w:tcPr>
            <w:tcW w:w="4800" w:type="dxa"/>
            <w:tcMar>
              <w:top w:w="80" w:type="dxa"/>
              <w:left w:w="100" w:type="dxa"/>
              <w:bottom w:w="80" w:type="dxa"/>
              <w:right w:w="100" w:type="dxa"/>
            </w:tcMar>
          </w:tcPr>
          <w:p w14:paraId="162B5E81" w14:textId="77777777" w:rsidR="00D12754" w:rsidRDefault="00141BBE">
            <w:r>
              <w:rPr>
                <w:color w:val="000000"/>
                <w:sz w:val="20"/>
                <w:szCs w:val="20"/>
              </w:rPr>
              <w:t>Language, pillars, and content expectations for the CTO / Head of Engineering buyer.</w:t>
            </w:r>
          </w:p>
        </w:tc>
      </w:tr>
      <w:tr w:rsidR="00D12754" w14:paraId="134D65CA" w14:textId="77777777">
        <w:tblPrEx>
          <w:tblCellMar>
            <w:top w:w="0" w:type="dxa"/>
            <w:bottom w:w="0" w:type="dxa"/>
          </w:tblCellMar>
        </w:tblPrEx>
        <w:tc>
          <w:tcPr>
            <w:tcW w:w="3000" w:type="dxa"/>
            <w:tcMar>
              <w:top w:w="80" w:type="dxa"/>
              <w:left w:w="100" w:type="dxa"/>
              <w:bottom w:w="80" w:type="dxa"/>
              <w:right w:w="100" w:type="dxa"/>
            </w:tcMar>
          </w:tcPr>
          <w:p w14:paraId="457F2FDB" w14:textId="77777777" w:rsidR="00D12754" w:rsidRDefault="00141BBE">
            <w:r>
              <w:rPr>
                <w:color w:val="000000"/>
                <w:sz w:val="20"/>
                <w:szCs w:val="20"/>
              </w:rPr>
              <w:t>TXN_Role_Based_Messaging_(V1).pptx</w:t>
            </w:r>
          </w:p>
        </w:tc>
        <w:tc>
          <w:tcPr>
            <w:tcW w:w="2200" w:type="dxa"/>
            <w:tcMar>
              <w:top w:w="80" w:type="dxa"/>
              <w:left w:w="100" w:type="dxa"/>
              <w:bottom w:w="80" w:type="dxa"/>
              <w:right w:w="100" w:type="dxa"/>
            </w:tcMar>
          </w:tcPr>
          <w:p w14:paraId="3B5BB6FB" w14:textId="77777777" w:rsidR="00D12754" w:rsidRDefault="00141BBE">
            <w:r>
              <w:rPr>
                <w:color w:val="000000"/>
                <w:sz w:val="20"/>
                <w:szCs w:val="20"/>
              </w:rPr>
              <w:t>02_ICP_&amp;_Personas/</w:t>
            </w:r>
          </w:p>
        </w:tc>
        <w:tc>
          <w:tcPr>
            <w:tcW w:w="4800" w:type="dxa"/>
            <w:tcMar>
              <w:top w:w="80" w:type="dxa"/>
              <w:left w:w="100" w:type="dxa"/>
              <w:bottom w:w="80" w:type="dxa"/>
              <w:right w:w="100" w:type="dxa"/>
            </w:tcMar>
          </w:tcPr>
          <w:p w14:paraId="48878D88" w14:textId="77777777" w:rsidR="00D12754" w:rsidRDefault="00141BBE">
            <w:r>
              <w:rPr>
                <w:color w:val="000000"/>
                <w:sz w:val="20"/>
                <w:szCs w:val="20"/>
              </w:rPr>
              <w:t>Covers all five deal-relevant roles including the two without standalone persona docs (Head of Payments, Risk and Compliance).</w:t>
            </w:r>
          </w:p>
        </w:tc>
      </w:tr>
      <w:tr w:rsidR="00D12754" w14:paraId="1C7330FE" w14:textId="77777777">
        <w:tblPrEx>
          <w:tblCellMar>
            <w:top w:w="0" w:type="dxa"/>
            <w:bottom w:w="0" w:type="dxa"/>
          </w:tblCellMar>
        </w:tblPrEx>
        <w:tc>
          <w:tcPr>
            <w:tcW w:w="3000" w:type="dxa"/>
            <w:tcMar>
              <w:top w:w="80" w:type="dxa"/>
              <w:left w:w="100" w:type="dxa"/>
              <w:bottom w:w="80" w:type="dxa"/>
              <w:right w:w="100" w:type="dxa"/>
            </w:tcMar>
          </w:tcPr>
          <w:p w14:paraId="1B469F85" w14:textId="77777777" w:rsidR="00D12754" w:rsidRDefault="00141BBE">
            <w:r>
              <w:rPr>
                <w:color w:val="000000"/>
                <w:sz w:val="20"/>
                <w:szCs w:val="20"/>
              </w:rPr>
              <w:t>TXN_JV_Messaging_Framework_v2.2.docx</w:t>
            </w:r>
          </w:p>
        </w:tc>
        <w:tc>
          <w:tcPr>
            <w:tcW w:w="2200" w:type="dxa"/>
            <w:tcMar>
              <w:top w:w="80" w:type="dxa"/>
              <w:left w:w="100" w:type="dxa"/>
              <w:bottom w:w="80" w:type="dxa"/>
              <w:right w:w="100" w:type="dxa"/>
            </w:tcMar>
          </w:tcPr>
          <w:p w14:paraId="7F628070" w14:textId="77777777" w:rsidR="00D12754" w:rsidRDefault="00141BBE">
            <w:r>
              <w:rPr>
                <w:color w:val="000000"/>
                <w:sz w:val="20"/>
                <w:szCs w:val="20"/>
              </w:rPr>
              <w:t>03_Positioning_&amp;_Messaging/</w:t>
            </w:r>
          </w:p>
        </w:tc>
        <w:tc>
          <w:tcPr>
            <w:tcW w:w="4800" w:type="dxa"/>
            <w:tcMar>
              <w:top w:w="80" w:type="dxa"/>
              <w:left w:w="100" w:type="dxa"/>
              <w:bottom w:w="80" w:type="dxa"/>
              <w:right w:w="100" w:type="dxa"/>
            </w:tcMar>
          </w:tcPr>
          <w:p w14:paraId="00E641B3" w14:textId="77777777" w:rsidR="00D12754" w:rsidRDefault="00141BBE">
            <w:r>
              <w:rPr>
                <w:color w:val="000000"/>
                <w:sz w:val="20"/>
                <w:szCs w:val="20"/>
              </w:rPr>
              <w:t>The full approved/banned formulations for describing Direct Transact and Paycorp. The single highest-risk area for off-brand copy.</w:t>
            </w:r>
          </w:p>
        </w:tc>
      </w:tr>
      <w:tr w:rsidR="00D12754" w14:paraId="3E8D1EB0" w14:textId="77777777">
        <w:tblPrEx>
          <w:tblCellMar>
            <w:top w:w="0" w:type="dxa"/>
            <w:bottom w:w="0" w:type="dxa"/>
          </w:tblCellMar>
        </w:tblPrEx>
        <w:tc>
          <w:tcPr>
            <w:tcW w:w="3000" w:type="dxa"/>
            <w:tcMar>
              <w:top w:w="80" w:type="dxa"/>
              <w:left w:w="100" w:type="dxa"/>
              <w:bottom w:w="80" w:type="dxa"/>
              <w:right w:w="100" w:type="dxa"/>
            </w:tcMar>
          </w:tcPr>
          <w:p w14:paraId="0A2B4643" w14:textId="77777777" w:rsidR="00D12754" w:rsidRDefault="00141BBE">
            <w:r>
              <w:rPr>
                <w:color w:val="000000"/>
                <w:sz w:val="20"/>
                <w:szCs w:val="20"/>
              </w:rPr>
              <w:t>TXN_AI_Target_Outcomes_Framework_v1.0.docx</w:t>
            </w:r>
          </w:p>
        </w:tc>
        <w:tc>
          <w:tcPr>
            <w:tcW w:w="2200" w:type="dxa"/>
            <w:tcMar>
              <w:top w:w="80" w:type="dxa"/>
              <w:left w:w="100" w:type="dxa"/>
              <w:bottom w:w="80" w:type="dxa"/>
              <w:right w:w="100" w:type="dxa"/>
            </w:tcMar>
          </w:tcPr>
          <w:p w14:paraId="393329FB" w14:textId="77777777" w:rsidR="00D12754" w:rsidRDefault="00141BBE">
            <w:r>
              <w:rPr>
                <w:color w:val="000000"/>
                <w:sz w:val="20"/>
                <w:szCs w:val="20"/>
              </w:rPr>
              <w:t>03_Positioning_&amp;_Messaging/</w:t>
            </w:r>
          </w:p>
        </w:tc>
        <w:tc>
          <w:tcPr>
            <w:tcW w:w="4800" w:type="dxa"/>
            <w:tcMar>
              <w:top w:w="80" w:type="dxa"/>
              <w:left w:w="100" w:type="dxa"/>
              <w:bottom w:w="80" w:type="dxa"/>
              <w:right w:w="100" w:type="dxa"/>
            </w:tcMar>
          </w:tcPr>
          <w:p w14:paraId="7ADE55C3" w14:textId="77777777" w:rsidR="00D12754" w:rsidRDefault="00141BBE">
            <w:r>
              <w:rPr>
                <w:color w:val="000000"/>
                <w:sz w:val="20"/>
                <w:szCs w:val="20"/>
              </w:rPr>
              <w:t>Defines the client outcomes AI should be framed around, so AI never gets pitched as a bare technology claim.</w:t>
            </w:r>
          </w:p>
        </w:tc>
      </w:tr>
      <w:tr w:rsidR="00D12754" w14:paraId="642177D5" w14:textId="77777777">
        <w:tblPrEx>
          <w:tblCellMar>
            <w:top w:w="0" w:type="dxa"/>
            <w:bottom w:w="0" w:type="dxa"/>
          </w:tblCellMar>
        </w:tblPrEx>
        <w:tc>
          <w:tcPr>
            <w:tcW w:w="3000" w:type="dxa"/>
            <w:tcMar>
              <w:top w:w="80" w:type="dxa"/>
              <w:left w:w="100" w:type="dxa"/>
              <w:bottom w:w="80" w:type="dxa"/>
              <w:right w:w="100" w:type="dxa"/>
            </w:tcMar>
          </w:tcPr>
          <w:p w14:paraId="46DF21B9" w14:textId="77777777" w:rsidR="00D12754" w:rsidRDefault="00141BBE">
            <w:r>
              <w:rPr>
                <w:color w:val="000000"/>
                <w:sz w:val="20"/>
                <w:szCs w:val="20"/>
              </w:rPr>
              <w:t>TXN_GTM_Prospecting_Process_v0.4.docx</w:t>
            </w:r>
          </w:p>
        </w:tc>
        <w:tc>
          <w:tcPr>
            <w:tcW w:w="2200" w:type="dxa"/>
            <w:tcMar>
              <w:top w:w="80" w:type="dxa"/>
              <w:left w:w="100" w:type="dxa"/>
              <w:bottom w:w="80" w:type="dxa"/>
              <w:right w:w="100" w:type="dxa"/>
            </w:tcMar>
          </w:tcPr>
          <w:p w14:paraId="791DA399" w14:textId="77777777" w:rsidR="00D12754" w:rsidRDefault="00141BBE">
            <w:r>
              <w:rPr>
                <w:color w:val="000000"/>
                <w:sz w:val="20"/>
                <w:szCs w:val="20"/>
              </w:rPr>
              <w:t>04_Sales_Motion/</w:t>
            </w:r>
          </w:p>
        </w:tc>
        <w:tc>
          <w:tcPr>
            <w:tcW w:w="4800" w:type="dxa"/>
            <w:tcMar>
              <w:top w:w="80" w:type="dxa"/>
              <w:left w:w="100" w:type="dxa"/>
              <w:bottom w:w="80" w:type="dxa"/>
              <w:right w:w="100" w:type="dxa"/>
            </w:tcMar>
          </w:tcPr>
          <w:p w14:paraId="011A2C48" w14:textId="77777777" w:rsidR="00D12754" w:rsidRDefault="00141BBE">
            <w:r>
              <w:rPr>
                <w:color w:val="000000"/>
                <w:sz w:val="20"/>
                <w:szCs w:val="20"/>
              </w:rPr>
              <w:t>The actual outbound process, sequence structure, sending rules, LinkedIn constraint, and compliance baseline the partner will operate against.</w:t>
            </w:r>
          </w:p>
        </w:tc>
      </w:tr>
      <w:tr w:rsidR="00D12754" w14:paraId="55D9E25F" w14:textId="77777777">
        <w:tblPrEx>
          <w:tblCellMar>
            <w:top w:w="0" w:type="dxa"/>
            <w:bottom w:w="0" w:type="dxa"/>
          </w:tblCellMar>
        </w:tblPrEx>
        <w:tc>
          <w:tcPr>
            <w:tcW w:w="3000" w:type="dxa"/>
            <w:tcMar>
              <w:top w:w="80" w:type="dxa"/>
              <w:left w:w="100" w:type="dxa"/>
              <w:bottom w:w="80" w:type="dxa"/>
              <w:right w:w="100" w:type="dxa"/>
            </w:tcMar>
          </w:tcPr>
          <w:p w14:paraId="72FF10A0" w14:textId="77777777" w:rsidR="00D12754" w:rsidRDefault="00141BBE">
            <w:r>
              <w:rPr>
                <w:color w:val="000000"/>
                <w:sz w:val="20"/>
                <w:szCs w:val="20"/>
              </w:rPr>
              <w:t>TXN_GTM_Objection_Handling_v1.1.docx</w:t>
            </w:r>
          </w:p>
        </w:tc>
        <w:tc>
          <w:tcPr>
            <w:tcW w:w="2200" w:type="dxa"/>
            <w:tcMar>
              <w:top w:w="80" w:type="dxa"/>
              <w:left w:w="100" w:type="dxa"/>
              <w:bottom w:w="80" w:type="dxa"/>
              <w:right w:w="100" w:type="dxa"/>
            </w:tcMar>
          </w:tcPr>
          <w:p w14:paraId="3E2DC528" w14:textId="77777777" w:rsidR="00D12754" w:rsidRDefault="00141BBE">
            <w:r>
              <w:rPr>
                <w:color w:val="000000"/>
                <w:sz w:val="20"/>
                <w:szCs w:val="20"/>
              </w:rPr>
              <w:t>04_Sales_Motion/</w:t>
            </w:r>
          </w:p>
        </w:tc>
        <w:tc>
          <w:tcPr>
            <w:tcW w:w="4800" w:type="dxa"/>
            <w:tcMar>
              <w:top w:w="80" w:type="dxa"/>
              <w:left w:w="100" w:type="dxa"/>
              <w:bottom w:w="80" w:type="dxa"/>
              <w:right w:w="100" w:type="dxa"/>
            </w:tcMar>
          </w:tcPr>
          <w:p w14:paraId="7CF1731C" w14:textId="77777777" w:rsidR="00D12754" w:rsidRDefault="00141BBE">
            <w:r>
              <w:rPr>
                <w:color w:val="000000"/>
                <w:sz w:val="20"/>
                <w:szCs w:val="20"/>
              </w:rPr>
              <w:t xml:space="preserve">Ready-made responses to the objections most likely to </w:t>
            </w:r>
            <w:r>
              <w:rPr>
                <w:color w:val="000000"/>
                <w:sz w:val="20"/>
                <w:szCs w:val="20"/>
              </w:rPr>
              <w:lastRenderedPageBreak/>
              <w:t>surface in replies and comments.</w:t>
            </w:r>
          </w:p>
        </w:tc>
      </w:tr>
      <w:tr w:rsidR="00D12754" w14:paraId="53BC3FCA" w14:textId="77777777">
        <w:tblPrEx>
          <w:tblCellMar>
            <w:top w:w="0" w:type="dxa"/>
            <w:bottom w:w="0" w:type="dxa"/>
          </w:tblCellMar>
        </w:tblPrEx>
        <w:tc>
          <w:tcPr>
            <w:tcW w:w="3000" w:type="dxa"/>
            <w:tcMar>
              <w:top w:w="80" w:type="dxa"/>
              <w:left w:w="100" w:type="dxa"/>
              <w:bottom w:w="80" w:type="dxa"/>
              <w:right w:w="100" w:type="dxa"/>
            </w:tcMar>
          </w:tcPr>
          <w:p w14:paraId="22CE3141" w14:textId="77777777" w:rsidR="00D12754" w:rsidRDefault="00141BBE">
            <w:r>
              <w:rPr>
                <w:color w:val="000000"/>
                <w:sz w:val="20"/>
                <w:szCs w:val="20"/>
              </w:rPr>
              <w:lastRenderedPageBreak/>
              <w:t>TXN_GTM_Competitive_Landscape_v0.2.docx</w:t>
            </w:r>
          </w:p>
        </w:tc>
        <w:tc>
          <w:tcPr>
            <w:tcW w:w="2200" w:type="dxa"/>
            <w:tcMar>
              <w:top w:w="80" w:type="dxa"/>
              <w:left w:w="100" w:type="dxa"/>
              <w:bottom w:w="80" w:type="dxa"/>
              <w:right w:w="100" w:type="dxa"/>
            </w:tcMar>
          </w:tcPr>
          <w:p w14:paraId="5B443CD0" w14:textId="77777777" w:rsidR="00D12754" w:rsidRDefault="00141BBE">
            <w:r>
              <w:rPr>
                <w:color w:val="000000"/>
                <w:sz w:val="20"/>
                <w:szCs w:val="20"/>
              </w:rPr>
              <w:t>06_Competitive_&amp;_Market_Intel/</w:t>
            </w:r>
          </w:p>
        </w:tc>
        <w:tc>
          <w:tcPr>
            <w:tcW w:w="4800" w:type="dxa"/>
            <w:tcMar>
              <w:top w:w="80" w:type="dxa"/>
              <w:left w:w="100" w:type="dxa"/>
              <w:bottom w:w="80" w:type="dxa"/>
              <w:right w:w="100" w:type="dxa"/>
            </w:tcMar>
          </w:tcPr>
          <w:p w14:paraId="63DDEC39" w14:textId="77777777" w:rsidR="00D12754" w:rsidRDefault="00141BBE">
            <w:r>
              <w:rPr>
                <w:color w:val="000000"/>
                <w:sz w:val="20"/>
                <w:szCs w:val="20"/>
              </w:rPr>
              <w:t>Full detail on the six named competitors and TXN's hypothesised win/loss themes, for sequence and content differentiation.</w:t>
            </w:r>
          </w:p>
        </w:tc>
      </w:tr>
      <w:tr w:rsidR="00D12754" w14:paraId="718205DD" w14:textId="77777777">
        <w:tblPrEx>
          <w:tblCellMar>
            <w:top w:w="0" w:type="dxa"/>
            <w:bottom w:w="0" w:type="dxa"/>
          </w:tblCellMar>
        </w:tblPrEx>
        <w:tc>
          <w:tcPr>
            <w:tcW w:w="3000" w:type="dxa"/>
            <w:tcMar>
              <w:top w:w="80" w:type="dxa"/>
              <w:left w:w="100" w:type="dxa"/>
              <w:bottom w:w="80" w:type="dxa"/>
              <w:right w:w="100" w:type="dxa"/>
            </w:tcMar>
          </w:tcPr>
          <w:p w14:paraId="77E81699" w14:textId="77777777" w:rsidR="00D12754" w:rsidRDefault="00141BBE">
            <w:r>
              <w:rPr>
                <w:color w:val="000000"/>
                <w:sz w:val="20"/>
                <w:szCs w:val="20"/>
              </w:rPr>
              <w:t>TXN_GTM_Product_Overview_v1.0.docx</w:t>
            </w:r>
          </w:p>
        </w:tc>
        <w:tc>
          <w:tcPr>
            <w:tcW w:w="2200" w:type="dxa"/>
            <w:tcMar>
              <w:top w:w="80" w:type="dxa"/>
              <w:left w:w="100" w:type="dxa"/>
              <w:bottom w:w="80" w:type="dxa"/>
              <w:right w:w="100" w:type="dxa"/>
            </w:tcMar>
          </w:tcPr>
          <w:p w14:paraId="1DB7F334" w14:textId="77777777" w:rsidR="00D12754" w:rsidRDefault="00141BBE">
            <w:r>
              <w:rPr>
                <w:color w:val="000000"/>
                <w:sz w:val="20"/>
                <w:szCs w:val="20"/>
              </w:rPr>
              <w:t>01_Company_&amp;_Product/</w:t>
            </w:r>
          </w:p>
        </w:tc>
        <w:tc>
          <w:tcPr>
            <w:tcW w:w="4800" w:type="dxa"/>
            <w:tcMar>
              <w:top w:w="80" w:type="dxa"/>
              <w:left w:w="100" w:type="dxa"/>
              <w:bottom w:w="80" w:type="dxa"/>
              <w:right w:w="100" w:type="dxa"/>
            </w:tcMar>
          </w:tcPr>
          <w:p w14:paraId="34F9E2E4" w14:textId="77777777" w:rsidR="00D12754" w:rsidRDefault="00141BBE">
            <w:r>
              <w:rPr>
                <w:color w:val="000000"/>
                <w:sz w:val="20"/>
                <w:szCs w:val="20"/>
              </w:rPr>
              <w:t xml:space="preserve">What is </w:t>
            </w:r>
            <w:proofErr w:type="gramStart"/>
            <w:r>
              <w:rPr>
                <w:color w:val="000000"/>
                <w:sz w:val="20"/>
                <w:szCs w:val="20"/>
              </w:rPr>
              <w:t>actually live</w:t>
            </w:r>
            <w:proofErr w:type="gramEnd"/>
            <w:r>
              <w:rPr>
                <w:color w:val="000000"/>
                <w:sz w:val="20"/>
                <w:szCs w:val="20"/>
              </w:rPr>
              <w:t xml:space="preserve"> at launch versus directional, and which numbers are proven versus engineered targets. Prevents overclaiming.</w:t>
            </w:r>
          </w:p>
        </w:tc>
      </w:tr>
    </w:tbl>
    <w:p w14:paraId="2427E29A" w14:textId="77777777" w:rsidR="00D12754" w:rsidRDefault="00141BBE">
      <w:pPr>
        <w:pStyle w:val="Heading2"/>
        <w:spacing w:before="300" w:after="150"/>
      </w:pPr>
      <w:r>
        <w:t>Situational — provide on request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2"/>
        <w:gridCol w:w="2679"/>
        <w:gridCol w:w="3159"/>
      </w:tblGrid>
      <w:tr w:rsidR="00D12754" w14:paraId="2BA5BB7C"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292CF667" w14:textId="77777777" w:rsidR="00D12754" w:rsidRDefault="00141BBE">
            <w:r>
              <w:rPr>
                <w:b/>
                <w:bCs/>
                <w:color w:val="FFFFFF"/>
                <w:sz w:val="20"/>
                <w:szCs w:val="20"/>
              </w:rPr>
              <w:t>Document</w:t>
            </w:r>
          </w:p>
        </w:tc>
        <w:tc>
          <w:tcPr>
            <w:tcW w:w="2400" w:type="dxa"/>
            <w:shd w:val="clear" w:color="auto" w:fill="1F3864"/>
            <w:tcMar>
              <w:top w:w="80" w:type="dxa"/>
              <w:left w:w="100" w:type="dxa"/>
              <w:bottom w:w="80" w:type="dxa"/>
              <w:right w:w="100" w:type="dxa"/>
            </w:tcMar>
          </w:tcPr>
          <w:p w14:paraId="3CF599B2" w14:textId="77777777" w:rsidR="00D12754" w:rsidRDefault="00141BBE">
            <w:r>
              <w:rPr>
                <w:b/>
                <w:bCs/>
                <w:color w:val="FFFFFF"/>
                <w:sz w:val="20"/>
                <w:szCs w:val="20"/>
              </w:rPr>
              <w:t>Location</w:t>
            </w:r>
          </w:p>
        </w:tc>
        <w:tc>
          <w:tcPr>
            <w:tcW w:w="4400" w:type="dxa"/>
            <w:shd w:val="clear" w:color="auto" w:fill="1F3864"/>
            <w:tcMar>
              <w:top w:w="80" w:type="dxa"/>
              <w:left w:w="100" w:type="dxa"/>
              <w:bottom w:w="80" w:type="dxa"/>
              <w:right w:w="100" w:type="dxa"/>
            </w:tcMar>
          </w:tcPr>
          <w:p w14:paraId="3516180F" w14:textId="77777777" w:rsidR="00D12754" w:rsidRDefault="00141BBE">
            <w:r>
              <w:rPr>
                <w:b/>
                <w:bCs/>
                <w:color w:val="FFFFFF"/>
                <w:sz w:val="20"/>
                <w:szCs w:val="20"/>
              </w:rPr>
              <w:t>When it's useful</w:t>
            </w:r>
          </w:p>
        </w:tc>
      </w:tr>
      <w:tr w:rsidR="00D12754" w14:paraId="2F5421BC" w14:textId="77777777">
        <w:tblPrEx>
          <w:tblCellMar>
            <w:top w:w="0" w:type="dxa"/>
            <w:bottom w:w="0" w:type="dxa"/>
          </w:tblCellMar>
        </w:tblPrEx>
        <w:tc>
          <w:tcPr>
            <w:tcW w:w="3200" w:type="dxa"/>
            <w:tcMar>
              <w:top w:w="80" w:type="dxa"/>
              <w:left w:w="100" w:type="dxa"/>
              <w:bottom w:w="80" w:type="dxa"/>
              <w:right w:w="100" w:type="dxa"/>
            </w:tcMar>
          </w:tcPr>
          <w:p w14:paraId="10165B31" w14:textId="77777777" w:rsidR="00D12754" w:rsidRDefault="00141BBE">
            <w:proofErr w:type="spellStart"/>
            <w:r>
              <w:rPr>
                <w:color w:val="000000"/>
                <w:sz w:val="20"/>
                <w:szCs w:val="20"/>
              </w:rPr>
              <w:t>TXN_GTM_Qualification_Matrix</w:t>
            </w:r>
            <w:proofErr w:type="spellEnd"/>
            <w:r>
              <w:rPr>
                <w:color w:val="000000"/>
                <w:sz w:val="20"/>
                <w:szCs w:val="20"/>
              </w:rPr>
              <w:t xml:space="preserve"> (workbook)</w:t>
            </w:r>
          </w:p>
        </w:tc>
        <w:tc>
          <w:tcPr>
            <w:tcW w:w="2400" w:type="dxa"/>
            <w:tcMar>
              <w:top w:w="80" w:type="dxa"/>
              <w:left w:w="100" w:type="dxa"/>
              <w:bottom w:w="80" w:type="dxa"/>
              <w:right w:w="100" w:type="dxa"/>
            </w:tcMar>
          </w:tcPr>
          <w:p w14:paraId="44B523CB" w14:textId="77777777" w:rsidR="00D12754" w:rsidRDefault="00141BBE">
            <w:r>
              <w:rPr>
                <w:color w:val="000000"/>
                <w:sz w:val="20"/>
                <w:szCs w:val="20"/>
              </w:rPr>
              <w:t>04_Sales_Motion/</w:t>
            </w:r>
          </w:p>
        </w:tc>
        <w:tc>
          <w:tcPr>
            <w:tcW w:w="4400" w:type="dxa"/>
            <w:tcMar>
              <w:top w:w="80" w:type="dxa"/>
              <w:left w:w="100" w:type="dxa"/>
              <w:bottom w:w="80" w:type="dxa"/>
              <w:right w:w="100" w:type="dxa"/>
            </w:tcMar>
          </w:tcPr>
          <w:p w14:paraId="742AF70A" w14:textId="77777777" w:rsidR="00D12754" w:rsidRDefault="00141BBE">
            <w:r>
              <w:rPr>
                <w:color w:val="000000"/>
                <w:sz w:val="20"/>
                <w:szCs w:val="20"/>
              </w:rPr>
              <w:t>The live named-account list with current tier, score, and contacts. Request the current export from Ian rather than re-scoring accounts independently.</w:t>
            </w:r>
          </w:p>
        </w:tc>
      </w:tr>
      <w:tr w:rsidR="00D12754" w14:paraId="510A9CDF" w14:textId="77777777">
        <w:tblPrEx>
          <w:tblCellMar>
            <w:top w:w="0" w:type="dxa"/>
            <w:bottom w:w="0" w:type="dxa"/>
          </w:tblCellMar>
        </w:tblPrEx>
        <w:tc>
          <w:tcPr>
            <w:tcW w:w="3200" w:type="dxa"/>
            <w:tcMar>
              <w:top w:w="80" w:type="dxa"/>
              <w:left w:w="100" w:type="dxa"/>
              <w:bottom w:w="80" w:type="dxa"/>
              <w:right w:w="100" w:type="dxa"/>
            </w:tcMar>
          </w:tcPr>
          <w:p w14:paraId="499F00BD" w14:textId="77777777" w:rsidR="00D12754" w:rsidRDefault="00141BBE">
            <w:r>
              <w:rPr>
                <w:color w:val="000000"/>
                <w:sz w:val="20"/>
                <w:szCs w:val="20"/>
              </w:rPr>
              <w:t>TXN_GTM_Discovery_Question_Bank_v0.2.docx</w:t>
            </w:r>
          </w:p>
        </w:tc>
        <w:tc>
          <w:tcPr>
            <w:tcW w:w="2400" w:type="dxa"/>
            <w:tcMar>
              <w:top w:w="80" w:type="dxa"/>
              <w:left w:w="100" w:type="dxa"/>
              <w:bottom w:w="80" w:type="dxa"/>
              <w:right w:w="100" w:type="dxa"/>
            </w:tcMar>
          </w:tcPr>
          <w:p w14:paraId="73EC2B86" w14:textId="77777777" w:rsidR="00D12754" w:rsidRDefault="00141BBE">
            <w:r>
              <w:rPr>
                <w:color w:val="000000"/>
                <w:sz w:val="20"/>
                <w:szCs w:val="20"/>
              </w:rPr>
              <w:t>04_Sales_Motion/Assets/</w:t>
            </w:r>
          </w:p>
        </w:tc>
        <w:tc>
          <w:tcPr>
            <w:tcW w:w="4400" w:type="dxa"/>
            <w:tcMar>
              <w:top w:w="80" w:type="dxa"/>
              <w:left w:w="100" w:type="dxa"/>
              <w:bottom w:w="80" w:type="dxa"/>
              <w:right w:w="100" w:type="dxa"/>
            </w:tcMar>
          </w:tcPr>
          <w:p w14:paraId="464E9DDA" w14:textId="77777777" w:rsidR="00D12754" w:rsidRDefault="00141BBE">
            <w:r>
              <w:rPr>
                <w:color w:val="000000"/>
                <w:sz w:val="20"/>
                <w:szCs w:val="20"/>
              </w:rPr>
              <w:t>Useful once the partner also supports discovery-call prep, less relevant to email/LinkedIn drafting itself.</w:t>
            </w:r>
          </w:p>
        </w:tc>
      </w:tr>
      <w:tr w:rsidR="00D12754" w14:paraId="471E761B" w14:textId="77777777">
        <w:tblPrEx>
          <w:tblCellMar>
            <w:top w:w="0" w:type="dxa"/>
            <w:bottom w:w="0" w:type="dxa"/>
          </w:tblCellMar>
        </w:tblPrEx>
        <w:tc>
          <w:tcPr>
            <w:tcW w:w="3200" w:type="dxa"/>
            <w:tcMar>
              <w:top w:w="80" w:type="dxa"/>
              <w:left w:w="100" w:type="dxa"/>
              <w:bottom w:w="80" w:type="dxa"/>
              <w:right w:w="100" w:type="dxa"/>
            </w:tcMar>
          </w:tcPr>
          <w:p w14:paraId="1F30E756" w14:textId="77777777" w:rsidR="00D12754" w:rsidRDefault="00141BBE">
            <w:r>
              <w:rPr>
                <w:color w:val="000000"/>
                <w:sz w:val="20"/>
                <w:szCs w:val="20"/>
              </w:rPr>
              <w:t>TXN_GTM_Qualification_Framework_v0.2.docx</w:t>
            </w:r>
          </w:p>
        </w:tc>
        <w:tc>
          <w:tcPr>
            <w:tcW w:w="2400" w:type="dxa"/>
            <w:tcMar>
              <w:top w:w="80" w:type="dxa"/>
              <w:left w:w="100" w:type="dxa"/>
              <w:bottom w:w="80" w:type="dxa"/>
              <w:right w:w="100" w:type="dxa"/>
            </w:tcMar>
          </w:tcPr>
          <w:p w14:paraId="32279D4B" w14:textId="77777777" w:rsidR="00D12754" w:rsidRDefault="00141BBE">
            <w:r>
              <w:rPr>
                <w:color w:val="000000"/>
                <w:sz w:val="20"/>
                <w:szCs w:val="20"/>
              </w:rPr>
              <w:t>04_Sales_Motion/Assets/</w:t>
            </w:r>
          </w:p>
        </w:tc>
        <w:tc>
          <w:tcPr>
            <w:tcW w:w="4400" w:type="dxa"/>
            <w:tcMar>
              <w:top w:w="80" w:type="dxa"/>
              <w:left w:w="100" w:type="dxa"/>
              <w:bottom w:w="80" w:type="dxa"/>
              <w:right w:w="100" w:type="dxa"/>
            </w:tcMar>
          </w:tcPr>
          <w:p w14:paraId="34CA11ED" w14:textId="77777777" w:rsidR="00D12754" w:rsidRDefault="00141BBE">
            <w:r>
              <w:rPr>
                <w:color w:val="000000"/>
                <w:sz w:val="20"/>
                <w:szCs w:val="20"/>
              </w:rPr>
              <w:t>Underlying scoring logic behind the ICP tiering; background reading rather than a drafting input.</w:t>
            </w:r>
          </w:p>
        </w:tc>
      </w:tr>
      <w:tr w:rsidR="00D12754" w14:paraId="1D834BED" w14:textId="77777777">
        <w:tblPrEx>
          <w:tblCellMar>
            <w:top w:w="0" w:type="dxa"/>
            <w:bottom w:w="0" w:type="dxa"/>
          </w:tblCellMar>
        </w:tblPrEx>
        <w:tc>
          <w:tcPr>
            <w:tcW w:w="3200" w:type="dxa"/>
            <w:tcMar>
              <w:top w:w="80" w:type="dxa"/>
              <w:left w:w="100" w:type="dxa"/>
              <w:bottom w:w="80" w:type="dxa"/>
              <w:right w:w="100" w:type="dxa"/>
            </w:tcMar>
          </w:tcPr>
          <w:p w14:paraId="76A5CECF" w14:textId="77777777" w:rsidR="00D12754" w:rsidRDefault="00141BBE">
            <w:r>
              <w:rPr>
                <w:color w:val="000000"/>
                <w:sz w:val="20"/>
                <w:szCs w:val="20"/>
              </w:rPr>
              <w:t>TXN_GTM_Pricing_and_Packaging_v1.0.docx</w:t>
            </w:r>
          </w:p>
        </w:tc>
        <w:tc>
          <w:tcPr>
            <w:tcW w:w="2400" w:type="dxa"/>
            <w:tcMar>
              <w:top w:w="80" w:type="dxa"/>
              <w:left w:w="100" w:type="dxa"/>
              <w:bottom w:w="80" w:type="dxa"/>
              <w:right w:w="100" w:type="dxa"/>
            </w:tcMar>
          </w:tcPr>
          <w:p w14:paraId="51FBD5B5" w14:textId="77777777" w:rsidR="00D12754" w:rsidRDefault="00141BBE">
            <w:r>
              <w:rPr>
                <w:color w:val="000000"/>
                <w:sz w:val="20"/>
                <w:szCs w:val="20"/>
              </w:rPr>
              <w:t>01_Company_&amp;_Product/</w:t>
            </w:r>
          </w:p>
        </w:tc>
        <w:tc>
          <w:tcPr>
            <w:tcW w:w="4400" w:type="dxa"/>
            <w:tcMar>
              <w:top w:w="80" w:type="dxa"/>
              <w:left w:w="100" w:type="dxa"/>
              <w:bottom w:w="80" w:type="dxa"/>
              <w:right w:w="100" w:type="dxa"/>
            </w:tcMar>
          </w:tcPr>
          <w:p w14:paraId="454259FE" w14:textId="77777777" w:rsidR="00D12754" w:rsidRDefault="00141BBE">
            <w:r>
              <w:rPr>
                <w:color w:val="000000"/>
                <w:sz w:val="20"/>
                <w:szCs w:val="20"/>
              </w:rPr>
              <w:t>Only relevant if the partner's sequences reference pricing directly. TXN's standard guidance is not to lead on price (Section 9); confirm with Ian before sharing given its commercial sensitivity.</w:t>
            </w:r>
          </w:p>
        </w:tc>
      </w:tr>
      <w:tr w:rsidR="00D12754" w14:paraId="1E6F5C79" w14:textId="77777777">
        <w:tblPrEx>
          <w:tblCellMar>
            <w:top w:w="0" w:type="dxa"/>
            <w:bottom w:w="0" w:type="dxa"/>
          </w:tblCellMar>
        </w:tblPrEx>
        <w:tc>
          <w:tcPr>
            <w:tcW w:w="3200" w:type="dxa"/>
            <w:tcMar>
              <w:top w:w="80" w:type="dxa"/>
              <w:left w:w="100" w:type="dxa"/>
              <w:bottom w:w="80" w:type="dxa"/>
              <w:right w:w="100" w:type="dxa"/>
            </w:tcMar>
          </w:tcPr>
          <w:p w14:paraId="51049717" w14:textId="77777777" w:rsidR="00D12754" w:rsidRDefault="00141BBE">
            <w:r>
              <w:rPr>
                <w:color w:val="000000"/>
                <w:sz w:val="20"/>
                <w:szCs w:val="20"/>
              </w:rPr>
              <w:t>TXN_GTM_Sales_Process_and_Stages_v0.3.docx</w:t>
            </w:r>
          </w:p>
        </w:tc>
        <w:tc>
          <w:tcPr>
            <w:tcW w:w="2400" w:type="dxa"/>
            <w:tcMar>
              <w:top w:w="80" w:type="dxa"/>
              <w:left w:w="100" w:type="dxa"/>
              <w:bottom w:w="80" w:type="dxa"/>
              <w:right w:w="100" w:type="dxa"/>
            </w:tcMar>
          </w:tcPr>
          <w:p w14:paraId="38253EF3" w14:textId="77777777" w:rsidR="00D12754" w:rsidRDefault="00141BBE">
            <w:r>
              <w:rPr>
                <w:color w:val="000000"/>
                <w:sz w:val="20"/>
                <w:szCs w:val="20"/>
              </w:rPr>
              <w:t>04_Sales_Motion/</w:t>
            </w:r>
          </w:p>
        </w:tc>
        <w:tc>
          <w:tcPr>
            <w:tcW w:w="4400" w:type="dxa"/>
            <w:tcMar>
              <w:top w:w="80" w:type="dxa"/>
              <w:left w:w="100" w:type="dxa"/>
              <w:bottom w:w="80" w:type="dxa"/>
              <w:right w:w="100" w:type="dxa"/>
            </w:tcMar>
          </w:tcPr>
          <w:p w14:paraId="07ECB1D8" w14:textId="77777777" w:rsidR="00D12754" w:rsidRDefault="00141BBE">
            <w:r>
              <w:rPr>
                <w:color w:val="000000"/>
                <w:sz w:val="20"/>
                <w:szCs w:val="20"/>
              </w:rPr>
              <w:t>Describes what happens after a meeting is booked; outside the partner's stated scope but useful context on the full funnel.</w:t>
            </w:r>
          </w:p>
        </w:tc>
      </w:tr>
      <w:tr w:rsidR="00D12754" w14:paraId="74F86D17" w14:textId="77777777">
        <w:tblPrEx>
          <w:tblCellMar>
            <w:top w:w="0" w:type="dxa"/>
            <w:bottom w:w="0" w:type="dxa"/>
          </w:tblCellMar>
        </w:tblPrEx>
        <w:tc>
          <w:tcPr>
            <w:tcW w:w="3200" w:type="dxa"/>
            <w:tcMar>
              <w:top w:w="80" w:type="dxa"/>
              <w:left w:w="100" w:type="dxa"/>
              <w:bottom w:w="80" w:type="dxa"/>
              <w:right w:w="100" w:type="dxa"/>
            </w:tcMar>
          </w:tcPr>
          <w:p w14:paraId="313B5FDB" w14:textId="77777777" w:rsidR="00D12754" w:rsidRDefault="00141BBE">
            <w:r>
              <w:rPr>
                <w:color w:val="000000"/>
                <w:sz w:val="20"/>
                <w:szCs w:val="20"/>
              </w:rPr>
              <w:t>TXN_Prospect_Pitch_Deck_v3.0.pptx</w:t>
            </w:r>
          </w:p>
        </w:tc>
        <w:tc>
          <w:tcPr>
            <w:tcW w:w="2400" w:type="dxa"/>
            <w:tcMar>
              <w:top w:w="80" w:type="dxa"/>
              <w:left w:w="100" w:type="dxa"/>
              <w:bottom w:w="80" w:type="dxa"/>
              <w:right w:w="100" w:type="dxa"/>
            </w:tcMar>
          </w:tcPr>
          <w:p w14:paraId="4DD91C7D" w14:textId="77777777" w:rsidR="00D12754" w:rsidRDefault="00141BBE">
            <w:r>
              <w:rPr>
                <w:color w:val="000000"/>
                <w:sz w:val="20"/>
                <w:szCs w:val="20"/>
              </w:rPr>
              <w:t>03_Positioning_&amp;_Messaging/</w:t>
            </w:r>
          </w:p>
        </w:tc>
        <w:tc>
          <w:tcPr>
            <w:tcW w:w="4400" w:type="dxa"/>
            <w:tcMar>
              <w:top w:w="80" w:type="dxa"/>
              <w:left w:w="100" w:type="dxa"/>
              <w:bottom w:w="80" w:type="dxa"/>
              <w:right w:w="100" w:type="dxa"/>
            </w:tcMar>
          </w:tcPr>
          <w:p w14:paraId="1D26CFA3" w14:textId="77777777" w:rsidR="00D12754" w:rsidRDefault="00141BBE">
            <w:r>
              <w:rPr>
                <w:color w:val="000000"/>
                <w:sz w:val="20"/>
                <w:szCs w:val="20"/>
              </w:rPr>
              <w:t>The internal sales deck; useful visual and structural reference for LinkedIn carousel or one-pager content.</w:t>
            </w:r>
          </w:p>
        </w:tc>
      </w:tr>
      <w:tr w:rsidR="00D12754" w14:paraId="24A35521" w14:textId="77777777">
        <w:tblPrEx>
          <w:tblCellMar>
            <w:top w:w="0" w:type="dxa"/>
            <w:bottom w:w="0" w:type="dxa"/>
          </w:tblCellMar>
        </w:tblPrEx>
        <w:tc>
          <w:tcPr>
            <w:tcW w:w="3200" w:type="dxa"/>
            <w:tcMar>
              <w:top w:w="80" w:type="dxa"/>
              <w:left w:w="100" w:type="dxa"/>
              <w:bottom w:w="80" w:type="dxa"/>
              <w:right w:w="100" w:type="dxa"/>
            </w:tcMar>
          </w:tcPr>
          <w:p w14:paraId="797DF321" w14:textId="77777777" w:rsidR="00D12754" w:rsidRDefault="00141BBE">
            <w:r>
              <w:rPr>
                <w:color w:val="000000"/>
                <w:sz w:val="20"/>
                <w:szCs w:val="20"/>
              </w:rPr>
              <w:t>TXN_GTM_Campaign_Calendar_v0.1.docx</w:t>
            </w:r>
          </w:p>
        </w:tc>
        <w:tc>
          <w:tcPr>
            <w:tcW w:w="2400" w:type="dxa"/>
            <w:tcMar>
              <w:top w:w="80" w:type="dxa"/>
              <w:left w:w="100" w:type="dxa"/>
              <w:bottom w:w="80" w:type="dxa"/>
              <w:right w:w="100" w:type="dxa"/>
            </w:tcMar>
          </w:tcPr>
          <w:p w14:paraId="6FE528DB" w14:textId="77777777" w:rsidR="00D12754" w:rsidRDefault="00141BBE">
            <w:r>
              <w:rPr>
                <w:color w:val="000000"/>
                <w:sz w:val="20"/>
                <w:szCs w:val="20"/>
              </w:rPr>
              <w:t>05_Marketing/Assets/</w:t>
            </w:r>
          </w:p>
        </w:tc>
        <w:tc>
          <w:tcPr>
            <w:tcW w:w="4400" w:type="dxa"/>
            <w:tcMar>
              <w:top w:w="80" w:type="dxa"/>
              <w:left w:w="100" w:type="dxa"/>
              <w:bottom w:w="80" w:type="dxa"/>
              <w:right w:w="100" w:type="dxa"/>
            </w:tcMar>
          </w:tcPr>
          <w:p w14:paraId="455D3ABE" w14:textId="77777777" w:rsidR="00D12754" w:rsidRDefault="00141BBE">
            <w:r>
              <w:rPr>
                <w:color w:val="000000"/>
                <w:sz w:val="20"/>
                <w:szCs w:val="20"/>
              </w:rPr>
              <w:t>Currently an empty scaffold (see Appendix B) but is where campaign timing should be coordinated once populated.</w:t>
            </w:r>
          </w:p>
        </w:tc>
      </w:tr>
    </w:tbl>
    <w:p w14:paraId="29059F1E" w14:textId="77777777" w:rsidR="00D12754" w:rsidRDefault="00141BBE">
      <w:r>
        <w:br w:type="page"/>
      </w:r>
    </w:p>
    <w:p w14:paraId="57B60A5A" w14:textId="77777777" w:rsidR="00D12754" w:rsidRDefault="00141BBE">
      <w:pPr>
        <w:pStyle w:val="Heading1"/>
        <w:spacing w:before="400" w:after="200"/>
      </w:pPr>
      <w:r>
        <w:lastRenderedPageBreak/>
        <w:t>Appendix B: Gaps in the source library to close before or during onboarding</w:t>
      </w:r>
    </w:p>
    <w:p w14:paraId="7DB81155" w14:textId="77777777" w:rsidR="00D12754" w:rsidRDefault="00141BBE">
      <w:pPr>
        <w:spacing w:after="160"/>
      </w:pPr>
      <w:r>
        <w:t xml:space="preserve">Four gaps surfaced while assembling this playbook. None block the partner from starting, but each represents a document the partner would reasonably expect to exist and currently either does </w:t>
      </w:r>
      <w:proofErr w:type="gramStart"/>
      <w:r>
        <w:t>not, or</w:t>
      </w:r>
      <w:proofErr w:type="gramEnd"/>
      <w:r>
        <w:t xml:space="preserve"> exists only as an empty placeholder. Recommend Ian close these early in the engagement.</w:t>
      </w:r>
    </w:p>
    <w:p w14:paraId="197DE6A3" w14:textId="77777777" w:rsidR="00D12754" w:rsidRDefault="00141BBE">
      <w:pPr>
        <w:pStyle w:val="Heading2"/>
        <w:spacing w:before="300" w:after="150"/>
      </w:pPr>
      <w:r>
        <w:t>1. Brand Voice and Tone (TXN_GTM_Brand_Voice_and_Tone_v0.1.docx)</w:t>
      </w:r>
    </w:p>
    <w:p w14:paraId="0E05BF54" w14:textId="77777777" w:rsidR="00D12754" w:rsidRDefault="00141BBE">
      <w:pPr>
        <w:spacing w:after="160"/>
      </w:pPr>
      <w:r>
        <w:t>This canonical scaffold exists in 05_Marketing/ but is an empty placeholder (“to be completed”) rather than populated content. This playbook's Section 5 reconstructs the working tone rules from Core Messaging v2.5 Section 10 and the 07_GTM governance notes, which cover the essentials (British English exception, banned words, the AI anchor, JV language). What is still missing is the more editorial layer this document is meant to hold: named voice adjectives, before/after example rewrites, and how tone should</w:t>
      </w:r>
      <w:r>
        <w:t xml:space="preserve"> flex between a technical blog post, a cold email, and an executive LinkedIn post. Recommend populating this with the partner once they have draft content to test against, since the surface expected of them is a natural place to generate the before/after examples.</w:t>
      </w:r>
    </w:p>
    <w:p w14:paraId="0D89B144" w14:textId="77777777" w:rsidR="00D12754" w:rsidRDefault="00141BBE">
      <w:pPr>
        <w:pStyle w:val="Heading2"/>
        <w:spacing w:before="300" w:after="150"/>
      </w:pPr>
      <w:r>
        <w:t>2. Channel Strategy (TXN_GTM_Channel_Strategy_v0.1.docx)</w:t>
      </w:r>
    </w:p>
    <w:p w14:paraId="76623692" w14:textId="77777777" w:rsidR="00D12754" w:rsidRDefault="00141BBE">
      <w:pPr>
        <w:spacing w:after="160"/>
      </w:pPr>
      <w:proofErr w:type="gramStart"/>
      <w:r>
        <w:t>Also</w:t>
      </w:r>
      <w:proofErr w:type="gramEnd"/>
      <w:r>
        <w:t xml:space="preserve"> an empty placeholder in 05_Marketing/. There is no documented view yet on LinkedIn's specific role, KPI, or budget within TXN's channel mix, separate from what the Prospecting Process document says about LinkedIn as an outbound research surface. If the partner is also running organic LinkedIn content (as opposed to outbound sequences), agree the content cadence, KPI, and success criteria directly with Ian and consider writing the outcome back into this scaffold.</w:t>
      </w:r>
    </w:p>
    <w:p w14:paraId="30D47A13" w14:textId="77777777" w:rsidR="00D12754" w:rsidRDefault="00141BBE">
      <w:pPr>
        <w:pStyle w:val="Heading2"/>
        <w:spacing w:before="300" w:after="150"/>
      </w:pPr>
      <w:r>
        <w:t>3. Content Inventory (TXN_GTM_Content_Inventory_v0.1.docx)</w:t>
      </w:r>
    </w:p>
    <w:p w14:paraId="625BE81E" w14:textId="77777777" w:rsidR="00D12754" w:rsidRDefault="00141BBE">
      <w:pPr>
        <w:spacing w:after="160"/>
      </w:pPr>
      <w:r>
        <w:t>Empty placeholder in 05_Marketing/. There is currently no live register of what content assets exist, their format, or which persona and funnel stage they map to. The partner will likely be creating content into a vacuum without this; recommend the partner's first two weeks include populating this inventory as they audit or create assets, both to avoid duplicate work and to give TXN visibility into what exists.</w:t>
      </w:r>
    </w:p>
    <w:p w14:paraId="7AE4B018" w14:textId="77777777" w:rsidR="00D12754" w:rsidRDefault="00141BBE">
      <w:pPr>
        <w:pStyle w:val="Heading2"/>
        <w:spacing w:before="300" w:after="150"/>
      </w:pPr>
      <w:r>
        <w:t>4. AI Messaging Framework (TXN_AI_Messaging_Framework_v1.0.docx) — referenced but not found in the SharePoint GTM library</w:t>
      </w:r>
    </w:p>
    <w:p w14:paraId="324489D2" w14:textId="77777777" w:rsidR="00D12754" w:rsidRDefault="00141BBE">
      <w:pPr>
        <w:spacing w:after="160"/>
      </w:pPr>
      <w:r>
        <w:t>Core Messaging v2.5 and the 07_GTM CLAUDE.md governance file both cite this as the canonical owner of the “Intelligence built in. Complexity taken out.” anchor phrase and the asset-by-asset AI copy adaptation rules, with an expected location of 03_Positioning_&amp;_Messaging/. It is not present at that location in the SharePoint site library. A document of the same name exists in a separate, older personal OneDrive folder structure (not the governed 07_GTM SharePoint library), which suggests it may not have bee</w:t>
      </w:r>
      <w:r>
        <w:t>n migrated across, or may have been superseded without an update to the cross-references in Core Messaging and CLAUDE.md. This playbook's Section 5.4 and Section 7.4 reconstruct the essentials from what Core Messaging and the AI Target Outcomes Framework confirm, but the asset-by-asset adaptation guidance this document is meant to hold (i.e. exactly how the anchor phrase and AI outcomes should flex across a cold email versus a LinkedIn post versus a one-pager) is not otherwise available. Recommend Ian confi</w:t>
      </w:r>
      <w:r>
        <w:t>rm whether this document should be re-created or migrated into the SharePoint library before the partner produces high volumes of AI-related copy.</w:t>
      </w:r>
    </w:p>
    <w:sectPr w:rsidR="00D12754">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2BF7"/>
    <w:multiLevelType w:val="hybridMultilevel"/>
    <w:tmpl w:val="BBBCA4C2"/>
    <w:lvl w:ilvl="0" w:tplc="3F50648A">
      <w:start w:val="1"/>
      <w:numFmt w:val="bullet"/>
      <w:lvlText w:val="●"/>
      <w:lvlJc w:val="left"/>
      <w:pPr>
        <w:ind w:left="720" w:hanging="360"/>
      </w:pPr>
    </w:lvl>
    <w:lvl w:ilvl="1" w:tplc="9F7CCFBE">
      <w:start w:val="1"/>
      <w:numFmt w:val="bullet"/>
      <w:lvlText w:val="○"/>
      <w:lvlJc w:val="left"/>
      <w:pPr>
        <w:ind w:left="1440" w:hanging="360"/>
      </w:pPr>
    </w:lvl>
    <w:lvl w:ilvl="2" w:tplc="69008AD2">
      <w:start w:val="1"/>
      <w:numFmt w:val="bullet"/>
      <w:lvlText w:val="■"/>
      <w:lvlJc w:val="left"/>
      <w:pPr>
        <w:ind w:left="2160" w:hanging="360"/>
      </w:pPr>
    </w:lvl>
    <w:lvl w:ilvl="3" w:tplc="2356FFB6">
      <w:start w:val="1"/>
      <w:numFmt w:val="bullet"/>
      <w:lvlText w:val="●"/>
      <w:lvlJc w:val="left"/>
      <w:pPr>
        <w:ind w:left="2880" w:hanging="360"/>
      </w:pPr>
    </w:lvl>
    <w:lvl w:ilvl="4" w:tplc="9496D57A">
      <w:start w:val="1"/>
      <w:numFmt w:val="bullet"/>
      <w:lvlText w:val="○"/>
      <w:lvlJc w:val="left"/>
      <w:pPr>
        <w:ind w:left="3600" w:hanging="360"/>
      </w:pPr>
    </w:lvl>
    <w:lvl w:ilvl="5" w:tplc="4D2E532A">
      <w:start w:val="1"/>
      <w:numFmt w:val="bullet"/>
      <w:lvlText w:val="■"/>
      <w:lvlJc w:val="left"/>
      <w:pPr>
        <w:ind w:left="4320" w:hanging="360"/>
      </w:pPr>
    </w:lvl>
    <w:lvl w:ilvl="6" w:tplc="F9409E30">
      <w:start w:val="1"/>
      <w:numFmt w:val="bullet"/>
      <w:lvlText w:val="●"/>
      <w:lvlJc w:val="left"/>
      <w:pPr>
        <w:ind w:left="5040" w:hanging="360"/>
      </w:pPr>
    </w:lvl>
    <w:lvl w:ilvl="7" w:tplc="048002F0">
      <w:start w:val="1"/>
      <w:numFmt w:val="bullet"/>
      <w:lvlText w:val="●"/>
      <w:lvlJc w:val="left"/>
      <w:pPr>
        <w:ind w:left="5760" w:hanging="360"/>
      </w:pPr>
    </w:lvl>
    <w:lvl w:ilvl="8" w:tplc="E9D8C0B8">
      <w:start w:val="1"/>
      <w:numFmt w:val="bullet"/>
      <w:lvlText w:val="●"/>
      <w:lvlJc w:val="left"/>
      <w:pPr>
        <w:ind w:left="6480" w:hanging="360"/>
      </w:pPr>
    </w:lvl>
  </w:abstractNum>
  <w:abstractNum w:abstractNumId="1" w15:restartNumberingAfterBreak="0">
    <w:nsid w:val="3BF3131C"/>
    <w:multiLevelType w:val="hybridMultilevel"/>
    <w:tmpl w:val="A762DBCC"/>
    <w:lvl w:ilvl="0" w:tplc="A82ACE60">
      <w:start w:val="1"/>
      <w:numFmt w:val="bullet"/>
      <w:lvlText w:val="•"/>
      <w:lvlJc w:val="left"/>
      <w:pPr>
        <w:ind w:left="504" w:hanging="288"/>
      </w:pPr>
    </w:lvl>
    <w:lvl w:ilvl="1" w:tplc="F8D6B1D8">
      <w:numFmt w:val="decimal"/>
      <w:lvlText w:val=""/>
      <w:lvlJc w:val="left"/>
    </w:lvl>
    <w:lvl w:ilvl="2" w:tplc="53183050">
      <w:numFmt w:val="decimal"/>
      <w:lvlText w:val=""/>
      <w:lvlJc w:val="left"/>
    </w:lvl>
    <w:lvl w:ilvl="3" w:tplc="F83EE8F0">
      <w:numFmt w:val="decimal"/>
      <w:lvlText w:val=""/>
      <w:lvlJc w:val="left"/>
    </w:lvl>
    <w:lvl w:ilvl="4" w:tplc="F904948A">
      <w:numFmt w:val="decimal"/>
      <w:lvlText w:val=""/>
      <w:lvlJc w:val="left"/>
    </w:lvl>
    <w:lvl w:ilvl="5" w:tplc="1FAA1458">
      <w:numFmt w:val="decimal"/>
      <w:lvlText w:val=""/>
      <w:lvlJc w:val="left"/>
    </w:lvl>
    <w:lvl w:ilvl="6" w:tplc="C28E36AE">
      <w:numFmt w:val="decimal"/>
      <w:lvlText w:val=""/>
      <w:lvlJc w:val="left"/>
    </w:lvl>
    <w:lvl w:ilvl="7" w:tplc="08086824">
      <w:numFmt w:val="decimal"/>
      <w:lvlText w:val=""/>
      <w:lvlJc w:val="left"/>
    </w:lvl>
    <w:lvl w:ilvl="8" w:tplc="A63A9978">
      <w:numFmt w:val="decimal"/>
      <w:lvlText w:val=""/>
      <w:lvlJc w:val="left"/>
    </w:lvl>
  </w:abstractNum>
  <w:num w:numId="1" w16cid:durableId="376662619">
    <w:abstractNumId w:val="0"/>
    <w:lvlOverride w:ilvl="0">
      <w:startOverride w:val="1"/>
    </w:lvlOverride>
  </w:num>
  <w:num w:numId="2" w16cid:durableId="11837848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754"/>
    <w:rsid w:val="00141BBE"/>
    <w:rsid w:val="00B37786"/>
    <w:rsid w:val="00D12754"/>
    <w:rsid w:val="00E94B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3B57400"/>
  <w15:docId w15:val="{2DB7676C-EEB1-2748-98D3-2E311D396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0"/>
      <w:szCs w:val="30"/>
    </w:rPr>
  </w:style>
  <w:style w:type="paragraph" w:styleId="Heading2">
    <w:name w:val="heading 2"/>
    <w:uiPriority w:val="9"/>
    <w:unhideWhenUsed/>
    <w:qFormat/>
    <w:pPr>
      <w:spacing w:before="280" w:after="140"/>
      <w:outlineLvl w:val="1"/>
    </w:pPr>
    <w:rPr>
      <w:b/>
      <w:bCs/>
      <w:color w:val="1F3864"/>
      <w:sz w:val="26"/>
      <w:szCs w:val="26"/>
    </w:rPr>
  </w:style>
  <w:style w:type="paragraph" w:styleId="Heading3">
    <w:name w:val="heading 3"/>
    <w:uiPriority w:val="9"/>
    <w:unhideWhenUsed/>
    <w:qFormat/>
    <w:pPr>
      <w:spacing w:before="200" w:after="10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F3864"/>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5606</Words>
  <Characters>34702</Characters>
  <Application>Microsoft Office Word</Application>
  <DocSecurity>0</DocSecurity>
  <Lines>722</Lines>
  <Paragraphs>491</Paragraphs>
  <ScaleCrop>false</ScaleCrop>
  <Company/>
  <LinksUpToDate>false</LinksUpToDate>
  <CharactersWithSpaces>39817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Johnson</cp:lastModifiedBy>
  <cp:revision>2</cp:revision>
  <dcterms:created xsi:type="dcterms:W3CDTF">2026-08-18T16:46:00Z</dcterms:created>
  <dcterms:modified xsi:type="dcterms:W3CDTF">2026-08-18T16:46:00Z</dcterms:modified>
</cp:coreProperties>
</file>