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0D6B6B"/>
          <w:spacing w:val="40"/>
          <w:sz w:val="20"/>
          <w:szCs w:val="20"/>
        </w:rPr>
        <w:t xml:space="preserve">SYSTEM DESIGN · TECHNOLOGY STACK</w:t>
      </w:r>
    </w:p>
    <w:p>
      <w:pPr>
        <w:spacing w:after="120" w:before="200"/>
      </w:pPr>
      <w:r>
        <w:rPr>
          <w:b/>
          <w:bCs/>
          <w:color w:val="16222A"/>
          <w:sz w:val="64"/>
          <w:szCs w:val="64"/>
        </w:rPr>
        <w:t xml:space="preserve">HRMS Platform</w:t>
      </w:r>
    </w:p>
    <w:p>
      <w:pPr>
        <w:pBdr>
          <w:bottom w:val="single" w:color="0D6B6B" w:sz="18" w:space="12"/>
        </w:pBdr>
        <w:spacing w:after="360"/>
      </w:pPr>
      <w:r>
        <w:rPr>
          <w:color w:val="4F5E67"/>
          <w:sz w:val="30"/>
          <w:szCs w:val="30"/>
        </w:rPr>
        <w:t xml:space="preserve">Multi-tenant HR platform and public API: architecture, technology stack and delivery plan</w:t>
      </w:r>
    </w:p>
    <w:p>
      <w:pPr>
        <w:spacing w:after="80"/>
      </w:pPr>
      <w:r>
        <w:rPr>
          <w:b/>
          <w:bCs/>
          <w:color w:val="16222A"/>
          <w:sz w:val="22"/>
          <w:szCs w:val="22"/>
        </w:rPr>
        <w:t xml:space="preserve">Version:  </w:t>
      </w:r>
      <w:r>
        <w:rPr>
          <w:color w:val="16222A"/>
          <w:sz w:val="22"/>
          <w:szCs w:val="22"/>
        </w:rPr>
        <w:t xml:space="preserve">1.1 (review findings applied)</w:t>
      </w:r>
    </w:p>
    <w:p>
      <w:pPr>
        <w:spacing w:after="80"/>
      </w:pPr>
      <w:r>
        <w:rPr>
          <w:b/>
          <w:bCs/>
          <w:color w:val="16222A"/>
          <w:sz w:val="22"/>
          <w:szCs w:val="22"/>
        </w:rPr>
        <w:t xml:space="preserve">Date:  </w:t>
      </w:r>
      <w:r>
        <w:rPr>
          <w:color w:val="16222A"/>
          <w:sz w:val="22"/>
          <w:szCs w:val="22"/>
        </w:rPr>
        <w:t xml:space="preserve">21 September 2026</w:t>
      </w:r>
    </w:p>
    <w:p>
      <w:pPr>
        <w:spacing w:after="80"/>
      </w:pPr>
      <w:r>
        <w:rPr>
          <w:b/>
          <w:bCs/>
          <w:color w:val="16222A"/>
          <w:sz w:val="22"/>
          <w:szCs w:val="22"/>
        </w:rPr>
        <w:t xml:space="preserve">Status:  </w:t>
      </w:r>
      <w:r>
        <w:rPr>
          <w:color w:val="16222A"/>
          <w:sz w:val="22"/>
          <w:szCs w:val="22"/>
        </w:rPr>
        <w:t xml:space="preserve">Ready for review and approval</w:t>
      </w:r>
    </w:p>
    <w:p>
      <w:pPr>
        <w:spacing w:after="80"/>
      </w:pPr>
      <w:r>
        <w:rPr>
          <w:b/>
          <w:bCs/>
          <w:color w:val="16222A"/>
          <w:sz w:val="22"/>
          <w:szCs w:val="22"/>
        </w:rPr>
        <w:t xml:space="preserve">Source:  </w:t>
      </w:r>
      <w:r>
        <w:rPr>
          <w:color w:val="16222A"/>
          <w:sz w:val="22"/>
          <w:szCs w:val="22"/>
        </w:rPr>
        <w:t xml:space="preserve">SURAJ Group HRMS Business Requirements v2.0 (17 Sep 2026)</w:t>
      </w:r>
    </w:p>
    <w:p>
      <w:pPr>
        <w:spacing w:after="80"/>
      </w:pPr>
      <w:r>
        <w:rPr>
          <w:b/>
          <w:bCs/>
          <w:color w:val="16222A"/>
          <w:sz w:val="22"/>
          <w:szCs w:val="22"/>
        </w:rPr>
        <w:t xml:space="preserve">Scope:  </w:t>
      </w:r>
      <w:r>
        <w:rPr>
          <w:color w:val="16222A"/>
          <w:sz w:val="22"/>
          <w:szCs w:val="22"/>
        </w:rPr>
        <w:t xml:space="preserve">All modules except Performance/KPI (§16)</w:t>
      </w:r>
    </w:p>
    <w:p>
      <w:pPr>
        <w:spacing w:after="80"/>
      </w:pPr>
      <w:r>
        <w:rPr>
          <w:b/>
          <w:bCs/>
          <w:color w:val="16222A"/>
          <w:sz w:val="22"/>
          <w:szCs w:val="22"/>
        </w:rPr>
        <w:t xml:space="preserve">Classification:  </w:t>
      </w:r>
      <w:r>
        <w:rPr>
          <w:color w:val="16222A"/>
          <w:sz w:val="22"/>
          <w:szCs w:val="22"/>
        </w:rPr>
        <w:t xml:space="preserve">Confidential</w:t>
      </w:r>
    </w:p>
    <w:p>
      <w:pPr>
        <w:sectPr>
          <w:pgSz w:w="11906" w:h="16838" w:orient="portrait"/>
          <w:pgMar w:top="1134" w:right="1134" w:bottom="1134" w:left="1134" w:header="567" w:footer="567" w:gutter="0"/>
          <w:pgNumType/>
          <w:docGrid w:linePitch="360"/>
        </w:sectPr>
      </w:pPr>
    </w:p>
    <w:p>
      <w:pPr>
        <w:pStyle w:val="Heading1"/>
      </w:pPr>
      <w:bookmarkStart w:id="8001" w:name="_Toc900001"/>
      <w:r>
        <w:t xml:space="preserve">Document control</w:t>
      </w:r>
      <w:bookmarkEnd w:id="8001"/>
    </w:p>
    <w:p>
      <w:pPr>
        <w:keepNext/>
        <w:spacing w:after="80" w:before="120"/>
      </w:pPr>
      <w:r>
        <w:rPr>
          <w:b/>
          <w:bCs/>
          <w:color w:val="4F5E67"/>
          <w:sz w:val="18"/>
          <w:szCs w:val="18"/>
        </w:rPr>
        <w:t xml:space="preserve">Table 1. Version history</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147"/>
        <w:gridCol w:w="1606"/>
        <w:gridCol w:w="6885"/>
      </w:tblGrid>
      <w:tr>
        <w:trPr>
          <w:cantSplit/>
          <w:tblHeader/>
        </w:trPr>
        <w:tc>
          <w:tcPr>
            <w:tcW w:type="dxa" w:w="114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Version</w:t>
            </w:r>
          </w:p>
        </w:tc>
        <w:tc>
          <w:tcPr>
            <w:tcW w:type="dxa" w:w="160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Date</w:t>
            </w:r>
          </w:p>
        </w:tc>
        <w:tc>
          <w:tcPr>
            <w:tcW w:type="dxa" w:w="688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Change</w:t>
            </w:r>
          </w:p>
        </w:tc>
      </w:tr>
      <w:tr>
        <w:trPr>
          <w:cantSplit/>
          <w:tblHeader w:val="false"/>
        </w:trPr>
        <w:tc>
          <w:tcPr>
            <w:tcW w:type="dxa" w:w="1147"/>
            <w:tcMar>
              <w:top w:type="dxa" w:w="70"/>
              <w:left w:type="dxa" w:w="100"/>
              <w:bottom w:type="dxa" w:w="70"/>
              <w:right w:type="dxa" w:w="100"/>
            </w:tcMar>
            <w:vAlign w:val="top"/>
          </w:tcPr>
          <w:p>
            <w:pPr>
              <w:spacing w:after="0" w:line="252" w:lineRule="auto"/>
            </w:pPr>
            <w:r>
              <w:rPr>
                <w:sz w:val="18"/>
                <w:szCs w:val="18"/>
              </w:rPr>
              <w:t xml:space="preserve">0.1</w:t>
            </w:r>
          </w:p>
        </w:tc>
        <w:tc>
          <w:tcPr>
            <w:tcW w:type="dxa" w:w="1606"/>
            <w:tcMar>
              <w:top w:type="dxa" w:w="70"/>
              <w:left w:type="dxa" w:w="100"/>
              <w:bottom w:type="dxa" w:w="70"/>
              <w:right w:type="dxa" w:w="100"/>
            </w:tcMar>
            <w:vAlign w:val="top"/>
          </w:tcPr>
          <w:p>
            <w:pPr>
              <w:spacing w:after="0" w:line="252" w:lineRule="auto"/>
            </w:pPr>
            <w:r>
              <w:rPr>
                <w:sz w:val="18"/>
                <w:szCs w:val="18"/>
              </w:rPr>
              <w:t xml:space="preserve">21 Sep 2026</w:t>
            </w:r>
          </w:p>
        </w:tc>
        <w:tc>
          <w:tcPr>
            <w:tcW w:type="dxa" w:w="6885"/>
            <w:tcMar>
              <w:top w:type="dxa" w:w="70"/>
              <w:left w:type="dxa" w:w="100"/>
              <w:bottom w:type="dxa" w:w="70"/>
              <w:right w:type="dxa" w:w="100"/>
            </w:tcMar>
            <w:vAlign w:val="top"/>
          </w:tcPr>
          <w:p>
            <w:pPr>
              <w:spacing w:after="0" w:line="252" w:lineRule="auto"/>
            </w:pPr>
            <w:r>
              <w:rPr>
                <w:sz w:val="18"/>
                <w:szCs w:val="18"/>
              </w:rPr>
              <w:t xml:space="preserve">Requirements analysis and multi-tenant architecture (design system artifact)</w:t>
            </w:r>
          </w:p>
        </w:tc>
      </w:tr>
      <w:tr>
        <w:trPr>
          <w:cantSplit/>
          <w:tblHeader w:val="false"/>
        </w:trPr>
        <w:tc>
          <w:tcPr>
            <w:tcW w:type="dxa" w:w="1147"/>
            <w:tcMar>
              <w:top w:type="dxa" w:w="70"/>
              <w:left w:type="dxa" w:w="100"/>
              <w:bottom w:type="dxa" w:w="70"/>
              <w:right w:type="dxa" w:w="100"/>
            </w:tcMar>
            <w:vAlign w:val="top"/>
          </w:tcPr>
          <w:p>
            <w:pPr>
              <w:spacing w:after="0" w:line="252" w:lineRule="auto"/>
            </w:pPr>
            <w:r>
              <w:rPr>
                <w:sz w:val="18"/>
                <w:szCs w:val="18"/>
              </w:rPr>
              <w:t xml:space="preserve">1.0</w:t>
            </w:r>
          </w:p>
        </w:tc>
        <w:tc>
          <w:tcPr>
            <w:tcW w:type="dxa" w:w="1606"/>
            <w:tcMar>
              <w:top w:type="dxa" w:w="70"/>
              <w:left w:type="dxa" w:w="100"/>
              <w:bottom w:type="dxa" w:w="70"/>
              <w:right w:type="dxa" w:w="100"/>
            </w:tcMar>
            <w:vAlign w:val="top"/>
          </w:tcPr>
          <w:p>
            <w:pPr>
              <w:spacing w:after="0" w:line="252" w:lineRule="auto"/>
            </w:pPr>
            <w:r>
              <w:rPr>
                <w:sz w:val="18"/>
                <w:szCs w:val="18"/>
              </w:rPr>
              <w:t xml:space="preserve">21 Sep 2026</w:t>
            </w:r>
          </w:p>
        </w:tc>
        <w:tc>
          <w:tcPr>
            <w:tcW w:type="dxa" w:w="6885"/>
            <w:tcMar>
              <w:top w:type="dxa" w:w="70"/>
              <w:left w:type="dxa" w:w="100"/>
              <w:bottom w:type="dxa" w:w="70"/>
              <w:right w:type="dxa" w:w="100"/>
            </w:tcMar>
            <w:vAlign w:val="top"/>
          </w:tcPr>
          <w:p>
            <w:pPr>
              <w:spacing w:after="0" w:line="252" w:lineRule="auto"/>
            </w:pPr>
            <w:r>
              <w:rPr>
                <w:sz w:val="18"/>
                <w:szCs w:val="18"/>
              </w:rPr>
              <w:t xml:space="preserve">First complete system design (web page)</w:t>
            </w:r>
          </w:p>
        </w:tc>
      </w:tr>
      <w:tr>
        <w:trPr>
          <w:cantSplit/>
          <w:tblHeader w:val="false"/>
        </w:trPr>
        <w:tc>
          <w:tcPr>
            <w:tcW w:type="dxa" w:w="1147"/>
            <w:tcMar>
              <w:top w:type="dxa" w:w="70"/>
              <w:left w:type="dxa" w:w="100"/>
              <w:bottom w:type="dxa" w:w="70"/>
              <w:right w:type="dxa" w:w="100"/>
            </w:tcMar>
            <w:vAlign w:val="top"/>
          </w:tcPr>
          <w:p>
            <w:pPr>
              <w:spacing w:after="0" w:line="252" w:lineRule="auto"/>
            </w:pPr>
            <w:r>
              <w:rPr>
                <w:sz w:val="18"/>
                <w:szCs w:val="18"/>
              </w:rPr>
              <w:t xml:space="preserve">1.1</w:t>
            </w:r>
          </w:p>
        </w:tc>
        <w:tc>
          <w:tcPr>
            <w:tcW w:type="dxa" w:w="1606"/>
            <w:tcMar>
              <w:top w:type="dxa" w:w="70"/>
              <w:left w:type="dxa" w:w="100"/>
              <w:bottom w:type="dxa" w:w="70"/>
              <w:right w:type="dxa" w:w="100"/>
            </w:tcMar>
            <w:vAlign w:val="top"/>
          </w:tcPr>
          <w:p>
            <w:pPr>
              <w:spacing w:after="0" w:line="252" w:lineRule="auto"/>
            </w:pPr>
            <w:r>
              <w:rPr>
                <w:sz w:val="18"/>
                <w:szCs w:val="18"/>
              </w:rPr>
              <w:t xml:space="preserve">21 Sep 2026</w:t>
            </w:r>
          </w:p>
        </w:tc>
        <w:tc>
          <w:tcPr>
            <w:tcW w:type="dxa" w:w="6885"/>
            <w:tcMar>
              <w:top w:type="dxa" w:w="70"/>
              <w:left w:type="dxa" w:w="100"/>
              <w:bottom w:type="dxa" w:w="70"/>
              <w:right w:type="dxa" w:w="100"/>
            </w:tcMar>
            <w:vAlign w:val="top"/>
          </w:tcPr>
          <w:p>
            <w:pPr>
              <w:spacing w:after="0" w:line="252" w:lineRule="auto"/>
            </w:pPr>
            <w:r>
              <w:rPr>
                <w:sz w:val="18"/>
                <w:szCs w:val="18"/>
              </w:rPr>
              <w:t xml:space="preserve">This document. Applies all 39 findings of the design review: a launch architecture separate from the target, an identity proof of concept, master-data ownership, a worker-level API identity, the isolation fixes and honest disaster-recovery tiers. Consolidates the technology stack.</w:t>
            </w:r>
          </w:p>
        </w:tc>
      </w:tr>
    </w:tbl>
    <w:p>
      <w:pPr>
        <w:spacing w:after="160"/>
      </w:pPr>
    </w:p>
    <w:p>
      <w:pPr>
        <w:keepNext/>
        <w:spacing w:after="80" w:before="120"/>
      </w:pPr>
      <w:r>
        <w:rPr>
          <w:b/>
          <w:bCs/>
          <w:color w:val="4F5E67"/>
          <w:sz w:val="18"/>
          <w:szCs w:val="18"/>
        </w:rPr>
        <w:t xml:space="preserve">Table 2. Approvals (fill in on sign-off)</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3504"/>
        <w:gridCol w:w="2409"/>
        <w:gridCol w:w="2190"/>
        <w:gridCol w:w="1535"/>
      </w:tblGrid>
      <w:tr>
        <w:trPr>
          <w:cantSplit/>
          <w:tblHeader/>
        </w:trPr>
        <w:tc>
          <w:tcPr>
            <w:tcW w:type="dxa" w:w="350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Role</w:t>
            </w:r>
          </w:p>
        </w:tc>
        <w:tc>
          <w:tcPr>
            <w:tcW w:type="dxa" w:w="240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Name</w:t>
            </w:r>
          </w:p>
        </w:tc>
        <w:tc>
          <w:tcPr>
            <w:tcW w:type="dxa" w:w="219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Decision</w:t>
            </w:r>
          </w:p>
        </w:tc>
        <w:tc>
          <w:tcPr>
            <w:tcW w:type="dxa" w:w="153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Date</w:t>
            </w:r>
          </w:p>
        </w:tc>
      </w:tr>
      <w:tr>
        <w:trPr>
          <w:cantSplit/>
          <w:tblHeader w:val="false"/>
        </w:trPr>
        <w:tc>
          <w:tcPr>
            <w:tcW w:type="dxa" w:w="3504"/>
            <w:tcMar>
              <w:top w:type="dxa" w:w="70"/>
              <w:left w:type="dxa" w:w="100"/>
              <w:bottom w:type="dxa" w:w="70"/>
              <w:right w:type="dxa" w:w="100"/>
            </w:tcMar>
            <w:vAlign w:val="top"/>
          </w:tcPr>
          <w:p>
            <w:pPr>
              <w:spacing w:after="0" w:line="252" w:lineRule="auto"/>
            </w:pPr>
            <w:r>
              <w:rPr>
                <w:sz w:val="18"/>
                <w:szCs w:val="18"/>
              </w:rPr>
              <w:t xml:space="preserve">Product owner</w:t>
            </w:r>
          </w:p>
        </w:tc>
        <w:tc>
          <w:tcPr>
            <w:tcW w:type="dxa" w:w="2409"/>
            <w:tcMar>
              <w:top w:type="dxa" w:w="70"/>
              <w:left w:type="dxa" w:w="100"/>
              <w:bottom w:type="dxa" w:w="70"/>
              <w:right w:type="dxa" w:w="100"/>
            </w:tcMar>
            <w:vAlign w:val="top"/>
          </w:tcPr>
          <w:p>
            <w:pPr>
              <w:spacing w:after="0" w:line="252" w:lineRule="auto"/>
            </w:pPr>
          </w:p>
        </w:tc>
        <w:tc>
          <w:tcPr>
            <w:tcW w:type="dxa" w:w="2190"/>
            <w:tcMar>
              <w:top w:type="dxa" w:w="70"/>
              <w:left w:type="dxa" w:w="100"/>
              <w:bottom w:type="dxa" w:w="70"/>
              <w:right w:type="dxa" w:w="100"/>
            </w:tcMar>
            <w:vAlign w:val="top"/>
          </w:tcPr>
          <w:p>
            <w:pPr>
              <w:spacing w:after="0" w:line="252" w:lineRule="auto"/>
            </w:pPr>
          </w:p>
        </w:tc>
        <w:tc>
          <w:tcPr>
            <w:tcW w:type="dxa" w:w="1535"/>
            <w:tcMar>
              <w:top w:type="dxa" w:w="70"/>
              <w:left w:type="dxa" w:w="100"/>
              <w:bottom w:type="dxa" w:w="70"/>
              <w:right w:type="dxa" w:w="100"/>
            </w:tcMar>
            <w:vAlign w:val="top"/>
          </w:tcPr>
          <w:p>
            <w:pPr>
              <w:spacing w:after="0" w:line="252" w:lineRule="auto"/>
            </w:pPr>
          </w:p>
        </w:tc>
      </w:tr>
      <w:tr>
        <w:trPr>
          <w:cantSplit/>
          <w:tblHeader w:val="false"/>
        </w:trPr>
        <w:tc>
          <w:tcPr>
            <w:tcW w:type="dxa" w:w="3504"/>
            <w:tcMar>
              <w:top w:type="dxa" w:w="70"/>
              <w:left w:type="dxa" w:w="100"/>
              <w:bottom w:type="dxa" w:w="70"/>
              <w:right w:type="dxa" w:w="100"/>
            </w:tcMar>
            <w:vAlign w:val="top"/>
          </w:tcPr>
          <w:p>
            <w:pPr>
              <w:spacing w:after="0" w:line="252" w:lineRule="auto"/>
            </w:pPr>
            <w:r>
              <w:rPr>
                <w:sz w:val="18"/>
                <w:szCs w:val="18"/>
              </w:rPr>
              <w:t xml:space="preserve">Head of engineering or architecture lead</w:t>
            </w:r>
          </w:p>
        </w:tc>
        <w:tc>
          <w:tcPr>
            <w:tcW w:type="dxa" w:w="2409"/>
            <w:tcMar>
              <w:top w:type="dxa" w:w="70"/>
              <w:left w:type="dxa" w:w="100"/>
              <w:bottom w:type="dxa" w:w="70"/>
              <w:right w:type="dxa" w:w="100"/>
            </w:tcMar>
            <w:vAlign w:val="top"/>
          </w:tcPr>
          <w:p>
            <w:pPr>
              <w:spacing w:after="0" w:line="252" w:lineRule="auto"/>
            </w:pPr>
          </w:p>
        </w:tc>
        <w:tc>
          <w:tcPr>
            <w:tcW w:type="dxa" w:w="2190"/>
            <w:tcMar>
              <w:top w:type="dxa" w:w="70"/>
              <w:left w:type="dxa" w:w="100"/>
              <w:bottom w:type="dxa" w:w="70"/>
              <w:right w:type="dxa" w:w="100"/>
            </w:tcMar>
            <w:vAlign w:val="top"/>
          </w:tcPr>
          <w:p>
            <w:pPr>
              <w:spacing w:after="0" w:line="252" w:lineRule="auto"/>
            </w:pPr>
          </w:p>
        </w:tc>
        <w:tc>
          <w:tcPr>
            <w:tcW w:type="dxa" w:w="1535"/>
            <w:tcMar>
              <w:top w:type="dxa" w:w="70"/>
              <w:left w:type="dxa" w:w="100"/>
              <w:bottom w:type="dxa" w:w="70"/>
              <w:right w:type="dxa" w:w="100"/>
            </w:tcMar>
            <w:vAlign w:val="top"/>
          </w:tcPr>
          <w:p>
            <w:pPr>
              <w:spacing w:after="0" w:line="252" w:lineRule="auto"/>
            </w:pPr>
          </w:p>
        </w:tc>
      </w:tr>
      <w:tr>
        <w:trPr>
          <w:cantSplit/>
          <w:tblHeader w:val="false"/>
        </w:trPr>
        <w:tc>
          <w:tcPr>
            <w:tcW w:type="dxa" w:w="3504"/>
            <w:tcMar>
              <w:top w:type="dxa" w:w="70"/>
              <w:left w:type="dxa" w:w="100"/>
              <w:bottom w:type="dxa" w:w="70"/>
              <w:right w:type="dxa" w:w="100"/>
            </w:tcMar>
            <w:vAlign w:val="top"/>
          </w:tcPr>
          <w:p>
            <w:pPr>
              <w:spacing w:after="0" w:line="252" w:lineRule="auto"/>
            </w:pPr>
            <w:r>
              <w:rPr>
                <w:sz w:val="18"/>
                <w:szCs w:val="18"/>
              </w:rPr>
              <w:t xml:space="preserve">Security and compliance lead</w:t>
            </w:r>
          </w:p>
        </w:tc>
        <w:tc>
          <w:tcPr>
            <w:tcW w:type="dxa" w:w="2409"/>
            <w:tcMar>
              <w:top w:type="dxa" w:w="70"/>
              <w:left w:type="dxa" w:w="100"/>
              <w:bottom w:type="dxa" w:w="70"/>
              <w:right w:type="dxa" w:w="100"/>
            </w:tcMar>
            <w:vAlign w:val="top"/>
          </w:tcPr>
          <w:p>
            <w:pPr>
              <w:spacing w:after="0" w:line="252" w:lineRule="auto"/>
            </w:pPr>
          </w:p>
        </w:tc>
        <w:tc>
          <w:tcPr>
            <w:tcW w:type="dxa" w:w="2190"/>
            <w:tcMar>
              <w:top w:type="dxa" w:w="70"/>
              <w:left w:type="dxa" w:w="100"/>
              <w:bottom w:type="dxa" w:w="70"/>
              <w:right w:type="dxa" w:w="100"/>
            </w:tcMar>
            <w:vAlign w:val="top"/>
          </w:tcPr>
          <w:p>
            <w:pPr>
              <w:spacing w:after="0" w:line="252" w:lineRule="auto"/>
            </w:pPr>
          </w:p>
        </w:tc>
        <w:tc>
          <w:tcPr>
            <w:tcW w:type="dxa" w:w="1535"/>
            <w:tcMar>
              <w:top w:type="dxa" w:w="70"/>
              <w:left w:type="dxa" w:w="100"/>
              <w:bottom w:type="dxa" w:w="70"/>
              <w:right w:type="dxa" w:w="100"/>
            </w:tcMar>
            <w:vAlign w:val="top"/>
          </w:tcPr>
          <w:p>
            <w:pPr>
              <w:spacing w:after="0" w:line="252" w:lineRule="auto"/>
            </w:pPr>
          </w:p>
        </w:tc>
      </w:tr>
      <w:tr>
        <w:trPr>
          <w:cantSplit/>
          <w:tblHeader w:val="false"/>
        </w:trPr>
        <w:tc>
          <w:tcPr>
            <w:tcW w:type="dxa" w:w="3504"/>
            <w:tcMar>
              <w:top w:type="dxa" w:w="70"/>
              <w:left w:type="dxa" w:w="100"/>
              <w:bottom w:type="dxa" w:w="70"/>
              <w:right w:type="dxa" w:w="100"/>
            </w:tcMar>
            <w:vAlign w:val="top"/>
          </w:tcPr>
          <w:p>
            <w:pPr>
              <w:spacing w:after="0" w:line="252" w:lineRule="auto"/>
            </w:pPr>
            <w:r>
              <w:rPr>
                <w:sz w:val="18"/>
                <w:szCs w:val="18"/>
              </w:rPr>
              <w:t xml:space="preserve">HR business owner (SURAJ Group)</w:t>
            </w:r>
          </w:p>
        </w:tc>
        <w:tc>
          <w:tcPr>
            <w:tcW w:type="dxa" w:w="2409"/>
            <w:tcMar>
              <w:top w:type="dxa" w:w="70"/>
              <w:left w:type="dxa" w:w="100"/>
              <w:bottom w:type="dxa" w:w="70"/>
              <w:right w:type="dxa" w:w="100"/>
            </w:tcMar>
            <w:vAlign w:val="top"/>
          </w:tcPr>
          <w:p>
            <w:pPr>
              <w:spacing w:after="0" w:line="252" w:lineRule="auto"/>
            </w:pPr>
          </w:p>
        </w:tc>
        <w:tc>
          <w:tcPr>
            <w:tcW w:type="dxa" w:w="2190"/>
            <w:tcMar>
              <w:top w:type="dxa" w:w="70"/>
              <w:left w:type="dxa" w:w="100"/>
              <w:bottom w:type="dxa" w:w="70"/>
              <w:right w:type="dxa" w:w="100"/>
            </w:tcMar>
            <w:vAlign w:val="top"/>
          </w:tcPr>
          <w:p>
            <w:pPr>
              <w:spacing w:after="0" w:line="252" w:lineRule="auto"/>
            </w:pPr>
          </w:p>
        </w:tc>
        <w:tc>
          <w:tcPr>
            <w:tcW w:type="dxa" w:w="1535"/>
            <w:tcMar>
              <w:top w:type="dxa" w:w="70"/>
              <w:left w:type="dxa" w:w="100"/>
              <w:bottom w:type="dxa" w:w="70"/>
              <w:right w:type="dxa" w:w="100"/>
            </w:tcMar>
            <w:vAlign w:val="top"/>
          </w:tcPr>
          <w:p>
            <w:pPr>
              <w:spacing w:after="0" w:line="252" w:lineRule="auto"/>
            </w:pPr>
          </w:p>
        </w:tc>
      </w:tr>
      <w:tr>
        <w:trPr>
          <w:cantSplit/>
          <w:tblHeader w:val="false"/>
        </w:trPr>
        <w:tc>
          <w:tcPr>
            <w:tcW w:type="dxa" w:w="3504"/>
            <w:tcMar>
              <w:top w:type="dxa" w:w="70"/>
              <w:left w:type="dxa" w:w="100"/>
              <w:bottom w:type="dxa" w:w="70"/>
              <w:right w:type="dxa" w:w="100"/>
            </w:tcMar>
            <w:vAlign w:val="top"/>
          </w:tcPr>
          <w:p>
            <w:pPr>
              <w:spacing w:after="0" w:line="252" w:lineRule="auto"/>
            </w:pPr>
            <w:r>
              <w:rPr>
                <w:sz w:val="18"/>
                <w:szCs w:val="18"/>
              </w:rPr>
              <w:t xml:space="preserve">Finance (cost, pricing, billing)</w:t>
            </w:r>
          </w:p>
        </w:tc>
        <w:tc>
          <w:tcPr>
            <w:tcW w:type="dxa" w:w="2409"/>
            <w:tcMar>
              <w:top w:type="dxa" w:w="70"/>
              <w:left w:type="dxa" w:w="100"/>
              <w:bottom w:type="dxa" w:w="70"/>
              <w:right w:type="dxa" w:w="100"/>
            </w:tcMar>
            <w:vAlign w:val="top"/>
          </w:tcPr>
          <w:p>
            <w:pPr>
              <w:spacing w:after="0" w:line="252" w:lineRule="auto"/>
            </w:pPr>
          </w:p>
        </w:tc>
        <w:tc>
          <w:tcPr>
            <w:tcW w:type="dxa" w:w="2190"/>
            <w:tcMar>
              <w:top w:type="dxa" w:w="70"/>
              <w:left w:type="dxa" w:w="100"/>
              <w:bottom w:type="dxa" w:w="70"/>
              <w:right w:type="dxa" w:w="100"/>
            </w:tcMar>
            <w:vAlign w:val="top"/>
          </w:tcPr>
          <w:p>
            <w:pPr>
              <w:spacing w:after="0" w:line="252" w:lineRule="auto"/>
            </w:pPr>
          </w:p>
        </w:tc>
        <w:tc>
          <w:tcPr>
            <w:tcW w:type="dxa" w:w="1535"/>
            <w:tcMar>
              <w:top w:type="dxa" w:w="70"/>
              <w:left w:type="dxa" w:w="100"/>
              <w:bottom w:type="dxa" w:w="70"/>
              <w:right w:type="dxa" w:w="100"/>
            </w:tcMar>
            <w:vAlign w:val="top"/>
          </w:tcPr>
          <w:p>
            <w:pPr>
              <w:spacing w:after="0" w:line="252" w:lineRule="auto"/>
            </w:pPr>
          </w:p>
        </w:tc>
      </w:tr>
    </w:tbl>
    <w:p>
      <w:pPr>
        <w:spacing w:after="160"/>
      </w:pPr>
    </w:p>
    <w:p>
      <w:pPr>
        <w:pStyle w:val="Heading2"/>
      </w:pPr>
      <w:bookmarkStart w:id="8002" w:name="_Toc900002"/>
      <w:r>
        <w:t xml:space="preserve">How to use this document</w:t>
      </w:r>
      <w:bookmarkEnd w:id="8002"/>
    </w:p>
    <w:p>
      <w:pPr>
        <w:pStyle w:val="ListParagraph"/>
        <w:numPr>
          <w:ilvl w:val="0"/>
          <w:numId w:val="2"/>
        </w:numPr>
        <w:spacing w:after="60"/>
      </w:pPr>
      <w:r>
        <w:rPr>
          <w:b/>
          <w:bCs/>
        </w:rPr>
        <w:t xml:space="preserve">Sections 1 and 14</w:t>
      </w:r>
      <w:r>
        <w:t xml:space="preserve"> give the decisions and the technology stack. Read these first.</w:t>
      </w:r>
    </w:p>
    <w:p>
      <w:pPr>
        <w:pStyle w:val="ListParagraph"/>
        <w:numPr>
          <w:ilvl w:val="0"/>
          <w:numId w:val="2"/>
        </w:numPr>
        <w:spacing w:after="60"/>
      </w:pPr>
      <w:r>
        <w:rPr>
          <w:b/>
          <w:bCs/>
        </w:rPr>
        <w:t xml:space="preserve">Sections 2 to 13</w:t>
      </w:r>
      <w:r>
        <w:t xml:space="preserve"> are the design: requirements, capability map, architecture, data, identity, workflows, integrations, the API product and infrastructure.</w:t>
      </w:r>
    </w:p>
    <w:p>
      <w:pPr>
        <w:pStyle w:val="ListParagraph"/>
        <w:numPr>
          <w:ilvl w:val="0"/>
          <w:numId w:val="2"/>
        </w:numPr>
        <w:spacing w:after="60"/>
      </w:pPr>
      <w:r>
        <w:rPr>
          <w:b/>
          <w:bCs/>
        </w:rPr>
        <w:t xml:space="preserve">Sections 15 and 16</w:t>
      </w:r>
      <w:r>
        <w:t xml:space="preserve"> are the delivery plan, proofs of concept, open decisions and risks.</w:t>
      </w:r>
    </w:p>
    <w:p>
      <w:pPr>
        <w:pStyle w:val="ListParagraph"/>
        <w:numPr>
          <w:ilvl w:val="0"/>
          <w:numId w:val="2"/>
        </w:numPr>
        <w:spacing w:after="60"/>
      </w:pPr>
      <w:r>
        <w:t xml:space="preserve">References such as </w:t>
      </w:r>
      <w:r>
        <w:rPr>
          <w:b/>
          <w:bCs/>
        </w:rPr>
        <w:t xml:space="preserve">§12</w:t>
      </w:r>
      <w:r>
        <w:t xml:space="preserve"> point to sections of the requirements document. </w:t>
      </w:r>
      <w:r>
        <w:rPr>
          <w:b/>
          <w:bCs/>
        </w:rPr>
        <w:t xml:space="preserve">Recommended</w:t>
      </w:r>
      <w:r>
        <w:t xml:space="preserve"> marks a decision awaiting approval. </w:t>
      </w:r>
      <w:r>
        <w:rPr>
          <w:b/>
          <w:bCs/>
        </w:rPr>
        <w:t xml:space="preserve">Proposed</w:t>
      </w:r>
      <w:r>
        <w:t xml:space="preserve"> marks a target to confirm.</w:t>
      </w:r>
    </w:p>
    <w:p>
      <w:pPr>
        <w:pStyle w:val="ListParagraph"/>
        <w:numPr>
          <w:ilvl w:val="0"/>
          <w:numId w:val="2"/>
        </w:numPr>
        <w:spacing w:after="60"/>
      </w:pPr>
      <w:r>
        <w:t xml:space="preserve">Legal and statutory statements are guidance, not legal advice. Confirm them with counsel and the compliance owner.</w:t>
      </w:r>
    </w:p>
    <w:p>
      <w:pPr>
        <w:spacing w:after="120" w:before="300"/>
      </w:pPr>
      <w:r>
        <w:rPr>
          <w:b/>
          <w:bCs/>
          <w:color w:val="16222A"/>
          <w:sz w:val="26"/>
          <w:szCs w:val="26"/>
        </w:rPr>
        <w:t xml:space="preserve">Contents</w:t>
      </w:r>
    </w:p>
    <w:sdt>
      <w:sdtPr>
        <w:alias w:val="Contents"/>
      </w:sdtPr>
      <w:sdtContent>
        <w:p>
          <w:pPr>
            <w:tabs>
              <w:tab w:val="right" w:leader="dot" w:pos="9638"/>
            </w:tabs>
            <w:spacing w:before="80" w:after="30"/>
          </w:pPr>
          <w:r>
            <w:fldChar w:fldCharType="begin" w:dirty="true"/>
          </w:r>
          <w:r>
            <w:instrText xml:space="preserve">TOC \h \o "1-2"</w:instrText>
          </w:r>
          <w:r>
            <w:fldChar w:fldCharType="separate"/>
          </w:r>
          <w:hyperlink w:anchor="_Toc900001" w:history="1">
            <w:r>
              <w:rPr>
                <w:b/>
                <w:bCs/>
                <w:sz w:val="20"/>
                <w:szCs w:val="20"/>
              </w:rPr>
              <w:t xml:space="preserve">Document control</w:t>
            </w:r>
            <w:r>
              <w:rPr>
                <w:b/>
                <w:bCs/>
                <w:sz w:val="20"/>
                <w:szCs w:val="20"/>
              </w:rPr>
              <w:tab/>
            </w:r>
            <w:r>
              <w:rPr>
                <w:b/>
                <w:bCs/>
                <w:sz w:val="20"/>
                <w:szCs w:val="20"/>
              </w:rPr>
              <w:t>2</w:t>
            </w:r>
          </w:hyperlink>
        </w:p>
        <w:p>
          <w:pPr>
            <w:tabs>
              <w:tab w:val="right" w:leader="dot" w:pos="9638"/>
            </w:tabs>
            <w:spacing w:before="0" w:after="30"/>
            <w:ind w:left="360"/>
          </w:pPr>
          <w:hyperlink w:anchor="_Toc900002" w:history="1">
            <w:r>
              <w:rPr>
                <w:sz w:val="20"/>
                <w:szCs w:val="20"/>
              </w:rPr>
              <w:t xml:space="preserve">How to use this document</w:t>
            </w:r>
            <w:r>
              <w:rPr>
                <w:sz w:val="20"/>
                <w:szCs w:val="20"/>
              </w:rPr>
              <w:tab/>
            </w:r>
            <w:r>
              <w:rPr>
                <w:sz w:val="20"/>
                <w:szCs w:val="20"/>
              </w:rPr>
              <w:t>2</w:t>
            </w:r>
          </w:hyperlink>
        </w:p>
        <w:p>
          <w:pPr>
            <w:tabs>
              <w:tab w:val="right" w:leader="dot" w:pos="9638"/>
            </w:tabs>
            <w:spacing w:before="80" w:after="30"/>
          </w:pPr>
          <w:hyperlink w:anchor="_Toc900003" w:history="1">
            <w:r>
              <w:rPr>
                <w:b/>
                <w:bCs/>
                <w:sz w:val="20"/>
                <w:szCs w:val="20"/>
              </w:rPr>
              <w:t xml:space="preserve">1. Executive summary</w:t>
            </w:r>
            <w:r>
              <w:rPr>
                <w:b/>
                <w:bCs/>
                <w:sz w:val="20"/>
                <w:szCs w:val="20"/>
              </w:rPr>
              <w:tab/>
            </w:r>
            <w:r>
              <w:rPr>
                <w:b/>
                <w:bCs/>
                <w:sz w:val="20"/>
                <w:szCs w:val="20"/>
              </w:rPr>
              <w:t>5</w:t>
            </w:r>
          </w:hyperlink>
        </w:p>
        <w:p>
          <w:pPr>
            <w:tabs>
              <w:tab w:val="right" w:leader="dot" w:pos="9638"/>
            </w:tabs>
            <w:spacing w:before="0" w:after="30"/>
            <w:ind w:left="360"/>
          </w:pPr>
          <w:hyperlink w:anchor="_Toc900004" w:history="1">
            <w:r>
              <w:rPr>
                <w:sz w:val="20"/>
                <w:szCs w:val="20"/>
              </w:rPr>
              <w:t xml:space="preserve">1.1 What we are building</w:t>
            </w:r>
            <w:r>
              <w:rPr>
                <w:sz w:val="20"/>
                <w:szCs w:val="20"/>
              </w:rPr>
              <w:tab/>
            </w:r>
            <w:r>
              <w:rPr>
                <w:sz w:val="20"/>
                <w:szCs w:val="20"/>
              </w:rPr>
              <w:t>5</w:t>
            </w:r>
          </w:hyperlink>
        </w:p>
        <w:p>
          <w:pPr>
            <w:tabs>
              <w:tab w:val="right" w:leader="dot" w:pos="9638"/>
            </w:tabs>
            <w:spacing w:before="0" w:after="30"/>
            <w:ind w:left="360"/>
          </w:pPr>
          <w:hyperlink w:anchor="_Toc900005" w:history="1">
            <w:r>
              <w:rPr>
                <w:sz w:val="20"/>
                <w:szCs w:val="20"/>
              </w:rPr>
              <w:t xml:space="preserve">1.2 Design principles</w:t>
            </w:r>
            <w:r>
              <w:rPr>
                <w:sz w:val="20"/>
                <w:szCs w:val="20"/>
              </w:rPr>
              <w:tab/>
            </w:r>
            <w:r>
              <w:rPr>
                <w:sz w:val="20"/>
                <w:szCs w:val="20"/>
              </w:rPr>
              <w:t>5</w:t>
            </w:r>
          </w:hyperlink>
        </w:p>
        <w:p>
          <w:pPr>
            <w:tabs>
              <w:tab w:val="right" w:leader="dot" w:pos="9638"/>
            </w:tabs>
            <w:spacing w:before="0" w:after="30"/>
            <w:ind w:left="360"/>
          </w:pPr>
          <w:hyperlink w:anchor="_Toc900006" w:history="1">
            <w:r>
              <w:rPr>
                <w:sz w:val="20"/>
                <w:szCs w:val="20"/>
              </w:rPr>
              <w:t xml:space="preserve">1.3 Key decisions</w:t>
            </w:r>
            <w:r>
              <w:rPr>
                <w:sz w:val="20"/>
                <w:szCs w:val="20"/>
              </w:rPr>
              <w:tab/>
            </w:r>
            <w:r>
              <w:rPr>
                <w:sz w:val="20"/>
                <w:szCs w:val="20"/>
              </w:rPr>
              <w:t>5</w:t>
            </w:r>
          </w:hyperlink>
        </w:p>
        <w:p>
          <w:pPr>
            <w:tabs>
              <w:tab w:val="right" w:leader="dot" w:pos="9638"/>
            </w:tabs>
            <w:spacing w:before="0" w:after="30"/>
            <w:ind w:left="360"/>
          </w:pPr>
          <w:hyperlink w:anchor="_Toc900007" w:history="1">
            <w:r>
              <w:rPr>
                <w:sz w:val="20"/>
                <w:szCs w:val="20"/>
              </w:rPr>
              <w:t xml:space="preserve">1.4 Technology stack at a glance</w:t>
            </w:r>
            <w:r>
              <w:rPr>
                <w:sz w:val="20"/>
                <w:szCs w:val="20"/>
              </w:rPr>
              <w:tab/>
            </w:r>
            <w:r>
              <w:rPr>
                <w:sz w:val="20"/>
                <w:szCs w:val="20"/>
              </w:rPr>
              <w:t>6</w:t>
            </w:r>
          </w:hyperlink>
        </w:p>
        <w:p>
          <w:pPr>
            <w:tabs>
              <w:tab w:val="right" w:leader="dot" w:pos="9638"/>
            </w:tabs>
            <w:spacing w:before="0" w:after="30"/>
            <w:ind w:left="360"/>
          </w:pPr>
          <w:hyperlink w:anchor="_Toc900008" w:history="1">
            <w:r>
              <w:rPr>
                <w:sz w:val="20"/>
                <w:szCs w:val="20"/>
              </w:rPr>
              <w:t xml:space="preserve">1.5 What changed after the design review</w:t>
            </w:r>
            <w:r>
              <w:rPr>
                <w:sz w:val="20"/>
                <w:szCs w:val="20"/>
              </w:rPr>
              <w:tab/>
            </w:r>
            <w:r>
              <w:rPr>
                <w:sz w:val="20"/>
                <w:szCs w:val="20"/>
              </w:rPr>
              <w:t>7</w:t>
            </w:r>
          </w:hyperlink>
        </w:p>
        <w:p>
          <w:pPr>
            <w:tabs>
              <w:tab w:val="right" w:leader="dot" w:pos="9638"/>
            </w:tabs>
            <w:spacing w:before="80" w:after="30"/>
          </w:pPr>
          <w:hyperlink w:anchor="_Toc900009" w:history="1">
            <w:r>
              <w:rPr>
                <w:b/>
                <w:bCs/>
                <w:sz w:val="20"/>
                <w:szCs w:val="20"/>
              </w:rPr>
              <w:t xml:space="preserve">2. Scope and requirements</w:t>
            </w:r>
            <w:r>
              <w:rPr>
                <w:b/>
                <w:bCs/>
                <w:sz w:val="20"/>
                <w:szCs w:val="20"/>
              </w:rPr>
              <w:tab/>
            </w:r>
            <w:r>
              <w:rPr>
                <w:b/>
                <w:bCs/>
                <w:sz w:val="20"/>
                <w:szCs w:val="20"/>
              </w:rPr>
              <w:t>8</w:t>
            </w:r>
          </w:hyperlink>
        </w:p>
        <w:p>
          <w:pPr>
            <w:tabs>
              <w:tab w:val="right" w:leader="dot" w:pos="9638"/>
            </w:tabs>
            <w:spacing w:before="0" w:after="30"/>
            <w:ind w:left="360"/>
          </w:pPr>
          <w:hyperlink w:anchor="_Toc900010" w:history="1">
            <w:r>
              <w:rPr>
                <w:sz w:val="20"/>
                <w:szCs w:val="20"/>
              </w:rPr>
              <w:t xml:space="preserve">2.1 Goals and non-goals</w:t>
            </w:r>
            <w:r>
              <w:rPr>
                <w:sz w:val="20"/>
                <w:szCs w:val="20"/>
              </w:rPr>
              <w:tab/>
            </w:r>
            <w:r>
              <w:rPr>
                <w:sz w:val="20"/>
                <w:szCs w:val="20"/>
              </w:rPr>
              <w:t>8</w:t>
            </w:r>
          </w:hyperlink>
        </w:p>
        <w:p>
          <w:pPr>
            <w:tabs>
              <w:tab w:val="right" w:leader="dot" w:pos="9638"/>
            </w:tabs>
            <w:spacing w:before="0" w:after="30"/>
            <w:ind w:left="360"/>
          </w:pPr>
          <w:hyperlink w:anchor="_Toc900011" w:history="1">
            <w:r>
              <w:rPr>
                <w:sz w:val="20"/>
                <w:szCs w:val="20"/>
              </w:rPr>
              <w:t xml:space="preserve">2.2 Product surfaces</w:t>
            </w:r>
            <w:r>
              <w:rPr>
                <w:sz w:val="20"/>
                <w:szCs w:val="20"/>
              </w:rPr>
              <w:tab/>
            </w:r>
            <w:r>
              <w:rPr>
                <w:sz w:val="20"/>
                <w:szCs w:val="20"/>
              </w:rPr>
              <w:t>8</w:t>
            </w:r>
          </w:hyperlink>
        </w:p>
        <w:p>
          <w:pPr>
            <w:tabs>
              <w:tab w:val="right" w:leader="dot" w:pos="9638"/>
            </w:tabs>
            <w:spacing w:before="0" w:after="30"/>
            <w:ind w:left="360"/>
          </w:pPr>
          <w:hyperlink w:anchor="_Toc900012" w:history="1">
            <w:r>
              <w:rPr>
                <w:sz w:val="20"/>
                <w:szCs w:val="20"/>
              </w:rPr>
              <w:t xml:space="preserve">2.3 System context</w:t>
            </w:r>
            <w:r>
              <w:rPr>
                <w:sz w:val="20"/>
                <w:szCs w:val="20"/>
              </w:rPr>
              <w:tab/>
            </w:r>
            <w:r>
              <w:rPr>
                <w:sz w:val="20"/>
                <w:szCs w:val="20"/>
              </w:rPr>
              <w:t>9</w:t>
            </w:r>
          </w:hyperlink>
        </w:p>
        <w:p>
          <w:pPr>
            <w:tabs>
              <w:tab w:val="right" w:leader="dot" w:pos="9638"/>
            </w:tabs>
            <w:spacing w:before="0" w:after="30"/>
            <w:ind w:left="360"/>
          </w:pPr>
          <w:hyperlink w:anchor="_Toc900013" w:history="1">
            <w:r>
              <w:rPr>
                <w:sz w:val="20"/>
                <w:szCs w:val="20"/>
              </w:rPr>
              <w:t xml:space="preserve">2.4 Non-functional requirements (proposed targets)</w:t>
            </w:r>
            <w:r>
              <w:rPr>
                <w:sz w:val="20"/>
                <w:szCs w:val="20"/>
              </w:rPr>
              <w:tab/>
            </w:r>
            <w:r>
              <w:rPr>
                <w:sz w:val="20"/>
                <w:szCs w:val="20"/>
              </w:rPr>
              <w:t>9</w:t>
            </w:r>
          </w:hyperlink>
        </w:p>
        <w:p>
          <w:pPr>
            <w:tabs>
              <w:tab w:val="right" w:leader="dot" w:pos="9638"/>
            </w:tabs>
            <w:spacing w:before="80" w:after="30"/>
          </w:pPr>
          <w:hyperlink w:anchor="_Toc900014" w:history="1">
            <w:r>
              <w:rPr>
                <w:b/>
                <w:bCs/>
                <w:sz w:val="20"/>
                <w:szCs w:val="20"/>
              </w:rPr>
              <w:t xml:space="preserve">3. Capability map</w:t>
            </w:r>
            <w:r>
              <w:rPr>
                <w:b/>
                <w:bCs/>
                <w:sz w:val="20"/>
                <w:szCs w:val="20"/>
              </w:rPr>
              <w:tab/>
            </w:r>
            <w:r>
              <w:rPr>
                <w:b/>
                <w:bCs/>
                <w:sz w:val="20"/>
                <w:szCs w:val="20"/>
              </w:rPr>
              <w:t>11</w:t>
            </w:r>
          </w:hyperlink>
        </w:p>
        <w:p>
          <w:pPr>
            <w:tabs>
              <w:tab w:val="right" w:leader="dot" w:pos="9638"/>
            </w:tabs>
            <w:spacing w:before="80" w:after="30"/>
          </w:pPr>
          <w:hyperlink w:anchor="_Toc900015" w:history="1">
            <w:r>
              <w:rPr>
                <w:b/>
                <w:bCs/>
                <w:sz w:val="20"/>
                <w:szCs w:val="20"/>
              </w:rPr>
              <w:t xml:space="preserve">4. Architecture overview</w:t>
            </w:r>
            <w:r>
              <w:rPr>
                <w:b/>
                <w:bCs/>
                <w:sz w:val="20"/>
                <w:szCs w:val="20"/>
              </w:rPr>
              <w:tab/>
            </w:r>
            <w:r>
              <w:rPr>
                <w:b/>
                <w:bCs/>
                <w:sz w:val="20"/>
                <w:szCs w:val="20"/>
              </w:rPr>
              <w:t>13</w:t>
            </w:r>
          </w:hyperlink>
        </w:p>
        <w:p>
          <w:pPr>
            <w:tabs>
              <w:tab w:val="right" w:leader="dot" w:pos="9638"/>
            </w:tabs>
            <w:spacing w:before="0" w:after="30"/>
            <w:ind w:left="360"/>
          </w:pPr>
          <w:hyperlink w:anchor="_Toc900016" w:history="1">
            <w:r>
              <w:rPr>
                <w:sz w:val="20"/>
                <w:szCs w:val="20"/>
              </w:rPr>
              <w:t xml:space="preserve">4.1 Launch architecture</w:t>
            </w:r>
            <w:r>
              <w:rPr>
                <w:sz w:val="20"/>
                <w:szCs w:val="20"/>
              </w:rPr>
              <w:tab/>
            </w:r>
            <w:r>
              <w:rPr>
                <w:sz w:val="20"/>
                <w:szCs w:val="20"/>
              </w:rPr>
              <w:t>13</w:t>
            </w:r>
          </w:hyperlink>
        </w:p>
        <w:p>
          <w:pPr>
            <w:tabs>
              <w:tab w:val="right" w:leader="dot" w:pos="9638"/>
            </w:tabs>
            <w:spacing w:before="0" w:after="30"/>
            <w:ind w:left="360"/>
          </w:pPr>
          <w:hyperlink w:anchor="_Toc900017" w:history="1">
            <w:r>
              <w:rPr>
                <w:sz w:val="20"/>
                <w:szCs w:val="20"/>
              </w:rPr>
              <w:t xml:space="preserve">4.2 Target architecture</w:t>
            </w:r>
            <w:r>
              <w:rPr>
                <w:sz w:val="20"/>
                <w:szCs w:val="20"/>
              </w:rPr>
              <w:tab/>
            </w:r>
            <w:r>
              <w:rPr>
                <w:sz w:val="20"/>
                <w:szCs w:val="20"/>
              </w:rPr>
              <w:t>14</w:t>
            </w:r>
          </w:hyperlink>
        </w:p>
        <w:p>
          <w:pPr>
            <w:tabs>
              <w:tab w:val="right" w:leader="dot" w:pos="9638"/>
            </w:tabs>
            <w:spacing w:before="0" w:after="30"/>
            <w:ind w:left="360"/>
          </w:pPr>
          <w:hyperlink w:anchor="_Toc900018" w:history="1">
            <w:r>
              <w:rPr>
                <w:sz w:val="20"/>
                <w:szCs w:val="20"/>
              </w:rPr>
              <w:t xml:space="preserve">4.3 Growth triggers</w:t>
            </w:r>
            <w:r>
              <w:rPr>
                <w:sz w:val="20"/>
                <w:szCs w:val="20"/>
              </w:rPr>
              <w:tab/>
            </w:r>
            <w:r>
              <w:rPr>
                <w:sz w:val="20"/>
                <w:szCs w:val="20"/>
              </w:rPr>
              <w:t>15</w:t>
            </w:r>
          </w:hyperlink>
        </w:p>
        <w:p>
          <w:pPr>
            <w:tabs>
              <w:tab w:val="right" w:leader="dot" w:pos="9638"/>
            </w:tabs>
            <w:spacing w:before="80" w:after="30"/>
          </w:pPr>
          <w:hyperlink w:anchor="_Toc900019" w:history="1">
            <w:r>
              <w:rPr>
                <w:b/>
                <w:bCs/>
                <w:sz w:val="20"/>
                <w:szCs w:val="20"/>
              </w:rPr>
              <w:t xml:space="preserve">5. Tenancy and isolation</w:t>
            </w:r>
            <w:r>
              <w:rPr>
                <w:b/>
                <w:bCs/>
                <w:sz w:val="20"/>
                <w:szCs w:val="20"/>
              </w:rPr>
              <w:tab/>
            </w:r>
            <w:r>
              <w:rPr>
                <w:b/>
                <w:bCs/>
                <w:sz w:val="20"/>
                <w:szCs w:val="20"/>
              </w:rPr>
              <w:t>16</w:t>
            </w:r>
          </w:hyperlink>
        </w:p>
        <w:p>
          <w:pPr>
            <w:tabs>
              <w:tab w:val="right" w:leader="dot" w:pos="9638"/>
            </w:tabs>
            <w:spacing w:before="0" w:after="30"/>
            <w:ind w:left="360"/>
          </w:pPr>
          <w:hyperlink w:anchor="_Toc900020" w:history="1">
            <w:r>
              <w:rPr>
                <w:sz w:val="20"/>
                <w:szCs w:val="20"/>
              </w:rPr>
              <w:t xml:space="preserve">5.1 Isolation rules</w:t>
            </w:r>
            <w:r>
              <w:rPr>
                <w:sz w:val="20"/>
                <w:szCs w:val="20"/>
              </w:rPr>
              <w:tab/>
            </w:r>
            <w:r>
              <w:rPr>
                <w:sz w:val="20"/>
                <w:szCs w:val="20"/>
              </w:rPr>
              <w:t>16</w:t>
            </w:r>
          </w:hyperlink>
        </w:p>
        <w:p>
          <w:pPr>
            <w:tabs>
              <w:tab w:val="right" w:leader="dot" w:pos="9638"/>
            </w:tabs>
            <w:spacing w:before="80" w:after="30"/>
          </w:pPr>
          <w:hyperlink w:anchor="_Toc900021" w:history="1">
            <w:r>
              <w:rPr>
                <w:b/>
                <w:bCs/>
                <w:sz w:val="20"/>
                <w:szCs w:val="20"/>
              </w:rPr>
              <w:t xml:space="preserve">6. Application architecture</w:t>
            </w:r>
            <w:r>
              <w:rPr>
                <w:b/>
                <w:bCs/>
                <w:sz w:val="20"/>
                <w:szCs w:val="20"/>
              </w:rPr>
              <w:tab/>
            </w:r>
            <w:r>
              <w:rPr>
                <w:b/>
                <w:bCs/>
                <w:sz w:val="20"/>
                <w:szCs w:val="20"/>
              </w:rPr>
              <w:t>18</w:t>
            </w:r>
          </w:hyperlink>
        </w:p>
        <w:p>
          <w:pPr>
            <w:tabs>
              <w:tab w:val="right" w:leader="dot" w:pos="9638"/>
            </w:tabs>
            <w:spacing w:before="80" w:after="30"/>
          </w:pPr>
          <w:hyperlink w:anchor="_Toc900022" w:history="1">
            <w:r>
              <w:rPr>
                <w:b/>
                <w:bCs/>
                <w:sz w:val="20"/>
                <w:szCs w:val="20"/>
              </w:rPr>
              <w:t xml:space="preserve">7. Data architecture</w:t>
            </w:r>
            <w:r>
              <w:rPr>
                <w:b/>
                <w:bCs/>
                <w:sz w:val="20"/>
                <w:szCs w:val="20"/>
              </w:rPr>
              <w:tab/>
            </w:r>
            <w:r>
              <w:rPr>
                <w:b/>
                <w:bCs/>
                <w:sz w:val="20"/>
                <w:szCs w:val="20"/>
              </w:rPr>
              <w:t>19</w:t>
            </w:r>
          </w:hyperlink>
        </w:p>
        <w:p>
          <w:pPr>
            <w:tabs>
              <w:tab w:val="right" w:leader="dot" w:pos="9638"/>
            </w:tabs>
            <w:spacing w:before="0" w:after="30"/>
            <w:ind w:left="360"/>
          </w:pPr>
          <w:hyperlink w:anchor="_Toc900023" w:history="1">
            <w:r>
              <w:rPr>
                <w:sz w:val="20"/>
                <w:szCs w:val="20"/>
              </w:rPr>
              <w:t xml:space="preserve">7.1 Worker, employment and assignment</w:t>
            </w:r>
            <w:r>
              <w:rPr>
                <w:sz w:val="20"/>
                <w:szCs w:val="20"/>
              </w:rPr>
              <w:tab/>
            </w:r>
            <w:r>
              <w:rPr>
                <w:sz w:val="20"/>
                <w:szCs w:val="20"/>
              </w:rPr>
              <w:t>19</w:t>
            </w:r>
          </w:hyperlink>
        </w:p>
        <w:p>
          <w:pPr>
            <w:tabs>
              <w:tab w:val="right" w:leader="dot" w:pos="9638"/>
            </w:tabs>
            <w:spacing w:before="0" w:after="30"/>
            <w:ind w:left="360"/>
          </w:pPr>
          <w:hyperlink w:anchor="_Toc900024" w:history="1">
            <w:r>
              <w:rPr>
                <w:sz w:val="20"/>
                <w:szCs w:val="20"/>
              </w:rPr>
              <w:t xml:space="preserve">7.2 Core data model</w:t>
            </w:r>
            <w:r>
              <w:rPr>
                <w:sz w:val="20"/>
                <w:szCs w:val="20"/>
              </w:rPr>
              <w:tab/>
            </w:r>
            <w:r>
              <w:rPr>
                <w:sz w:val="20"/>
                <w:szCs w:val="20"/>
              </w:rPr>
              <w:t>20</w:t>
            </w:r>
          </w:hyperlink>
        </w:p>
        <w:p>
          <w:pPr>
            <w:tabs>
              <w:tab w:val="right" w:leader="dot" w:pos="9638"/>
            </w:tabs>
            <w:spacing w:before="0" w:after="30"/>
            <w:ind w:left="360"/>
          </w:pPr>
          <w:hyperlink w:anchor="_Toc900025" w:history="1">
            <w:r>
              <w:rPr>
                <w:sz w:val="20"/>
                <w:szCs w:val="20"/>
              </w:rPr>
              <w:t xml:space="preserve">7.3 Effective dating and history</w:t>
            </w:r>
            <w:r>
              <w:rPr>
                <w:sz w:val="20"/>
                <w:szCs w:val="20"/>
              </w:rPr>
              <w:tab/>
            </w:r>
            <w:r>
              <w:rPr>
                <w:sz w:val="20"/>
                <w:szCs w:val="20"/>
              </w:rPr>
              <w:t>21</w:t>
            </w:r>
          </w:hyperlink>
        </w:p>
        <w:p>
          <w:pPr>
            <w:tabs>
              <w:tab w:val="right" w:leader="dot" w:pos="9638"/>
            </w:tabs>
            <w:spacing w:before="0" w:after="30"/>
            <w:ind w:left="360"/>
          </w:pPr>
          <w:hyperlink w:anchor="_Toc900026" w:history="1">
            <w:r>
              <w:rPr>
                <w:sz w:val="20"/>
                <w:szCs w:val="20"/>
              </w:rPr>
              <w:t xml:space="preserve">7.4 Sensitive data</w:t>
            </w:r>
            <w:r>
              <w:rPr>
                <w:sz w:val="20"/>
                <w:szCs w:val="20"/>
              </w:rPr>
              <w:tab/>
            </w:r>
            <w:r>
              <w:rPr>
                <w:sz w:val="20"/>
                <w:szCs w:val="20"/>
              </w:rPr>
              <w:t>21</w:t>
            </w:r>
          </w:hyperlink>
        </w:p>
        <w:p>
          <w:pPr>
            <w:tabs>
              <w:tab w:val="right" w:leader="dot" w:pos="9638"/>
            </w:tabs>
            <w:spacing w:before="0" w:after="30"/>
            <w:ind w:left="360"/>
          </w:pPr>
          <w:hyperlink w:anchor="_Toc900027" w:history="1">
            <w:r>
              <w:rPr>
                <w:sz w:val="20"/>
                <w:szCs w:val="20"/>
              </w:rPr>
              <w:t xml:space="preserve">7.5 Audit</w:t>
            </w:r>
            <w:r>
              <w:rPr>
                <w:sz w:val="20"/>
                <w:szCs w:val="20"/>
              </w:rPr>
              <w:tab/>
            </w:r>
            <w:r>
              <w:rPr>
                <w:sz w:val="20"/>
                <w:szCs w:val="20"/>
              </w:rPr>
              <w:t>21</w:t>
            </w:r>
          </w:hyperlink>
        </w:p>
        <w:p>
          <w:pPr>
            <w:tabs>
              <w:tab w:val="right" w:leader="dot" w:pos="9638"/>
            </w:tabs>
            <w:spacing w:before="0" w:after="30"/>
            <w:ind w:left="360"/>
          </w:pPr>
          <w:hyperlink w:anchor="_Toc900028" w:history="1">
            <w:r>
              <w:rPr>
                <w:sz w:val="20"/>
                <w:szCs w:val="20"/>
              </w:rPr>
              <w:t xml:space="preserve">7.6 Stores and retention</w:t>
            </w:r>
            <w:r>
              <w:rPr>
                <w:sz w:val="20"/>
                <w:szCs w:val="20"/>
              </w:rPr>
              <w:tab/>
            </w:r>
            <w:r>
              <w:rPr>
                <w:sz w:val="20"/>
                <w:szCs w:val="20"/>
              </w:rPr>
              <w:t>21</w:t>
            </w:r>
          </w:hyperlink>
        </w:p>
        <w:p>
          <w:pPr>
            <w:tabs>
              <w:tab w:val="right" w:leader="dot" w:pos="9638"/>
            </w:tabs>
            <w:spacing w:before="80" w:after="30"/>
          </w:pPr>
          <w:hyperlink w:anchor="_Toc900029" w:history="1">
            <w:r>
              <w:rPr>
                <w:b/>
                <w:bCs/>
                <w:sz w:val="20"/>
                <w:szCs w:val="20"/>
              </w:rPr>
              <w:t xml:space="preserve">8. Master data ownership and integration mode</w:t>
            </w:r>
            <w:r>
              <w:rPr>
                <w:b/>
                <w:bCs/>
                <w:sz w:val="20"/>
                <w:szCs w:val="20"/>
              </w:rPr>
              <w:tab/>
            </w:r>
            <w:r>
              <w:rPr>
                <w:b/>
                <w:bCs/>
                <w:sz w:val="20"/>
                <w:szCs w:val="20"/>
              </w:rPr>
              <w:t>23</w:t>
            </w:r>
          </w:hyperlink>
        </w:p>
        <w:p>
          <w:pPr>
            <w:tabs>
              <w:tab w:val="right" w:leader="dot" w:pos="9638"/>
            </w:tabs>
            <w:spacing w:before="80" w:after="30"/>
          </w:pPr>
          <w:hyperlink w:anchor="_Toc900030" w:history="1">
            <w:r>
              <w:rPr>
                <w:b/>
                <w:bCs/>
                <w:sz w:val="20"/>
                <w:szCs w:val="20"/>
              </w:rPr>
              <w:t xml:space="preserve">9. Identity and access</w:t>
            </w:r>
            <w:r>
              <w:rPr>
                <w:b/>
                <w:bCs/>
                <w:sz w:val="20"/>
                <w:szCs w:val="20"/>
              </w:rPr>
              <w:tab/>
            </w:r>
            <w:r>
              <w:rPr>
                <w:b/>
                <w:bCs/>
                <w:sz w:val="20"/>
                <w:szCs w:val="20"/>
              </w:rPr>
              <w:t>24</w:t>
            </w:r>
          </w:hyperlink>
        </w:p>
        <w:p>
          <w:pPr>
            <w:tabs>
              <w:tab w:val="right" w:leader="dot" w:pos="9638"/>
            </w:tabs>
            <w:spacing w:before="0" w:after="30"/>
            <w:ind w:left="360"/>
          </w:pPr>
          <w:hyperlink w:anchor="_Toc900031" w:history="1">
            <w:r>
              <w:rPr>
                <w:sz w:val="20"/>
                <w:szCs w:val="20"/>
              </w:rPr>
              <w:t xml:space="preserve">9.1 Sign-in</w:t>
            </w:r>
            <w:r>
              <w:rPr>
                <w:sz w:val="20"/>
                <w:szCs w:val="20"/>
              </w:rPr>
              <w:tab/>
            </w:r>
            <w:r>
              <w:rPr>
                <w:sz w:val="20"/>
                <w:szCs w:val="20"/>
              </w:rPr>
              <w:t>24</w:t>
            </w:r>
          </w:hyperlink>
        </w:p>
        <w:p>
          <w:pPr>
            <w:tabs>
              <w:tab w:val="right" w:leader="dot" w:pos="9638"/>
            </w:tabs>
            <w:spacing w:before="0" w:after="30"/>
            <w:ind w:left="360"/>
          </w:pPr>
          <w:hyperlink w:anchor="_Toc900032" w:history="1">
            <w:r>
              <w:rPr>
                <w:sz w:val="20"/>
                <w:szCs w:val="20"/>
              </w:rPr>
              <w:t xml:space="preserve">9.2 What Keycloak does, and what we build</w:t>
            </w:r>
            <w:r>
              <w:rPr>
                <w:sz w:val="20"/>
                <w:szCs w:val="20"/>
              </w:rPr>
              <w:tab/>
            </w:r>
            <w:r>
              <w:rPr>
                <w:sz w:val="20"/>
                <w:szCs w:val="20"/>
              </w:rPr>
              <w:t>24</w:t>
            </w:r>
          </w:hyperlink>
        </w:p>
        <w:p>
          <w:pPr>
            <w:tabs>
              <w:tab w:val="right" w:leader="dot" w:pos="9638"/>
            </w:tabs>
            <w:spacing w:before="0" w:after="30"/>
            <w:ind w:left="360"/>
          </w:pPr>
          <w:hyperlink w:anchor="_Toc900033" w:history="1">
            <w:r>
              <w:rPr>
                <w:sz w:val="20"/>
                <w:szCs w:val="20"/>
              </w:rPr>
              <w:t xml:space="preserve">9.3 Authorization</w:t>
            </w:r>
            <w:r>
              <w:rPr>
                <w:sz w:val="20"/>
                <w:szCs w:val="20"/>
              </w:rPr>
              <w:tab/>
            </w:r>
            <w:r>
              <w:rPr>
                <w:sz w:val="20"/>
                <w:szCs w:val="20"/>
              </w:rPr>
              <w:t>25</w:t>
            </w:r>
          </w:hyperlink>
        </w:p>
        <w:p>
          <w:pPr>
            <w:tabs>
              <w:tab w:val="right" w:leader="dot" w:pos="9638"/>
            </w:tabs>
            <w:spacing w:before="80" w:after="30"/>
          </w:pPr>
          <w:hyperlink w:anchor="_Toc900034" w:history="1">
            <w:r>
              <w:rPr>
                <w:b/>
                <w:bCs/>
                <w:sz w:val="20"/>
                <w:szCs w:val="20"/>
              </w:rPr>
              <w:t xml:space="preserve">10. Workflows, rules and obligations</w:t>
            </w:r>
            <w:r>
              <w:rPr>
                <w:b/>
                <w:bCs/>
                <w:sz w:val="20"/>
                <w:szCs w:val="20"/>
              </w:rPr>
              <w:tab/>
            </w:r>
            <w:r>
              <w:rPr>
                <w:b/>
                <w:bCs/>
                <w:sz w:val="20"/>
                <w:szCs w:val="20"/>
              </w:rPr>
              <w:t>26</w:t>
            </w:r>
          </w:hyperlink>
        </w:p>
        <w:p>
          <w:pPr>
            <w:tabs>
              <w:tab w:val="right" w:leader="dot" w:pos="9638"/>
            </w:tabs>
            <w:spacing w:before="0" w:after="30"/>
            <w:ind w:left="360"/>
          </w:pPr>
          <w:hyperlink w:anchor="_Toc900035" w:history="1">
            <w:r>
              <w:rPr>
                <w:sz w:val="20"/>
                <w:szCs w:val="20"/>
              </w:rPr>
              <w:t xml:space="preserve">10.1 Approval engine</w:t>
            </w:r>
            <w:r>
              <w:rPr>
                <w:sz w:val="20"/>
                <w:szCs w:val="20"/>
              </w:rPr>
              <w:tab/>
            </w:r>
            <w:r>
              <w:rPr>
                <w:sz w:val="20"/>
                <w:szCs w:val="20"/>
              </w:rPr>
              <w:t>26</w:t>
            </w:r>
          </w:hyperlink>
        </w:p>
        <w:p>
          <w:pPr>
            <w:tabs>
              <w:tab w:val="right" w:leader="dot" w:pos="9638"/>
            </w:tabs>
            <w:spacing w:before="0" w:after="30"/>
            <w:ind w:left="360"/>
          </w:pPr>
          <w:hyperlink w:anchor="_Toc900036" w:history="1">
            <w:r>
              <w:rPr>
                <w:sz w:val="20"/>
                <w:szCs w:val="20"/>
              </w:rPr>
              <w:t xml:space="preserve">10.2 Configuration layers</w:t>
            </w:r>
            <w:r>
              <w:rPr>
                <w:sz w:val="20"/>
                <w:szCs w:val="20"/>
              </w:rPr>
              <w:tab/>
            </w:r>
            <w:r>
              <w:rPr>
                <w:sz w:val="20"/>
                <w:szCs w:val="20"/>
              </w:rPr>
              <w:t>27</w:t>
            </w:r>
          </w:hyperlink>
        </w:p>
        <w:p>
          <w:pPr>
            <w:tabs>
              <w:tab w:val="right" w:leader="dot" w:pos="9638"/>
            </w:tabs>
            <w:spacing w:before="0" w:after="30"/>
            <w:ind w:left="360"/>
          </w:pPr>
          <w:hyperlink w:anchor="_Toc900037" w:history="1">
            <w:r>
              <w:rPr>
                <w:sz w:val="20"/>
                <w:szCs w:val="20"/>
              </w:rPr>
              <w:t xml:space="preserve">10.3 Obligations and exceptions</w:t>
            </w:r>
            <w:r>
              <w:rPr>
                <w:sz w:val="20"/>
                <w:szCs w:val="20"/>
              </w:rPr>
              <w:tab/>
            </w:r>
            <w:r>
              <w:rPr>
                <w:sz w:val="20"/>
                <w:szCs w:val="20"/>
              </w:rPr>
              <w:t>27</w:t>
            </w:r>
          </w:hyperlink>
        </w:p>
        <w:p>
          <w:pPr>
            <w:tabs>
              <w:tab w:val="right" w:leader="dot" w:pos="9638"/>
            </w:tabs>
            <w:spacing w:before="80" w:after="30"/>
          </w:pPr>
          <w:hyperlink w:anchor="_Toc900038" w:history="1">
            <w:r>
              <w:rPr>
                <w:b/>
                <w:bCs/>
                <w:sz w:val="20"/>
                <w:szCs w:val="20"/>
              </w:rPr>
              <w:t xml:space="preserve">11. Events and integrations</w:t>
            </w:r>
            <w:r>
              <w:rPr>
                <w:b/>
                <w:bCs/>
                <w:sz w:val="20"/>
                <w:szCs w:val="20"/>
              </w:rPr>
              <w:tab/>
            </w:r>
            <w:r>
              <w:rPr>
                <w:b/>
                <w:bCs/>
                <w:sz w:val="20"/>
                <w:szCs w:val="20"/>
              </w:rPr>
              <w:t>28</w:t>
            </w:r>
          </w:hyperlink>
        </w:p>
        <w:p>
          <w:pPr>
            <w:tabs>
              <w:tab w:val="right" w:leader="dot" w:pos="9638"/>
            </w:tabs>
            <w:spacing w:before="0" w:after="30"/>
            <w:ind w:left="360"/>
          </w:pPr>
          <w:hyperlink w:anchor="_Toc900039" w:history="1">
            <w:r>
              <w:rPr>
                <w:sz w:val="20"/>
                <w:szCs w:val="20"/>
              </w:rPr>
              <w:t xml:space="preserve">11.1 Events</w:t>
            </w:r>
            <w:r>
              <w:rPr>
                <w:sz w:val="20"/>
                <w:szCs w:val="20"/>
              </w:rPr>
              <w:tab/>
            </w:r>
            <w:r>
              <w:rPr>
                <w:sz w:val="20"/>
                <w:szCs w:val="20"/>
              </w:rPr>
              <w:t>28</w:t>
            </w:r>
          </w:hyperlink>
        </w:p>
        <w:p>
          <w:pPr>
            <w:tabs>
              <w:tab w:val="right" w:leader="dot" w:pos="9638"/>
            </w:tabs>
            <w:spacing w:before="0" w:after="30"/>
            <w:ind w:left="360"/>
          </w:pPr>
          <w:hyperlink w:anchor="_Toc900040" w:history="1">
            <w:r>
              <w:rPr>
                <w:sz w:val="20"/>
                <w:szCs w:val="20"/>
              </w:rPr>
              <w:t xml:space="preserve">11.2 Attendance ingestion</w:t>
            </w:r>
            <w:r>
              <w:rPr>
                <w:sz w:val="20"/>
                <w:szCs w:val="20"/>
              </w:rPr>
              <w:tab/>
            </w:r>
            <w:r>
              <w:rPr>
                <w:sz w:val="20"/>
                <w:szCs w:val="20"/>
              </w:rPr>
              <w:t>29</w:t>
            </w:r>
          </w:hyperlink>
        </w:p>
        <w:p>
          <w:pPr>
            <w:tabs>
              <w:tab w:val="right" w:leader="dot" w:pos="9638"/>
            </w:tabs>
            <w:spacing w:before="0" w:after="30"/>
            <w:ind w:left="360"/>
          </w:pPr>
          <w:hyperlink w:anchor="_Toc900041" w:history="1">
            <w:r>
              <w:rPr>
                <w:sz w:val="20"/>
                <w:szCs w:val="20"/>
              </w:rPr>
              <w:t xml:space="preserve">11.3 Payroll input contract</w:t>
            </w:r>
            <w:r>
              <w:rPr>
                <w:sz w:val="20"/>
                <w:szCs w:val="20"/>
              </w:rPr>
              <w:tab/>
            </w:r>
            <w:r>
              <w:rPr>
                <w:sz w:val="20"/>
                <w:szCs w:val="20"/>
              </w:rPr>
              <w:t>30</w:t>
            </w:r>
          </w:hyperlink>
        </w:p>
        <w:p>
          <w:pPr>
            <w:tabs>
              <w:tab w:val="right" w:leader="dot" w:pos="9638"/>
            </w:tabs>
            <w:spacing w:before="0" w:after="30"/>
            <w:ind w:left="360"/>
          </w:pPr>
          <w:hyperlink w:anchor="_Toc900042" w:history="1">
            <w:r>
              <w:rPr>
                <w:sz w:val="20"/>
                <w:szCs w:val="20"/>
              </w:rPr>
              <w:t xml:space="preserve">11.4 Integration catalogue</w:t>
            </w:r>
            <w:r>
              <w:rPr>
                <w:sz w:val="20"/>
                <w:szCs w:val="20"/>
              </w:rPr>
              <w:tab/>
            </w:r>
            <w:r>
              <w:rPr>
                <w:sz w:val="20"/>
                <w:szCs w:val="20"/>
              </w:rPr>
              <w:t>30</w:t>
            </w:r>
          </w:hyperlink>
        </w:p>
        <w:p>
          <w:pPr>
            <w:tabs>
              <w:tab w:val="right" w:leader="dot" w:pos="9638"/>
            </w:tabs>
            <w:spacing w:before="80" w:after="30"/>
          </w:pPr>
          <w:hyperlink w:anchor="_Toc900043" w:history="1">
            <w:r>
              <w:rPr>
                <w:b/>
                <w:bCs/>
                <w:sz w:val="20"/>
                <w:szCs w:val="20"/>
              </w:rPr>
              <w:t xml:space="preserve">12. The API product</w:t>
            </w:r>
            <w:r>
              <w:rPr>
                <w:b/>
                <w:bCs/>
                <w:sz w:val="20"/>
                <w:szCs w:val="20"/>
              </w:rPr>
              <w:tab/>
            </w:r>
            <w:r>
              <w:rPr>
                <w:b/>
                <w:bCs/>
                <w:sz w:val="20"/>
                <w:szCs w:val="20"/>
              </w:rPr>
              <w:t>31</w:t>
            </w:r>
          </w:hyperlink>
        </w:p>
        <w:p>
          <w:pPr>
            <w:tabs>
              <w:tab w:val="right" w:leader="dot" w:pos="9638"/>
            </w:tabs>
            <w:spacing w:before="0" w:after="30"/>
            <w:ind w:left="360"/>
          </w:pPr>
          <w:hyperlink w:anchor="_Toc900044" w:history="1">
            <w:r>
              <w:rPr>
                <w:sz w:val="20"/>
                <w:szCs w:val="20"/>
              </w:rPr>
              <w:t xml:space="preserve">12.1 Buyers and packaging</w:t>
            </w:r>
            <w:r>
              <w:rPr>
                <w:sz w:val="20"/>
                <w:szCs w:val="20"/>
              </w:rPr>
              <w:tab/>
            </w:r>
            <w:r>
              <w:rPr>
                <w:sz w:val="20"/>
                <w:szCs w:val="20"/>
              </w:rPr>
              <w:t>31</w:t>
            </w:r>
          </w:hyperlink>
        </w:p>
        <w:p>
          <w:pPr>
            <w:tabs>
              <w:tab w:val="right" w:leader="dot" w:pos="9638"/>
            </w:tabs>
            <w:spacing w:before="0" w:after="30"/>
            <w:ind w:left="360"/>
          </w:pPr>
          <w:hyperlink w:anchor="_Toc900045" w:history="1">
            <w:r>
              <w:rPr>
                <w:sz w:val="20"/>
                <w:szCs w:val="20"/>
              </w:rPr>
              <w:t xml:space="preserve">12.2 API platform</w:t>
            </w:r>
            <w:r>
              <w:rPr>
                <w:sz w:val="20"/>
                <w:szCs w:val="20"/>
              </w:rPr>
              <w:tab/>
            </w:r>
            <w:r>
              <w:rPr>
                <w:sz w:val="20"/>
                <w:szCs w:val="20"/>
              </w:rPr>
              <w:t>32</w:t>
            </w:r>
          </w:hyperlink>
        </w:p>
        <w:p>
          <w:pPr>
            <w:tabs>
              <w:tab w:val="right" w:leader="dot" w:pos="9638"/>
            </w:tabs>
            <w:spacing w:before="0" w:after="30"/>
            <w:ind w:left="360"/>
          </w:pPr>
          <w:hyperlink w:anchor="_Toc900046" w:history="1">
            <w:r>
              <w:rPr>
                <w:sz w:val="20"/>
                <w:szCs w:val="20"/>
              </w:rPr>
              <w:t xml:space="preserve">12.3 One API call</w:t>
            </w:r>
            <w:r>
              <w:rPr>
                <w:sz w:val="20"/>
                <w:szCs w:val="20"/>
              </w:rPr>
              <w:tab/>
            </w:r>
            <w:r>
              <w:rPr>
                <w:sz w:val="20"/>
                <w:szCs w:val="20"/>
              </w:rPr>
              <w:t>33</w:t>
            </w:r>
          </w:hyperlink>
        </w:p>
        <w:p>
          <w:pPr>
            <w:tabs>
              <w:tab w:val="right" w:leader="dot" w:pos="9638"/>
            </w:tabs>
            <w:spacing w:before="0" w:after="30"/>
            <w:ind w:left="360"/>
          </w:pPr>
          <w:hyperlink w:anchor="_Toc900047" w:history="1">
            <w:r>
              <w:rPr>
                <w:sz w:val="20"/>
                <w:szCs w:val="20"/>
              </w:rPr>
              <w:t xml:space="preserve">12.4 Design standards</w:t>
            </w:r>
            <w:r>
              <w:rPr>
                <w:sz w:val="20"/>
                <w:szCs w:val="20"/>
              </w:rPr>
              <w:tab/>
            </w:r>
            <w:r>
              <w:rPr>
                <w:sz w:val="20"/>
                <w:szCs w:val="20"/>
              </w:rPr>
              <w:t>33</w:t>
            </w:r>
          </w:hyperlink>
        </w:p>
        <w:p>
          <w:pPr>
            <w:tabs>
              <w:tab w:val="right" w:leader="dot" w:pos="9638"/>
            </w:tabs>
            <w:spacing w:before="0" w:after="30"/>
            <w:ind w:left="360"/>
          </w:pPr>
          <w:hyperlink w:anchor="_Toc900048" w:history="1">
            <w:r>
              <w:rPr>
                <w:sz w:val="20"/>
                <w:szCs w:val="20"/>
              </w:rPr>
              <w:t xml:space="preserve">12.5 Contract-first lifecycle and versioning</w:t>
            </w:r>
            <w:r>
              <w:rPr>
                <w:sz w:val="20"/>
                <w:szCs w:val="20"/>
              </w:rPr>
              <w:tab/>
            </w:r>
            <w:r>
              <w:rPr>
                <w:sz w:val="20"/>
                <w:szCs w:val="20"/>
              </w:rPr>
              <w:t>34</w:t>
            </w:r>
          </w:hyperlink>
        </w:p>
        <w:p>
          <w:pPr>
            <w:tabs>
              <w:tab w:val="right" w:leader="dot" w:pos="9638"/>
            </w:tabs>
            <w:spacing w:before="0" w:after="30"/>
            <w:ind w:left="360"/>
          </w:pPr>
          <w:hyperlink w:anchor="_Toc900049" w:history="1">
            <w:r>
              <w:rPr>
                <w:sz w:val="20"/>
                <w:szCs w:val="20"/>
              </w:rPr>
              <w:t xml:space="preserve">12.6 API security</w:t>
            </w:r>
            <w:r>
              <w:rPr>
                <w:sz w:val="20"/>
                <w:szCs w:val="20"/>
              </w:rPr>
              <w:tab/>
            </w:r>
            <w:r>
              <w:rPr>
                <w:sz w:val="20"/>
                <w:szCs w:val="20"/>
              </w:rPr>
              <w:t>34</w:t>
            </w:r>
          </w:hyperlink>
        </w:p>
        <w:p>
          <w:pPr>
            <w:tabs>
              <w:tab w:val="right" w:leader="dot" w:pos="9638"/>
            </w:tabs>
            <w:spacing w:before="0" w:after="30"/>
            <w:ind w:left="360"/>
          </w:pPr>
          <w:hyperlink w:anchor="_Toc900050" w:history="1">
            <w:r>
              <w:rPr>
                <w:sz w:val="20"/>
                <w:szCs w:val="20"/>
              </w:rPr>
              <w:t xml:space="preserve">12.7 API catalogue</w:t>
            </w:r>
            <w:r>
              <w:rPr>
                <w:sz w:val="20"/>
                <w:szCs w:val="20"/>
              </w:rPr>
              <w:tab/>
            </w:r>
            <w:r>
              <w:rPr>
                <w:sz w:val="20"/>
                <w:szCs w:val="20"/>
              </w:rPr>
              <w:t>35</w:t>
            </w:r>
          </w:hyperlink>
        </w:p>
        <w:p>
          <w:pPr>
            <w:tabs>
              <w:tab w:val="right" w:leader="dot" w:pos="9638"/>
            </w:tabs>
            <w:spacing w:before="0" w:after="30"/>
            <w:ind w:left="360"/>
          </w:pPr>
          <w:hyperlink w:anchor="_Toc900051" w:history="1">
            <w:r>
              <w:rPr>
                <w:sz w:val="20"/>
                <w:szCs w:val="20"/>
              </w:rPr>
              <w:t xml:space="preserve">12.8 Webhooks and the change feed</w:t>
            </w:r>
            <w:r>
              <w:rPr>
                <w:sz w:val="20"/>
                <w:szCs w:val="20"/>
              </w:rPr>
              <w:tab/>
            </w:r>
            <w:r>
              <w:rPr>
                <w:sz w:val="20"/>
                <w:szCs w:val="20"/>
              </w:rPr>
              <w:t>36</w:t>
            </w:r>
          </w:hyperlink>
        </w:p>
        <w:p>
          <w:pPr>
            <w:tabs>
              <w:tab w:val="right" w:leader="dot" w:pos="9638"/>
            </w:tabs>
            <w:spacing w:before="0" w:after="30"/>
            <w:ind w:left="360"/>
          </w:pPr>
          <w:hyperlink w:anchor="_Toc900052" w:history="1">
            <w:r>
              <w:rPr>
                <w:sz w:val="20"/>
                <w:szCs w:val="20"/>
              </w:rPr>
              <w:t xml:space="preserve">12.9 Developer experience</w:t>
            </w:r>
            <w:r>
              <w:rPr>
                <w:sz w:val="20"/>
                <w:szCs w:val="20"/>
              </w:rPr>
              <w:tab/>
            </w:r>
            <w:r>
              <w:rPr>
                <w:sz w:val="20"/>
                <w:szCs w:val="20"/>
              </w:rPr>
              <w:t>36</w:t>
            </w:r>
          </w:hyperlink>
        </w:p>
        <w:p>
          <w:pPr>
            <w:tabs>
              <w:tab w:val="right" w:leader="dot" w:pos="9638"/>
            </w:tabs>
            <w:spacing w:before="0" w:after="30"/>
            <w:ind w:left="360"/>
          </w:pPr>
          <w:hyperlink w:anchor="_Toc900053" w:history="1">
            <w:r>
              <w:rPr>
                <w:sz w:val="20"/>
                <w:szCs w:val="20"/>
              </w:rPr>
              <w:t xml:space="preserve">12.10 Metering, limits and billing</w:t>
            </w:r>
            <w:r>
              <w:rPr>
                <w:sz w:val="20"/>
                <w:szCs w:val="20"/>
              </w:rPr>
              <w:tab/>
            </w:r>
            <w:r>
              <w:rPr>
                <w:sz w:val="20"/>
                <w:szCs w:val="20"/>
              </w:rPr>
              <w:t>36</w:t>
            </w:r>
          </w:hyperlink>
        </w:p>
        <w:p>
          <w:pPr>
            <w:tabs>
              <w:tab w:val="right" w:leader="dot" w:pos="9638"/>
            </w:tabs>
            <w:spacing w:before="80" w:after="30"/>
          </w:pPr>
          <w:hyperlink w:anchor="_Toc900054" w:history="1">
            <w:r>
              <w:rPr>
                <w:b/>
                <w:bCs/>
                <w:sz w:val="20"/>
                <w:szCs w:val="20"/>
              </w:rPr>
              <w:t xml:space="preserve">13. Infrastructure and operations</w:t>
            </w:r>
            <w:r>
              <w:rPr>
                <w:b/>
                <w:bCs/>
                <w:sz w:val="20"/>
                <w:szCs w:val="20"/>
              </w:rPr>
              <w:tab/>
            </w:r>
            <w:r>
              <w:rPr>
                <w:b/>
                <w:bCs/>
                <w:sz w:val="20"/>
                <w:szCs w:val="20"/>
              </w:rPr>
              <w:t>38</w:t>
            </w:r>
          </w:hyperlink>
        </w:p>
        <w:p>
          <w:pPr>
            <w:tabs>
              <w:tab w:val="right" w:leader="dot" w:pos="9638"/>
            </w:tabs>
            <w:spacing w:before="0" w:after="30"/>
            <w:ind w:left="360"/>
          </w:pPr>
          <w:hyperlink w:anchor="_Toc900055" w:history="1">
            <w:r>
              <w:rPr>
                <w:sz w:val="20"/>
                <w:szCs w:val="20"/>
              </w:rPr>
              <w:t xml:space="preserve">13.1 AWS deployment</w:t>
            </w:r>
            <w:r>
              <w:rPr>
                <w:sz w:val="20"/>
                <w:szCs w:val="20"/>
              </w:rPr>
              <w:tab/>
            </w:r>
            <w:r>
              <w:rPr>
                <w:sz w:val="20"/>
                <w:szCs w:val="20"/>
              </w:rPr>
              <w:t>38</w:t>
            </w:r>
          </w:hyperlink>
        </w:p>
        <w:p>
          <w:pPr>
            <w:tabs>
              <w:tab w:val="right" w:leader="dot" w:pos="9638"/>
            </w:tabs>
            <w:spacing w:before="0" w:after="30"/>
            <w:ind w:left="360"/>
          </w:pPr>
          <w:hyperlink w:anchor="_Toc900056" w:history="1">
            <w:r>
              <w:rPr>
                <w:sz w:val="20"/>
                <w:szCs w:val="20"/>
              </w:rPr>
              <w:t xml:space="preserve">13.2 Accounts and network</w:t>
            </w:r>
            <w:r>
              <w:rPr>
                <w:sz w:val="20"/>
                <w:szCs w:val="20"/>
              </w:rPr>
              <w:tab/>
            </w:r>
            <w:r>
              <w:rPr>
                <w:sz w:val="20"/>
                <w:szCs w:val="20"/>
              </w:rPr>
              <w:t>39</w:t>
            </w:r>
          </w:hyperlink>
        </w:p>
        <w:p>
          <w:pPr>
            <w:tabs>
              <w:tab w:val="right" w:leader="dot" w:pos="9638"/>
            </w:tabs>
            <w:spacing w:before="0" w:after="30"/>
            <w:ind w:left="360"/>
          </w:pPr>
          <w:hyperlink w:anchor="_Toc900057" w:history="1">
            <w:r>
              <w:rPr>
                <w:sz w:val="20"/>
                <w:szCs w:val="20"/>
              </w:rPr>
              <w:t xml:space="preserve">13.3 Environments and delivery</w:t>
            </w:r>
            <w:r>
              <w:rPr>
                <w:sz w:val="20"/>
                <w:szCs w:val="20"/>
              </w:rPr>
              <w:tab/>
            </w:r>
            <w:r>
              <w:rPr>
                <w:sz w:val="20"/>
                <w:szCs w:val="20"/>
              </w:rPr>
              <w:t>39</w:t>
            </w:r>
          </w:hyperlink>
        </w:p>
        <w:p>
          <w:pPr>
            <w:tabs>
              <w:tab w:val="right" w:leader="dot" w:pos="9638"/>
            </w:tabs>
            <w:spacing w:before="0" w:after="30"/>
            <w:ind w:left="360"/>
          </w:pPr>
          <w:hyperlink w:anchor="_Toc900058" w:history="1">
            <w:r>
              <w:rPr>
                <w:sz w:val="20"/>
                <w:szCs w:val="20"/>
              </w:rPr>
              <w:t xml:space="preserve">13.4 Observability</w:t>
            </w:r>
            <w:r>
              <w:rPr>
                <w:sz w:val="20"/>
                <w:szCs w:val="20"/>
              </w:rPr>
              <w:tab/>
            </w:r>
            <w:r>
              <w:rPr>
                <w:sz w:val="20"/>
                <w:szCs w:val="20"/>
              </w:rPr>
              <w:t>40</w:t>
            </w:r>
          </w:hyperlink>
        </w:p>
        <w:p>
          <w:pPr>
            <w:tabs>
              <w:tab w:val="right" w:leader="dot" w:pos="9638"/>
            </w:tabs>
            <w:spacing w:before="0" w:after="30"/>
            <w:ind w:left="360"/>
          </w:pPr>
          <w:hyperlink w:anchor="_Toc900059" w:history="1">
            <w:r>
              <w:rPr>
                <w:sz w:val="20"/>
                <w:szCs w:val="20"/>
              </w:rPr>
              <w:t xml:space="preserve">13.5 Disaster recovery</w:t>
            </w:r>
            <w:r>
              <w:rPr>
                <w:sz w:val="20"/>
                <w:szCs w:val="20"/>
              </w:rPr>
              <w:tab/>
            </w:r>
            <w:r>
              <w:rPr>
                <w:sz w:val="20"/>
                <w:szCs w:val="20"/>
              </w:rPr>
              <w:t>40</w:t>
            </w:r>
          </w:hyperlink>
        </w:p>
        <w:p>
          <w:pPr>
            <w:tabs>
              <w:tab w:val="right" w:leader="dot" w:pos="9638"/>
            </w:tabs>
            <w:spacing w:before="0" w:after="30"/>
            <w:ind w:left="360"/>
          </w:pPr>
          <w:hyperlink w:anchor="_Toc900060" w:history="1">
            <w:r>
              <w:rPr>
                <w:sz w:val="20"/>
                <w:szCs w:val="20"/>
              </w:rPr>
              <w:t xml:space="preserve">13.6 Security and compliance</w:t>
            </w:r>
            <w:r>
              <w:rPr>
                <w:sz w:val="20"/>
                <w:szCs w:val="20"/>
              </w:rPr>
              <w:tab/>
            </w:r>
            <w:r>
              <w:rPr>
                <w:sz w:val="20"/>
                <w:szCs w:val="20"/>
              </w:rPr>
              <w:t>40</w:t>
            </w:r>
          </w:hyperlink>
        </w:p>
        <w:p>
          <w:pPr>
            <w:tabs>
              <w:tab w:val="right" w:leader="dot" w:pos="9638"/>
            </w:tabs>
            <w:spacing w:before="0" w:after="30"/>
            <w:ind w:left="360"/>
          </w:pPr>
          <w:hyperlink w:anchor="_Toc900061" w:history="1">
            <w:r>
              <w:rPr>
                <w:sz w:val="20"/>
                <w:szCs w:val="20"/>
              </w:rPr>
              <w:t xml:space="preserve">13.7 Capacity and cost</w:t>
            </w:r>
            <w:r>
              <w:rPr>
                <w:sz w:val="20"/>
                <w:szCs w:val="20"/>
              </w:rPr>
              <w:tab/>
            </w:r>
            <w:r>
              <w:rPr>
                <w:sz w:val="20"/>
                <w:szCs w:val="20"/>
              </w:rPr>
              <w:t>41</w:t>
            </w:r>
          </w:hyperlink>
        </w:p>
        <w:p>
          <w:pPr>
            <w:tabs>
              <w:tab w:val="right" w:leader="dot" w:pos="9638"/>
            </w:tabs>
            <w:spacing w:before="80" w:after="30"/>
          </w:pPr>
          <w:hyperlink w:anchor="_Toc900062" w:history="1">
            <w:r>
              <w:rPr>
                <w:b/>
                <w:bCs/>
                <w:sz w:val="20"/>
                <w:szCs w:val="20"/>
              </w:rPr>
              <w:t xml:space="preserve">14. Technology stack</w:t>
            </w:r>
            <w:r>
              <w:rPr>
                <w:b/>
                <w:bCs/>
                <w:sz w:val="20"/>
                <w:szCs w:val="20"/>
              </w:rPr>
              <w:tab/>
            </w:r>
            <w:r>
              <w:rPr>
                <w:b/>
                <w:bCs/>
                <w:sz w:val="20"/>
                <w:szCs w:val="20"/>
              </w:rPr>
              <w:t>42</w:t>
            </w:r>
          </w:hyperlink>
        </w:p>
        <w:p>
          <w:pPr>
            <w:tabs>
              <w:tab w:val="right" w:leader="dot" w:pos="9638"/>
            </w:tabs>
            <w:spacing w:before="0" w:after="30"/>
            <w:ind w:left="360"/>
          </w:pPr>
          <w:hyperlink w:anchor="_Toc900063" w:history="1">
            <w:r>
              <w:rPr>
                <w:sz w:val="20"/>
                <w:szCs w:val="20"/>
              </w:rPr>
              <w:t xml:space="preserve">14.1 Paid services and licences</w:t>
            </w:r>
            <w:r>
              <w:rPr>
                <w:sz w:val="20"/>
                <w:szCs w:val="20"/>
              </w:rPr>
              <w:tab/>
            </w:r>
            <w:r>
              <w:rPr>
                <w:sz w:val="20"/>
                <w:szCs w:val="20"/>
              </w:rPr>
              <w:t>45</w:t>
            </w:r>
          </w:hyperlink>
        </w:p>
        <w:p>
          <w:pPr>
            <w:tabs>
              <w:tab w:val="right" w:leader="dot" w:pos="9638"/>
            </w:tabs>
            <w:spacing w:before="0" w:after="30"/>
            <w:ind w:left="360"/>
          </w:pPr>
          <w:hyperlink w:anchor="_Toc900064" w:history="1">
            <w:r>
              <w:rPr>
                <w:sz w:val="20"/>
                <w:szCs w:val="20"/>
              </w:rPr>
              <w:t xml:space="preserve">14.2 Portability</w:t>
            </w:r>
            <w:r>
              <w:rPr>
                <w:sz w:val="20"/>
                <w:szCs w:val="20"/>
              </w:rPr>
              <w:tab/>
            </w:r>
            <w:r>
              <w:rPr>
                <w:sz w:val="20"/>
                <w:szCs w:val="20"/>
              </w:rPr>
              <w:t>45</w:t>
            </w:r>
          </w:hyperlink>
        </w:p>
        <w:p>
          <w:pPr>
            <w:tabs>
              <w:tab w:val="right" w:leader="dot" w:pos="9638"/>
            </w:tabs>
            <w:spacing w:before="80" w:after="30"/>
          </w:pPr>
          <w:hyperlink w:anchor="_Toc900065" w:history="1">
            <w:r>
              <w:rPr>
                <w:b/>
                <w:bCs/>
                <w:sz w:val="20"/>
                <w:szCs w:val="20"/>
              </w:rPr>
              <w:t xml:space="preserve">15. Delivery plan</w:t>
            </w:r>
            <w:r>
              <w:rPr>
                <w:b/>
                <w:bCs/>
                <w:sz w:val="20"/>
                <w:szCs w:val="20"/>
              </w:rPr>
              <w:tab/>
            </w:r>
            <w:r>
              <w:rPr>
                <w:b/>
                <w:bCs/>
                <w:sz w:val="20"/>
                <w:szCs w:val="20"/>
              </w:rPr>
              <w:t>46</w:t>
            </w:r>
          </w:hyperlink>
        </w:p>
        <w:p>
          <w:pPr>
            <w:tabs>
              <w:tab w:val="right" w:leader="dot" w:pos="9638"/>
            </w:tabs>
            <w:spacing w:before="0" w:after="30"/>
            <w:ind w:left="360"/>
          </w:pPr>
          <w:hyperlink w:anchor="_Toc900066" w:history="1">
            <w:r>
              <w:rPr>
                <w:sz w:val="20"/>
                <w:szCs w:val="20"/>
              </w:rPr>
              <w:t xml:space="preserve">15.1 Teams</w:t>
            </w:r>
            <w:r>
              <w:rPr>
                <w:sz w:val="20"/>
                <w:szCs w:val="20"/>
              </w:rPr>
              <w:tab/>
            </w:r>
            <w:r>
              <w:rPr>
                <w:sz w:val="20"/>
                <w:szCs w:val="20"/>
              </w:rPr>
              <w:t>46</w:t>
            </w:r>
          </w:hyperlink>
        </w:p>
        <w:p>
          <w:pPr>
            <w:tabs>
              <w:tab w:val="right" w:leader="dot" w:pos="9638"/>
            </w:tabs>
            <w:spacing w:before="0" w:after="30"/>
            <w:ind w:left="360"/>
          </w:pPr>
          <w:hyperlink w:anchor="_Toc900067" w:history="1">
            <w:r>
              <w:rPr>
                <w:sz w:val="20"/>
                <w:szCs w:val="20"/>
              </w:rPr>
              <w:t xml:space="preserve">15.2 Roadmap (indicative)</w:t>
            </w:r>
            <w:r>
              <w:rPr>
                <w:sz w:val="20"/>
                <w:szCs w:val="20"/>
              </w:rPr>
              <w:tab/>
            </w:r>
            <w:r>
              <w:rPr>
                <w:sz w:val="20"/>
                <w:szCs w:val="20"/>
              </w:rPr>
              <w:t>46</w:t>
            </w:r>
          </w:hyperlink>
        </w:p>
        <w:p>
          <w:pPr>
            <w:tabs>
              <w:tab w:val="right" w:leader="dot" w:pos="9638"/>
            </w:tabs>
            <w:spacing w:before="0" w:after="30"/>
            <w:ind w:left="360"/>
          </w:pPr>
          <w:hyperlink w:anchor="_Toc900068" w:history="1">
            <w:r>
              <w:rPr>
                <w:sz w:val="20"/>
                <w:szCs w:val="20"/>
              </w:rPr>
              <w:t xml:space="preserve">15.3 Proofs of concept (Phase 0a)</w:t>
            </w:r>
            <w:r>
              <w:rPr>
                <w:sz w:val="20"/>
                <w:szCs w:val="20"/>
              </w:rPr>
              <w:tab/>
            </w:r>
            <w:r>
              <w:rPr>
                <w:sz w:val="20"/>
                <w:szCs w:val="20"/>
              </w:rPr>
              <w:t>47</w:t>
            </w:r>
          </w:hyperlink>
        </w:p>
        <w:p>
          <w:pPr>
            <w:tabs>
              <w:tab w:val="right" w:leader="dot" w:pos="9638"/>
            </w:tabs>
            <w:spacing w:before="0" w:after="30"/>
            <w:ind w:left="360"/>
          </w:pPr>
          <w:hyperlink w:anchor="_Toc900069" w:history="1">
            <w:r>
              <w:rPr>
                <w:sz w:val="20"/>
                <w:szCs w:val="20"/>
              </w:rPr>
              <w:t xml:space="preserve">15.4 Testing strategy</w:t>
            </w:r>
            <w:r>
              <w:rPr>
                <w:sz w:val="20"/>
                <w:szCs w:val="20"/>
              </w:rPr>
              <w:tab/>
            </w:r>
            <w:r>
              <w:rPr>
                <w:sz w:val="20"/>
                <w:szCs w:val="20"/>
              </w:rPr>
              <w:t>47</w:t>
            </w:r>
          </w:hyperlink>
        </w:p>
        <w:p>
          <w:pPr>
            <w:tabs>
              <w:tab w:val="right" w:leader="dot" w:pos="9638"/>
            </w:tabs>
            <w:spacing w:before="80" w:after="30"/>
          </w:pPr>
          <w:hyperlink w:anchor="_Toc900070" w:history="1">
            <w:r>
              <w:rPr>
                <w:b/>
                <w:bCs/>
                <w:sz w:val="20"/>
                <w:szCs w:val="20"/>
              </w:rPr>
              <w:t xml:space="preserve">16. Decisions, checks and risks</w:t>
            </w:r>
            <w:r>
              <w:rPr>
                <w:b/>
                <w:bCs/>
                <w:sz w:val="20"/>
                <w:szCs w:val="20"/>
              </w:rPr>
              <w:tab/>
            </w:r>
            <w:r>
              <w:rPr>
                <w:b/>
                <w:bCs/>
                <w:sz w:val="20"/>
                <w:szCs w:val="20"/>
              </w:rPr>
              <w:t>48</w:t>
            </w:r>
          </w:hyperlink>
        </w:p>
        <w:p>
          <w:pPr>
            <w:tabs>
              <w:tab w:val="right" w:leader="dot" w:pos="9638"/>
            </w:tabs>
            <w:spacing w:before="0" w:after="30"/>
            <w:ind w:left="360"/>
          </w:pPr>
          <w:hyperlink w:anchor="_Toc900071" w:history="1">
            <w:r>
              <w:rPr>
                <w:sz w:val="20"/>
                <w:szCs w:val="20"/>
              </w:rPr>
              <w:t xml:space="preserve">16.1 Open decisions</w:t>
            </w:r>
            <w:r>
              <w:rPr>
                <w:sz w:val="20"/>
                <w:szCs w:val="20"/>
              </w:rPr>
              <w:tab/>
            </w:r>
            <w:r>
              <w:rPr>
                <w:sz w:val="20"/>
                <w:szCs w:val="20"/>
              </w:rPr>
              <w:t>48</w:t>
            </w:r>
          </w:hyperlink>
        </w:p>
        <w:p>
          <w:pPr>
            <w:tabs>
              <w:tab w:val="right" w:leader="dot" w:pos="9638"/>
            </w:tabs>
            <w:spacing w:before="0" w:after="30"/>
            <w:ind w:left="360"/>
          </w:pPr>
          <w:hyperlink w:anchor="_Toc900072" w:history="1">
            <w:r>
              <w:rPr>
                <w:sz w:val="20"/>
                <w:szCs w:val="20"/>
              </w:rPr>
              <w:t xml:space="preserve">16.2 Verification checklist</w:t>
            </w:r>
            <w:r>
              <w:rPr>
                <w:sz w:val="20"/>
                <w:szCs w:val="20"/>
              </w:rPr>
              <w:tab/>
            </w:r>
            <w:r>
              <w:rPr>
                <w:sz w:val="20"/>
                <w:szCs w:val="20"/>
              </w:rPr>
              <w:t>48</w:t>
            </w:r>
          </w:hyperlink>
        </w:p>
        <w:p>
          <w:pPr>
            <w:tabs>
              <w:tab w:val="right" w:leader="dot" w:pos="9638"/>
            </w:tabs>
            <w:spacing w:before="0" w:after="30"/>
            <w:ind w:left="360"/>
          </w:pPr>
          <w:hyperlink w:anchor="_Toc900073" w:history="1">
            <w:r>
              <w:rPr>
                <w:sz w:val="20"/>
                <w:szCs w:val="20"/>
              </w:rPr>
              <w:t xml:space="preserve">16.3 Risks</w:t>
            </w:r>
            <w:r>
              <w:rPr>
                <w:sz w:val="20"/>
                <w:szCs w:val="20"/>
              </w:rPr>
              <w:tab/>
            </w:r>
            <w:r>
              <w:rPr>
                <w:sz w:val="20"/>
                <w:szCs w:val="20"/>
              </w:rPr>
              <w:t>48</w:t>
            </w:r>
          </w:hyperlink>
        </w:p>
        <w:p>
          <w:pPr>
            <w:tabs>
              <w:tab w:val="right" w:leader="dot" w:pos="9638"/>
            </w:tabs>
            <w:spacing w:before="80" w:after="30"/>
          </w:pPr>
          <w:hyperlink w:anchor="_Toc900074" w:history="1">
            <w:r>
              <w:rPr>
                <w:b/>
                <w:bCs/>
                <w:sz w:val="20"/>
                <w:szCs w:val="20"/>
              </w:rPr>
              <w:t xml:space="preserve">Appendix A. Glossary</w:t>
            </w:r>
            <w:r>
              <w:rPr>
                <w:b/>
                <w:bCs/>
                <w:sz w:val="20"/>
                <w:szCs w:val="20"/>
              </w:rPr>
              <w:tab/>
            </w:r>
            <w:r>
              <w:rPr>
                <w:b/>
                <w:bCs/>
                <w:sz w:val="20"/>
                <w:szCs w:val="20"/>
              </w:rPr>
              <w:t>50</w:t>
            </w:r>
          </w:hyperlink>
        </w:p>
        <w:p>
          <w:r>
            <w:fldChar w:fldCharType="end"/>
          </w:r>
        </w:p>
      </w:sdtContent>
    </w:sdt>
    <w:p>
      <w:pPr>
        <w:sectPr>
          <w:headerReference w:type="default" r:id="rId7"/>
          <w:footerReference w:type="default" r:id="rId8"/>
          <w:pgSz w:w="11906" w:h="16838" w:orient="portrait"/>
          <w:pgMar w:top="1134" w:right="1134" w:bottom="1134" w:left="1134" w:header="567" w:footer="567" w:gutter="0"/>
          <w:pgNumType/>
          <w:docGrid w:linePitch="360"/>
        </w:sectPr>
      </w:pPr>
    </w:p>
    <w:p>
      <w:pPr>
        <w:pStyle w:val="Heading1"/>
      </w:pPr>
      <w:bookmarkStart w:id="8003" w:name="_Toc900003"/>
      <w:r>
        <w:t xml:space="preserve">1. Executive summary</w:t>
      </w:r>
      <w:bookmarkEnd w:id="8003"/>
    </w:p>
    <w:p>
      <w:pPr>
        <w:pStyle w:val="Heading2"/>
      </w:pPr>
      <w:bookmarkStart w:id="8004" w:name="_Toc900004"/>
      <w:r>
        <w:t xml:space="preserve">1.1 What we are building</w:t>
      </w:r>
      <w:bookmarkEnd w:id="8004"/>
    </w:p>
    <w:p>
      <w:r>
        <w:t xml:space="preserve">The HRMS Platform is two products on one codebase:</w:t>
      </w:r>
    </w:p>
    <w:p>
      <w:pPr>
        <w:pStyle w:val="ListParagraph"/>
        <w:numPr>
          <w:ilvl w:val="0"/>
          <w:numId w:val="2"/>
        </w:numPr>
        <w:spacing w:after="60"/>
      </w:pPr>
      <w:r>
        <w:rPr>
          <w:b/>
          <w:bCs/>
        </w:rPr>
        <w:t xml:space="preserve">A multi-tenant HR application</w:t>
      </w:r>
      <w:r>
        <w:t xml:space="preserve"> for organisations of 10 to 200,000 employees, across industries and locations.</w:t>
      </w:r>
    </w:p>
    <w:p>
      <w:pPr>
        <w:pStyle w:val="ListParagraph"/>
        <w:numPr>
          <w:ilvl w:val="0"/>
          <w:numId w:val="2"/>
        </w:numPr>
        <w:spacing w:after="60"/>
      </w:pPr>
      <w:r>
        <w:rPr>
          <w:b/>
          <w:bCs/>
        </w:rPr>
        <w:t xml:space="preserve">A public API product</w:t>
      </w:r>
      <w:r>
        <w:t xml:space="preserve"> that customers, software vendors and integration platforms build on.</w:t>
      </w:r>
    </w:p>
    <w:p>
      <w:r>
        <w:t xml:space="preserve">SURAJ Group is the first tenant, not the shape of the product. Every SURAJ-specific rule becomes configuration, and every capability in the requirements is reachable through a documented, versioned and metered API.</w:t>
      </w:r>
    </w:p>
    <w:p>
      <w:r>
        <w:t xml:space="preserve">The design starts small and grows by trigger. At launch it runs in </w:t>
      </w:r>
      <w:r>
        <w:rPr>
          <w:b/>
          <w:bCs/>
        </w:rPr>
        <w:t xml:space="preserve">one AWS cell</w:t>
      </w:r>
      <w:r>
        <w:t xml:space="preserve"> in Mumbai: a modular Java application on PostgreSQL, with S3, a cache and queues. Heavier components (Kafka, Temporal, OpenSearch, ClickHouse, extra cells) are added only when a stated trigger is reached. The data model, tenancy, APIs and events are designed for the target from day one, so growth does not mean a rewrite.</w:t>
      </w:r>
    </w:p>
    <w:p>
      <w:pPr>
        <w:pStyle w:val="Heading2"/>
      </w:pPr>
      <w:bookmarkStart w:id="8005" w:name="_Toc900005"/>
      <w:r>
        <w:t xml:space="preserve">1.2 Design principles</w:t>
      </w:r>
      <w:bookmarkEnd w:id="8005"/>
    </w:p>
    <w:p>
      <w:pPr>
        <w:pStyle w:val="ListParagraph"/>
        <w:numPr>
          <w:ilvl w:val="0"/>
          <w:numId w:val="2"/>
        </w:numPr>
        <w:spacing w:after="60"/>
      </w:pPr>
      <w:r>
        <w:rPr>
          <w:b/>
          <w:bCs/>
        </w:rPr>
        <w:t xml:space="preserve">Tenant context everywhere.</w:t>
      </w:r>
      <w:r>
        <w:t xml:space="preserve"> Every request, job, event, cache key, file path and log line carries the tenant, and a missing tenant fails loudly.</w:t>
      </w:r>
    </w:p>
    <w:p>
      <w:pPr>
        <w:pStyle w:val="ListParagraph"/>
        <w:numPr>
          <w:ilvl w:val="0"/>
          <w:numId w:val="2"/>
        </w:numPr>
        <w:spacing w:after="60"/>
      </w:pPr>
      <w:r>
        <w:rPr>
          <w:b/>
          <w:bCs/>
        </w:rPr>
        <w:t xml:space="preserve">Configuration, not customisation.</w:t>
      </w:r>
      <w:r>
        <w:t xml:space="preserve"> Tenant differences are data (settings, packs, custom fields, workflow definitions), never code branches.</w:t>
      </w:r>
    </w:p>
    <w:p>
      <w:pPr>
        <w:pStyle w:val="ListParagraph"/>
        <w:numPr>
          <w:ilvl w:val="0"/>
          <w:numId w:val="2"/>
        </w:numPr>
        <w:spacing w:after="60"/>
      </w:pPr>
      <w:r>
        <w:rPr>
          <w:b/>
          <w:bCs/>
        </w:rPr>
        <w:t xml:space="preserve">Two clocks.</w:t>
      </w:r>
      <w:r>
        <w:t xml:space="preserve"> Every business fact has an effective date, and every change is audited with who, when and why.</w:t>
      </w:r>
    </w:p>
    <w:p>
      <w:pPr>
        <w:pStyle w:val="ListParagraph"/>
        <w:numPr>
          <w:ilvl w:val="0"/>
          <w:numId w:val="2"/>
        </w:numPr>
        <w:spacing w:after="60"/>
      </w:pPr>
      <w:r>
        <w:rPr>
          <w:b/>
          <w:bCs/>
        </w:rPr>
        <w:t xml:space="preserve">One worker record for life</w:t>
      </w:r>
      <w:r>
        <w:t xml:space="preserve"> in a tenant, with employments and dated assignments under it. Information is entered once.</w:t>
      </w:r>
    </w:p>
    <w:p>
      <w:pPr>
        <w:pStyle w:val="ListParagraph"/>
        <w:numPr>
          <w:ilvl w:val="0"/>
          <w:numId w:val="2"/>
        </w:numPr>
        <w:spacing w:after="60"/>
      </w:pPr>
      <w:r>
        <w:rPr>
          <w:b/>
          <w:bCs/>
        </w:rPr>
        <w:t xml:space="preserve">Access is decided centrally and enforced in the data layer</w:t>
      </w:r>
      <w:r>
        <w:t xml:space="preserve"> (rows and fields) for screens, APIs, reports, search, exports and messages.</w:t>
      </w:r>
    </w:p>
    <w:p>
      <w:pPr>
        <w:pStyle w:val="ListParagraph"/>
        <w:numPr>
          <w:ilvl w:val="0"/>
          <w:numId w:val="2"/>
        </w:numPr>
        <w:spacing w:after="60"/>
      </w:pPr>
      <w:r>
        <w:rPr>
          <w:b/>
          <w:bCs/>
        </w:rPr>
        <w:t xml:space="preserve">Complexity is opt-in.</w:t>
      </w:r>
      <w:r>
        <w:t xml:space="preserve"> A 20-person tenant sees a simple product; a 50,000-person tenant switches on entity groups, positions and matrix reporting.</w:t>
      </w:r>
    </w:p>
    <w:p>
      <w:pPr>
        <w:pStyle w:val="ListParagraph"/>
        <w:numPr>
          <w:ilvl w:val="0"/>
          <w:numId w:val="2"/>
        </w:numPr>
        <w:spacing w:after="60"/>
      </w:pPr>
      <w:r>
        <w:rPr>
          <w:b/>
          <w:bCs/>
        </w:rPr>
        <w:t xml:space="preserve">Packs, not forks.</w:t>
      </w:r>
      <w:r>
        <w:t xml:space="preserve"> Country rules (India PF/ESIC first) and industry defaults are versioned packs.</w:t>
      </w:r>
    </w:p>
    <w:p>
      <w:pPr>
        <w:pStyle w:val="ListParagraph"/>
        <w:numPr>
          <w:ilvl w:val="0"/>
          <w:numId w:val="2"/>
        </w:numPr>
        <w:spacing w:after="60"/>
      </w:pPr>
      <w:r>
        <w:rPr>
          <w:b/>
          <w:bCs/>
        </w:rPr>
        <w:t xml:space="preserve">API-first and event-first.</w:t>
      </w:r>
      <w:r>
        <w:t xml:space="preserve"> Our own apps use the same contracts that customers use.</w:t>
      </w:r>
    </w:p>
    <w:p>
      <w:pPr>
        <w:pStyle w:val="ListParagraph"/>
        <w:numPr>
          <w:ilvl w:val="0"/>
          <w:numId w:val="2"/>
        </w:numPr>
        <w:spacing w:after="60"/>
      </w:pPr>
      <w:r>
        <w:rPr>
          <w:b/>
          <w:bCs/>
        </w:rPr>
        <w:t xml:space="preserve">Start small, grow by trigger.</w:t>
      </w:r>
      <w:r>
        <w:t xml:space="preserve"> Every heavy component has a launch substitute and a written trigger.</w:t>
      </w:r>
    </w:p>
    <w:p>
      <w:pPr>
        <w:pStyle w:val="Heading2"/>
      </w:pPr>
      <w:bookmarkStart w:id="8006" w:name="_Toc900006"/>
      <w:r>
        <w:t xml:space="preserve">1.3 Key decisions</w:t>
      </w:r>
      <w:bookmarkEnd w:id="8006"/>
    </w:p>
    <w:p>
      <w:pPr>
        <w:keepNext/>
        <w:spacing w:after="80" w:before="120"/>
      </w:pPr>
      <w:r>
        <w:rPr>
          <w:b/>
          <w:bCs/>
          <w:color w:val="4F5E67"/>
          <w:sz w:val="18"/>
          <w:szCs w:val="18"/>
        </w:rPr>
        <w:t xml:space="preserve">Table 3. Architecture decisions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995"/>
        <w:gridCol w:w="3666"/>
        <w:gridCol w:w="1728"/>
        <w:gridCol w:w="1728"/>
        <w:gridCol w:w="1521"/>
      </w:tblGrid>
      <w:tr>
        <w:trPr>
          <w:cantSplit/>
          <w:tblHeader/>
        </w:trPr>
        <w:tc>
          <w:tcPr>
            <w:tcW w:type="dxa" w:w="99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ID</w:t>
            </w:r>
          </w:p>
        </w:tc>
        <w:tc>
          <w:tcPr>
            <w:tcW w:type="dxa" w:w="366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Decision</w:t>
            </w:r>
          </w:p>
        </w:tc>
        <w:tc>
          <w:tcPr>
            <w:tcW w:type="dxa" w:w="172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At launch</w:t>
            </w:r>
          </w:p>
        </w:tc>
        <w:tc>
          <w:tcPr>
            <w:tcW w:type="dxa" w:w="172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At scale</w:t>
            </w:r>
          </w:p>
        </w:tc>
        <w:tc>
          <w:tcPr>
            <w:tcW w:type="dxa" w:w="152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Status</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ADR-01</w:t>
            </w:r>
          </w:p>
        </w:tc>
        <w:tc>
          <w:tcPr>
            <w:tcW w:type="dxa" w:w="3666"/>
            <w:tcMar>
              <w:top w:type="dxa" w:w="70"/>
              <w:left w:type="dxa" w:w="100"/>
              <w:bottom w:type="dxa" w:w="70"/>
              <w:right w:type="dxa" w:w="100"/>
            </w:tcMar>
            <w:vAlign w:val="top"/>
          </w:tcPr>
          <w:p>
            <w:pPr>
              <w:spacing w:after="0" w:line="252" w:lineRule="auto"/>
            </w:pPr>
            <w:r>
              <w:rPr>
                <w:sz w:val="18"/>
                <w:szCs w:val="18"/>
              </w:rPr>
              <w:t xml:space="preserve">Tenancy: pooled PostgreSQL with row-level security; dedicated tiers use the same schema</w:t>
            </w:r>
          </w:p>
        </w:tc>
        <w:tc>
          <w:tcPr>
            <w:tcW w:type="dxa" w:w="1728"/>
            <w:tcMar>
              <w:top w:type="dxa" w:w="70"/>
              <w:left w:type="dxa" w:w="100"/>
              <w:bottom w:type="dxa" w:w="70"/>
              <w:right w:type="dxa" w:w="100"/>
            </w:tcMar>
            <w:vAlign w:val="top"/>
          </w:tcPr>
          <w:p>
            <w:pPr>
              <w:spacing w:after="0" w:line="252" w:lineRule="auto"/>
            </w:pPr>
            <w:r>
              <w:rPr>
                <w:sz w:val="18"/>
                <w:szCs w:val="18"/>
              </w:rPr>
              <w:t xml:space="preserve">One pooled cell</w:t>
            </w:r>
          </w:p>
        </w:tc>
        <w:tc>
          <w:tcPr>
            <w:tcW w:type="dxa" w:w="1728"/>
            <w:tcMar>
              <w:top w:type="dxa" w:w="70"/>
              <w:left w:type="dxa" w:w="100"/>
              <w:bottom w:type="dxa" w:w="70"/>
              <w:right w:type="dxa" w:w="100"/>
            </w:tcMar>
            <w:vAlign w:val="top"/>
          </w:tcPr>
          <w:p>
            <w:pPr>
              <w:spacing w:after="0" w:line="252" w:lineRule="auto"/>
            </w:pPr>
            <w:r>
              <w:rPr>
                <w:sz w:val="18"/>
                <w:szCs w:val="18"/>
              </w:rPr>
              <w:t xml:space="preserve">Dedicated databases and cells</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ADR-02</w:t>
            </w:r>
          </w:p>
        </w:tc>
        <w:tc>
          <w:tcPr>
            <w:tcW w:type="dxa" w:w="3666"/>
            <w:tcMar>
              <w:top w:type="dxa" w:w="70"/>
              <w:left w:type="dxa" w:w="100"/>
              <w:bottom w:type="dxa" w:w="70"/>
              <w:right w:type="dxa" w:w="100"/>
            </w:tcMar>
            <w:vAlign w:val="top"/>
          </w:tcPr>
          <w:p>
            <w:pPr>
              <w:spacing w:after="0" w:line="252" w:lineRule="auto"/>
            </w:pPr>
            <w:r>
              <w:rPr>
                <w:sz w:val="18"/>
                <w:szCs w:val="18"/>
              </w:rPr>
              <w:t xml:space="preserve">Deployment: cells on AWS, Mumbai primary, Hyderabad for DR</w:t>
            </w:r>
          </w:p>
        </w:tc>
        <w:tc>
          <w:tcPr>
            <w:tcW w:type="dxa" w:w="1728"/>
            <w:tcMar>
              <w:top w:type="dxa" w:w="70"/>
              <w:left w:type="dxa" w:w="100"/>
              <w:bottom w:type="dxa" w:w="70"/>
              <w:right w:type="dxa" w:w="100"/>
            </w:tcMar>
            <w:vAlign w:val="top"/>
          </w:tcPr>
          <w:p>
            <w:pPr>
              <w:spacing w:after="0" w:line="252" w:lineRule="auto"/>
            </w:pPr>
            <w:r>
              <w:rPr>
                <w:sz w:val="18"/>
                <w:szCs w:val="18"/>
              </w:rPr>
              <w:t xml:space="preserve">One cell; pilot-light DR</w:t>
            </w:r>
          </w:p>
        </w:tc>
        <w:tc>
          <w:tcPr>
            <w:tcW w:type="dxa" w:w="1728"/>
            <w:tcMar>
              <w:top w:type="dxa" w:w="70"/>
              <w:left w:type="dxa" w:w="100"/>
              <w:bottom w:type="dxa" w:w="70"/>
              <w:right w:type="dxa" w:w="100"/>
            </w:tcMar>
            <w:vAlign w:val="top"/>
          </w:tcPr>
          <w:p>
            <w:pPr>
              <w:spacing w:after="0" w:line="252" w:lineRule="auto"/>
            </w:pPr>
            <w:r>
              <w:rPr>
                <w:sz w:val="18"/>
                <w:szCs w:val="18"/>
              </w:rPr>
              <w:t xml:space="preserve">N cells; warm regional tier</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ADR-03</w:t>
            </w:r>
          </w:p>
        </w:tc>
        <w:tc>
          <w:tcPr>
            <w:tcW w:type="dxa" w:w="3666"/>
            <w:tcMar>
              <w:top w:type="dxa" w:w="70"/>
              <w:left w:type="dxa" w:w="100"/>
              <w:bottom w:type="dxa" w:w="70"/>
              <w:right w:type="dxa" w:w="100"/>
            </w:tcMar>
            <w:vAlign w:val="top"/>
          </w:tcPr>
          <w:p>
            <w:pPr>
              <w:spacing w:after="0" w:line="252" w:lineRule="auto"/>
            </w:pPr>
            <w:r>
              <w:rPr>
                <w:sz w:val="18"/>
                <w:szCs w:val="18"/>
              </w:rPr>
              <w:t xml:space="preserve">Application: modular monolith (Java 21, Spring Boot, Spring Modulith)</w:t>
            </w:r>
          </w:p>
        </w:tc>
        <w:tc>
          <w:tcPr>
            <w:tcW w:type="dxa" w:w="1728"/>
            <w:tcMar>
              <w:top w:type="dxa" w:w="70"/>
              <w:left w:type="dxa" w:w="100"/>
              <w:bottom w:type="dxa" w:w="70"/>
              <w:right w:type="dxa" w:w="100"/>
            </w:tcMar>
            <w:vAlign w:val="top"/>
          </w:tcPr>
          <w:p>
            <w:pPr>
              <w:spacing w:after="0" w:line="252" w:lineRule="auto"/>
            </w:pPr>
            <w:r>
              <w:rPr>
                <w:sz w:val="18"/>
                <w:szCs w:val="18"/>
              </w:rPr>
              <w:t xml:space="preserve">One deployable plus workers</w:t>
            </w:r>
          </w:p>
        </w:tc>
        <w:tc>
          <w:tcPr>
            <w:tcW w:type="dxa" w:w="1728"/>
            <w:tcMar>
              <w:top w:type="dxa" w:w="70"/>
              <w:left w:type="dxa" w:w="100"/>
              <w:bottom w:type="dxa" w:w="70"/>
              <w:right w:type="dxa" w:w="100"/>
            </w:tcMar>
            <w:vAlign w:val="top"/>
          </w:tcPr>
          <w:p>
            <w:pPr>
              <w:spacing w:after="0" w:line="252" w:lineRule="auto"/>
            </w:pPr>
            <w:r>
              <w:rPr>
                <w:sz w:val="18"/>
                <w:szCs w:val="18"/>
              </w:rPr>
              <w:t xml:space="preserve">Plus satellite services</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ADR-04</w:t>
            </w:r>
          </w:p>
        </w:tc>
        <w:tc>
          <w:tcPr>
            <w:tcW w:type="dxa" w:w="3666"/>
            <w:tcMar>
              <w:top w:type="dxa" w:w="70"/>
              <w:left w:type="dxa" w:w="100"/>
              <w:bottom w:type="dxa" w:w="70"/>
              <w:right w:type="dxa" w:w="100"/>
            </w:tcMar>
            <w:vAlign w:val="top"/>
          </w:tcPr>
          <w:p>
            <w:pPr>
              <w:spacing w:after="0" w:line="252" w:lineRule="auto"/>
            </w:pPr>
            <w:r>
              <w:rPr>
                <w:sz w:val="18"/>
                <w:szCs w:val="18"/>
              </w:rPr>
              <w:t xml:space="preserve">Data: Aurora PostgreSQL, effective-dated, with history for assignment and compensation</w:t>
            </w:r>
          </w:p>
        </w:tc>
        <w:tc>
          <w:tcPr>
            <w:tcW w:type="dxa" w:w="1728"/>
            <w:tcMar>
              <w:top w:type="dxa" w:w="70"/>
              <w:left w:type="dxa" w:w="100"/>
              <w:bottom w:type="dxa" w:w="70"/>
              <w:right w:type="dxa" w:w="100"/>
            </w:tcMar>
            <w:vAlign w:val="top"/>
          </w:tcPr>
          <w:p>
            <w:pPr>
              <w:spacing w:after="0" w:line="252" w:lineRule="auto"/>
            </w:pPr>
            <w:r>
              <w:rPr>
                <w:sz w:val="18"/>
                <w:szCs w:val="18"/>
              </w:rPr>
              <w:t xml:space="preserve">Multi-AZ cluster</w:t>
            </w:r>
          </w:p>
        </w:tc>
        <w:tc>
          <w:tcPr>
            <w:tcW w:type="dxa" w:w="1728"/>
            <w:tcMar>
              <w:top w:type="dxa" w:w="70"/>
              <w:left w:type="dxa" w:w="100"/>
              <w:bottom w:type="dxa" w:w="70"/>
              <w:right w:type="dxa" w:w="100"/>
            </w:tcMar>
            <w:vAlign w:val="top"/>
          </w:tcPr>
          <w:p>
            <w:pPr>
              <w:spacing w:after="0" w:line="252" w:lineRule="auto"/>
            </w:pPr>
            <w:r>
              <w:rPr>
                <w:sz w:val="18"/>
                <w:szCs w:val="18"/>
              </w:rPr>
              <w:t xml:space="preserve">Read replicas, Global Database</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ADR-05</w:t>
            </w:r>
          </w:p>
        </w:tc>
        <w:tc>
          <w:tcPr>
            <w:tcW w:type="dxa" w:w="3666"/>
            <w:tcMar>
              <w:top w:type="dxa" w:w="70"/>
              <w:left w:type="dxa" w:w="100"/>
              <w:bottom w:type="dxa" w:w="70"/>
              <w:right w:type="dxa" w:w="100"/>
            </w:tcMar>
            <w:vAlign w:val="top"/>
          </w:tcPr>
          <w:p>
            <w:pPr>
              <w:spacing w:after="0" w:line="252" w:lineRule="auto"/>
            </w:pPr>
            <w:r>
              <w:rPr>
                <w:sz w:val="18"/>
                <w:szCs w:val="18"/>
              </w:rPr>
              <w:t xml:space="preserve">Async events: transactional outbox</w:t>
            </w:r>
          </w:p>
        </w:tc>
        <w:tc>
          <w:tcPr>
            <w:tcW w:type="dxa" w:w="1728"/>
            <w:tcMar>
              <w:top w:type="dxa" w:w="70"/>
              <w:left w:type="dxa" w:w="100"/>
              <w:bottom w:type="dxa" w:w="70"/>
              <w:right w:type="dxa" w:w="100"/>
            </w:tcMar>
            <w:vAlign w:val="top"/>
          </w:tcPr>
          <w:p>
            <w:pPr>
              <w:spacing w:after="0" w:line="252" w:lineRule="auto"/>
            </w:pPr>
            <w:r>
              <w:rPr>
                <w:sz w:val="18"/>
                <w:szCs w:val="18"/>
              </w:rPr>
              <w:t xml:space="preserve">Relay to Amazon SQS</w:t>
            </w:r>
          </w:p>
        </w:tc>
        <w:tc>
          <w:tcPr>
            <w:tcW w:type="dxa" w:w="1728"/>
            <w:tcMar>
              <w:top w:type="dxa" w:w="70"/>
              <w:left w:type="dxa" w:w="100"/>
              <w:bottom w:type="dxa" w:w="70"/>
              <w:right w:type="dxa" w:w="100"/>
            </w:tcMar>
            <w:vAlign w:val="top"/>
          </w:tcPr>
          <w:p>
            <w:pPr>
              <w:spacing w:after="0" w:line="252" w:lineRule="auto"/>
            </w:pPr>
            <w:r>
              <w:rPr>
                <w:sz w:val="18"/>
                <w:szCs w:val="18"/>
              </w:rPr>
              <w:t xml:space="preserve">Debezium to Kafka (MSK)</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ADR-06</w:t>
            </w:r>
          </w:p>
        </w:tc>
        <w:tc>
          <w:tcPr>
            <w:tcW w:type="dxa" w:w="3666"/>
            <w:tcMar>
              <w:top w:type="dxa" w:w="70"/>
              <w:left w:type="dxa" w:w="100"/>
              <w:bottom w:type="dxa" w:w="70"/>
              <w:right w:type="dxa" w:w="100"/>
            </w:tcMar>
            <w:vAlign w:val="top"/>
          </w:tcPr>
          <w:p>
            <w:pPr>
              <w:spacing w:after="0" w:line="252" w:lineRule="auto"/>
            </w:pPr>
            <w:r>
              <w:rPr>
                <w:sz w:val="18"/>
                <w:szCs w:val="18"/>
              </w:rPr>
              <w:t xml:space="preserve">Workflows: in-house approval engine</w:t>
            </w:r>
          </w:p>
        </w:tc>
        <w:tc>
          <w:tcPr>
            <w:tcW w:type="dxa" w:w="1728"/>
            <w:tcMar>
              <w:top w:type="dxa" w:w="70"/>
              <w:left w:type="dxa" w:w="100"/>
              <w:bottom w:type="dxa" w:w="70"/>
              <w:right w:type="dxa" w:w="100"/>
            </w:tcMar>
            <w:vAlign w:val="top"/>
          </w:tcPr>
          <w:p>
            <w:pPr>
              <w:spacing w:after="0" w:line="252" w:lineRule="auto"/>
            </w:pPr>
            <w:r>
              <w:rPr>
                <w:sz w:val="18"/>
                <w:szCs w:val="18"/>
              </w:rPr>
              <w:t xml:space="preserve">PostgreSQL + db-scheduler</w:t>
            </w:r>
          </w:p>
        </w:tc>
        <w:tc>
          <w:tcPr>
            <w:tcW w:type="dxa" w:w="1728"/>
            <w:tcMar>
              <w:top w:type="dxa" w:w="70"/>
              <w:left w:type="dxa" w:w="100"/>
              <w:bottom w:type="dxa" w:w="70"/>
              <w:right w:type="dxa" w:w="100"/>
            </w:tcMar>
            <w:vAlign w:val="top"/>
          </w:tcPr>
          <w:p>
            <w:pPr>
              <w:spacing w:after="0" w:line="252" w:lineRule="auto"/>
            </w:pPr>
            <w:r>
              <w:rPr>
                <w:sz w:val="18"/>
                <w:szCs w:val="18"/>
              </w:rPr>
              <w:t xml:space="preserve">Temporal, if triggered</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ADR-07</w:t>
            </w:r>
          </w:p>
        </w:tc>
        <w:tc>
          <w:tcPr>
            <w:tcW w:type="dxa" w:w="3666"/>
            <w:tcMar>
              <w:top w:type="dxa" w:w="70"/>
              <w:left w:type="dxa" w:w="100"/>
              <w:bottom w:type="dxa" w:w="70"/>
              <w:right w:type="dxa" w:w="100"/>
            </w:tcMar>
            <w:vAlign w:val="top"/>
          </w:tcPr>
          <w:p>
            <w:pPr>
              <w:spacing w:after="0" w:line="252" w:lineRule="auto"/>
            </w:pPr>
            <w:r>
              <w:rPr>
                <w:sz w:val="18"/>
                <w:szCs w:val="18"/>
              </w:rPr>
              <w:t xml:space="preserve">Identity: Keycloak plus our installation service</w:t>
            </w:r>
          </w:p>
        </w:tc>
        <w:tc>
          <w:tcPr>
            <w:tcW w:type="dxa" w:w="1728"/>
            <w:tcMar>
              <w:top w:type="dxa" w:w="70"/>
              <w:left w:type="dxa" w:w="100"/>
              <w:bottom w:type="dxa" w:w="70"/>
              <w:right w:type="dxa" w:w="100"/>
            </w:tcMar>
            <w:vAlign w:val="top"/>
          </w:tcPr>
          <w:p>
            <w:pPr>
              <w:spacing w:after="0" w:line="252" w:lineRule="auto"/>
            </w:pPr>
            <w:r>
              <w:rPr>
                <w:sz w:val="18"/>
                <w:szCs w:val="18"/>
              </w:rPr>
              <w:t xml:space="preserve">Chosen by proof of concept</w:t>
            </w:r>
          </w:p>
        </w:tc>
        <w:tc>
          <w:tcPr>
            <w:tcW w:type="dxa" w:w="1728"/>
            <w:tcMar>
              <w:top w:type="dxa" w:w="70"/>
              <w:left w:type="dxa" w:w="100"/>
              <w:bottom w:type="dxa" w:w="70"/>
              <w:right w:type="dxa" w:w="100"/>
            </w:tcMar>
            <w:vAlign w:val="top"/>
          </w:tcPr>
          <w:p>
            <w:pPr>
              <w:spacing w:after="0" w:line="252" w:lineRule="auto"/>
            </w:pPr>
            <w:r>
              <w:rPr>
                <w:sz w:val="18"/>
                <w:szCs w:val="18"/>
              </w:rPr>
              <w:t xml:space="preserve">Same</w:t>
            </w:r>
          </w:p>
        </w:tc>
        <w:tc>
          <w:tcPr>
            <w:tcW w:type="dxa" w:w="1521"/>
            <w:tcMar>
              <w:top w:type="dxa" w:w="70"/>
              <w:left w:type="dxa" w:w="100"/>
              <w:bottom w:type="dxa" w:w="70"/>
              <w:right w:type="dxa" w:w="100"/>
            </w:tcMar>
            <w:vAlign w:val="top"/>
          </w:tcPr>
          <w:p>
            <w:pPr>
              <w:spacing w:after="0" w:line="252" w:lineRule="auto"/>
            </w:pPr>
            <w:r>
              <w:rPr>
                <w:sz w:val="18"/>
                <w:szCs w:val="18"/>
              </w:rPr>
              <w:t xml:space="preserve">Pending PoC</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ADR-08</w:t>
            </w:r>
          </w:p>
        </w:tc>
        <w:tc>
          <w:tcPr>
            <w:tcW w:type="dxa" w:w="3666"/>
            <w:tcMar>
              <w:top w:type="dxa" w:w="70"/>
              <w:left w:type="dxa" w:w="100"/>
              <w:bottom w:type="dxa" w:w="70"/>
              <w:right w:type="dxa" w:w="100"/>
            </w:tcMar>
            <w:vAlign w:val="top"/>
          </w:tcPr>
          <w:p>
            <w:pPr>
              <w:spacing w:after="0" w:line="252" w:lineRule="auto"/>
            </w:pPr>
            <w:r>
              <w:rPr>
                <w:sz w:val="18"/>
                <w:szCs w:val="18"/>
              </w:rPr>
              <w:t xml:space="preserve">Authorization: roles × data scopes × data classes × conditions, compiled to SQL; synchronous revocation</w:t>
            </w:r>
          </w:p>
        </w:tc>
        <w:tc>
          <w:tcPr>
            <w:tcW w:type="dxa" w:w="1728"/>
            <w:tcMar>
              <w:top w:type="dxa" w:w="70"/>
              <w:left w:type="dxa" w:w="100"/>
              <w:bottom w:type="dxa" w:w="70"/>
              <w:right w:type="dxa" w:w="100"/>
            </w:tcMar>
            <w:vAlign w:val="top"/>
          </w:tcPr>
          <w:p>
            <w:pPr>
              <w:spacing w:after="0" w:line="252" w:lineRule="auto"/>
            </w:pPr>
            <w:r>
              <w:rPr>
                <w:sz w:val="18"/>
                <w:szCs w:val="18"/>
              </w:rPr>
              <w:t xml:space="preserve">Same</w:t>
            </w:r>
          </w:p>
        </w:tc>
        <w:tc>
          <w:tcPr>
            <w:tcW w:type="dxa" w:w="1728"/>
            <w:tcMar>
              <w:top w:type="dxa" w:w="70"/>
              <w:left w:type="dxa" w:w="100"/>
              <w:bottom w:type="dxa" w:w="70"/>
              <w:right w:type="dxa" w:w="100"/>
            </w:tcMar>
            <w:vAlign w:val="top"/>
          </w:tcPr>
          <w:p>
            <w:pPr>
              <w:spacing w:after="0" w:line="252" w:lineRule="auto"/>
            </w:pPr>
            <w:r>
              <w:rPr>
                <w:sz w:val="18"/>
                <w:szCs w:val="18"/>
              </w:rPr>
              <w:t xml:space="preserve">Same</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ADR-09</w:t>
            </w:r>
          </w:p>
        </w:tc>
        <w:tc>
          <w:tcPr>
            <w:tcW w:type="dxa" w:w="3666"/>
            <w:tcMar>
              <w:top w:type="dxa" w:w="70"/>
              <w:left w:type="dxa" w:w="100"/>
              <w:bottom w:type="dxa" w:w="70"/>
              <w:right w:type="dxa" w:w="100"/>
            </w:tcMar>
            <w:vAlign w:val="top"/>
          </w:tcPr>
          <w:p>
            <w:pPr>
              <w:spacing w:after="0" w:line="252" w:lineRule="auto"/>
            </w:pPr>
            <w:r>
              <w:rPr>
                <w:sz w:val="18"/>
                <w:szCs w:val="18"/>
              </w:rPr>
              <w:t xml:space="preserve">API: REST, OpenAPI 3.1, contract-first, worker-level IDs; Kong gateway</w:t>
            </w:r>
          </w:p>
        </w:tc>
        <w:tc>
          <w:tcPr>
            <w:tcW w:type="dxa" w:w="1728"/>
            <w:tcMar>
              <w:top w:type="dxa" w:w="70"/>
              <w:left w:type="dxa" w:w="100"/>
              <w:bottom w:type="dxa" w:w="70"/>
              <w:right w:type="dxa" w:w="100"/>
            </w:tcMar>
            <w:vAlign w:val="top"/>
          </w:tcPr>
          <w:p>
            <w:pPr>
              <w:spacing w:after="0" w:line="252" w:lineRule="auto"/>
            </w:pPr>
            <w:r>
              <w:rPr>
                <w:sz w:val="18"/>
                <w:szCs w:val="18"/>
              </w:rPr>
              <w:t xml:space="preserve">Kong OSS + our plugin</w:t>
            </w:r>
          </w:p>
        </w:tc>
        <w:tc>
          <w:tcPr>
            <w:tcW w:type="dxa" w:w="1728"/>
            <w:tcMar>
              <w:top w:type="dxa" w:w="70"/>
              <w:left w:type="dxa" w:w="100"/>
              <w:bottom w:type="dxa" w:w="70"/>
              <w:right w:type="dxa" w:w="100"/>
            </w:tcMar>
            <w:vAlign w:val="top"/>
          </w:tcPr>
          <w:p>
            <w:pPr>
              <w:spacing w:after="0" w:line="252" w:lineRule="auto"/>
            </w:pPr>
            <w:r>
              <w:rPr>
                <w:sz w:val="18"/>
                <w:szCs w:val="18"/>
              </w:rPr>
              <w:t xml:space="preserve">Kong Enterprise, if needed</w:t>
            </w:r>
          </w:p>
        </w:tc>
        <w:tc>
          <w:tcPr>
            <w:tcW w:type="dxa" w:w="1521"/>
            <w:tcMar>
              <w:top w:type="dxa" w:w="70"/>
              <w:left w:type="dxa" w:w="100"/>
              <w:bottom w:type="dxa" w:w="70"/>
              <w:right w:type="dxa" w:w="100"/>
            </w:tcMar>
            <w:vAlign w:val="top"/>
          </w:tcPr>
          <w:p>
            <w:pPr>
              <w:spacing w:after="0" w:line="252" w:lineRule="auto"/>
            </w:pPr>
            <w:r>
              <w:rPr>
                <w:sz w:val="18"/>
                <w:szCs w:val="18"/>
              </w:rPr>
              <w:t xml:space="preserve">Pending PoC</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ADR-10</w:t>
            </w:r>
          </w:p>
        </w:tc>
        <w:tc>
          <w:tcPr>
            <w:tcW w:type="dxa" w:w="3666"/>
            <w:tcMar>
              <w:top w:type="dxa" w:w="70"/>
              <w:left w:type="dxa" w:w="100"/>
              <w:bottom w:type="dxa" w:w="70"/>
              <w:right w:type="dxa" w:w="100"/>
            </w:tcMar>
            <w:vAlign w:val="top"/>
          </w:tcPr>
          <w:p>
            <w:pPr>
              <w:spacing w:after="0" w:line="252" w:lineRule="auto"/>
            </w:pPr>
            <w:r>
              <w:rPr>
                <w:sz w:val="18"/>
                <w:szCs w:val="18"/>
              </w:rPr>
              <w:t xml:space="preserve">Sync: thin signed webhooks, opt-in directory fields, change feed</w:t>
            </w:r>
          </w:p>
        </w:tc>
        <w:tc>
          <w:tcPr>
            <w:tcW w:type="dxa" w:w="1728"/>
            <w:tcMar>
              <w:top w:type="dxa" w:w="70"/>
              <w:left w:type="dxa" w:w="100"/>
              <w:bottom w:type="dxa" w:w="70"/>
              <w:right w:type="dxa" w:w="100"/>
            </w:tcMar>
            <w:vAlign w:val="top"/>
          </w:tcPr>
          <w:p>
            <w:pPr>
              <w:spacing w:after="0" w:line="252" w:lineRule="auto"/>
            </w:pPr>
            <w:r>
              <w:rPr>
                <w:sz w:val="18"/>
                <w:szCs w:val="18"/>
              </w:rPr>
              <w:t xml:space="preserve">In-house dispatcher</w:t>
            </w:r>
          </w:p>
        </w:tc>
        <w:tc>
          <w:tcPr>
            <w:tcW w:type="dxa" w:w="1728"/>
            <w:tcMar>
              <w:top w:type="dxa" w:w="70"/>
              <w:left w:type="dxa" w:w="100"/>
              <w:bottom w:type="dxa" w:w="70"/>
              <w:right w:type="dxa" w:w="100"/>
            </w:tcMar>
            <w:vAlign w:val="top"/>
          </w:tcPr>
          <w:p>
            <w:pPr>
              <w:spacing w:after="0" w:line="252" w:lineRule="auto"/>
            </w:pPr>
            <w:r>
              <w:rPr>
                <w:sz w:val="18"/>
                <w:szCs w:val="18"/>
              </w:rPr>
              <w:t xml:space="preserve">Svix, if needed</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ADR-11</w:t>
            </w:r>
          </w:p>
        </w:tc>
        <w:tc>
          <w:tcPr>
            <w:tcW w:type="dxa" w:w="3666"/>
            <w:tcMar>
              <w:top w:type="dxa" w:w="70"/>
              <w:left w:type="dxa" w:w="100"/>
              <w:bottom w:type="dxa" w:w="70"/>
              <w:right w:type="dxa" w:w="100"/>
            </w:tcMar>
            <w:vAlign w:val="top"/>
          </w:tcPr>
          <w:p>
            <w:pPr>
              <w:spacing w:after="0" w:line="252" w:lineRule="auto"/>
            </w:pPr>
            <w:r>
              <w:rPr>
                <w:sz w:val="18"/>
                <w:szCs w:val="18"/>
              </w:rPr>
              <w:t xml:space="preserve">Clients: React SPA behind a BFF; React Native app</w:t>
            </w:r>
          </w:p>
        </w:tc>
        <w:tc>
          <w:tcPr>
            <w:tcW w:type="dxa" w:w="1728"/>
            <w:tcMar>
              <w:top w:type="dxa" w:w="70"/>
              <w:left w:type="dxa" w:w="100"/>
              <w:bottom w:type="dxa" w:w="70"/>
              <w:right w:type="dxa" w:w="100"/>
            </w:tcMar>
            <w:vAlign w:val="top"/>
          </w:tcPr>
          <w:p>
            <w:pPr>
              <w:spacing w:after="0" w:line="252" w:lineRule="auto"/>
            </w:pPr>
            <w:r>
              <w:rPr>
                <w:sz w:val="18"/>
                <w:szCs w:val="18"/>
              </w:rPr>
              <w:t xml:space="preserve">Same</w:t>
            </w:r>
          </w:p>
        </w:tc>
        <w:tc>
          <w:tcPr>
            <w:tcW w:type="dxa" w:w="1728"/>
            <w:tcMar>
              <w:top w:type="dxa" w:w="70"/>
              <w:left w:type="dxa" w:w="100"/>
              <w:bottom w:type="dxa" w:w="70"/>
              <w:right w:type="dxa" w:w="100"/>
            </w:tcMar>
            <w:vAlign w:val="top"/>
          </w:tcPr>
          <w:p>
            <w:pPr>
              <w:spacing w:after="0" w:line="252" w:lineRule="auto"/>
            </w:pPr>
            <w:r>
              <w:rPr>
                <w:sz w:val="18"/>
                <w:szCs w:val="18"/>
              </w:rPr>
              <w:t xml:space="preserve">White-label builds</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ADR-12</w:t>
            </w:r>
          </w:p>
        </w:tc>
        <w:tc>
          <w:tcPr>
            <w:tcW w:type="dxa" w:w="3666"/>
            <w:tcMar>
              <w:top w:type="dxa" w:w="70"/>
              <w:left w:type="dxa" w:w="100"/>
              <w:bottom w:type="dxa" w:w="70"/>
              <w:right w:type="dxa" w:w="100"/>
            </w:tcMar>
            <w:vAlign w:val="top"/>
          </w:tcPr>
          <w:p>
            <w:pPr>
              <w:spacing w:after="0" w:line="252" w:lineRule="auto"/>
            </w:pPr>
            <w:r>
              <w:rPr>
                <w:sz w:val="18"/>
                <w:szCs w:val="18"/>
              </w:rPr>
              <w:t xml:space="preserve">Analytics: one set of metric definitions</w:t>
            </w:r>
          </w:p>
        </w:tc>
        <w:tc>
          <w:tcPr>
            <w:tcW w:type="dxa" w:w="1728"/>
            <w:tcMar>
              <w:top w:type="dxa" w:w="70"/>
              <w:left w:type="dxa" w:w="100"/>
              <w:bottom w:type="dxa" w:w="70"/>
              <w:right w:type="dxa" w:w="100"/>
            </w:tcMar>
            <w:vAlign w:val="top"/>
          </w:tcPr>
          <w:p>
            <w:pPr>
              <w:spacing w:after="0" w:line="252" w:lineRule="auto"/>
            </w:pPr>
            <w:r>
              <w:rPr>
                <w:sz w:val="18"/>
                <w:szCs w:val="18"/>
              </w:rPr>
              <w:t xml:space="preserve">Replica, views, snapshots</w:t>
            </w:r>
          </w:p>
        </w:tc>
        <w:tc>
          <w:tcPr>
            <w:tcW w:type="dxa" w:w="1728"/>
            <w:tcMar>
              <w:top w:type="dxa" w:w="70"/>
              <w:left w:type="dxa" w:w="100"/>
              <w:bottom w:type="dxa" w:w="70"/>
              <w:right w:type="dxa" w:w="100"/>
            </w:tcMar>
            <w:vAlign w:val="top"/>
          </w:tcPr>
          <w:p>
            <w:pPr>
              <w:spacing w:after="0" w:line="252" w:lineRule="auto"/>
            </w:pPr>
            <w:r>
              <w:rPr>
                <w:sz w:val="18"/>
                <w:szCs w:val="18"/>
              </w:rPr>
              <w:t xml:space="preserve">ClickHouse + Cube</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ADR-13</w:t>
            </w:r>
          </w:p>
        </w:tc>
        <w:tc>
          <w:tcPr>
            <w:tcW w:type="dxa" w:w="3666"/>
            <w:tcMar>
              <w:top w:type="dxa" w:w="70"/>
              <w:left w:type="dxa" w:w="100"/>
              <w:bottom w:type="dxa" w:w="70"/>
              <w:right w:type="dxa" w:w="100"/>
            </w:tcMar>
            <w:vAlign w:val="top"/>
          </w:tcPr>
          <w:p>
            <w:pPr>
              <w:spacing w:after="0" w:line="252" w:lineRule="auto"/>
            </w:pPr>
            <w:r>
              <w:rPr>
                <w:sz w:val="18"/>
                <w:szCs w:val="18"/>
              </w:rPr>
              <w:t xml:space="preserve">Observability: OpenTelemetry</w:t>
            </w:r>
          </w:p>
        </w:tc>
        <w:tc>
          <w:tcPr>
            <w:tcW w:type="dxa" w:w="1728"/>
            <w:tcMar>
              <w:top w:type="dxa" w:w="70"/>
              <w:left w:type="dxa" w:w="100"/>
              <w:bottom w:type="dxa" w:w="70"/>
              <w:right w:type="dxa" w:w="100"/>
            </w:tcMar>
            <w:vAlign w:val="top"/>
          </w:tcPr>
          <w:p>
            <w:pPr>
              <w:spacing w:after="0" w:line="252" w:lineRule="auto"/>
            </w:pPr>
            <w:r>
              <w:rPr>
                <w:sz w:val="18"/>
                <w:szCs w:val="18"/>
              </w:rPr>
              <w:t xml:space="preserve">AWS managed Prometheus and Grafana</w:t>
            </w:r>
          </w:p>
        </w:tc>
        <w:tc>
          <w:tcPr>
            <w:tcW w:type="dxa" w:w="1728"/>
            <w:tcMar>
              <w:top w:type="dxa" w:w="70"/>
              <w:left w:type="dxa" w:w="100"/>
              <w:bottom w:type="dxa" w:w="70"/>
              <w:right w:type="dxa" w:w="100"/>
            </w:tcMar>
            <w:vAlign w:val="top"/>
          </w:tcPr>
          <w:p>
            <w:pPr>
              <w:spacing w:after="0" w:line="252" w:lineRule="auto"/>
            </w:pPr>
            <w:r>
              <w:rPr>
                <w:sz w:val="18"/>
                <w:szCs w:val="18"/>
              </w:rPr>
              <w:t xml:space="preserve">Self-hosted Grafana stack</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ADR-14</w:t>
            </w:r>
          </w:p>
        </w:tc>
        <w:tc>
          <w:tcPr>
            <w:tcW w:type="dxa" w:w="3666"/>
            <w:tcMar>
              <w:top w:type="dxa" w:w="70"/>
              <w:left w:type="dxa" w:w="100"/>
              <w:bottom w:type="dxa" w:w="70"/>
              <w:right w:type="dxa" w:w="100"/>
            </w:tcMar>
            <w:vAlign w:val="top"/>
          </w:tcPr>
          <w:p>
            <w:pPr>
              <w:spacing w:after="0" w:line="252" w:lineRule="auto"/>
            </w:pPr>
            <w:r>
              <w:rPr>
                <w:sz w:val="18"/>
                <w:szCs w:val="18"/>
              </w:rPr>
              <w:t xml:space="preserve">Delivery: GitHub Actions, Argo CD and Rollouts, Terraform</w:t>
            </w:r>
          </w:p>
        </w:tc>
        <w:tc>
          <w:tcPr>
            <w:tcW w:type="dxa" w:w="1728"/>
            <w:tcMar>
              <w:top w:type="dxa" w:w="70"/>
              <w:left w:type="dxa" w:w="100"/>
              <w:bottom w:type="dxa" w:w="70"/>
              <w:right w:type="dxa" w:w="100"/>
            </w:tcMar>
            <w:vAlign w:val="top"/>
          </w:tcPr>
          <w:p>
            <w:pPr>
              <w:spacing w:after="0" w:line="252" w:lineRule="auto"/>
            </w:pPr>
            <w:r>
              <w:rPr>
                <w:sz w:val="18"/>
                <w:szCs w:val="18"/>
              </w:rPr>
              <w:t xml:space="preserve">Same</w:t>
            </w:r>
          </w:p>
        </w:tc>
        <w:tc>
          <w:tcPr>
            <w:tcW w:type="dxa" w:w="1728"/>
            <w:tcMar>
              <w:top w:type="dxa" w:w="70"/>
              <w:left w:type="dxa" w:w="100"/>
              <w:bottom w:type="dxa" w:w="70"/>
              <w:right w:type="dxa" w:w="100"/>
            </w:tcMar>
            <w:vAlign w:val="top"/>
          </w:tcPr>
          <w:p>
            <w:pPr>
              <w:spacing w:after="0" w:line="252" w:lineRule="auto"/>
            </w:pPr>
            <w:r>
              <w:rPr>
                <w:sz w:val="18"/>
                <w:szCs w:val="18"/>
              </w:rPr>
              <w:t xml:space="preserve">Same</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ADR-15</w:t>
            </w:r>
          </w:p>
        </w:tc>
        <w:tc>
          <w:tcPr>
            <w:tcW w:type="dxa" w:w="3666"/>
            <w:tcMar>
              <w:top w:type="dxa" w:w="70"/>
              <w:left w:type="dxa" w:w="100"/>
              <w:bottom w:type="dxa" w:w="70"/>
              <w:right w:type="dxa" w:w="100"/>
            </w:tcMar>
            <w:vAlign w:val="top"/>
          </w:tcPr>
          <w:p>
            <w:pPr>
              <w:spacing w:after="0" w:line="252" w:lineRule="auto"/>
            </w:pPr>
            <w:r>
              <w:rPr>
                <w:sz w:val="18"/>
                <w:szCs w:val="18"/>
              </w:rPr>
              <w:t xml:space="preserve">Billing: Chargebee + Razorpay; usage from gateway logs</w:t>
            </w:r>
          </w:p>
        </w:tc>
        <w:tc>
          <w:tcPr>
            <w:tcW w:type="dxa" w:w="1728"/>
            <w:tcMar>
              <w:top w:type="dxa" w:w="70"/>
              <w:left w:type="dxa" w:w="100"/>
              <w:bottom w:type="dxa" w:w="70"/>
              <w:right w:type="dxa" w:w="100"/>
            </w:tcMar>
            <w:vAlign w:val="top"/>
          </w:tcPr>
          <w:p>
            <w:pPr>
              <w:spacing w:after="0" w:line="252" w:lineRule="auto"/>
            </w:pPr>
            <w:r>
              <w:rPr>
                <w:sz w:val="18"/>
                <w:szCs w:val="18"/>
              </w:rPr>
              <w:t xml:space="preserve">Same</w:t>
            </w:r>
          </w:p>
        </w:tc>
        <w:tc>
          <w:tcPr>
            <w:tcW w:type="dxa" w:w="1728"/>
            <w:tcMar>
              <w:top w:type="dxa" w:w="70"/>
              <w:left w:type="dxa" w:w="100"/>
              <w:bottom w:type="dxa" w:w="70"/>
              <w:right w:type="dxa" w:w="100"/>
            </w:tcMar>
            <w:vAlign w:val="top"/>
          </w:tcPr>
          <w:p>
            <w:pPr>
              <w:spacing w:after="0" w:line="252" w:lineRule="auto"/>
            </w:pPr>
            <w:r>
              <w:rPr>
                <w:sz w:val="18"/>
                <w:szCs w:val="18"/>
              </w:rPr>
              <w:t xml:space="preserve">AWS Marketplace</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ADR-16</w:t>
            </w:r>
          </w:p>
        </w:tc>
        <w:tc>
          <w:tcPr>
            <w:tcW w:type="dxa" w:w="3666"/>
            <w:tcMar>
              <w:top w:type="dxa" w:w="70"/>
              <w:left w:type="dxa" w:w="100"/>
              <w:bottom w:type="dxa" w:w="70"/>
              <w:right w:type="dxa" w:w="100"/>
            </w:tcMar>
            <w:vAlign w:val="top"/>
          </w:tcPr>
          <w:p>
            <w:pPr>
              <w:spacing w:after="0" w:line="252" w:lineRule="auto"/>
            </w:pPr>
            <w:r>
              <w:rPr>
                <w:sz w:val="18"/>
                <w:szCs w:val="18"/>
              </w:rPr>
              <w:t xml:space="preserve">Master data: ownership per field group; integration mode</w:t>
            </w:r>
          </w:p>
        </w:tc>
        <w:tc>
          <w:tcPr>
            <w:tcW w:type="dxa" w:w="1728"/>
            <w:tcMar>
              <w:top w:type="dxa" w:w="70"/>
              <w:left w:type="dxa" w:w="100"/>
              <w:bottom w:type="dxa" w:w="70"/>
              <w:right w:type="dxa" w:w="100"/>
            </w:tcMar>
            <w:vAlign w:val="top"/>
          </w:tcPr>
          <w:p>
            <w:pPr>
              <w:spacing w:after="0" w:line="252" w:lineRule="auto"/>
            </w:pPr>
            <w:r>
              <w:rPr>
                <w:sz w:val="18"/>
                <w:szCs w:val="18"/>
              </w:rPr>
              <w:t xml:space="preserve">HRMS-owned by default</w:t>
            </w:r>
          </w:p>
        </w:tc>
        <w:tc>
          <w:tcPr>
            <w:tcW w:type="dxa" w:w="1728"/>
            <w:tcMar>
              <w:top w:type="dxa" w:w="70"/>
              <w:left w:type="dxa" w:w="100"/>
              <w:bottom w:type="dxa" w:w="70"/>
              <w:right w:type="dxa" w:w="100"/>
            </w:tcMar>
            <w:vAlign w:val="top"/>
          </w:tcPr>
          <w:p>
            <w:pPr>
              <w:spacing w:after="0" w:line="252" w:lineRule="auto"/>
            </w:pPr>
            <w:r>
              <w:rPr>
                <w:sz w:val="18"/>
                <w:szCs w:val="18"/>
              </w:rPr>
              <w:t xml:space="preserve">Per tenant</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r>
        <w:trPr>
          <w:cantSplit/>
          <w:tblHeader w:val="false"/>
        </w:trPr>
        <w:tc>
          <w:tcPr>
            <w:tcW w:type="dxa" w:w="995"/>
            <w:tcMar>
              <w:top w:type="dxa" w:w="70"/>
              <w:left w:type="dxa" w:w="100"/>
              <w:bottom w:type="dxa" w:w="70"/>
              <w:right w:type="dxa" w:w="100"/>
            </w:tcMar>
            <w:vAlign w:val="top"/>
          </w:tcPr>
          <w:p>
            <w:pPr>
              <w:spacing w:after="0" w:line="252" w:lineRule="auto"/>
            </w:pPr>
            <w:r>
              <w:rPr>
                <w:sz w:val="18"/>
                <w:szCs w:val="18"/>
              </w:rPr>
              <w:t xml:space="preserve">ADR-17</w:t>
            </w:r>
          </w:p>
        </w:tc>
        <w:tc>
          <w:tcPr>
            <w:tcW w:type="dxa" w:w="3666"/>
            <w:tcMar>
              <w:top w:type="dxa" w:w="70"/>
              <w:left w:type="dxa" w:w="100"/>
              <w:bottom w:type="dxa" w:w="70"/>
              <w:right w:type="dxa" w:w="100"/>
            </w:tcMar>
            <w:vAlign w:val="top"/>
          </w:tcPr>
          <w:p>
            <w:pPr>
              <w:spacing w:after="0" w:line="252" w:lineRule="auto"/>
            </w:pPr>
            <w:r>
              <w:rPr>
                <w:sz w:val="18"/>
                <w:szCs w:val="18"/>
              </w:rPr>
              <w:t xml:space="preserve">Portability: every cell dependency has a portable equivalent</w:t>
            </w:r>
          </w:p>
        </w:tc>
        <w:tc>
          <w:tcPr>
            <w:tcW w:type="dxa" w:w="1728"/>
            <w:tcMar>
              <w:top w:type="dxa" w:w="70"/>
              <w:left w:type="dxa" w:w="100"/>
              <w:bottom w:type="dxa" w:w="70"/>
              <w:right w:type="dxa" w:w="100"/>
            </w:tcMar>
            <w:vAlign w:val="top"/>
          </w:tcPr>
          <w:p>
            <w:pPr>
              <w:spacing w:after="0" w:line="252" w:lineRule="auto"/>
            </w:pPr>
            <w:r>
              <w:rPr>
                <w:sz w:val="18"/>
                <w:szCs w:val="18"/>
              </w:rPr>
              <w:t xml:space="preserve">Kept in adapters</w:t>
            </w:r>
          </w:p>
        </w:tc>
        <w:tc>
          <w:tcPr>
            <w:tcW w:type="dxa" w:w="1728"/>
            <w:tcMar>
              <w:top w:type="dxa" w:w="70"/>
              <w:left w:type="dxa" w:w="100"/>
              <w:bottom w:type="dxa" w:w="70"/>
              <w:right w:type="dxa" w:w="100"/>
            </w:tcMar>
            <w:vAlign w:val="top"/>
          </w:tcPr>
          <w:p>
            <w:pPr>
              <w:spacing w:after="0" w:line="252" w:lineRule="auto"/>
            </w:pPr>
            <w:r>
              <w:rPr>
                <w:sz w:val="18"/>
                <w:szCs w:val="18"/>
              </w:rPr>
              <w:t xml:space="preserve">Private cells</w:t>
            </w:r>
          </w:p>
        </w:tc>
        <w:tc>
          <w:tcPr>
            <w:tcW w:type="dxa" w:w="1521"/>
            <w:tcMar>
              <w:top w:type="dxa" w:w="70"/>
              <w:left w:type="dxa" w:w="100"/>
              <w:bottom w:type="dxa" w:w="70"/>
              <w:right w:type="dxa" w:w="100"/>
            </w:tcMar>
            <w:vAlign w:val="top"/>
          </w:tcPr>
          <w:p>
            <w:pPr>
              <w:spacing w:after="0" w:line="252" w:lineRule="auto"/>
            </w:pPr>
            <w:r>
              <w:rPr>
                <w:sz w:val="18"/>
                <w:szCs w:val="18"/>
              </w:rPr>
              <w:t xml:space="preserve">Recommended</w:t>
            </w:r>
          </w:p>
        </w:tc>
      </w:tr>
    </w:tbl>
    <w:p>
      <w:pPr>
        <w:spacing w:after="160"/>
      </w:pPr>
    </w:p>
    <w:p>
      <w:pPr>
        <w:pStyle w:val="Heading2"/>
      </w:pPr>
      <w:bookmarkStart w:id="8007" w:name="_Toc900007"/>
      <w:r>
        <w:t xml:space="preserve">1.4 Technology stack at a glance</w:t>
      </w:r>
      <w:bookmarkEnd w:id="8007"/>
    </w:p>
    <w:p>
      <w:pPr>
        <w:keepNext/>
        <w:spacing w:after="80" w:before="120"/>
      </w:pPr>
      <w:r>
        <w:rPr>
          <w:b/>
          <w:bCs/>
          <w:color w:val="4F5E67"/>
          <w:sz w:val="18"/>
          <w:szCs w:val="18"/>
        </w:rPr>
        <w:t xml:space="preserve">Table 4. Stack summary (full detail in section 14)</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606"/>
        <w:gridCol w:w="4589"/>
        <w:gridCol w:w="3443"/>
      </w:tblGrid>
      <w:tr>
        <w:trPr>
          <w:cantSplit/>
          <w:tblHeader/>
        </w:trPr>
        <w:tc>
          <w:tcPr>
            <w:tcW w:type="dxa" w:w="160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Layer</w:t>
            </w:r>
          </w:p>
        </w:tc>
        <w:tc>
          <w:tcPr>
            <w:tcW w:type="dxa" w:w="458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Use at launch</w:t>
            </w:r>
          </w:p>
        </w:tc>
        <w:tc>
          <w:tcPr>
            <w:tcW w:type="dxa" w:w="344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Add when triggered</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Cloud</w:t>
            </w:r>
          </w:p>
        </w:tc>
        <w:tc>
          <w:tcPr>
            <w:tcW w:type="dxa" w:w="4589"/>
            <w:tcMar>
              <w:top w:type="dxa" w:w="70"/>
              <w:left w:type="dxa" w:w="100"/>
              <w:bottom w:type="dxa" w:w="70"/>
              <w:right w:type="dxa" w:w="100"/>
            </w:tcMar>
            <w:vAlign w:val="top"/>
          </w:tcPr>
          <w:p>
            <w:pPr>
              <w:spacing w:after="0" w:line="252" w:lineRule="auto"/>
            </w:pPr>
            <w:r>
              <w:rPr>
                <w:sz w:val="18"/>
                <w:szCs w:val="18"/>
              </w:rPr>
              <w:t xml:space="preserve">AWS Mumbai (ap-south-1); DR in Hyderabad (ap-south-2)</w:t>
            </w:r>
          </w:p>
        </w:tc>
        <w:tc>
          <w:tcPr>
            <w:tcW w:type="dxa" w:w="3443"/>
            <w:tcMar>
              <w:top w:type="dxa" w:w="70"/>
              <w:left w:type="dxa" w:w="100"/>
              <w:bottom w:type="dxa" w:w="70"/>
              <w:right w:type="dxa" w:w="100"/>
            </w:tcMar>
            <w:vAlign w:val="top"/>
          </w:tcPr>
          <w:p>
            <w:pPr>
              <w:spacing w:after="0" w:line="252" w:lineRule="auto"/>
            </w:pPr>
            <w:r>
              <w:rPr>
                <w:sz w:val="18"/>
                <w:szCs w:val="18"/>
              </w:rPr>
              <w:t xml:space="preserve">More cells; other regions for residency</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Backend</w:t>
            </w:r>
          </w:p>
        </w:tc>
        <w:tc>
          <w:tcPr>
            <w:tcW w:type="dxa" w:w="4589"/>
            <w:tcMar>
              <w:top w:type="dxa" w:w="70"/>
              <w:left w:type="dxa" w:w="100"/>
              <w:bottom w:type="dxa" w:w="70"/>
              <w:right w:type="dxa" w:w="100"/>
            </w:tcMar>
            <w:vAlign w:val="top"/>
          </w:tcPr>
          <w:p>
            <w:pPr>
              <w:spacing w:after="0" w:line="252" w:lineRule="auto"/>
            </w:pPr>
            <w:r>
              <w:rPr>
                <w:sz w:val="18"/>
                <w:szCs w:val="18"/>
              </w:rPr>
              <w:t xml:space="preserve">Java 21 LTS, Spring Boot, Spring Modulith, jOOQ, Flyway</w:t>
            </w:r>
          </w:p>
        </w:tc>
        <w:tc>
          <w:tcPr>
            <w:tcW w:type="dxa" w:w="3443"/>
            <w:tcMar>
              <w:top w:type="dxa" w:w="70"/>
              <w:left w:type="dxa" w:w="100"/>
              <w:bottom w:type="dxa" w:w="70"/>
              <w:right w:type="dxa" w:w="100"/>
            </w:tcMar>
            <w:vAlign w:val="top"/>
          </w:tcPr>
          <w:p>
            <w:pPr>
              <w:spacing w:after="0" w:line="252" w:lineRule="auto"/>
            </w:pPr>
            <w:r>
              <w:rPr>
                <w:sz w:val="18"/>
                <w:szCs w:val="18"/>
              </w:rPr>
              <w:t xml:space="preserve">Satellite services on the same stack</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Database</w:t>
            </w:r>
          </w:p>
        </w:tc>
        <w:tc>
          <w:tcPr>
            <w:tcW w:type="dxa" w:w="4589"/>
            <w:tcMar>
              <w:top w:type="dxa" w:w="70"/>
              <w:left w:type="dxa" w:w="100"/>
              <w:bottom w:type="dxa" w:w="70"/>
              <w:right w:type="dxa" w:w="100"/>
            </w:tcMar>
            <w:vAlign w:val="top"/>
          </w:tcPr>
          <w:p>
            <w:pPr>
              <w:spacing w:after="0" w:line="252" w:lineRule="auto"/>
            </w:pPr>
            <w:r>
              <w:rPr>
                <w:sz w:val="18"/>
                <w:szCs w:val="18"/>
              </w:rPr>
              <w:t xml:space="preserve">Aurora PostgreSQL 16+ with RLS; PgBouncer</w:t>
            </w:r>
          </w:p>
        </w:tc>
        <w:tc>
          <w:tcPr>
            <w:tcW w:type="dxa" w:w="3443"/>
            <w:tcMar>
              <w:top w:type="dxa" w:w="70"/>
              <w:left w:type="dxa" w:w="100"/>
              <w:bottom w:type="dxa" w:w="70"/>
              <w:right w:type="dxa" w:w="100"/>
            </w:tcMar>
            <w:vAlign w:val="top"/>
          </w:tcPr>
          <w:p>
            <w:pPr>
              <w:spacing w:after="0" w:line="252" w:lineRule="auto"/>
            </w:pPr>
            <w:r>
              <w:rPr>
                <w:sz w:val="18"/>
                <w:szCs w:val="18"/>
              </w:rPr>
              <w:t xml:space="preserve">Dedicated clusters; warm Global Database</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Async and jobs</w:t>
            </w:r>
          </w:p>
        </w:tc>
        <w:tc>
          <w:tcPr>
            <w:tcW w:type="dxa" w:w="4589"/>
            <w:tcMar>
              <w:top w:type="dxa" w:w="70"/>
              <w:left w:type="dxa" w:w="100"/>
              <w:bottom w:type="dxa" w:w="70"/>
              <w:right w:type="dxa" w:w="100"/>
            </w:tcMar>
            <w:vAlign w:val="top"/>
          </w:tcPr>
          <w:p>
            <w:pPr>
              <w:spacing w:after="0" w:line="252" w:lineRule="auto"/>
            </w:pPr>
            <w:r>
              <w:rPr>
                <w:sz w:val="18"/>
                <w:szCs w:val="18"/>
              </w:rPr>
              <w:t xml:space="preserve">Outbox → Amazon SQS; db-scheduler; in-house approval engine</w:t>
            </w:r>
          </w:p>
        </w:tc>
        <w:tc>
          <w:tcPr>
            <w:tcW w:type="dxa" w:w="3443"/>
            <w:tcMar>
              <w:top w:type="dxa" w:w="70"/>
              <w:left w:type="dxa" w:w="100"/>
              <w:bottom w:type="dxa" w:w="70"/>
              <w:right w:type="dxa" w:w="100"/>
            </w:tcMar>
            <w:vAlign w:val="top"/>
          </w:tcPr>
          <w:p>
            <w:pPr>
              <w:spacing w:after="0" w:line="252" w:lineRule="auto"/>
            </w:pPr>
            <w:r>
              <w:rPr>
                <w:sz w:val="18"/>
                <w:szCs w:val="18"/>
              </w:rPr>
              <w:t xml:space="preserve">Amazon MSK (Kafka) + Debezium; Temporal</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Search</w:t>
            </w:r>
          </w:p>
        </w:tc>
        <w:tc>
          <w:tcPr>
            <w:tcW w:type="dxa" w:w="4589"/>
            <w:tcMar>
              <w:top w:type="dxa" w:w="70"/>
              <w:left w:type="dxa" w:w="100"/>
              <w:bottom w:type="dxa" w:w="70"/>
              <w:right w:type="dxa" w:w="100"/>
            </w:tcMar>
            <w:vAlign w:val="top"/>
          </w:tcPr>
          <w:p>
            <w:pPr>
              <w:spacing w:after="0" w:line="252" w:lineRule="auto"/>
            </w:pPr>
            <w:r>
              <w:rPr>
                <w:sz w:val="18"/>
                <w:szCs w:val="18"/>
              </w:rPr>
              <w:t xml:space="preserve">PostgreSQL full-text + pg_trgm</w:t>
            </w:r>
          </w:p>
        </w:tc>
        <w:tc>
          <w:tcPr>
            <w:tcW w:type="dxa" w:w="3443"/>
            <w:tcMar>
              <w:top w:type="dxa" w:w="70"/>
              <w:left w:type="dxa" w:w="100"/>
              <w:bottom w:type="dxa" w:w="70"/>
              <w:right w:type="dxa" w:w="100"/>
            </w:tcMar>
            <w:vAlign w:val="top"/>
          </w:tcPr>
          <w:p>
            <w:pPr>
              <w:spacing w:after="0" w:line="252" w:lineRule="auto"/>
            </w:pPr>
            <w:r>
              <w:rPr>
                <w:sz w:val="18"/>
                <w:szCs w:val="18"/>
              </w:rPr>
              <w:t xml:space="preserve">Amazon OpenSearch Service</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Identity</w:t>
            </w:r>
          </w:p>
        </w:tc>
        <w:tc>
          <w:tcPr>
            <w:tcW w:type="dxa" w:w="4589"/>
            <w:tcMar>
              <w:top w:type="dxa" w:w="70"/>
              <w:left w:type="dxa" w:w="100"/>
              <w:bottom w:type="dxa" w:w="70"/>
              <w:right w:type="dxa" w:w="100"/>
            </w:tcMar>
            <w:vAlign w:val="top"/>
          </w:tcPr>
          <w:p>
            <w:pPr>
              <w:spacing w:after="0" w:line="252" w:lineRule="auto"/>
            </w:pPr>
            <w:r>
              <w:rPr>
                <w:sz w:val="18"/>
                <w:szCs w:val="18"/>
              </w:rPr>
              <w:t xml:space="preserve">Keycloak 26+ (Organizations) + our installation service (PoC first)</w:t>
            </w:r>
          </w:p>
        </w:tc>
        <w:tc>
          <w:tcPr>
            <w:tcW w:type="dxa" w:w="3443"/>
            <w:tcMar>
              <w:top w:type="dxa" w:w="70"/>
              <w:left w:type="dxa" w:w="100"/>
              <w:bottom w:type="dxa" w:w="70"/>
              <w:right w:type="dxa" w:w="100"/>
            </w:tcMar>
            <w:vAlign w:val="top"/>
          </w:tcPr>
          <w:p>
            <w:pPr>
              <w:spacing w:after="0" w:line="252" w:lineRule="auto"/>
            </w:pPr>
            <w:r>
              <w:rPr>
                <w:sz w:val="18"/>
                <w:szCs w:val="18"/>
              </w:rPr>
              <w:t xml:space="preserve">None</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API</w:t>
            </w:r>
          </w:p>
        </w:tc>
        <w:tc>
          <w:tcPr>
            <w:tcW w:type="dxa" w:w="4589"/>
            <w:tcMar>
              <w:top w:type="dxa" w:w="70"/>
              <w:left w:type="dxa" w:w="100"/>
              <w:bottom w:type="dxa" w:w="70"/>
              <w:right w:type="dxa" w:w="100"/>
            </w:tcMar>
            <w:vAlign w:val="top"/>
          </w:tcPr>
          <w:p>
            <w:pPr>
              <w:spacing w:after="0" w:line="252" w:lineRule="auto"/>
            </w:pPr>
            <w:r>
              <w:rPr>
                <w:sz w:val="18"/>
                <w:szCs w:val="18"/>
              </w:rPr>
              <w:t xml:space="preserve">Kong Gateway OSS + tenant plugin; OpenAPI 3.1; Redocly</w:t>
            </w:r>
          </w:p>
        </w:tc>
        <w:tc>
          <w:tcPr>
            <w:tcW w:type="dxa" w:w="3443"/>
            <w:tcMar>
              <w:top w:type="dxa" w:w="70"/>
              <w:left w:type="dxa" w:w="100"/>
              <w:bottom w:type="dxa" w:w="70"/>
              <w:right w:type="dxa" w:w="100"/>
            </w:tcMar>
            <w:vAlign w:val="top"/>
          </w:tcPr>
          <w:p>
            <w:pPr>
              <w:spacing w:after="0" w:line="252" w:lineRule="auto"/>
            </w:pPr>
            <w:r>
              <w:rPr>
                <w:sz w:val="18"/>
                <w:szCs w:val="18"/>
              </w:rPr>
              <w:t xml:space="preserve">Kong Enterprise/Konnect; Svix</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Web and mobile</w:t>
            </w:r>
          </w:p>
        </w:tc>
        <w:tc>
          <w:tcPr>
            <w:tcW w:type="dxa" w:w="4589"/>
            <w:tcMar>
              <w:top w:type="dxa" w:w="70"/>
              <w:left w:type="dxa" w:w="100"/>
              <w:bottom w:type="dxa" w:w="70"/>
              <w:right w:type="dxa" w:w="100"/>
            </w:tcMar>
            <w:vAlign w:val="top"/>
          </w:tcPr>
          <w:p>
            <w:pPr>
              <w:spacing w:after="0" w:line="252" w:lineRule="auto"/>
            </w:pPr>
            <w:r>
              <w:rPr>
                <w:sz w:val="18"/>
                <w:szCs w:val="18"/>
              </w:rPr>
              <w:t xml:space="preserve">React + TypeScript + Vite; React Native (Expo)</w:t>
            </w:r>
          </w:p>
        </w:tc>
        <w:tc>
          <w:tcPr>
            <w:tcW w:type="dxa" w:w="3443"/>
            <w:tcMar>
              <w:top w:type="dxa" w:w="70"/>
              <w:left w:type="dxa" w:w="100"/>
              <w:bottom w:type="dxa" w:w="70"/>
              <w:right w:type="dxa" w:w="100"/>
            </w:tcMar>
            <w:vAlign w:val="top"/>
          </w:tcPr>
          <w:p>
            <w:pPr>
              <w:spacing w:after="0" w:line="252" w:lineRule="auto"/>
            </w:pPr>
            <w:r>
              <w:rPr>
                <w:sz w:val="18"/>
                <w:szCs w:val="18"/>
              </w:rPr>
              <w:t xml:space="preserve">White-label mobile builds</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Analytics</w:t>
            </w:r>
          </w:p>
        </w:tc>
        <w:tc>
          <w:tcPr>
            <w:tcW w:type="dxa" w:w="4589"/>
            <w:tcMar>
              <w:top w:type="dxa" w:w="70"/>
              <w:left w:type="dxa" w:w="100"/>
              <w:bottom w:type="dxa" w:w="70"/>
              <w:right w:type="dxa" w:w="100"/>
            </w:tcMar>
            <w:vAlign w:val="top"/>
          </w:tcPr>
          <w:p>
            <w:pPr>
              <w:spacing w:after="0" w:line="252" w:lineRule="auto"/>
            </w:pPr>
            <w:r>
              <w:rPr>
                <w:sz w:val="18"/>
                <w:szCs w:val="18"/>
              </w:rPr>
              <w:t xml:space="preserve">Read replica, materialized views, daily snapshots</w:t>
            </w:r>
          </w:p>
        </w:tc>
        <w:tc>
          <w:tcPr>
            <w:tcW w:type="dxa" w:w="3443"/>
            <w:tcMar>
              <w:top w:type="dxa" w:w="70"/>
              <w:left w:type="dxa" w:w="100"/>
              <w:bottom w:type="dxa" w:w="70"/>
              <w:right w:type="dxa" w:w="100"/>
            </w:tcMar>
            <w:vAlign w:val="top"/>
          </w:tcPr>
          <w:p>
            <w:pPr>
              <w:spacing w:after="0" w:line="252" w:lineRule="auto"/>
            </w:pPr>
            <w:r>
              <w:rPr>
                <w:sz w:val="18"/>
                <w:szCs w:val="18"/>
              </w:rPr>
              <w:t xml:space="preserve">ClickHouse + Cube</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Observability</w:t>
            </w:r>
          </w:p>
        </w:tc>
        <w:tc>
          <w:tcPr>
            <w:tcW w:type="dxa" w:w="4589"/>
            <w:tcMar>
              <w:top w:type="dxa" w:w="70"/>
              <w:left w:type="dxa" w:w="100"/>
              <w:bottom w:type="dxa" w:w="70"/>
              <w:right w:type="dxa" w:w="100"/>
            </w:tcMar>
            <w:vAlign w:val="top"/>
          </w:tcPr>
          <w:p>
            <w:pPr>
              <w:spacing w:after="0" w:line="252" w:lineRule="auto"/>
            </w:pPr>
            <w:r>
              <w:rPr>
                <w:sz w:val="18"/>
                <w:szCs w:val="18"/>
              </w:rPr>
              <w:t xml:space="preserve">OpenTelemetry → Amazon Managed Prometheus/Grafana; CloudWatch; Sentry</w:t>
            </w:r>
          </w:p>
        </w:tc>
        <w:tc>
          <w:tcPr>
            <w:tcW w:type="dxa" w:w="3443"/>
            <w:tcMar>
              <w:top w:type="dxa" w:w="70"/>
              <w:left w:type="dxa" w:w="100"/>
              <w:bottom w:type="dxa" w:w="70"/>
              <w:right w:type="dxa" w:w="100"/>
            </w:tcMar>
            <w:vAlign w:val="top"/>
          </w:tcPr>
          <w:p>
            <w:pPr>
              <w:spacing w:after="0" w:line="252" w:lineRule="auto"/>
            </w:pPr>
            <w:r>
              <w:rPr>
                <w:sz w:val="18"/>
                <w:szCs w:val="18"/>
              </w:rPr>
              <w:t xml:space="preserve">Self-hosted Grafana LGTM</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Delivery</w:t>
            </w:r>
          </w:p>
        </w:tc>
        <w:tc>
          <w:tcPr>
            <w:tcW w:type="dxa" w:w="4589"/>
            <w:tcMar>
              <w:top w:type="dxa" w:w="70"/>
              <w:left w:type="dxa" w:w="100"/>
              <w:bottom w:type="dxa" w:w="70"/>
              <w:right w:type="dxa" w:w="100"/>
            </w:tcMar>
            <w:vAlign w:val="top"/>
          </w:tcPr>
          <w:p>
            <w:pPr>
              <w:spacing w:after="0" w:line="252" w:lineRule="auto"/>
            </w:pPr>
            <w:r>
              <w:rPr>
                <w:sz w:val="18"/>
                <w:szCs w:val="18"/>
              </w:rPr>
              <w:t xml:space="preserve">GitHub Actions, Argo CD, Argo Rollouts, Terraform + Terragrunt</w:t>
            </w:r>
          </w:p>
        </w:tc>
        <w:tc>
          <w:tcPr>
            <w:tcW w:type="dxa" w:w="3443"/>
            <w:tcMar>
              <w:top w:type="dxa" w:w="70"/>
              <w:left w:type="dxa" w:w="100"/>
              <w:bottom w:type="dxa" w:w="70"/>
              <w:right w:type="dxa" w:w="100"/>
            </w:tcMar>
            <w:vAlign w:val="top"/>
          </w:tcPr>
          <w:p>
            <w:pPr>
              <w:spacing w:after="0" w:line="252" w:lineRule="auto"/>
            </w:pPr>
            <w:r>
              <w:rPr>
                <w:sz w:val="18"/>
                <w:szCs w:val="18"/>
              </w:rPr>
              <w:t xml:space="preserve">None</w:t>
            </w:r>
          </w:p>
        </w:tc>
      </w:tr>
      <w:tr>
        <w:trPr>
          <w:cantSplit/>
          <w:tblHeader w:val="false"/>
        </w:trPr>
        <w:tc>
          <w:tcPr>
            <w:tcW w:type="dxa" w:w="1606"/>
            <w:tcMar>
              <w:top w:type="dxa" w:w="70"/>
              <w:left w:type="dxa" w:w="100"/>
              <w:bottom w:type="dxa" w:w="70"/>
              <w:right w:type="dxa" w:w="100"/>
            </w:tcMar>
            <w:vAlign w:val="top"/>
          </w:tcPr>
          <w:p>
            <w:pPr>
              <w:spacing w:after="0" w:line="252" w:lineRule="auto"/>
            </w:pPr>
            <w:r>
              <w:rPr>
                <w:b/>
                <w:bCs/>
                <w:color w:val="16222A"/>
                <w:sz w:val="18"/>
                <w:szCs w:val="18"/>
              </w:rPr>
              <w:t xml:space="preserve">Billing</w:t>
            </w:r>
          </w:p>
        </w:tc>
        <w:tc>
          <w:tcPr>
            <w:tcW w:type="dxa" w:w="4589"/>
            <w:tcMar>
              <w:top w:type="dxa" w:w="70"/>
              <w:left w:type="dxa" w:w="100"/>
              <w:bottom w:type="dxa" w:w="70"/>
              <w:right w:type="dxa" w:w="100"/>
            </w:tcMar>
            <w:vAlign w:val="top"/>
          </w:tcPr>
          <w:p>
            <w:pPr>
              <w:spacing w:after="0" w:line="252" w:lineRule="auto"/>
            </w:pPr>
            <w:r>
              <w:rPr>
                <w:sz w:val="18"/>
                <w:szCs w:val="18"/>
              </w:rPr>
              <w:t xml:space="preserve">Chargebee + Razorpay</w:t>
            </w:r>
          </w:p>
        </w:tc>
        <w:tc>
          <w:tcPr>
            <w:tcW w:type="dxa" w:w="3443"/>
            <w:tcMar>
              <w:top w:type="dxa" w:w="70"/>
              <w:left w:type="dxa" w:w="100"/>
              <w:bottom w:type="dxa" w:w="70"/>
              <w:right w:type="dxa" w:w="100"/>
            </w:tcMar>
            <w:vAlign w:val="top"/>
          </w:tcPr>
          <w:p>
            <w:pPr>
              <w:spacing w:after="0" w:line="252" w:lineRule="auto"/>
            </w:pPr>
            <w:r>
              <w:rPr>
                <w:sz w:val="18"/>
                <w:szCs w:val="18"/>
              </w:rPr>
              <w:t xml:space="preserve">AWS Marketplace listing</w:t>
            </w:r>
          </w:p>
        </w:tc>
      </w:tr>
    </w:tbl>
    <w:p>
      <w:pPr>
        <w:spacing w:after="160"/>
      </w:pPr>
    </w:p>
    <w:p>
      <w:pPr>
        <w:pStyle w:val="Heading2"/>
      </w:pPr>
      <w:bookmarkStart w:id="8008" w:name="_Toc900008"/>
      <w:r>
        <w:t xml:space="preserve">1.5 What changed after the design review</w:t>
      </w:r>
      <w:bookmarkEnd w:id="8008"/>
    </w:p>
    <w:p>
      <w:pPr>
        <w:keepNext/>
        <w:spacing w:after="80" w:before="120"/>
      </w:pPr>
      <w:r>
        <w:rPr>
          <w:b/>
          <w:bCs/>
          <w:color w:val="4F5E67"/>
          <w:sz w:val="18"/>
          <w:szCs w:val="18"/>
        </w:rPr>
        <w:t xml:space="preserve">Table 5. Review findings and their resolution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913"/>
        <w:gridCol w:w="6725"/>
      </w:tblGrid>
      <w:tr>
        <w:trPr>
          <w:cantSplit/>
          <w:tblHeader/>
        </w:trPr>
        <w:tc>
          <w:tcPr>
            <w:tcW w:type="dxa" w:w="291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Review finding</w:t>
            </w:r>
          </w:p>
        </w:tc>
        <w:tc>
          <w:tcPr>
            <w:tcW w:type="dxa" w:w="672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Change in this version</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C1 Launch footprint too big</w:t>
            </w:r>
          </w:p>
        </w:tc>
        <w:tc>
          <w:tcPr>
            <w:tcW w:type="dxa" w:w="6725"/>
            <w:tcMar>
              <w:top w:type="dxa" w:w="70"/>
              <w:left w:type="dxa" w:w="100"/>
              <w:bottom w:type="dxa" w:w="70"/>
              <w:right w:type="dxa" w:w="100"/>
            </w:tcMar>
            <w:vAlign w:val="top"/>
          </w:tcPr>
          <w:p>
            <w:pPr>
              <w:spacing w:after="0" w:line="252" w:lineRule="auto"/>
            </w:pPr>
            <w:r>
              <w:rPr>
                <w:sz w:val="18"/>
                <w:szCs w:val="18"/>
              </w:rPr>
              <w:t xml:space="preserve">Separate launch and target architectures, with triggers (section 4)</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C2 Identity assumptions</w:t>
            </w:r>
          </w:p>
        </w:tc>
        <w:tc>
          <w:tcPr>
            <w:tcW w:type="dxa" w:w="6725"/>
            <w:tcMar>
              <w:top w:type="dxa" w:w="70"/>
              <w:left w:type="dxa" w:w="100"/>
              <w:bottom w:type="dxa" w:w="70"/>
              <w:right w:type="dxa" w:w="100"/>
            </w:tcMar>
            <w:vAlign w:val="top"/>
          </w:tcPr>
          <w:p>
            <w:pPr>
              <w:spacing w:after="0" w:line="252" w:lineRule="auto"/>
            </w:pPr>
            <w:r>
              <w:rPr>
                <w:sz w:val="18"/>
                <w:szCs w:val="18"/>
              </w:rPr>
              <w:t xml:space="preserve">Keycloak limits stated; installation service specified; proof of concept before commitment (sections 9, 15.3)</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C3 No system-of-record model</w:t>
            </w:r>
          </w:p>
        </w:tc>
        <w:tc>
          <w:tcPr>
            <w:tcW w:type="dxa" w:w="6725"/>
            <w:tcMar>
              <w:top w:type="dxa" w:w="70"/>
              <w:left w:type="dxa" w:w="100"/>
              <w:bottom w:type="dxa" w:w="70"/>
              <w:right w:type="dxa" w:w="100"/>
            </w:tcMar>
            <w:vAlign w:val="top"/>
          </w:tcPr>
          <w:p>
            <w:pPr>
              <w:spacing w:after="0" w:line="252" w:lineRule="auto"/>
            </w:pPr>
            <w:r>
              <w:rPr>
                <w:sz w:val="18"/>
                <w:szCs w:val="18"/>
              </w:rPr>
              <w:t xml:space="preserve">Master-data ownership per field group and an integration action mode (section 8)</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C4 Isolation contradictions</w:t>
            </w:r>
          </w:p>
        </w:tc>
        <w:tc>
          <w:tcPr>
            <w:tcW w:type="dxa" w:w="6725"/>
            <w:tcMar>
              <w:top w:type="dxa" w:w="70"/>
              <w:left w:type="dxa" w:w="100"/>
              <w:bottom w:type="dxa" w:w="70"/>
              <w:right w:type="dxa" w:w="100"/>
            </w:tcMar>
            <w:vAlign w:val="top"/>
          </w:tcPr>
          <w:p>
            <w:pPr>
              <w:spacing w:after="0" w:line="252" w:lineRule="auto"/>
            </w:pPr>
            <w:r>
              <w:rPr>
                <w:sz w:val="18"/>
                <w:szCs w:val="18"/>
              </w:rPr>
              <w:t xml:space="preserve">Control plane receives aggregates only; regional shared tier made explicit (sections 5, 4.2)</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H1 Browser tokens, first-party quotas</w:t>
            </w:r>
          </w:p>
        </w:tc>
        <w:tc>
          <w:tcPr>
            <w:tcW w:type="dxa" w:w="6725"/>
            <w:tcMar>
              <w:top w:type="dxa" w:w="70"/>
              <w:left w:type="dxa" w:w="100"/>
              <w:bottom w:type="dxa" w:w="70"/>
              <w:right w:type="dxa" w:w="100"/>
            </w:tcMar>
            <w:vAlign w:val="top"/>
          </w:tcPr>
          <w:p>
            <w:pPr>
              <w:spacing w:after="0" w:line="252" w:lineRule="auto"/>
            </w:pPr>
            <w:r>
              <w:rPr>
                <w:sz w:val="18"/>
                <w:szCs w:val="18"/>
              </w:rPr>
              <w:t xml:space="preserve">Web BFF with httpOnly cookies; first-party client class (sections 9.2, 12.10)</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H2 Employee versus employment</w:t>
            </w:r>
          </w:p>
        </w:tc>
        <w:tc>
          <w:tcPr>
            <w:tcW w:type="dxa" w:w="6725"/>
            <w:tcMar>
              <w:top w:type="dxa" w:w="70"/>
              <w:left w:type="dxa" w:w="100"/>
              <w:bottom w:type="dxa" w:w="70"/>
              <w:right w:type="dxa" w:w="100"/>
            </w:tcMar>
            <w:vAlign w:val="top"/>
          </w:tcPr>
          <w:p>
            <w:pPr>
              <w:spacing w:after="0" w:line="252" w:lineRule="auto"/>
            </w:pPr>
            <w:r>
              <w:rPr>
                <w:sz w:val="18"/>
                <w:szCs w:val="18"/>
              </w:rPr>
              <w:t xml:space="preserve">Stable </w:t>
            </w:r>
            <w:r>
              <w:rPr>
                <w:rFonts w:ascii="Consolas" w:cs="Consolas" w:eastAsia="Consolas" w:hAnsi="Consolas"/>
                <w:color w:val="0B4F4F"/>
                <w:sz w:val="17"/>
                <w:szCs w:val="17"/>
              </w:rPr>
              <w:t xml:space="preserve">wrk_</w:t>
            </w:r>
            <w:r>
              <w:rPr>
                <w:sz w:val="18"/>
                <w:szCs w:val="18"/>
              </w:rPr>
              <w:t xml:space="preserve"> worker ID; employments and assignments under it (sections 7.1, 12.7)</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H3 App data scopes</w:t>
            </w:r>
          </w:p>
        </w:tc>
        <w:tc>
          <w:tcPr>
            <w:tcW w:type="dxa" w:w="6725"/>
            <w:tcMar>
              <w:top w:type="dxa" w:w="70"/>
              <w:left w:type="dxa" w:w="100"/>
              <w:bottom w:type="dxa" w:w="70"/>
              <w:right w:type="dxa" w:w="100"/>
            </w:tcMar>
            <w:vAlign w:val="top"/>
          </w:tcPr>
          <w:p>
            <w:pPr>
              <w:spacing w:after="0" w:line="252" w:lineRule="auto"/>
            </w:pPr>
            <w:r>
              <w:rPr>
                <w:sz w:val="18"/>
                <w:szCs w:val="18"/>
              </w:rPr>
              <w:t xml:space="preserve">Installations carry data scopes and field classes (section 9.3)</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H4 Device reality</w:t>
            </w:r>
          </w:p>
        </w:tc>
        <w:tc>
          <w:tcPr>
            <w:tcW w:type="dxa" w:w="6725"/>
            <w:tcMar>
              <w:top w:type="dxa" w:w="70"/>
              <w:left w:type="dxa" w:w="100"/>
              <w:bottom w:type="dxa" w:w="70"/>
              <w:right w:type="dxa" w:w="100"/>
            </w:tcMar>
            <w:vAlign w:val="top"/>
          </w:tcPr>
          <w:p>
            <w:pPr>
              <w:spacing w:after="0" w:line="252" w:lineRule="auto"/>
            </w:pPr>
            <w:r>
              <w:rPr>
                <w:sz w:val="18"/>
                <w:szCs w:val="18"/>
              </w:rPr>
              <w:t xml:space="preserve">Hardened device edge for HTTP-only devices; site agent as default (section 11.2)</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H5 Revocation lag</w:t>
            </w:r>
          </w:p>
        </w:tc>
        <w:tc>
          <w:tcPr>
            <w:tcW w:type="dxa" w:w="6725"/>
            <w:tcMar>
              <w:top w:type="dxa" w:w="70"/>
              <w:left w:type="dxa" w:w="100"/>
              <w:bottom w:type="dxa" w:w="70"/>
              <w:right w:type="dxa" w:w="100"/>
            </w:tcMar>
            <w:vAlign w:val="top"/>
          </w:tcPr>
          <w:p>
            <w:pPr>
              <w:spacing w:after="0" w:line="252" w:lineRule="auto"/>
            </w:pPr>
            <w:r>
              <w:rPr>
                <w:sz w:val="18"/>
                <w:szCs w:val="18"/>
              </w:rPr>
              <w:t xml:space="preserve">Revocations are synchronous (section 9.3)</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H6 Audit bottleneck</w:t>
            </w:r>
          </w:p>
        </w:tc>
        <w:tc>
          <w:tcPr>
            <w:tcW w:type="dxa" w:w="6725"/>
            <w:tcMar>
              <w:top w:type="dxa" w:w="70"/>
              <w:left w:type="dxa" w:w="100"/>
              <w:bottom w:type="dxa" w:w="70"/>
              <w:right w:type="dxa" w:w="100"/>
            </w:tcMar>
            <w:vAlign w:val="top"/>
          </w:tcPr>
          <w:p>
            <w:pPr>
              <w:spacing w:after="0" w:line="252" w:lineRule="auto"/>
            </w:pPr>
            <w:r>
              <w:rPr>
                <w:sz w:val="18"/>
                <w:szCs w:val="18"/>
              </w:rPr>
              <w:t xml:space="preserve">Batched Merkle sealing per minute (section 7.5)</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H7 Optimistic RTO</w:t>
            </w:r>
          </w:p>
        </w:tc>
        <w:tc>
          <w:tcPr>
            <w:tcW w:type="dxa" w:w="6725"/>
            <w:tcMar>
              <w:top w:type="dxa" w:w="70"/>
              <w:left w:type="dxa" w:w="100"/>
              <w:bottom w:type="dxa" w:w="70"/>
              <w:right w:type="dxa" w:w="100"/>
            </w:tcMar>
            <w:vAlign w:val="top"/>
          </w:tcPr>
          <w:p>
            <w:pPr>
              <w:spacing w:after="0" w:line="252" w:lineRule="auto"/>
            </w:pPr>
            <w:r>
              <w:rPr>
                <w:sz w:val="18"/>
                <w:szCs w:val="18"/>
              </w:rPr>
              <w:t xml:space="preserve">DR tiers with honest targets; no contractual RTO before rehearsal (section 13.5)</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H8 Bitemporal effort</w:t>
            </w:r>
          </w:p>
        </w:tc>
        <w:tc>
          <w:tcPr>
            <w:tcW w:type="dxa" w:w="6725"/>
            <w:tcMar>
              <w:top w:type="dxa" w:w="70"/>
              <w:left w:type="dxa" w:w="100"/>
              <w:bottom w:type="dxa" w:w="70"/>
              <w:right w:type="dxa" w:w="100"/>
            </w:tcMar>
            <w:vAlign w:val="top"/>
          </w:tcPr>
          <w:p>
            <w:pPr>
              <w:spacing w:after="0" w:line="252" w:lineRule="auto"/>
            </w:pPr>
            <w:r>
              <w:rPr>
                <w:sz w:val="18"/>
                <w:szCs w:val="18"/>
              </w:rPr>
              <w:t xml:space="preserve">Temporal storage approach specified (section 7.3)</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H9 Field encryption</w:t>
            </w:r>
          </w:p>
        </w:tc>
        <w:tc>
          <w:tcPr>
            <w:tcW w:type="dxa" w:w="6725"/>
            <w:tcMar>
              <w:top w:type="dxa" w:w="70"/>
              <w:left w:type="dxa" w:w="100"/>
              <w:bottom w:type="dxa" w:w="70"/>
              <w:right w:type="dxa" w:w="100"/>
            </w:tcMar>
            <w:vAlign w:val="top"/>
          </w:tcPr>
          <w:p>
            <w:pPr>
              <w:spacing w:after="0" w:line="252" w:lineRule="auto"/>
            </w:pPr>
            <w:r>
              <w:rPr>
                <w:sz w:val="18"/>
                <w:szCs w:val="18"/>
              </w:rPr>
              <w:t xml:space="preserve">Named encrypted fields; data-key caching; compensation in a restricted schema (section 7.4)</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H10 Metrics cardinality</w:t>
            </w:r>
          </w:p>
        </w:tc>
        <w:tc>
          <w:tcPr>
            <w:tcW w:type="dxa" w:w="6725"/>
            <w:tcMar>
              <w:top w:type="dxa" w:w="70"/>
              <w:left w:type="dxa" w:w="100"/>
              <w:bottom w:type="dxa" w:w="70"/>
              <w:right w:type="dxa" w:w="100"/>
            </w:tcMar>
            <w:vAlign w:val="top"/>
          </w:tcPr>
          <w:p>
            <w:pPr>
              <w:spacing w:after="0" w:line="252" w:lineRule="auto"/>
            </w:pPr>
            <w:r>
              <w:rPr>
                <w:sz w:val="18"/>
                <w:szCs w:val="18"/>
              </w:rPr>
              <w:t xml:space="preserve">Tenant in traces and logs, not in metric labels (section 13.4)</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H11 Divergent documents</w:t>
            </w:r>
          </w:p>
        </w:tc>
        <w:tc>
          <w:tcPr>
            <w:tcW w:type="dxa" w:w="6725"/>
            <w:tcMar>
              <w:top w:type="dxa" w:w="70"/>
              <w:left w:type="dxa" w:w="100"/>
              <w:bottom w:type="dxa" w:w="70"/>
              <w:right w:type="dxa" w:w="100"/>
            </w:tcMar>
            <w:vAlign w:val="top"/>
          </w:tcPr>
          <w:p>
            <w:pPr>
              <w:spacing w:after="0" w:line="252" w:lineRule="auto"/>
            </w:pPr>
            <w:r>
              <w:rPr>
                <w:sz w:val="18"/>
                <w:szCs w:val="18"/>
              </w:rPr>
              <w:t xml:space="preserve">This document supersedes the earlier drafts</w:t>
            </w:r>
          </w:p>
        </w:tc>
      </w:tr>
      <w:tr>
        <w:trPr>
          <w:cantSplit/>
          <w:tblHeader w:val="false"/>
        </w:trPr>
        <w:tc>
          <w:tcPr>
            <w:tcW w:type="dxa" w:w="2913"/>
            <w:tcMar>
              <w:top w:type="dxa" w:w="70"/>
              <w:left w:type="dxa" w:w="100"/>
              <w:bottom w:type="dxa" w:w="70"/>
              <w:right w:type="dxa" w:w="100"/>
            </w:tcMar>
            <w:vAlign w:val="top"/>
          </w:tcPr>
          <w:p>
            <w:pPr>
              <w:spacing w:after="0" w:line="252" w:lineRule="auto"/>
            </w:pPr>
            <w:r>
              <w:rPr>
                <w:sz w:val="18"/>
                <w:szCs w:val="18"/>
              </w:rPr>
              <w:t xml:space="preserve">M1 to M17, L1 to L7</w:t>
            </w:r>
          </w:p>
        </w:tc>
        <w:tc>
          <w:tcPr>
            <w:tcW w:type="dxa" w:w="6725"/>
            <w:tcMar>
              <w:top w:type="dxa" w:w="70"/>
              <w:left w:type="dxa" w:w="100"/>
              <w:bottom w:type="dxa" w:w="70"/>
              <w:right w:type="dxa" w:w="100"/>
            </w:tcMar>
            <w:vAlign w:val="top"/>
          </w:tcPr>
          <w:p>
            <w:pPr>
              <w:spacing w:after="0" w:line="252" w:lineRule="auto"/>
            </w:pPr>
            <w:r>
              <w:rPr>
                <w:sz w:val="18"/>
                <w:szCs w:val="18"/>
              </w:rPr>
              <w:t xml:space="preserve">Applied throughout: change feed and erasure events, naming, enum tolerance, break-glass, explainability, device integrity, custom domains, subprocessors, team size, durations, licence list</w:t>
            </w:r>
          </w:p>
        </w:tc>
      </w:tr>
    </w:tbl>
    <w:p>
      <w:pPr>
        <w:spacing w:after="160"/>
      </w:pPr>
    </w:p>
    <w:p>
      <w:pPr>
        <w:pStyle w:val="Heading1"/>
        <w:pageBreakBefore/>
      </w:pPr>
      <w:bookmarkStart w:id="8009" w:name="_Toc900009"/>
      <w:r>
        <w:t xml:space="preserve">2. Scope and requirements</w:t>
      </w:r>
      <w:bookmarkEnd w:id="8009"/>
    </w:p>
    <w:p>
      <w:pPr>
        <w:pStyle w:val="Heading2"/>
      </w:pPr>
      <w:bookmarkStart w:id="8010" w:name="_Toc900010"/>
      <w:r>
        <w:t xml:space="preserve">2.1 Goals and non-goals</w:t>
      </w:r>
      <w:bookmarkEnd w:id="8010"/>
    </w:p>
    <w:p>
      <w:pPr>
        <w:keepNext/>
      </w:pPr>
      <w:r>
        <w:rPr>
          <w:b/>
          <w:bCs/>
        </w:rPr>
        <w:t xml:space="preserve">Goals:</w:t>
      </w:r>
    </w:p>
    <w:p>
      <w:pPr>
        <w:pStyle w:val="ListParagraph"/>
        <w:numPr>
          <w:ilvl w:val="0"/>
          <w:numId w:val="2"/>
        </w:numPr>
        <w:spacing w:after="60"/>
      </w:pPr>
      <w:r>
        <w:t xml:space="preserve">One codebase and schema for every tenant, industry and region.</w:t>
      </w:r>
    </w:p>
    <w:p>
      <w:pPr>
        <w:pStyle w:val="ListParagraph"/>
        <w:numPr>
          <w:ilvl w:val="0"/>
          <w:numId w:val="2"/>
        </w:numPr>
        <w:spacing w:after="60"/>
      </w:pPr>
      <w:r>
        <w:t xml:space="preserve">Tenant isolation that can be demonstrated to enterprise security reviewers.</w:t>
      </w:r>
    </w:p>
    <w:p>
      <w:pPr>
        <w:pStyle w:val="ListParagraph"/>
        <w:numPr>
          <w:ilvl w:val="0"/>
          <w:numId w:val="2"/>
        </w:numPr>
        <w:spacing w:after="60"/>
      </w:pPr>
      <w:r>
        <w:t xml:space="preserve">An API good enough to sell on its own.</w:t>
      </w:r>
    </w:p>
    <w:p>
      <w:pPr>
        <w:pStyle w:val="ListParagraph"/>
        <w:numPr>
          <w:ilvl w:val="0"/>
          <w:numId w:val="2"/>
        </w:numPr>
        <w:spacing w:after="60"/>
      </w:pPr>
      <w:r>
        <w:t xml:space="preserve">Operable by a team of about 15 engineers.</w:t>
      </w:r>
    </w:p>
    <w:p>
      <w:pPr>
        <w:keepNext/>
      </w:pPr>
      <w:r>
        <w:rPr>
          <w:b/>
          <w:bCs/>
        </w:rPr>
        <w:t xml:space="preserve">Non-goals for the first releases:</w:t>
      </w:r>
    </w:p>
    <w:p>
      <w:pPr>
        <w:pStyle w:val="ListParagraph"/>
        <w:numPr>
          <w:ilvl w:val="0"/>
          <w:numId w:val="2"/>
        </w:numPr>
        <w:spacing w:after="60"/>
      </w:pPr>
      <w:r>
        <w:t xml:space="preserve">Performance/KPI management.</w:t>
      </w:r>
    </w:p>
    <w:p>
      <w:pPr>
        <w:pStyle w:val="ListParagraph"/>
        <w:numPr>
          <w:ilvl w:val="0"/>
          <w:numId w:val="2"/>
        </w:numPr>
        <w:spacing w:after="60"/>
      </w:pPr>
      <w:r>
        <w:t xml:space="preserve">An in-house payroll engine. Payroll inputs are in scope; the engine waits for decision D10.</w:t>
      </w:r>
    </w:p>
    <w:p>
      <w:pPr>
        <w:pStyle w:val="ListParagraph"/>
        <w:numPr>
          <w:ilvl w:val="0"/>
          <w:numId w:val="2"/>
        </w:numPr>
        <w:spacing w:after="60"/>
      </w:pPr>
      <w:r>
        <w:t xml:space="preserve">Direct filing on government portals. The requirements (§20) ask for links and evidence only.</w:t>
      </w:r>
    </w:p>
    <w:p>
      <w:pPr>
        <w:pStyle w:val="ListParagraph"/>
        <w:numPr>
          <w:ilvl w:val="0"/>
          <w:numId w:val="2"/>
        </w:numPr>
        <w:spacing w:after="60"/>
      </w:pPr>
      <w:r>
        <w:t xml:space="preserve">Cross-tenant features such as shared talent pools or benchmarks.</w:t>
      </w:r>
    </w:p>
    <w:p>
      <w:pPr>
        <w:pStyle w:val="Heading2"/>
      </w:pPr>
      <w:bookmarkStart w:id="8011" w:name="_Toc900011"/>
      <w:r>
        <w:t xml:space="preserve">2.2 Product surfaces</w:t>
      </w:r>
      <w:bookmarkEnd w:id="8011"/>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255"/>
        <w:gridCol w:w="3075"/>
        <w:gridCol w:w="4308"/>
      </w:tblGrid>
      <w:tr>
        <w:trPr>
          <w:cantSplit/>
          <w:tblHeader/>
        </w:trPr>
        <w:tc>
          <w:tcPr>
            <w:tcW w:type="dxa" w:w="225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Surface</w:t>
            </w:r>
          </w:p>
        </w:tc>
        <w:tc>
          <w:tcPr>
            <w:tcW w:type="dxa" w:w="307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Users</w:t>
            </w:r>
          </w:p>
        </w:tc>
        <w:tc>
          <w:tcPr>
            <w:tcW w:type="dxa" w:w="430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Platform</w:t>
            </w:r>
          </w:p>
        </w:tc>
      </w:tr>
      <w:tr>
        <w:trPr>
          <w:cantSplit/>
          <w:tblHeader w:val="false"/>
        </w:trPr>
        <w:tc>
          <w:tcPr>
            <w:tcW w:type="dxa" w:w="2255"/>
            <w:tcMar>
              <w:top w:type="dxa" w:w="70"/>
              <w:left w:type="dxa" w:w="100"/>
              <w:bottom w:type="dxa" w:w="70"/>
              <w:right w:type="dxa" w:w="100"/>
            </w:tcMar>
            <w:vAlign w:val="top"/>
          </w:tcPr>
          <w:p>
            <w:pPr>
              <w:spacing w:after="0" w:line="252" w:lineRule="auto"/>
            </w:pPr>
            <w:r>
              <w:rPr>
                <w:b/>
                <w:bCs/>
                <w:color w:val="16222A"/>
                <w:sz w:val="18"/>
                <w:szCs w:val="18"/>
              </w:rPr>
              <w:t xml:space="preserve">HR console</w:t>
            </w:r>
          </w:p>
        </w:tc>
        <w:tc>
          <w:tcPr>
            <w:tcW w:type="dxa" w:w="3075"/>
            <w:tcMar>
              <w:top w:type="dxa" w:w="70"/>
              <w:left w:type="dxa" w:w="100"/>
              <w:bottom w:type="dxa" w:w="70"/>
              <w:right w:type="dxa" w:w="100"/>
            </w:tcMar>
            <w:vAlign w:val="top"/>
          </w:tcPr>
          <w:p>
            <w:pPr>
              <w:spacing w:after="0" w:line="252" w:lineRule="auto"/>
            </w:pPr>
            <w:r>
              <w:rPr>
                <w:sz w:val="18"/>
                <w:szCs w:val="18"/>
              </w:rPr>
              <w:t xml:space="preserve">HR, managers, Accounts/Payroll, Admin/IT, management</w:t>
            </w:r>
          </w:p>
        </w:tc>
        <w:tc>
          <w:tcPr>
            <w:tcW w:type="dxa" w:w="4308"/>
            <w:tcMar>
              <w:top w:type="dxa" w:w="70"/>
              <w:left w:type="dxa" w:w="100"/>
              <w:bottom w:type="dxa" w:w="70"/>
              <w:right w:type="dxa" w:w="100"/>
            </w:tcMar>
            <w:vAlign w:val="top"/>
          </w:tcPr>
          <w:p>
            <w:pPr>
              <w:spacing w:after="0" w:line="252" w:lineRule="auto"/>
            </w:pPr>
            <w:r>
              <w:rPr>
                <w:sz w:val="18"/>
                <w:szCs w:val="18"/>
              </w:rPr>
              <w:t xml:space="preserve">Web SPA, 16:9 desktop (§38), behind the web BFF</w:t>
            </w:r>
          </w:p>
        </w:tc>
      </w:tr>
      <w:tr>
        <w:trPr>
          <w:cantSplit/>
          <w:tblHeader w:val="false"/>
        </w:trPr>
        <w:tc>
          <w:tcPr>
            <w:tcW w:type="dxa" w:w="2255"/>
            <w:tcMar>
              <w:top w:type="dxa" w:w="70"/>
              <w:left w:type="dxa" w:w="100"/>
              <w:bottom w:type="dxa" w:w="70"/>
              <w:right w:type="dxa" w:w="100"/>
            </w:tcMar>
            <w:vAlign w:val="top"/>
          </w:tcPr>
          <w:p>
            <w:pPr>
              <w:spacing w:after="0" w:line="252" w:lineRule="auto"/>
            </w:pPr>
            <w:r>
              <w:rPr>
                <w:b/>
                <w:bCs/>
                <w:color w:val="16222A"/>
                <w:sz w:val="18"/>
                <w:szCs w:val="18"/>
              </w:rPr>
              <w:t xml:space="preserve">Employee app</w:t>
            </w:r>
          </w:p>
        </w:tc>
        <w:tc>
          <w:tcPr>
            <w:tcW w:type="dxa" w:w="3075"/>
            <w:tcMar>
              <w:top w:type="dxa" w:w="70"/>
              <w:left w:type="dxa" w:w="100"/>
              <w:bottom w:type="dxa" w:w="70"/>
              <w:right w:type="dxa" w:w="100"/>
            </w:tcMar>
            <w:vAlign w:val="top"/>
          </w:tcPr>
          <w:p>
            <w:pPr>
              <w:spacing w:after="0" w:line="252" w:lineRule="auto"/>
            </w:pPr>
            <w:r>
              <w:rPr>
                <w:sz w:val="18"/>
                <w:szCs w:val="18"/>
              </w:rPr>
              <w:t xml:space="preserve">Employees and managers</w:t>
            </w:r>
          </w:p>
        </w:tc>
        <w:tc>
          <w:tcPr>
            <w:tcW w:type="dxa" w:w="4308"/>
            <w:tcMar>
              <w:top w:type="dxa" w:w="70"/>
              <w:left w:type="dxa" w:w="100"/>
              <w:bottom w:type="dxa" w:w="70"/>
              <w:right w:type="dxa" w:w="100"/>
            </w:tcMar>
            <w:vAlign w:val="top"/>
          </w:tcPr>
          <w:p>
            <w:pPr>
              <w:spacing w:after="0" w:line="252" w:lineRule="auto"/>
            </w:pPr>
            <w:r>
              <w:rPr>
                <w:sz w:val="18"/>
                <w:szCs w:val="18"/>
              </w:rPr>
              <w:t xml:space="preserve">iOS and Android (React Native) plus responsive web; OTP login</w:t>
            </w:r>
          </w:p>
        </w:tc>
      </w:tr>
      <w:tr>
        <w:trPr>
          <w:cantSplit/>
          <w:tblHeader w:val="false"/>
        </w:trPr>
        <w:tc>
          <w:tcPr>
            <w:tcW w:type="dxa" w:w="2255"/>
            <w:tcMar>
              <w:top w:type="dxa" w:w="70"/>
              <w:left w:type="dxa" w:w="100"/>
              <w:bottom w:type="dxa" w:w="70"/>
              <w:right w:type="dxa" w:w="100"/>
            </w:tcMar>
            <w:vAlign w:val="top"/>
          </w:tcPr>
          <w:p>
            <w:pPr>
              <w:spacing w:after="0" w:line="252" w:lineRule="auto"/>
            </w:pPr>
            <w:r>
              <w:rPr>
                <w:b/>
                <w:bCs/>
                <w:color w:val="16222A"/>
                <w:sz w:val="18"/>
                <w:szCs w:val="18"/>
              </w:rPr>
              <w:t xml:space="preserve">Admin console</w:t>
            </w:r>
          </w:p>
        </w:tc>
        <w:tc>
          <w:tcPr>
            <w:tcW w:type="dxa" w:w="3075"/>
            <w:tcMar>
              <w:top w:type="dxa" w:w="70"/>
              <w:left w:type="dxa" w:w="100"/>
              <w:bottom w:type="dxa" w:w="70"/>
              <w:right w:type="dxa" w:w="100"/>
            </w:tcMar>
            <w:vAlign w:val="top"/>
          </w:tcPr>
          <w:p>
            <w:pPr>
              <w:spacing w:after="0" w:line="252" w:lineRule="auto"/>
            </w:pPr>
            <w:r>
              <w:rPr>
                <w:sz w:val="18"/>
                <w:szCs w:val="18"/>
              </w:rPr>
              <w:t xml:space="preserve">Tenant administrators</w:t>
            </w:r>
          </w:p>
        </w:tc>
        <w:tc>
          <w:tcPr>
            <w:tcW w:type="dxa" w:w="4308"/>
            <w:tcMar>
              <w:top w:type="dxa" w:w="70"/>
              <w:left w:type="dxa" w:w="100"/>
              <w:bottom w:type="dxa" w:w="70"/>
              <w:right w:type="dxa" w:w="100"/>
            </w:tcMar>
            <w:vAlign w:val="top"/>
          </w:tcPr>
          <w:p>
            <w:pPr>
              <w:spacing w:after="0" w:line="252" w:lineRule="auto"/>
            </w:pPr>
            <w:r>
              <w:rPr>
                <w:sz w:val="18"/>
                <w:szCs w:val="18"/>
              </w:rPr>
              <w:t xml:space="preserve">Web: configuration, roles, integrations, API apps, audit log</w:t>
            </w:r>
          </w:p>
        </w:tc>
      </w:tr>
      <w:tr>
        <w:trPr>
          <w:cantSplit/>
          <w:tblHeader w:val="false"/>
        </w:trPr>
        <w:tc>
          <w:tcPr>
            <w:tcW w:type="dxa" w:w="2255"/>
            <w:tcMar>
              <w:top w:type="dxa" w:w="70"/>
              <w:left w:type="dxa" w:w="100"/>
              <w:bottom w:type="dxa" w:w="70"/>
              <w:right w:type="dxa" w:w="100"/>
            </w:tcMar>
            <w:vAlign w:val="top"/>
          </w:tcPr>
          <w:p>
            <w:pPr>
              <w:spacing w:after="0" w:line="252" w:lineRule="auto"/>
            </w:pPr>
            <w:r>
              <w:rPr>
                <w:b/>
                <w:bCs/>
                <w:color w:val="16222A"/>
                <w:sz w:val="18"/>
                <w:szCs w:val="18"/>
              </w:rPr>
              <w:t xml:space="preserve">Careers and pre-joining portal</w:t>
            </w:r>
          </w:p>
        </w:tc>
        <w:tc>
          <w:tcPr>
            <w:tcW w:type="dxa" w:w="3075"/>
            <w:tcMar>
              <w:top w:type="dxa" w:w="70"/>
              <w:left w:type="dxa" w:w="100"/>
              <w:bottom w:type="dxa" w:w="70"/>
              <w:right w:type="dxa" w:w="100"/>
            </w:tcMar>
            <w:vAlign w:val="top"/>
          </w:tcPr>
          <w:p>
            <w:pPr>
              <w:spacing w:after="0" w:line="252" w:lineRule="auto"/>
            </w:pPr>
            <w:r>
              <w:rPr>
                <w:sz w:val="18"/>
                <w:szCs w:val="18"/>
              </w:rPr>
              <w:t xml:space="preserve">Candidates</w:t>
            </w:r>
          </w:p>
        </w:tc>
        <w:tc>
          <w:tcPr>
            <w:tcW w:type="dxa" w:w="4308"/>
            <w:tcMar>
              <w:top w:type="dxa" w:w="70"/>
              <w:left w:type="dxa" w:w="100"/>
              <w:bottom w:type="dxa" w:w="70"/>
              <w:right w:type="dxa" w:w="100"/>
            </w:tcMar>
            <w:vAlign w:val="top"/>
          </w:tcPr>
          <w:p>
            <w:pPr>
              <w:spacing w:after="0" w:line="252" w:lineRule="auto"/>
            </w:pPr>
            <w:r>
              <w:rPr>
                <w:sz w:val="18"/>
                <w:szCs w:val="18"/>
              </w:rPr>
              <w:t xml:space="preserve">Web: applications, offers, pre-joining documents</w:t>
            </w:r>
          </w:p>
        </w:tc>
      </w:tr>
      <w:tr>
        <w:trPr>
          <w:cantSplit/>
          <w:tblHeader w:val="false"/>
        </w:trPr>
        <w:tc>
          <w:tcPr>
            <w:tcW w:type="dxa" w:w="2255"/>
            <w:tcMar>
              <w:top w:type="dxa" w:w="70"/>
              <w:left w:type="dxa" w:w="100"/>
              <w:bottom w:type="dxa" w:w="70"/>
              <w:right w:type="dxa" w:w="100"/>
            </w:tcMar>
            <w:vAlign w:val="top"/>
          </w:tcPr>
          <w:p>
            <w:pPr>
              <w:spacing w:after="0" w:line="252" w:lineRule="auto"/>
            </w:pPr>
            <w:r>
              <w:rPr>
                <w:b/>
                <w:bCs/>
                <w:color w:val="16222A"/>
                <w:sz w:val="18"/>
                <w:szCs w:val="18"/>
              </w:rPr>
              <w:t xml:space="preserve">Developer portal and console</w:t>
            </w:r>
          </w:p>
        </w:tc>
        <w:tc>
          <w:tcPr>
            <w:tcW w:type="dxa" w:w="3075"/>
            <w:tcMar>
              <w:top w:type="dxa" w:w="70"/>
              <w:left w:type="dxa" w:w="100"/>
              <w:bottom w:type="dxa" w:w="70"/>
              <w:right w:type="dxa" w:w="100"/>
            </w:tcMar>
            <w:vAlign w:val="top"/>
          </w:tcPr>
          <w:p>
            <w:pPr>
              <w:spacing w:after="0" w:line="252" w:lineRule="auto"/>
            </w:pPr>
            <w:r>
              <w:rPr>
                <w:sz w:val="18"/>
                <w:szCs w:val="18"/>
              </w:rPr>
              <w:t xml:space="preserve">Integration developers, ISVs</w:t>
            </w:r>
          </w:p>
        </w:tc>
        <w:tc>
          <w:tcPr>
            <w:tcW w:type="dxa" w:w="4308"/>
            <w:tcMar>
              <w:top w:type="dxa" w:w="70"/>
              <w:left w:type="dxa" w:w="100"/>
              <w:bottom w:type="dxa" w:w="70"/>
              <w:right w:type="dxa" w:w="100"/>
            </w:tcMar>
            <w:vAlign w:val="top"/>
          </w:tcPr>
          <w:p>
            <w:pPr>
              <w:spacing w:after="0" w:line="252" w:lineRule="auto"/>
            </w:pPr>
            <w:r>
              <w:rPr>
                <w:sz w:val="18"/>
                <w:szCs w:val="18"/>
              </w:rPr>
              <w:t xml:space="preserve">Public docs; signed-in console for apps, keys, usage, webhooks</w:t>
            </w:r>
          </w:p>
        </w:tc>
      </w:tr>
      <w:tr>
        <w:trPr>
          <w:cantSplit/>
          <w:tblHeader w:val="false"/>
        </w:trPr>
        <w:tc>
          <w:tcPr>
            <w:tcW w:type="dxa" w:w="2255"/>
            <w:tcMar>
              <w:top w:type="dxa" w:w="70"/>
              <w:left w:type="dxa" w:w="100"/>
              <w:bottom w:type="dxa" w:w="70"/>
              <w:right w:type="dxa" w:w="100"/>
            </w:tcMar>
            <w:vAlign w:val="top"/>
          </w:tcPr>
          <w:p>
            <w:pPr>
              <w:spacing w:after="0" w:line="252" w:lineRule="auto"/>
            </w:pPr>
            <w:r>
              <w:rPr>
                <w:b/>
                <w:bCs/>
                <w:color w:val="16222A"/>
                <w:sz w:val="18"/>
                <w:szCs w:val="18"/>
              </w:rPr>
              <w:t xml:space="preserve">Public API and webhooks</w:t>
            </w:r>
          </w:p>
        </w:tc>
        <w:tc>
          <w:tcPr>
            <w:tcW w:type="dxa" w:w="3075"/>
            <w:tcMar>
              <w:top w:type="dxa" w:w="70"/>
              <w:left w:type="dxa" w:w="100"/>
              <w:bottom w:type="dxa" w:w="70"/>
              <w:right w:type="dxa" w:w="100"/>
            </w:tcMar>
            <w:vAlign w:val="top"/>
          </w:tcPr>
          <w:p>
            <w:pPr>
              <w:spacing w:after="0" w:line="252" w:lineRule="auto"/>
            </w:pPr>
            <w:r>
              <w:rPr>
                <w:sz w:val="18"/>
                <w:szCs w:val="18"/>
              </w:rPr>
              <w:t xml:space="preserve">Customer systems, ISVs, iPaaS</w:t>
            </w:r>
          </w:p>
        </w:tc>
        <w:tc>
          <w:tcPr>
            <w:tcW w:type="dxa" w:w="4308"/>
            <w:tcMar>
              <w:top w:type="dxa" w:w="70"/>
              <w:left w:type="dxa" w:w="100"/>
              <w:bottom w:type="dxa" w:w="70"/>
              <w:right w:type="dxa" w:w="100"/>
            </w:tcMar>
            <w:vAlign w:val="top"/>
          </w:tcPr>
          <w:p>
            <w:pPr>
              <w:spacing w:after="0" w:line="252" w:lineRule="auto"/>
            </w:pPr>
            <w:r>
              <w:rPr>
                <w:sz w:val="18"/>
                <w:szCs w:val="18"/>
              </w:rPr>
              <w:t xml:space="preserve">REST/JSON, OAuth 2.0, signed webhooks, change feed</w:t>
            </w:r>
          </w:p>
        </w:tc>
      </w:tr>
      <w:tr>
        <w:trPr>
          <w:cantSplit/>
          <w:tblHeader w:val="false"/>
        </w:trPr>
        <w:tc>
          <w:tcPr>
            <w:tcW w:type="dxa" w:w="2255"/>
            <w:tcMar>
              <w:top w:type="dxa" w:w="70"/>
              <w:left w:type="dxa" w:w="100"/>
              <w:bottom w:type="dxa" w:w="70"/>
              <w:right w:type="dxa" w:w="100"/>
            </w:tcMar>
            <w:vAlign w:val="top"/>
          </w:tcPr>
          <w:p>
            <w:pPr>
              <w:spacing w:after="0" w:line="252" w:lineRule="auto"/>
            </w:pPr>
            <w:r>
              <w:rPr>
                <w:b/>
                <w:bCs/>
                <w:color w:val="16222A"/>
                <w:sz w:val="18"/>
                <w:szCs w:val="18"/>
              </w:rPr>
              <w:t xml:space="preserve">Ops console</w:t>
            </w:r>
          </w:p>
        </w:tc>
        <w:tc>
          <w:tcPr>
            <w:tcW w:type="dxa" w:w="3075"/>
            <w:tcMar>
              <w:top w:type="dxa" w:w="70"/>
              <w:left w:type="dxa" w:w="100"/>
              <w:bottom w:type="dxa" w:w="70"/>
              <w:right w:type="dxa" w:w="100"/>
            </w:tcMar>
            <w:vAlign w:val="top"/>
          </w:tcPr>
          <w:p>
            <w:pPr>
              <w:spacing w:after="0" w:line="252" w:lineRule="auto"/>
            </w:pPr>
            <w:r>
              <w:rPr>
                <w:sz w:val="18"/>
                <w:szCs w:val="18"/>
              </w:rPr>
              <w:t xml:space="preserve">Our SRE, support, finance</w:t>
            </w:r>
          </w:p>
        </w:tc>
        <w:tc>
          <w:tcPr>
            <w:tcW w:type="dxa" w:w="4308"/>
            <w:tcMar>
              <w:top w:type="dxa" w:w="70"/>
              <w:left w:type="dxa" w:w="100"/>
              <w:bottom w:type="dxa" w:w="70"/>
              <w:right w:type="dxa" w:w="100"/>
            </w:tcMar>
            <w:vAlign w:val="top"/>
          </w:tcPr>
          <w:p>
            <w:pPr>
              <w:spacing w:after="0" w:line="252" w:lineRule="auto"/>
            </w:pPr>
            <w:r>
              <w:rPr>
                <w:sz w:val="18"/>
                <w:szCs w:val="18"/>
              </w:rPr>
              <w:t xml:space="preserve">Internal: tenants, cells, releases, just-in-time support access</w:t>
            </w:r>
          </w:p>
        </w:tc>
      </w:tr>
    </w:tbl>
    <w:p>
      <w:pPr>
        <w:spacing w:after="160"/>
      </w:pPr>
    </w:p>
    <w:p>
      <w:pPr>
        <w:pStyle w:val="Heading2"/>
      </w:pPr>
      <w:bookmarkStart w:id="8012" w:name="_Toc900012"/>
      <w:r>
        <w:t xml:space="preserve">2.3 System context</w:t>
      </w:r>
      <w:bookmarkEnd w:id="8012"/>
    </w:p>
    <w:p>
      <w:pPr>
        <w:keepNext/>
        <w:spacing w:after="60" w:before="120" w:line="240" w:lineRule="auto"/>
        <w:jc w:val="center"/>
      </w:pPr>
      <w:r>
        <w:drawing>
          <wp:inline distT="0" distB="0" distL="0" distR="0">
            <wp:extent cx="6096000" cy="4991100"/>
            <wp:effectExtent t="0" r="0" b="0" l="0"/>
            <wp:docPr id="1" name="p01-context" descr="The people who use the platform, and the external systems it exchanges data with. Identity providers exchange data both ways; attendance devices push into the platform." title="The people who use the platform, and the external systems it exchanges data with. Identity providers exchange data both ways; attendance devices push into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4991100"/>
                    </a:xfrm>
                    <a:prstGeom prst="rect">
                      <a:avLst/>
                    </a:prstGeom>
                  </pic:spPr>
                </pic:pic>
              </a:graphicData>
            </a:graphic>
          </wp:inline>
        </w:drawing>
      </w:r>
    </w:p>
    <w:p>
      <w:pPr>
        <w:pStyle w:val="Caption"/>
        <w:jc w:val="left"/>
      </w:pPr>
      <w:r>
        <w:rPr>
          <w:b/>
          <w:bCs/>
        </w:rPr>
        <w:t xml:space="preserve">Figure 1. </w:t>
      </w:r>
      <w:r>
        <w:t xml:space="preserve">The people who use the platform, and the external systems it exchanges data with. Identity providers exchange data both ways; attendance devices push into the platform.</w:t>
      </w:r>
    </w:p>
    <w:p>
      <w:pPr>
        <w:pStyle w:val="Heading2"/>
      </w:pPr>
      <w:bookmarkStart w:id="8013" w:name="_Toc900013"/>
      <w:r>
        <w:t xml:space="preserve">2.4 Non-functional requirements (proposed targets)</w:t>
      </w:r>
      <w:bookmarkEnd w:id="801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974"/>
        <w:gridCol w:w="1732"/>
        <w:gridCol w:w="3898"/>
        <w:gridCol w:w="3034"/>
      </w:tblGrid>
      <w:tr>
        <w:trPr>
          <w:cantSplit/>
          <w:tblHeader/>
        </w:trPr>
        <w:tc>
          <w:tcPr>
            <w:tcW w:type="dxa" w:w="97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ID</w:t>
            </w:r>
          </w:p>
        </w:tc>
        <w:tc>
          <w:tcPr>
            <w:tcW w:type="dxa" w:w="1732"/>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Quality</w:t>
            </w:r>
          </w:p>
        </w:tc>
        <w:tc>
          <w:tcPr>
            <w:tcW w:type="dxa" w:w="389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Target</w:t>
            </w:r>
          </w:p>
        </w:tc>
        <w:tc>
          <w:tcPr>
            <w:tcW w:type="dxa" w:w="303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How it is met</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NFR-01</w:t>
            </w:r>
          </w:p>
        </w:tc>
        <w:tc>
          <w:tcPr>
            <w:tcW w:type="dxa" w:w="1732"/>
            <w:tcMar>
              <w:top w:type="dxa" w:w="70"/>
              <w:left w:type="dxa" w:w="100"/>
              <w:bottom w:type="dxa" w:w="70"/>
              <w:right w:type="dxa" w:w="100"/>
            </w:tcMar>
            <w:vAlign w:val="top"/>
          </w:tcPr>
          <w:p>
            <w:pPr>
              <w:spacing w:after="0" w:line="252" w:lineRule="auto"/>
            </w:pPr>
            <w:r>
              <w:rPr>
                <w:sz w:val="18"/>
                <w:szCs w:val="18"/>
              </w:rPr>
              <w:t xml:space="preserve">Availability</w:t>
            </w:r>
          </w:p>
        </w:tc>
        <w:tc>
          <w:tcPr>
            <w:tcW w:type="dxa" w:w="3898"/>
            <w:tcMar>
              <w:top w:type="dxa" w:w="70"/>
              <w:left w:type="dxa" w:w="100"/>
              <w:bottom w:type="dxa" w:w="70"/>
              <w:right w:type="dxa" w:w="100"/>
            </w:tcMar>
            <w:vAlign w:val="top"/>
          </w:tcPr>
          <w:p>
            <w:pPr>
              <w:spacing w:after="0" w:line="252" w:lineRule="auto"/>
            </w:pPr>
            <w:r>
              <w:rPr>
                <w:sz w:val="18"/>
                <w:szCs w:val="18"/>
              </w:rPr>
              <w:t xml:space="preserve">99.9% monthly for pooled tenants; 99.95% for Enterprise dedicated cells</w:t>
            </w:r>
          </w:p>
        </w:tc>
        <w:tc>
          <w:tcPr>
            <w:tcW w:type="dxa" w:w="3034"/>
            <w:tcMar>
              <w:top w:type="dxa" w:w="70"/>
              <w:left w:type="dxa" w:w="100"/>
              <w:bottom w:type="dxa" w:w="70"/>
              <w:right w:type="dxa" w:w="100"/>
            </w:tcMar>
            <w:vAlign w:val="top"/>
          </w:tcPr>
          <w:p>
            <w:pPr>
              <w:spacing w:after="0" w:line="252" w:lineRule="auto"/>
            </w:pPr>
            <w:r>
              <w:rPr>
                <w:sz w:val="18"/>
                <w:szCs w:val="18"/>
              </w:rPr>
              <w:t xml:space="preserve">Multi-AZ; cells limit blast radius; ring deployments</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NFR-02</w:t>
            </w:r>
          </w:p>
        </w:tc>
        <w:tc>
          <w:tcPr>
            <w:tcW w:type="dxa" w:w="1732"/>
            <w:tcMar>
              <w:top w:type="dxa" w:w="70"/>
              <w:left w:type="dxa" w:w="100"/>
              <w:bottom w:type="dxa" w:w="70"/>
              <w:right w:type="dxa" w:w="100"/>
            </w:tcMar>
            <w:vAlign w:val="top"/>
          </w:tcPr>
          <w:p>
            <w:pPr>
              <w:spacing w:after="0" w:line="252" w:lineRule="auto"/>
            </w:pPr>
            <w:r>
              <w:rPr>
                <w:sz w:val="18"/>
                <w:szCs w:val="18"/>
              </w:rPr>
              <w:t xml:space="preserve">Punch ingestion</w:t>
            </w:r>
          </w:p>
        </w:tc>
        <w:tc>
          <w:tcPr>
            <w:tcW w:type="dxa" w:w="3898"/>
            <w:tcMar>
              <w:top w:type="dxa" w:w="70"/>
              <w:left w:type="dxa" w:w="100"/>
              <w:bottom w:type="dxa" w:w="70"/>
              <w:right w:type="dxa" w:w="100"/>
            </w:tcMar>
            <w:vAlign w:val="top"/>
          </w:tcPr>
          <w:p>
            <w:pPr>
              <w:spacing w:after="0" w:line="252" w:lineRule="auto"/>
            </w:pPr>
            <w:r>
              <w:rPr>
                <w:sz w:val="18"/>
                <w:szCs w:val="18"/>
              </w:rPr>
              <w:t xml:space="preserve">99.95%; devices and agents buffer offline</w:t>
            </w:r>
          </w:p>
        </w:tc>
        <w:tc>
          <w:tcPr>
            <w:tcW w:type="dxa" w:w="3034"/>
            <w:tcMar>
              <w:top w:type="dxa" w:w="70"/>
              <w:left w:type="dxa" w:w="100"/>
              <w:bottom w:type="dxa" w:w="70"/>
              <w:right w:type="dxa" w:w="100"/>
            </w:tcMar>
            <w:vAlign w:val="top"/>
          </w:tcPr>
          <w:p>
            <w:pPr>
              <w:spacing w:after="0" w:line="252" w:lineRule="auto"/>
            </w:pPr>
            <w:r>
              <w:rPr>
                <w:sz w:val="18"/>
                <w:szCs w:val="18"/>
              </w:rPr>
              <w:t xml:space="preserve">Separate ingestion path; idempotent retries</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NFR-03</w:t>
            </w:r>
          </w:p>
        </w:tc>
        <w:tc>
          <w:tcPr>
            <w:tcW w:type="dxa" w:w="1732"/>
            <w:tcMar>
              <w:top w:type="dxa" w:w="70"/>
              <w:left w:type="dxa" w:w="100"/>
              <w:bottom w:type="dxa" w:w="70"/>
              <w:right w:type="dxa" w:w="100"/>
            </w:tcMar>
            <w:vAlign w:val="top"/>
          </w:tcPr>
          <w:p>
            <w:pPr>
              <w:spacing w:after="0" w:line="252" w:lineRule="auto"/>
            </w:pPr>
            <w:r>
              <w:rPr>
                <w:sz w:val="18"/>
                <w:szCs w:val="18"/>
              </w:rPr>
              <w:t xml:space="preserve">Data loss (RPO)</w:t>
            </w:r>
          </w:p>
        </w:tc>
        <w:tc>
          <w:tcPr>
            <w:tcW w:type="dxa" w:w="3898"/>
            <w:tcMar>
              <w:top w:type="dxa" w:w="70"/>
              <w:left w:type="dxa" w:w="100"/>
              <w:bottom w:type="dxa" w:w="70"/>
              <w:right w:type="dxa" w:w="100"/>
            </w:tcMar>
            <w:vAlign w:val="top"/>
          </w:tcPr>
          <w:p>
            <w:pPr>
              <w:spacing w:after="0" w:line="252" w:lineRule="auto"/>
            </w:pPr>
            <w:r>
              <w:rPr>
                <w:sz w:val="18"/>
                <w:szCs w:val="18"/>
              </w:rPr>
              <w:t xml:space="preserve">≤ 5 minutes for every tier</w:t>
            </w:r>
          </w:p>
        </w:tc>
        <w:tc>
          <w:tcPr>
            <w:tcW w:type="dxa" w:w="3034"/>
            <w:tcMar>
              <w:top w:type="dxa" w:w="70"/>
              <w:left w:type="dxa" w:w="100"/>
              <w:bottom w:type="dxa" w:w="70"/>
              <w:right w:type="dxa" w:w="100"/>
            </w:tcMar>
            <w:vAlign w:val="top"/>
          </w:tcPr>
          <w:p>
            <w:pPr>
              <w:spacing w:after="0" w:line="252" w:lineRule="auto"/>
            </w:pPr>
            <w:r>
              <w:rPr>
                <w:sz w:val="18"/>
                <w:szCs w:val="18"/>
              </w:rPr>
              <w:t xml:space="preserve">Aurora Global Database (typically ~1 s); S3 replication</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NFR-04</w:t>
            </w:r>
          </w:p>
        </w:tc>
        <w:tc>
          <w:tcPr>
            <w:tcW w:type="dxa" w:w="1732"/>
            <w:tcMar>
              <w:top w:type="dxa" w:w="70"/>
              <w:left w:type="dxa" w:w="100"/>
              <w:bottom w:type="dxa" w:w="70"/>
              <w:right w:type="dxa" w:w="100"/>
            </w:tcMar>
            <w:vAlign w:val="top"/>
          </w:tcPr>
          <w:p>
            <w:pPr>
              <w:spacing w:after="0" w:line="252" w:lineRule="auto"/>
            </w:pPr>
            <w:r>
              <w:rPr>
                <w:sz w:val="18"/>
                <w:szCs w:val="18"/>
              </w:rPr>
              <w:t xml:space="preserve">Recovery (RTO)</w:t>
            </w:r>
          </w:p>
        </w:tc>
        <w:tc>
          <w:tcPr>
            <w:tcW w:type="dxa" w:w="3898"/>
            <w:tcMar>
              <w:top w:type="dxa" w:w="70"/>
              <w:left w:type="dxa" w:w="100"/>
              <w:bottom w:type="dxa" w:w="70"/>
              <w:right w:type="dxa" w:w="100"/>
            </w:tcMar>
            <w:vAlign w:val="top"/>
          </w:tcPr>
          <w:p>
            <w:pPr>
              <w:spacing w:after="0" w:line="252" w:lineRule="auto"/>
            </w:pPr>
            <w:r>
              <w:rPr>
                <w:sz w:val="18"/>
                <w:szCs w:val="18"/>
              </w:rPr>
              <w:t xml:space="preserve">Standard ≤ 4 h; Enterprise warm ≤ 1 h. Not contractual until rehearsed.</w:t>
            </w:r>
          </w:p>
        </w:tc>
        <w:tc>
          <w:tcPr>
            <w:tcW w:type="dxa" w:w="3034"/>
            <w:tcMar>
              <w:top w:type="dxa" w:w="70"/>
              <w:left w:type="dxa" w:w="100"/>
              <w:bottom w:type="dxa" w:w="70"/>
              <w:right w:type="dxa" w:w="100"/>
            </w:tcMar>
            <w:vAlign w:val="top"/>
          </w:tcPr>
          <w:p>
            <w:pPr>
              <w:spacing w:after="0" w:line="252" w:lineRule="auto"/>
            </w:pPr>
            <w:r>
              <w:rPr>
                <w:sz w:val="18"/>
                <w:szCs w:val="18"/>
              </w:rPr>
              <w:t xml:space="preserve">DR tiers in section 13.5</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NFR-05</w:t>
            </w:r>
          </w:p>
        </w:tc>
        <w:tc>
          <w:tcPr>
            <w:tcW w:type="dxa" w:w="1732"/>
            <w:tcMar>
              <w:top w:type="dxa" w:w="70"/>
              <w:left w:type="dxa" w:w="100"/>
              <w:bottom w:type="dxa" w:w="70"/>
              <w:right w:type="dxa" w:w="100"/>
            </w:tcMar>
            <w:vAlign w:val="top"/>
          </w:tcPr>
          <w:p>
            <w:pPr>
              <w:spacing w:after="0" w:line="252" w:lineRule="auto"/>
            </w:pPr>
            <w:r>
              <w:rPr>
                <w:sz w:val="18"/>
                <w:szCs w:val="18"/>
              </w:rPr>
              <w:t xml:space="preserve">API latency</w:t>
            </w:r>
          </w:p>
        </w:tc>
        <w:tc>
          <w:tcPr>
            <w:tcW w:type="dxa" w:w="3898"/>
            <w:tcMar>
              <w:top w:type="dxa" w:w="70"/>
              <w:left w:type="dxa" w:w="100"/>
              <w:bottom w:type="dxa" w:w="70"/>
              <w:right w:type="dxa" w:w="100"/>
            </w:tcMar>
            <w:vAlign w:val="top"/>
          </w:tcPr>
          <w:p>
            <w:pPr>
              <w:spacing w:after="0" w:line="252" w:lineRule="auto"/>
            </w:pPr>
            <w:r>
              <w:rPr>
                <w:sz w:val="18"/>
                <w:szCs w:val="18"/>
              </w:rPr>
              <w:t xml:space="preserve">p95 ≤ 300 ms reads, ≤ 600 ms writes; p99 ≤ 1 s</w:t>
            </w:r>
          </w:p>
        </w:tc>
        <w:tc>
          <w:tcPr>
            <w:tcW w:type="dxa" w:w="3034"/>
            <w:tcMar>
              <w:top w:type="dxa" w:w="70"/>
              <w:left w:type="dxa" w:w="100"/>
              <w:bottom w:type="dxa" w:w="70"/>
              <w:right w:type="dxa" w:w="100"/>
            </w:tcMar>
            <w:vAlign w:val="top"/>
          </w:tcPr>
          <w:p>
            <w:pPr>
              <w:spacing w:after="0" w:line="252" w:lineRule="auto"/>
            </w:pPr>
            <w:r>
              <w:rPr>
                <w:sz w:val="18"/>
                <w:szCs w:val="18"/>
              </w:rPr>
              <w:t xml:space="preserve">Scoped indexed queries; replicas; caching</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NFR-06</w:t>
            </w:r>
          </w:p>
        </w:tc>
        <w:tc>
          <w:tcPr>
            <w:tcW w:type="dxa" w:w="1732"/>
            <w:tcMar>
              <w:top w:type="dxa" w:w="70"/>
              <w:left w:type="dxa" w:w="100"/>
              <w:bottom w:type="dxa" w:w="70"/>
              <w:right w:type="dxa" w:w="100"/>
            </w:tcMar>
            <w:vAlign w:val="top"/>
          </w:tcPr>
          <w:p>
            <w:pPr>
              <w:spacing w:after="0" w:line="252" w:lineRule="auto"/>
            </w:pPr>
            <w:r>
              <w:rPr>
                <w:sz w:val="18"/>
                <w:szCs w:val="18"/>
              </w:rPr>
              <w:t xml:space="preserve">Webhook latency</w:t>
            </w:r>
          </w:p>
        </w:tc>
        <w:tc>
          <w:tcPr>
            <w:tcW w:type="dxa" w:w="3898"/>
            <w:tcMar>
              <w:top w:type="dxa" w:w="70"/>
              <w:left w:type="dxa" w:w="100"/>
              <w:bottom w:type="dxa" w:w="70"/>
              <w:right w:type="dxa" w:w="100"/>
            </w:tcMar>
            <w:vAlign w:val="top"/>
          </w:tcPr>
          <w:p>
            <w:pPr>
              <w:spacing w:after="0" w:line="252" w:lineRule="auto"/>
            </w:pPr>
            <w:r>
              <w:rPr>
                <w:sz w:val="18"/>
                <w:szCs w:val="18"/>
              </w:rPr>
              <w:t xml:space="preserve">p95 ≤ 60 s from commit to first attempt</w:t>
            </w:r>
          </w:p>
        </w:tc>
        <w:tc>
          <w:tcPr>
            <w:tcW w:type="dxa" w:w="3034"/>
            <w:tcMar>
              <w:top w:type="dxa" w:w="70"/>
              <w:left w:type="dxa" w:w="100"/>
              <w:bottom w:type="dxa" w:w="70"/>
              <w:right w:type="dxa" w:w="100"/>
            </w:tcMar>
            <w:vAlign w:val="top"/>
          </w:tcPr>
          <w:p>
            <w:pPr>
              <w:spacing w:after="0" w:line="252" w:lineRule="auto"/>
            </w:pPr>
            <w:r>
              <w:rPr>
                <w:sz w:val="18"/>
                <w:szCs w:val="18"/>
              </w:rPr>
              <w:t xml:space="preserve">Outbox relay; queue; dispatcher</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NFR-07</w:t>
            </w:r>
          </w:p>
        </w:tc>
        <w:tc>
          <w:tcPr>
            <w:tcW w:type="dxa" w:w="1732"/>
            <w:tcMar>
              <w:top w:type="dxa" w:w="70"/>
              <w:left w:type="dxa" w:w="100"/>
              <w:bottom w:type="dxa" w:w="70"/>
              <w:right w:type="dxa" w:w="100"/>
            </w:tcMar>
            <w:vAlign w:val="top"/>
          </w:tcPr>
          <w:p>
            <w:pPr>
              <w:spacing w:after="0" w:line="252" w:lineRule="auto"/>
            </w:pPr>
            <w:r>
              <w:rPr>
                <w:sz w:val="18"/>
                <w:szCs w:val="18"/>
              </w:rPr>
              <w:t xml:space="preserve">Search</w:t>
            </w:r>
          </w:p>
        </w:tc>
        <w:tc>
          <w:tcPr>
            <w:tcW w:type="dxa" w:w="3898"/>
            <w:tcMar>
              <w:top w:type="dxa" w:w="70"/>
              <w:left w:type="dxa" w:w="100"/>
              <w:bottom w:type="dxa" w:w="70"/>
              <w:right w:type="dxa" w:w="100"/>
            </w:tcMar>
            <w:vAlign w:val="top"/>
          </w:tcPr>
          <w:p>
            <w:pPr>
              <w:spacing w:after="0" w:line="252" w:lineRule="auto"/>
            </w:pPr>
            <w:r>
              <w:rPr>
                <w:sz w:val="18"/>
                <w:szCs w:val="18"/>
              </w:rPr>
              <w:t xml:space="preserve">p95 ≤ 500 ms for scoped employee search</w:t>
            </w:r>
          </w:p>
        </w:tc>
        <w:tc>
          <w:tcPr>
            <w:tcW w:type="dxa" w:w="3034"/>
            <w:tcMar>
              <w:top w:type="dxa" w:w="70"/>
              <w:left w:type="dxa" w:w="100"/>
              <w:bottom w:type="dxa" w:w="70"/>
              <w:right w:type="dxa" w:w="100"/>
            </w:tcMar>
            <w:vAlign w:val="top"/>
          </w:tcPr>
          <w:p>
            <w:pPr>
              <w:spacing w:after="0" w:line="252" w:lineRule="auto"/>
            </w:pPr>
            <w:r>
              <w:rPr>
                <w:sz w:val="18"/>
                <w:szCs w:val="18"/>
              </w:rPr>
              <w:t xml:space="preserve">PostgreSQL full text, then OpenSearch</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NFR-08</w:t>
            </w:r>
          </w:p>
        </w:tc>
        <w:tc>
          <w:tcPr>
            <w:tcW w:type="dxa" w:w="1732"/>
            <w:tcMar>
              <w:top w:type="dxa" w:w="70"/>
              <w:left w:type="dxa" w:w="100"/>
              <w:bottom w:type="dxa" w:w="70"/>
              <w:right w:type="dxa" w:w="100"/>
            </w:tcMar>
            <w:vAlign w:val="top"/>
          </w:tcPr>
          <w:p>
            <w:pPr>
              <w:spacing w:after="0" w:line="252" w:lineRule="auto"/>
            </w:pPr>
            <w:r>
              <w:rPr>
                <w:sz w:val="18"/>
                <w:szCs w:val="18"/>
              </w:rPr>
              <w:t xml:space="preserve">Cell throughput (design point)</w:t>
            </w:r>
          </w:p>
        </w:tc>
        <w:tc>
          <w:tcPr>
            <w:tcW w:type="dxa" w:w="3898"/>
            <w:tcMar>
              <w:top w:type="dxa" w:w="70"/>
              <w:left w:type="dxa" w:w="100"/>
              <w:bottom w:type="dxa" w:w="70"/>
              <w:right w:type="dxa" w:w="100"/>
            </w:tcMar>
            <w:vAlign w:val="top"/>
          </w:tcPr>
          <w:p>
            <w:pPr>
              <w:spacing w:after="0" w:line="252" w:lineRule="auto"/>
            </w:pPr>
            <w:r>
              <w:rPr>
                <w:sz w:val="18"/>
                <w:szCs w:val="18"/>
              </w:rPr>
              <w:t xml:space="preserve">500 API req/s sustained, 2,000 burst; 5 M punches/day, 2,000/s peak</w:t>
            </w:r>
          </w:p>
        </w:tc>
        <w:tc>
          <w:tcPr>
            <w:tcW w:type="dxa" w:w="3034"/>
            <w:tcMar>
              <w:top w:type="dxa" w:w="70"/>
              <w:left w:type="dxa" w:w="100"/>
              <w:bottom w:type="dxa" w:w="70"/>
              <w:right w:type="dxa" w:w="100"/>
            </w:tcMar>
            <w:vAlign w:val="top"/>
          </w:tcPr>
          <w:p>
            <w:pPr>
              <w:spacing w:after="0" w:line="252" w:lineRule="auto"/>
            </w:pPr>
            <w:r>
              <w:rPr>
                <w:sz w:val="18"/>
                <w:szCs w:val="18"/>
              </w:rPr>
              <w:t xml:space="preserve">Horizontal pods; partitioned tables</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NFR-09</w:t>
            </w:r>
          </w:p>
        </w:tc>
        <w:tc>
          <w:tcPr>
            <w:tcW w:type="dxa" w:w="1732"/>
            <w:tcMar>
              <w:top w:type="dxa" w:w="70"/>
              <w:left w:type="dxa" w:w="100"/>
              <w:bottom w:type="dxa" w:w="70"/>
              <w:right w:type="dxa" w:w="100"/>
            </w:tcMar>
            <w:vAlign w:val="top"/>
          </w:tcPr>
          <w:p>
            <w:pPr>
              <w:spacing w:after="0" w:line="252" w:lineRule="auto"/>
            </w:pPr>
            <w:r>
              <w:rPr>
                <w:sz w:val="18"/>
                <w:szCs w:val="18"/>
              </w:rPr>
              <w:t xml:space="preserve">Batch window</w:t>
            </w:r>
          </w:p>
        </w:tc>
        <w:tc>
          <w:tcPr>
            <w:tcW w:type="dxa" w:w="3898"/>
            <w:tcMar>
              <w:top w:type="dxa" w:w="70"/>
              <w:left w:type="dxa" w:w="100"/>
              <w:bottom w:type="dxa" w:w="70"/>
              <w:right w:type="dxa" w:w="100"/>
            </w:tcMar>
            <w:vAlign w:val="top"/>
          </w:tcPr>
          <w:p>
            <w:pPr>
              <w:spacing w:after="0" w:line="252" w:lineRule="auto"/>
            </w:pPr>
            <w:r>
              <w:rPr>
                <w:sz w:val="18"/>
                <w:szCs w:val="18"/>
              </w:rPr>
              <w:t xml:space="preserve">Month-end close for every tenant in a cell within 4 h</w:t>
            </w:r>
          </w:p>
        </w:tc>
        <w:tc>
          <w:tcPr>
            <w:tcW w:type="dxa" w:w="3034"/>
            <w:tcMar>
              <w:top w:type="dxa" w:w="70"/>
              <w:left w:type="dxa" w:w="100"/>
              <w:bottom w:type="dxa" w:w="70"/>
              <w:right w:type="dxa" w:w="100"/>
            </w:tcMar>
            <w:vAlign w:val="top"/>
          </w:tcPr>
          <w:p>
            <w:pPr>
              <w:spacing w:after="0" w:line="252" w:lineRule="auto"/>
            </w:pPr>
            <w:r>
              <w:rPr>
                <w:sz w:val="18"/>
                <w:szCs w:val="18"/>
              </w:rPr>
              <w:t xml:space="preserve">Per-tenant jobs; fair queues</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NFR-10</w:t>
            </w:r>
          </w:p>
        </w:tc>
        <w:tc>
          <w:tcPr>
            <w:tcW w:type="dxa" w:w="1732"/>
            <w:tcMar>
              <w:top w:type="dxa" w:w="70"/>
              <w:left w:type="dxa" w:w="100"/>
              <w:bottom w:type="dxa" w:w="70"/>
              <w:right w:type="dxa" w:w="100"/>
            </w:tcMar>
            <w:vAlign w:val="top"/>
          </w:tcPr>
          <w:p>
            <w:pPr>
              <w:spacing w:after="0" w:line="252" w:lineRule="auto"/>
            </w:pPr>
            <w:r>
              <w:rPr>
                <w:sz w:val="18"/>
                <w:szCs w:val="18"/>
              </w:rPr>
              <w:t xml:space="preserve">Cell capacity</w:t>
            </w:r>
          </w:p>
        </w:tc>
        <w:tc>
          <w:tcPr>
            <w:tcW w:type="dxa" w:w="3898"/>
            <w:tcMar>
              <w:top w:type="dxa" w:w="70"/>
              <w:left w:type="dxa" w:w="100"/>
              <w:bottom w:type="dxa" w:w="70"/>
              <w:right w:type="dxa" w:w="100"/>
            </w:tcMar>
            <w:vAlign w:val="top"/>
          </w:tcPr>
          <w:p>
            <w:pPr>
              <w:spacing w:after="0" w:line="252" w:lineRule="auto"/>
            </w:pPr>
            <w:r>
              <w:rPr>
                <w:sz w:val="18"/>
                <w:szCs w:val="18"/>
              </w:rPr>
              <w:t xml:space="preserve">Up to 2,000 tenants or 1 M employees; &gt; 20,000-employee tenant gets a dedicated DB; &gt; 100,000 gets a dedicated cell</w:t>
            </w:r>
          </w:p>
        </w:tc>
        <w:tc>
          <w:tcPr>
            <w:tcW w:type="dxa" w:w="3034"/>
            <w:tcMar>
              <w:top w:type="dxa" w:w="70"/>
              <w:left w:type="dxa" w:w="100"/>
              <w:bottom w:type="dxa" w:w="70"/>
              <w:right w:type="dxa" w:w="100"/>
            </w:tcMar>
            <w:vAlign w:val="top"/>
          </w:tcPr>
          <w:p>
            <w:pPr>
              <w:spacing w:after="0" w:line="252" w:lineRule="auto"/>
            </w:pPr>
            <w:r>
              <w:rPr>
                <w:sz w:val="18"/>
                <w:szCs w:val="18"/>
              </w:rPr>
              <w:t xml:space="preserve">Placement rules; tenant mobility</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NFR-11</w:t>
            </w:r>
          </w:p>
        </w:tc>
        <w:tc>
          <w:tcPr>
            <w:tcW w:type="dxa" w:w="1732"/>
            <w:tcMar>
              <w:top w:type="dxa" w:w="70"/>
              <w:left w:type="dxa" w:w="100"/>
              <w:bottom w:type="dxa" w:w="70"/>
              <w:right w:type="dxa" w:w="100"/>
            </w:tcMar>
            <w:vAlign w:val="top"/>
          </w:tcPr>
          <w:p>
            <w:pPr>
              <w:spacing w:after="0" w:line="252" w:lineRule="auto"/>
            </w:pPr>
            <w:r>
              <w:rPr>
                <w:sz w:val="18"/>
                <w:szCs w:val="18"/>
              </w:rPr>
              <w:t xml:space="preserve">Security</w:t>
            </w:r>
          </w:p>
        </w:tc>
        <w:tc>
          <w:tcPr>
            <w:tcW w:type="dxa" w:w="3898"/>
            <w:tcMar>
              <w:top w:type="dxa" w:w="70"/>
              <w:left w:type="dxa" w:w="100"/>
              <w:bottom w:type="dxa" w:w="70"/>
              <w:right w:type="dxa" w:w="100"/>
            </w:tcMar>
            <w:vAlign w:val="top"/>
          </w:tcPr>
          <w:p>
            <w:pPr>
              <w:spacing w:after="0" w:line="252" w:lineRule="auto"/>
            </w:pPr>
            <w:r>
              <w:rPr>
                <w:sz w:val="18"/>
                <w:szCs w:val="18"/>
              </w:rPr>
              <w:t xml:space="preserve">OWASP ASVS L2 (L3 for authentication); pen test before GA and yearly; critical fixes ≤ 7 days</w:t>
            </w:r>
          </w:p>
        </w:tc>
        <w:tc>
          <w:tcPr>
            <w:tcW w:type="dxa" w:w="3034"/>
            <w:tcMar>
              <w:top w:type="dxa" w:w="70"/>
              <w:left w:type="dxa" w:w="100"/>
              <w:bottom w:type="dxa" w:w="70"/>
              <w:right w:type="dxa" w:w="100"/>
            </w:tcMar>
            <w:vAlign w:val="top"/>
          </w:tcPr>
          <w:p>
            <w:pPr>
              <w:spacing w:after="0" w:line="252" w:lineRule="auto"/>
            </w:pPr>
            <w:r>
              <w:rPr>
                <w:sz w:val="18"/>
                <w:szCs w:val="18"/>
              </w:rPr>
              <w:t xml:space="preserve">Section 13.6</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NFR-12</w:t>
            </w:r>
          </w:p>
        </w:tc>
        <w:tc>
          <w:tcPr>
            <w:tcW w:type="dxa" w:w="1732"/>
            <w:tcMar>
              <w:top w:type="dxa" w:w="70"/>
              <w:left w:type="dxa" w:w="100"/>
              <w:bottom w:type="dxa" w:w="70"/>
              <w:right w:type="dxa" w:w="100"/>
            </w:tcMar>
            <w:vAlign w:val="top"/>
          </w:tcPr>
          <w:p>
            <w:pPr>
              <w:spacing w:after="0" w:line="252" w:lineRule="auto"/>
            </w:pPr>
            <w:r>
              <w:rPr>
                <w:sz w:val="18"/>
                <w:szCs w:val="18"/>
              </w:rPr>
              <w:t xml:space="preserve">Privacy</w:t>
            </w:r>
          </w:p>
        </w:tc>
        <w:tc>
          <w:tcPr>
            <w:tcW w:type="dxa" w:w="3898"/>
            <w:tcMar>
              <w:top w:type="dxa" w:w="70"/>
              <w:left w:type="dxa" w:w="100"/>
              <w:bottom w:type="dxa" w:w="70"/>
              <w:right w:type="dxa" w:w="100"/>
            </w:tcMar>
            <w:vAlign w:val="top"/>
          </w:tcPr>
          <w:p>
            <w:pPr>
              <w:spacing w:after="0" w:line="252" w:lineRule="auto"/>
            </w:pPr>
            <w:r>
              <w:rPr>
                <w:sz w:val="18"/>
                <w:szCs w:val="18"/>
              </w:rPr>
              <w:t xml:space="preserve">DPDP-ready: purpose, retention, data-principal requests, breach support</w:t>
            </w:r>
          </w:p>
        </w:tc>
        <w:tc>
          <w:tcPr>
            <w:tcW w:type="dxa" w:w="3034"/>
            <w:tcMar>
              <w:top w:type="dxa" w:w="70"/>
              <w:left w:type="dxa" w:w="100"/>
              <w:bottom w:type="dxa" w:w="70"/>
              <w:right w:type="dxa" w:w="100"/>
            </w:tcMar>
            <w:vAlign w:val="top"/>
          </w:tcPr>
          <w:p>
            <w:pPr>
              <w:spacing w:after="0" w:line="252" w:lineRule="auto"/>
            </w:pPr>
            <w:r>
              <w:rPr>
                <w:sz w:val="18"/>
                <w:szCs w:val="18"/>
              </w:rPr>
              <w:t xml:space="preserve">Retention engine; DSR workflow</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NFR-13</w:t>
            </w:r>
          </w:p>
        </w:tc>
        <w:tc>
          <w:tcPr>
            <w:tcW w:type="dxa" w:w="1732"/>
            <w:tcMar>
              <w:top w:type="dxa" w:w="70"/>
              <w:left w:type="dxa" w:w="100"/>
              <w:bottom w:type="dxa" w:w="70"/>
              <w:right w:type="dxa" w:w="100"/>
            </w:tcMar>
            <w:vAlign w:val="top"/>
          </w:tcPr>
          <w:p>
            <w:pPr>
              <w:spacing w:after="0" w:line="252" w:lineRule="auto"/>
            </w:pPr>
            <w:r>
              <w:rPr>
                <w:sz w:val="18"/>
                <w:szCs w:val="18"/>
              </w:rPr>
              <w:t xml:space="preserve">Audit</w:t>
            </w:r>
          </w:p>
        </w:tc>
        <w:tc>
          <w:tcPr>
            <w:tcW w:type="dxa" w:w="3898"/>
            <w:tcMar>
              <w:top w:type="dxa" w:w="70"/>
              <w:left w:type="dxa" w:w="100"/>
              <w:bottom w:type="dxa" w:w="70"/>
              <w:right w:type="dxa" w:w="100"/>
            </w:tcMar>
            <w:vAlign w:val="top"/>
          </w:tcPr>
          <w:p>
            <w:pPr>
              <w:spacing w:after="0" w:line="252" w:lineRule="auto"/>
            </w:pPr>
            <w:r>
              <w:rPr>
                <w:sz w:val="18"/>
                <w:szCs w:val="18"/>
              </w:rPr>
              <w:t xml:space="preserve">Tamper-evident; 7-year default retention, tenant-configurable</w:t>
            </w:r>
          </w:p>
        </w:tc>
        <w:tc>
          <w:tcPr>
            <w:tcW w:type="dxa" w:w="3034"/>
            <w:tcMar>
              <w:top w:type="dxa" w:w="70"/>
              <w:left w:type="dxa" w:w="100"/>
              <w:bottom w:type="dxa" w:w="70"/>
              <w:right w:type="dxa" w:w="100"/>
            </w:tcMar>
            <w:vAlign w:val="top"/>
          </w:tcPr>
          <w:p>
            <w:pPr>
              <w:spacing w:after="0" w:line="252" w:lineRule="auto"/>
            </w:pPr>
            <w:r>
              <w:rPr>
                <w:sz w:val="18"/>
                <w:szCs w:val="18"/>
              </w:rPr>
              <w:t xml:space="preserve">Sealed audit log; S3 Object Lock</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NFR-14</w:t>
            </w:r>
          </w:p>
        </w:tc>
        <w:tc>
          <w:tcPr>
            <w:tcW w:type="dxa" w:w="1732"/>
            <w:tcMar>
              <w:top w:type="dxa" w:w="70"/>
              <w:left w:type="dxa" w:w="100"/>
              <w:bottom w:type="dxa" w:w="70"/>
              <w:right w:type="dxa" w:w="100"/>
            </w:tcMar>
            <w:vAlign w:val="top"/>
          </w:tcPr>
          <w:p>
            <w:pPr>
              <w:spacing w:after="0" w:line="252" w:lineRule="auto"/>
            </w:pPr>
            <w:r>
              <w:rPr>
                <w:sz w:val="18"/>
                <w:szCs w:val="18"/>
              </w:rPr>
              <w:t xml:space="preserve">Accessibility</w:t>
            </w:r>
          </w:p>
        </w:tc>
        <w:tc>
          <w:tcPr>
            <w:tcW w:type="dxa" w:w="3898"/>
            <w:tcMar>
              <w:top w:type="dxa" w:w="70"/>
              <w:left w:type="dxa" w:w="100"/>
              <w:bottom w:type="dxa" w:w="70"/>
              <w:right w:type="dxa" w:w="100"/>
            </w:tcMar>
            <w:vAlign w:val="top"/>
          </w:tcPr>
          <w:p>
            <w:pPr>
              <w:spacing w:after="0" w:line="252" w:lineRule="auto"/>
            </w:pPr>
            <w:r>
              <w:rPr>
                <w:sz w:val="18"/>
                <w:szCs w:val="18"/>
              </w:rPr>
              <w:t xml:space="preserve">WCAG 2.2 AA on web and mobile</w:t>
            </w:r>
          </w:p>
        </w:tc>
        <w:tc>
          <w:tcPr>
            <w:tcW w:type="dxa" w:w="3034"/>
            <w:tcMar>
              <w:top w:type="dxa" w:w="70"/>
              <w:left w:type="dxa" w:w="100"/>
              <w:bottom w:type="dxa" w:w="70"/>
              <w:right w:type="dxa" w:w="100"/>
            </w:tcMar>
            <w:vAlign w:val="top"/>
          </w:tcPr>
          <w:p>
            <w:pPr>
              <w:spacing w:after="0" w:line="252" w:lineRule="auto"/>
            </w:pPr>
            <w:r>
              <w:rPr>
                <w:sz w:val="18"/>
                <w:szCs w:val="18"/>
              </w:rPr>
              <w:t xml:space="preserve">Design system rules; axe in CI</w:t>
            </w:r>
          </w:p>
        </w:tc>
      </w:tr>
      <w:tr>
        <w:trPr>
          <w:cantSplit/>
          <w:tblHeader w:val="false"/>
        </w:trPr>
        <w:tc>
          <w:tcPr>
            <w:tcW w:type="dxa" w:w="974"/>
            <w:tcMar>
              <w:top w:type="dxa" w:w="70"/>
              <w:left w:type="dxa" w:w="100"/>
              <w:bottom w:type="dxa" w:w="70"/>
              <w:right w:type="dxa" w:w="100"/>
            </w:tcMar>
            <w:vAlign w:val="top"/>
          </w:tcPr>
          <w:p>
            <w:pPr>
              <w:spacing w:after="0" w:line="252" w:lineRule="auto"/>
            </w:pPr>
            <w:r>
              <w:rPr>
                <w:sz w:val="18"/>
                <w:szCs w:val="18"/>
              </w:rPr>
              <w:t xml:space="preserve">NFR-15</w:t>
            </w:r>
          </w:p>
        </w:tc>
        <w:tc>
          <w:tcPr>
            <w:tcW w:type="dxa" w:w="1732"/>
            <w:tcMar>
              <w:top w:type="dxa" w:w="70"/>
              <w:left w:type="dxa" w:w="100"/>
              <w:bottom w:type="dxa" w:w="70"/>
              <w:right w:type="dxa" w:w="100"/>
            </w:tcMar>
            <w:vAlign w:val="top"/>
          </w:tcPr>
          <w:p>
            <w:pPr>
              <w:spacing w:after="0" w:line="252" w:lineRule="auto"/>
            </w:pPr>
            <w:r>
              <w:rPr>
                <w:sz w:val="18"/>
                <w:szCs w:val="18"/>
              </w:rPr>
              <w:t xml:space="preserve">Localisation</w:t>
            </w:r>
          </w:p>
        </w:tc>
        <w:tc>
          <w:tcPr>
            <w:tcW w:type="dxa" w:w="3898"/>
            <w:tcMar>
              <w:top w:type="dxa" w:w="70"/>
              <w:left w:type="dxa" w:w="100"/>
              <w:bottom w:type="dxa" w:w="70"/>
              <w:right w:type="dxa" w:w="100"/>
            </w:tcMar>
            <w:vAlign w:val="top"/>
          </w:tcPr>
          <w:p>
            <w:pPr>
              <w:spacing w:after="0" w:line="252" w:lineRule="auto"/>
            </w:pPr>
            <w:r>
              <w:rPr>
                <w:sz w:val="18"/>
                <w:szCs w:val="18"/>
              </w:rPr>
              <w:t xml:space="preserve">English at launch; Indic languages next; RTL-ready layout</w:t>
            </w:r>
          </w:p>
        </w:tc>
        <w:tc>
          <w:tcPr>
            <w:tcW w:type="dxa" w:w="3034"/>
            <w:tcMar>
              <w:top w:type="dxa" w:w="70"/>
              <w:left w:type="dxa" w:w="100"/>
              <w:bottom w:type="dxa" w:w="70"/>
              <w:right w:type="dxa" w:w="100"/>
            </w:tcMar>
            <w:vAlign w:val="top"/>
          </w:tcPr>
          <w:p>
            <w:pPr>
              <w:spacing w:after="0" w:line="252" w:lineRule="auto"/>
            </w:pPr>
            <w:r>
              <w:rPr>
                <w:sz w:val="18"/>
                <w:szCs w:val="18"/>
              </w:rPr>
              <w:t xml:space="preserve">ICU messages; Noto fonts</w:t>
            </w:r>
          </w:p>
        </w:tc>
      </w:tr>
    </w:tbl>
    <w:p>
      <w:pPr>
        <w:spacing w:after="160"/>
      </w:pPr>
    </w:p>
    <w:p>
      <w:pPr>
        <w:sectPr>
          <w:headerReference w:type="default" r:id="rId9"/>
          <w:footerReference w:type="default" r:id="rId10"/>
          <w:pgSz w:w="11906" w:h="16838" w:orient="portrait"/>
          <w:pgMar w:top="1134" w:right="1134" w:bottom="1134" w:left="1134" w:header="567" w:footer="567" w:gutter="0"/>
          <w:pgNumType/>
          <w:docGrid w:linePitch="360"/>
        </w:sectPr>
      </w:pPr>
    </w:p>
    <w:p>
      <w:pPr>
        <w:pStyle w:val="Heading1"/>
      </w:pPr>
      <w:bookmarkStart w:id="8014" w:name="_Toc900014"/>
      <w:r>
        <w:t xml:space="preserve">3. Capability map</w:t>
      </w:r>
      <w:bookmarkEnd w:id="8014"/>
    </w:p>
    <w:p>
      <w:r>
        <w:t xml:space="preserve">Each row traces a capability in the requirements to the module that owns it, the data it owns, the API resources that expose it, the events it publishes, and the delivery phase (section 15.2).</w:t>
      </w:r>
    </w:p>
    <w:tbl>
      <w:tblPr>
        <w:tblW w:type="dxa" w:w="14570"/>
        <w:tblBorders>
          <w:top w:val="single" w:color="C9D3D8" w:sz="4"/>
          <w:left w:val="single" w:color="C9D3D8" w:sz="4"/>
          <w:bottom w:val="single" w:color="C9D3D8" w:sz="4"/>
          <w:right w:val="single" w:color="C9D3D8" w:sz="4"/>
          <w:insideH w:val="single" w:color="C9D3D8" w:sz="4"/>
          <w:insideV w:val="single" w:color="C9D3D8" w:sz="4"/>
        </w:tblBorders>
      </w:tblPr>
      <w:tblGrid>
        <w:gridCol w:w="2217"/>
        <w:gridCol w:w="2006"/>
        <w:gridCol w:w="3272"/>
        <w:gridCol w:w="3061"/>
        <w:gridCol w:w="2956"/>
        <w:gridCol w:w="1058"/>
      </w:tblGrid>
      <w:tr>
        <w:trPr>
          <w:cantSplit/>
          <w:tblHeader/>
        </w:trPr>
        <w:tc>
          <w:tcPr>
            <w:tcW w:type="dxa" w:w="221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Capability (§)</w:t>
            </w:r>
          </w:p>
        </w:tc>
        <w:tc>
          <w:tcPr>
            <w:tcW w:type="dxa" w:w="200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Owning module</w:t>
            </w:r>
          </w:p>
        </w:tc>
        <w:tc>
          <w:tcPr>
            <w:tcW w:type="dxa" w:w="3272"/>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Owns (key data)</w:t>
            </w:r>
          </w:p>
        </w:tc>
        <w:tc>
          <w:tcPr>
            <w:tcW w:type="dxa" w:w="306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API resources</w:t>
            </w:r>
          </w:p>
        </w:tc>
        <w:tc>
          <w:tcPr>
            <w:tcW w:type="dxa" w:w="295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Key events</w:t>
            </w:r>
          </w:p>
        </w:tc>
        <w:tc>
          <w:tcPr>
            <w:tcW w:type="dxa" w:w="105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Phase</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Organisation (§2, §32)</w:t>
            </w:r>
          </w:p>
        </w:tc>
        <w:tc>
          <w:tcPr>
            <w:tcW w:type="dxa" w:w="2006"/>
            <w:tcMar>
              <w:top w:type="dxa" w:w="70"/>
              <w:left w:type="dxa" w:w="100"/>
              <w:bottom w:type="dxa" w:w="70"/>
              <w:right w:type="dxa" w:w="100"/>
            </w:tcMar>
            <w:vAlign w:val="top"/>
          </w:tcPr>
          <w:p>
            <w:pPr>
              <w:spacing w:after="0" w:line="252" w:lineRule="auto"/>
            </w:pPr>
            <w:r>
              <w:rPr>
                <w:sz w:val="18"/>
                <w:szCs w:val="18"/>
              </w:rPr>
              <w:t xml:space="preserve">Organisation</w:t>
            </w:r>
          </w:p>
        </w:tc>
        <w:tc>
          <w:tcPr>
            <w:tcW w:type="dxa" w:w="3272"/>
            <w:tcMar>
              <w:top w:type="dxa" w:w="70"/>
              <w:left w:type="dxa" w:w="100"/>
              <w:bottom w:type="dxa" w:w="70"/>
              <w:right w:type="dxa" w:w="100"/>
            </w:tcMar>
            <w:vAlign w:val="top"/>
          </w:tcPr>
          <w:p>
            <w:pPr>
              <w:spacing w:after="0" w:line="252" w:lineRule="auto"/>
            </w:pPr>
            <w:r>
              <w:rPr>
                <w:sz w:val="18"/>
                <w:szCs w:val="18"/>
              </w:rPr>
              <w:t xml:space="preserve">Legal entities, registrations, locations, org units, jobs, grades, positions, cost centres, dimensions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/v1/legal-entities</w:t>
            </w:r>
            <w:r>
              <w:rPr>
                <w:sz w:val="18"/>
                <w:szCs w:val="18"/>
              </w:rPr>
              <w:t xml:space="preserve">, </w:t>
            </w:r>
            <w:r>
              <w:rPr>
                <w:rFonts w:ascii="Consolas" w:cs="Consolas" w:eastAsia="Consolas" w:hAnsi="Consolas"/>
                <w:color w:val="0B4F4F"/>
                <w:sz w:val="17"/>
                <w:szCs w:val="17"/>
              </w:rPr>
              <w:t xml:space="preserve">/v1/locations</w:t>
            </w:r>
            <w:r>
              <w:rPr>
                <w:sz w:val="18"/>
                <w:szCs w:val="18"/>
              </w:rPr>
              <w:t xml:space="preserve">, </w:t>
            </w:r>
            <w:r>
              <w:rPr>
                <w:rFonts w:ascii="Consolas" w:cs="Consolas" w:eastAsia="Consolas" w:hAnsi="Consolas"/>
                <w:color w:val="0B4F4F"/>
                <w:sz w:val="17"/>
                <w:szCs w:val="17"/>
              </w:rPr>
              <w:t xml:space="preserve">/v1/org-units</w:t>
            </w:r>
            <w:r>
              <w:rPr>
                <w:sz w:val="18"/>
                <w:szCs w:val="18"/>
              </w:rPr>
              <w:t xml:space="preserve">, </w:t>
            </w:r>
            <w:r>
              <w:rPr>
                <w:rFonts w:ascii="Consolas" w:cs="Consolas" w:eastAsia="Consolas" w:hAnsi="Consolas"/>
                <w:color w:val="0B4F4F"/>
                <w:sz w:val="17"/>
                <w:szCs w:val="17"/>
              </w:rPr>
              <w:t xml:space="preserve">/v1/jobs</w:t>
            </w:r>
            <w:r>
              <w:rPr>
                <w:sz w:val="18"/>
                <w:szCs w:val="18"/>
              </w:rPr>
              <w:t xml:space="preserve">, </w:t>
            </w:r>
            <w:r>
              <w:rPr>
                <w:rFonts w:ascii="Consolas" w:cs="Consolas" w:eastAsia="Consolas" w:hAnsi="Consolas"/>
                <w:color w:val="0B4F4F"/>
                <w:sz w:val="17"/>
                <w:szCs w:val="17"/>
              </w:rPr>
              <w:t xml:space="preserve">/v1/positions</w:t>
            </w:r>
          </w:p>
        </w:tc>
        <w:tc>
          <w:tcPr>
            <w:tcW w:type="dxa" w:w="2956"/>
            <w:tcMar>
              <w:top w:type="dxa" w:w="70"/>
              <w:left w:type="dxa" w:w="100"/>
              <w:bottom w:type="dxa" w:w="70"/>
              <w:right w:type="dxa" w:w="100"/>
            </w:tcMar>
            <w:vAlign w:val="top"/>
          </w:tcPr>
          <w:p>
            <w:pPr>
              <w:spacing w:after="0" w:line="252" w:lineRule="auto"/>
            </w:pPr>
            <w:r>
              <w:rPr>
                <w:sz w:val="18"/>
                <w:szCs w:val="18"/>
              </w:rPr>
              <w:t xml:space="preserve">org_unit.changed, location.changed</w:t>
            </w:r>
          </w:p>
        </w:tc>
        <w:tc>
          <w:tcPr>
            <w:tcW w:type="dxa" w:w="1058"/>
            <w:tcMar>
              <w:top w:type="dxa" w:w="70"/>
              <w:left w:type="dxa" w:w="100"/>
              <w:bottom w:type="dxa" w:w="70"/>
              <w:right w:type="dxa" w:w="100"/>
            </w:tcMar>
            <w:vAlign w:val="top"/>
          </w:tcPr>
          <w:p>
            <w:pPr>
              <w:spacing w:after="0" w:line="252" w:lineRule="auto"/>
            </w:pPr>
            <w:r>
              <w:rPr>
                <w:sz w:val="18"/>
                <w:szCs w:val="18"/>
              </w:rPr>
              <w:t xml:space="preserve">0–1</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Users and access (§3, §33)</w:t>
            </w:r>
          </w:p>
        </w:tc>
        <w:tc>
          <w:tcPr>
            <w:tcW w:type="dxa" w:w="2006"/>
            <w:tcMar>
              <w:top w:type="dxa" w:w="70"/>
              <w:left w:type="dxa" w:w="100"/>
              <w:bottom w:type="dxa" w:w="70"/>
              <w:right w:type="dxa" w:w="100"/>
            </w:tcMar>
            <w:vAlign w:val="top"/>
          </w:tcPr>
          <w:p>
            <w:pPr>
              <w:spacing w:after="0" w:line="252" w:lineRule="auto"/>
            </w:pPr>
            <w:r>
              <w:rPr>
                <w:sz w:val="18"/>
                <w:szCs w:val="18"/>
              </w:rPr>
              <w:t xml:space="preserve">Kernel: identity, authorization</w:t>
            </w:r>
          </w:p>
        </w:tc>
        <w:tc>
          <w:tcPr>
            <w:tcW w:type="dxa" w:w="3272"/>
            <w:tcMar>
              <w:top w:type="dxa" w:w="70"/>
              <w:left w:type="dxa" w:w="100"/>
              <w:bottom w:type="dxa" w:w="70"/>
              <w:right w:type="dxa" w:w="100"/>
            </w:tcMar>
            <w:vAlign w:val="top"/>
          </w:tcPr>
          <w:p>
            <w:pPr>
              <w:spacing w:after="0" w:line="252" w:lineRule="auto"/>
            </w:pPr>
            <w:r>
              <w:rPr>
                <w:sz w:val="18"/>
                <w:szCs w:val="18"/>
              </w:rPr>
              <w:t xml:space="preserve">Users, roles, data scopes, class grants, installations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/v1/admin/users</w:t>
            </w:r>
            <w:r>
              <w:rPr>
                <w:sz w:val="18"/>
                <w:szCs w:val="18"/>
              </w:rPr>
              <w:t xml:space="preserve">, </w:t>
            </w:r>
            <w:r>
              <w:rPr>
                <w:rFonts w:ascii="Consolas" w:cs="Consolas" w:eastAsia="Consolas" w:hAnsi="Consolas"/>
                <w:color w:val="0B4F4F"/>
                <w:sz w:val="17"/>
                <w:szCs w:val="17"/>
              </w:rPr>
              <w:t xml:space="preserve">/v1/admin/roles</w:t>
            </w:r>
            <w:r>
              <w:rPr>
                <w:sz w:val="18"/>
                <w:szCs w:val="18"/>
              </w:rPr>
              <w:t xml:space="preserve">, </w:t>
            </w:r>
            <w:r>
              <w:rPr>
                <w:rFonts w:ascii="Consolas" w:cs="Consolas" w:eastAsia="Consolas" w:hAnsi="Consolas"/>
                <w:color w:val="0B4F4F"/>
                <w:sz w:val="17"/>
                <w:szCs w:val="17"/>
              </w:rPr>
              <w:t xml:space="preserve">/scim/v2</w:t>
            </w:r>
          </w:p>
        </w:tc>
        <w:tc>
          <w:tcPr>
            <w:tcW w:type="dxa" w:w="2956"/>
            <w:tcMar>
              <w:top w:type="dxa" w:w="70"/>
              <w:left w:type="dxa" w:w="100"/>
              <w:bottom w:type="dxa" w:w="70"/>
              <w:right w:type="dxa" w:w="100"/>
            </w:tcMar>
            <w:vAlign w:val="top"/>
          </w:tcPr>
          <w:p>
            <w:pPr>
              <w:spacing w:after="0" w:line="252" w:lineRule="auto"/>
            </w:pPr>
            <w:r>
              <w:rPr>
                <w:sz w:val="18"/>
                <w:szCs w:val="18"/>
              </w:rPr>
              <w:t xml:space="preserve">access.role_assigned, access.role_revoked</w:t>
            </w:r>
          </w:p>
        </w:tc>
        <w:tc>
          <w:tcPr>
            <w:tcW w:type="dxa" w:w="1058"/>
            <w:tcMar>
              <w:top w:type="dxa" w:w="70"/>
              <w:left w:type="dxa" w:w="100"/>
              <w:bottom w:type="dxa" w:w="70"/>
              <w:right w:type="dxa" w:w="100"/>
            </w:tcMar>
            <w:vAlign w:val="top"/>
          </w:tcPr>
          <w:p>
            <w:pPr>
              <w:spacing w:after="0" w:line="252" w:lineRule="auto"/>
            </w:pPr>
            <w:r>
              <w:rPr>
                <w:sz w:val="18"/>
                <w:szCs w:val="18"/>
              </w:rPr>
              <w:t xml:space="preserve">0</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Employee Master, 360 (§7, §8)</w:t>
            </w:r>
          </w:p>
        </w:tc>
        <w:tc>
          <w:tcPr>
            <w:tcW w:type="dxa" w:w="2006"/>
            <w:tcMar>
              <w:top w:type="dxa" w:w="70"/>
              <w:left w:type="dxa" w:w="100"/>
              <w:bottom w:type="dxa" w:w="70"/>
              <w:right w:type="dxa" w:w="100"/>
            </w:tcMar>
            <w:vAlign w:val="top"/>
          </w:tcPr>
          <w:p>
            <w:pPr>
              <w:spacing w:after="0" w:line="252" w:lineRule="auto"/>
            </w:pPr>
            <w:r>
              <w:rPr>
                <w:sz w:val="18"/>
                <w:szCs w:val="18"/>
              </w:rPr>
              <w:t xml:space="preserve">People</w:t>
            </w:r>
          </w:p>
        </w:tc>
        <w:tc>
          <w:tcPr>
            <w:tcW w:type="dxa" w:w="3272"/>
            <w:tcMar>
              <w:top w:type="dxa" w:w="70"/>
              <w:left w:type="dxa" w:w="100"/>
              <w:bottom w:type="dxa" w:w="70"/>
              <w:right w:type="dxa" w:w="100"/>
            </w:tcMar>
            <w:vAlign w:val="top"/>
          </w:tcPr>
          <w:p>
            <w:pPr>
              <w:spacing w:after="0" w:line="252" w:lineRule="auto"/>
            </w:pPr>
            <w:r>
              <w:rPr>
                <w:sz w:val="18"/>
                <w:szCs w:val="18"/>
              </w:rPr>
              <w:t xml:space="preserve">Worker, employment, assignment, identifiers, contacts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/v1/workers</w:t>
            </w:r>
            <w:r>
              <w:rPr>
                <w:sz w:val="18"/>
                <w:szCs w:val="18"/>
              </w:rPr>
              <w:t xml:space="preserve">, </w:t>
            </w:r>
            <w:r>
              <w:rPr>
                <w:rFonts w:ascii="Consolas" w:cs="Consolas" w:eastAsia="Consolas" w:hAnsi="Consolas"/>
                <w:color w:val="0B4F4F"/>
                <w:sz w:val="17"/>
                <w:szCs w:val="17"/>
              </w:rPr>
              <w:t xml:space="preserve">/v1/employments</w:t>
            </w:r>
          </w:p>
        </w:tc>
        <w:tc>
          <w:tcPr>
            <w:tcW w:type="dxa" w:w="2956"/>
            <w:tcMar>
              <w:top w:type="dxa" w:w="70"/>
              <w:left w:type="dxa" w:w="100"/>
              <w:bottom w:type="dxa" w:w="70"/>
              <w:right w:type="dxa" w:w="100"/>
            </w:tcMar>
            <w:vAlign w:val="top"/>
          </w:tcPr>
          <w:p>
            <w:pPr>
              <w:spacing w:after="0" w:line="252" w:lineRule="auto"/>
            </w:pPr>
            <w:r>
              <w:rPr>
                <w:sz w:val="18"/>
                <w:szCs w:val="18"/>
              </w:rPr>
              <w:t xml:space="preserve">employment.started, worker.updated</w:t>
            </w:r>
          </w:p>
        </w:tc>
        <w:tc>
          <w:tcPr>
            <w:tcW w:type="dxa" w:w="1058"/>
            <w:tcMar>
              <w:top w:type="dxa" w:w="70"/>
              <w:left w:type="dxa" w:w="100"/>
              <w:bottom w:type="dxa" w:w="70"/>
              <w:right w:type="dxa" w:w="100"/>
            </w:tcMar>
            <w:vAlign w:val="top"/>
          </w:tcPr>
          <w:p>
            <w:pPr>
              <w:spacing w:after="0" w:line="252" w:lineRule="auto"/>
            </w:pPr>
            <w:r>
              <w:rPr>
                <w:sz w:val="18"/>
                <w:szCs w:val="18"/>
              </w:rPr>
              <w:t xml:space="preserve">1</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Lifecycle changes (§7, §14)</w:t>
            </w:r>
          </w:p>
        </w:tc>
        <w:tc>
          <w:tcPr>
            <w:tcW w:type="dxa" w:w="2006"/>
            <w:tcMar>
              <w:top w:type="dxa" w:w="70"/>
              <w:left w:type="dxa" w:w="100"/>
              <w:bottom w:type="dxa" w:w="70"/>
              <w:right w:type="dxa" w:w="100"/>
            </w:tcMar>
            <w:vAlign w:val="top"/>
          </w:tcPr>
          <w:p>
            <w:pPr>
              <w:spacing w:after="0" w:line="252" w:lineRule="auto"/>
            </w:pPr>
            <w:r>
              <w:rPr>
                <w:sz w:val="18"/>
                <w:szCs w:val="18"/>
              </w:rPr>
              <w:t xml:space="preserve">People: personnel actions</w:t>
            </w:r>
          </w:p>
        </w:tc>
        <w:tc>
          <w:tcPr>
            <w:tcW w:type="dxa" w:w="3272"/>
            <w:tcMar>
              <w:top w:type="dxa" w:w="70"/>
              <w:left w:type="dxa" w:w="100"/>
              <w:bottom w:type="dxa" w:w="70"/>
              <w:right w:type="dxa" w:w="100"/>
            </w:tcMar>
            <w:vAlign w:val="top"/>
          </w:tcPr>
          <w:p>
            <w:pPr>
              <w:spacing w:after="0" w:line="252" w:lineRule="auto"/>
            </w:pPr>
            <w:r>
              <w:rPr>
                <w:sz w:val="18"/>
                <w:szCs w:val="18"/>
              </w:rPr>
              <w:t xml:space="preserve">Actions, reason codes, letters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/v1/personnel-actions</w:t>
            </w:r>
            <w:r>
              <w:rPr>
                <w:sz w:val="18"/>
                <w:szCs w:val="18"/>
              </w:rPr>
              <w:t xml:space="preserve">, </w:t>
            </w:r>
            <w:r>
              <w:rPr>
                <w:rFonts w:ascii="Consolas" w:cs="Consolas" w:eastAsia="Consolas" w:hAnsi="Consolas"/>
                <w:color w:val="0B4F4F"/>
                <w:sz w:val="17"/>
                <w:szCs w:val="17"/>
              </w:rPr>
              <w:t xml:space="preserve">:bulk</w:t>
            </w:r>
          </w:p>
        </w:tc>
        <w:tc>
          <w:tcPr>
            <w:tcW w:type="dxa" w:w="2956"/>
            <w:tcMar>
              <w:top w:type="dxa" w:w="70"/>
              <w:left w:type="dxa" w:w="100"/>
              <w:bottom w:type="dxa" w:w="70"/>
              <w:right w:type="dxa" w:w="100"/>
            </w:tcMar>
            <w:vAlign w:val="top"/>
          </w:tcPr>
          <w:p>
            <w:pPr>
              <w:spacing w:after="0" w:line="252" w:lineRule="auto"/>
            </w:pPr>
            <w:r>
              <w:rPr>
                <w:sz w:val="18"/>
                <w:szCs w:val="18"/>
              </w:rPr>
              <w:t xml:space="preserve">personnel_action.*, employment.assignment_changed, employment.status_changed</w:t>
            </w:r>
          </w:p>
        </w:tc>
        <w:tc>
          <w:tcPr>
            <w:tcW w:type="dxa" w:w="1058"/>
            <w:tcMar>
              <w:top w:type="dxa" w:w="70"/>
              <w:left w:type="dxa" w:w="100"/>
              <w:bottom w:type="dxa" w:w="70"/>
              <w:right w:type="dxa" w:w="100"/>
            </w:tcMar>
            <w:vAlign w:val="top"/>
          </w:tcPr>
          <w:p>
            <w:pPr>
              <w:spacing w:after="0" w:line="252" w:lineRule="auto"/>
            </w:pPr>
            <w:r>
              <w:rPr>
                <w:sz w:val="18"/>
                <w:szCs w:val="18"/>
              </w:rPr>
              <w:t xml:space="preserve">1–2</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Onboarding (§9)</w:t>
            </w:r>
          </w:p>
        </w:tc>
        <w:tc>
          <w:tcPr>
            <w:tcW w:type="dxa" w:w="2006"/>
            <w:tcMar>
              <w:top w:type="dxa" w:w="70"/>
              <w:left w:type="dxa" w:w="100"/>
              <w:bottom w:type="dxa" w:w="70"/>
              <w:right w:type="dxa" w:w="100"/>
            </w:tcMar>
            <w:vAlign w:val="top"/>
          </w:tcPr>
          <w:p>
            <w:pPr>
              <w:spacing w:after="0" w:line="252" w:lineRule="auto"/>
            </w:pPr>
            <w:r>
              <w:rPr>
                <w:sz w:val="18"/>
                <w:szCs w:val="18"/>
              </w:rPr>
              <w:t xml:space="preserve">Talent</w:t>
            </w:r>
          </w:p>
        </w:tc>
        <w:tc>
          <w:tcPr>
            <w:tcW w:type="dxa" w:w="3272"/>
            <w:tcMar>
              <w:top w:type="dxa" w:w="70"/>
              <w:left w:type="dxa" w:w="100"/>
              <w:bottom w:type="dxa" w:w="70"/>
              <w:right w:type="dxa" w:w="100"/>
            </w:tcMar>
            <w:vAlign w:val="top"/>
          </w:tcPr>
          <w:p>
            <w:pPr>
              <w:spacing w:after="0" w:line="252" w:lineRule="auto"/>
            </w:pPr>
            <w:r>
              <w:rPr>
                <w:sz w:val="18"/>
                <w:szCs w:val="18"/>
              </w:rPr>
              <w:t xml:space="preserve">Onboarding cases, checklists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/v1/onboarding-cases</w:t>
            </w:r>
          </w:p>
        </w:tc>
        <w:tc>
          <w:tcPr>
            <w:tcW w:type="dxa" w:w="2956"/>
            <w:tcMar>
              <w:top w:type="dxa" w:w="70"/>
              <w:left w:type="dxa" w:w="100"/>
              <w:bottom w:type="dxa" w:w="70"/>
              <w:right w:type="dxa" w:w="100"/>
            </w:tcMar>
            <w:vAlign w:val="top"/>
          </w:tcPr>
          <w:p>
            <w:pPr>
              <w:spacing w:after="0" w:line="252" w:lineRule="auto"/>
            </w:pPr>
            <w:r>
              <w:rPr>
                <w:sz w:val="18"/>
                <w:szCs w:val="18"/>
              </w:rPr>
              <w:t xml:space="preserve">onboarding.completed</w:t>
            </w:r>
          </w:p>
        </w:tc>
        <w:tc>
          <w:tcPr>
            <w:tcW w:type="dxa" w:w="1058"/>
            <w:tcMar>
              <w:top w:type="dxa" w:w="70"/>
              <w:left w:type="dxa" w:w="100"/>
              <w:bottom w:type="dxa" w:w="70"/>
              <w:right w:type="dxa" w:w="100"/>
            </w:tcMar>
            <w:vAlign w:val="top"/>
          </w:tcPr>
          <w:p>
            <w:pPr>
              <w:spacing w:after="0" w:line="252" w:lineRule="auto"/>
            </w:pPr>
            <w:r>
              <w:rPr>
                <w:sz w:val="18"/>
                <w:szCs w:val="18"/>
              </w:rPr>
              <w:t xml:space="preserve">1</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Manpower (§10)</w:t>
            </w:r>
          </w:p>
        </w:tc>
        <w:tc>
          <w:tcPr>
            <w:tcW w:type="dxa" w:w="2006"/>
            <w:tcMar>
              <w:top w:type="dxa" w:w="70"/>
              <w:left w:type="dxa" w:w="100"/>
              <w:bottom w:type="dxa" w:w="70"/>
              <w:right w:type="dxa" w:w="100"/>
            </w:tcMar>
            <w:vAlign w:val="top"/>
          </w:tcPr>
          <w:p>
            <w:pPr>
              <w:spacing w:after="0" w:line="252" w:lineRule="auto"/>
            </w:pPr>
            <w:r>
              <w:rPr>
                <w:sz w:val="18"/>
                <w:szCs w:val="18"/>
              </w:rPr>
              <w:t xml:space="preserve">Talent</w:t>
            </w:r>
          </w:p>
        </w:tc>
        <w:tc>
          <w:tcPr>
            <w:tcW w:type="dxa" w:w="3272"/>
            <w:tcMar>
              <w:top w:type="dxa" w:w="70"/>
              <w:left w:type="dxa" w:w="100"/>
              <w:bottom w:type="dxa" w:w="70"/>
              <w:right w:type="dxa" w:w="100"/>
            </w:tcMar>
            <w:vAlign w:val="top"/>
          </w:tcPr>
          <w:p>
            <w:pPr>
              <w:spacing w:after="0" w:line="252" w:lineRule="auto"/>
            </w:pPr>
            <w:r>
              <w:rPr>
                <w:sz w:val="18"/>
                <w:szCs w:val="18"/>
              </w:rPr>
              <w:t xml:space="preserve">Headcount plans, requisitions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/v1/requisitions</w:t>
            </w:r>
          </w:p>
        </w:tc>
        <w:tc>
          <w:tcPr>
            <w:tcW w:type="dxa" w:w="2956"/>
            <w:tcMar>
              <w:top w:type="dxa" w:w="70"/>
              <w:left w:type="dxa" w:w="100"/>
              <w:bottom w:type="dxa" w:w="70"/>
              <w:right w:type="dxa" w:w="100"/>
            </w:tcMar>
            <w:vAlign w:val="top"/>
          </w:tcPr>
          <w:p>
            <w:pPr>
              <w:spacing w:after="0" w:line="252" w:lineRule="auto"/>
            </w:pPr>
            <w:r>
              <w:rPr>
                <w:sz w:val="18"/>
                <w:szCs w:val="18"/>
              </w:rPr>
              <w:t xml:space="preserve">requisition.approved</w:t>
            </w:r>
          </w:p>
        </w:tc>
        <w:tc>
          <w:tcPr>
            <w:tcW w:type="dxa" w:w="1058"/>
            <w:tcMar>
              <w:top w:type="dxa" w:w="70"/>
              <w:left w:type="dxa" w:w="100"/>
              <w:bottom w:type="dxa" w:w="70"/>
              <w:right w:type="dxa" w:w="100"/>
            </w:tcMar>
            <w:vAlign w:val="top"/>
          </w:tcPr>
          <w:p>
            <w:pPr>
              <w:spacing w:after="0" w:line="252" w:lineRule="auto"/>
            </w:pPr>
            <w:r>
              <w:rPr>
                <w:sz w:val="18"/>
                <w:szCs w:val="18"/>
              </w:rPr>
              <w:t xml:space="preserve">3</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Recruitment (§11)</w:t>
            </w:r>
          </w:p>
        </w:tc>
        <w:tc>
          <w:tcPr>
            <w:tcW w:type="dxa" w:w="2006"/>
            <w:tcMar>
              <w:top w:type="dxa" w:w="70"/>
              <w:left w:type="dxa" w:w="100"/>
              <w:bottom w:type="dxa" w:w="70"/>
              <w:right w:type="dxa" w:w="100"/>
            </w:tcMar>
            <w:vAlign w:val="top"/>
          </w:tcPr>
          <w:p>
            <w:pPr>
              <w:spacing w:after="0" w:line="252" w:lineRule="auto"/>
            </w:pPr>
            <w:r>
              <w:rPr>
                <w:sz w:val="18"/>
                <w:szCs w:val="18"/>
              </w:rPr>
              <w:t xml:space="preserve">Talent</w:t>
            </w:r>
          </w:p>
        </w:tc>
        <w:tc>
          <w:tcPr>
            <w:tcW w:type="dxa" w:w="3272"/>
            <w:tcMar>
              <w:top w:type="dxa" w:w="70"/>
              <w:left w:type="dxa" w:w="100"/>
              <w:bottom w:type="dxa" w:w="70"/>
              <w:right w:type="dxa" w:w="100"/>
            </w:tcMar>
            <w:vAlign w:val="top"/>
          </w:tcPr>
          <w:p>
            <w:pPr>
              <w:spacing w:after="0" w:line="252" w:lineRule="auto"/>
            </w:pPr>
            <w:r>
              <w:rPr>
                <w:sz w:val="18"/>
                <w:szCs w:val="18"/>
              </w:rPr>
              <w:t xml:space="preserve">Vacancies, candidates, applications, interviews, offers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/v1/vacancies</w:t>
            </w:r>
            <w:r>
              <w:rPr>
                <w:sz w:val="18"/>
                <w:szCs w:val="18"/>
              </w:rPr>
              <w:t xml:space="preserve">, </w:t>
            </w:r>
            <w:r>
              <w:rPr>
                <w:rFonts w:ascii="Consolas" w:cs="Consolas" w:eastAsia="Consolas" w:hAnsi="Consolas"/>
                <w:color w:val="0B4F4F"/>
                <w:sz w:val="17"/>
                <w:szCs w:val="17"/>
              </w:rPr>
              <w:t xml:space="preserve">/v1/candidates</w:t>
            </w:r>
            <w:r>
              <w:rPr>
                <w:sz w:val="18"/>
                <w:szCs w:val="18"/>
              </w:rPr>
              <w:t xml:space="preserve">, </w:t>
            </w:r>
            <w:r>
              <w:rPr>
                <w:rFonts w:ascii="Consolas" w:cs="Consolas" w:eastAsia="Consolas" w:hAnsi="Consolas"/>
                <w:color w:val="0B4F4F"/>
                <w:sz w:val="17"/>
                <w:szCs w:val="17"/>
              </w:rPr>
              <w:t xml:space="preserve">/v1/offers</w:t>
            </w:r>
          </w:p>
        </w:tc>
        <w:tc>
          <w:tcPr>
            <w:tcW w:type="dxa" w:w="2956"/>
            <w:tcMar>
              <w:top w:type="dxa" w:w="70"/>
              <w:left w:type="dxa" w:w="100"/>
              <w:bottom w:type="dxa" w:w="70"/>
              <w:right w:type="dxa" w:w="100"/>
            </w:tcMar>
            <w:vAlign w:val="top"/>
          </w:tcPr>
          <w:p>
            <w:pPr>
              <w:spacing w:after="0" w:line="252" w:lineRule="auto"/>
            </w:pPr>
            <w:r>
              <w:rPr>
                <w:sz w:val="18"/>
                <w:szCs w:val="18"/>
              </w:rPr>
              <w:t xml:space="preserve">candidate.stage_changed, offer.accepted</w:t>
            </w:r>
          </w:p>
        </w:tc>
        <w:tc>
          <w:tcPr>
            <w:tcW w:type="dxa" w:w="1058"/>
            <w:tcMar>
              <w:top w:type="dxa" w:w="70"/>
              <w:left w:type="dxa" w:w="100"/>
              <w:bottom w:type="dxa" w:w="70"/>
              <w:right w:type="dxa" w:w="100"/>
            </w:tcMar>
            <w:vAlign w:val="top"/>
          </w:tcPr>
          <w:p>
            <w:pPr>
              <w:spacing w:after="0" w:line="252" w:lineRule="auto"/>
            </w:pPr>
            <w:r>
              <w:rPr>
                <w:sz w:val="18"/>
                <w:szCs w:val="18"/>
              </w:rPr>
              <w:t xml:space="preserve">3</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Attendance (§12)</w:t>
            </w:r>
          </w:p>
        </w:tc>
        <w:tc>
          <w:tcPr>
            <w:tcW w:type="dxa" w:w="2006"/>
            <w:tcMar>
              <w:top w:type="dxa" w:w="70"/>
              <w:left w:type="dxa" w:w="100"/>
              <w:bottom w:type="dxa" w:w="70"/>
              <w:right w:type="dxa" w:w="100"/>
            </w:tcMar>
            <w:vAlign w:val="top"/>
          </w:tcPr>
          <w:p>
            <w:pPr>
              <w:spacing w:after="0" w:line="252" w:lineRule="auto"/>
            </w:pPr>
            <w:r>
              <w:rPr>
                <w:sz w:val="18"/>
                <w:szCs w:val="18"/>
              </w:rPr>
              <w:t xml:space="preserve">Time</w:t>
            </w:r>
          </w:p>
        </w:tc>
        <w:tc>
          <w:tcPr>
            <w:tcW w:type="dxa" w:w="3272"/>
            <w:tcMar>
              <w:top w:type="dxa" w:w="70"/>
              <w:left w:type="dxa" w:w="100"/>
              <w:bottom w:type="dxa" w:w="70"/>
              <w:right w:type="dxa" w:w="100"/>
            </w:tcMar>
            <w:vAlign w:val="top"/>
          </w:tcPr>
          <w:p>
            <w:pPr>
              <w:spacing w:after="0" w:line="252" w:lineRule="auto"/>
            </w:pPr>
            <w:r>
              <w:rPr>
                <w:sz w:val="18"/>
                <w:szCs w:val="18"/>
              </w:rPr>
              <w:t xml:space="preserve">Shifts, rosters, punches, days, corrections, periods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/v1/punches:batch</w:t>
            </w:r>
            <w:r>
              <w:rPr>
                <w:sz w:val="18"/>
                <w:szCs w:val="18"/>
              </w:rPr>
              <w:t xml:space="preserve">, </w:t>
            </w:r>
            <w:r>
              <w:rPr>
                <w:rFonts w:ascii="Consolas" w:cs="Consolas" w:eastAsia="Consolas" w:hAnsi="Consolas"/>
                <w:color w:val="0B4F4F"/>
                <w:sz w:val="17"/>
                <w:szCs w:val="17"/>
              </w:rPr>
              <w:t xml:space="preserve">/v1/attendance-days</w:t>
            </w:r>
          </w:p>
        </w:tc>
        <w:tc>
          <w:tcPr>
            <w:tcW w:type="dxa" w:w="2956"/>
            <w:tcMar>
              <w:top w:type="dxa" w:w="70"/>
              <w:left w:type="dxa" w:w="100"/>
              <w:bottom w:type="dxa" w:w="70"/>
              <w:right w:type="dxa" w:w="100"/>
            </w:tcMar>
            <w:vAlign w:val="top"/>
          </w:tcPr>
          <w:p>
            <w:pPr>
              <w:spacing w:after="0" w:line="252" w:lineRule="auto"/>
            </w:pPr>
            <w:r>
              <w:rPr>
                <w:sz w:val="18"/>
                <w:szCs w:val="18"/>
              </w:rPr>
              <w:t xml:space="preserve">attendance_period.closed</w:t>
            </w:r>
          </w:p>
        </w:tc>
        <w:tc>
          <w:tcPr>
            <w:tcW w:type="dxa" w:w="1058"/>
            <w:tcMar>
              <w:top w:type="dxa" w:w="70"/>
              <w:left w:type="dxa" w:w="100"/>
              <w:bottom w:type="dxa" w:w="70"/>
              <w:right w:type="dxa" w:w="100"/>
            </w:tcMar>
            <w:vAlign w:val="top"/>
          </w:tcPr>
          <w:p>
            <w:pPr>
              <w:spacing w:after="0" w:line="252" w:lineRule="auto"/>
            </w:pPr>
            <w:r>
              <w:rPr>
                <w:sz w:val="18"/>
                <w:szCs w:val="18"/>
              </w:rPr>
              <w:t xml:space="preserve">2</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Leave (§13)</w:t>
            </w:r>
          </w:p>
        </w:tc>
        <w:tc>
          <w:tcPr>
            <w:tcW w:type="dxa" w:w="2006"/>
            <w:tcMar>
              <w:top w:type="dxa" w:w="70"/>
              <w:left w:type="dxa" w:w="100"/>
              <w:bottom w:type="dxa" w:w="70"/>
              <w:right w:type="dxa" w:w="100"/>
            </w:tcMar>
            <w:vAlign w:val="top"/>
          </w:tcPr>
          <w:p>
            <w:pPr>
              <w:spacing w:after="0" w:line="252" w:lineRule="auto"/>
            </w:pPr>
            <w:r>
              <w:rPr>
                <w:sz w:val="18"/>
                <w:szCs w:val="18"/>
              </w:rPr>
              <w:t xml:space="preserve">Absence</w:t>
            </w:r>
          </w:p>
        </w:tc>
        <w:tc>
          <w:tcPr>
            <w:tcW w:type="dxa" w:w="3272"/>
            <w:tcMar>
              <w:top w:type="dxa" w:w="70"/>
              <w:left w:type="dxa" w:w="100"/>
              <w:bottom w:type="dxa" w:w="70"/>
              <w:right w:type="dxa" w:w="100"/>
            </w:tcMar>
            <w:vAlign w:val="top"/>
          </w:tcPr>
          <w:p>
            <w:pPr>
              <w:spacing w:after="0" w:line="252" w:lineRule="auto"/>
            </w:pPr>
            <w:r>
              <w:rPr>
                <w:sz w:val="18"/>
                <w:szCs w:val="18"/>
              </w:rPr>
              <w:t xml:space="preserve">Leave types, policies, ledger, requests, holidays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/v1/leave-requests</w:t>
            </w:r>
            <w:r>
              <w:rPr>
                <w:sz w:val="18"/>
                <w:szCs w:val="18"/>
              </w:rPr>
              <w:t xml:space="preserve">, </w:t>
            </w:r>
            <w:r>
              <w:rPr>
                <w:rFonts w:ascii="Consolas" w:cs="Consolas" w:eastAsia="Consolas" w:hAnsi="Consolas"/>
                <w:color w:val="0B4F4F"/>
                <w:sz w:val="17"/>
                <w:szCs w:val="17"/>
              </w:rPr>
              <w:t xml:space="preserve">/v1/leave-balances</w:t>
            </w:r>
          </w:p>
        </w:tc>
        <w:tc>
          <w:tcPr>
            <w:tcW w:type="dxa" w:w="2956"/>
            <w:tcMar>
              <w:top w:type="dxa" w:w="70"/>
              <w:left w:type="dxa" w:w="100"/>
              <w:bottom w:type="dxa" w:w="70"/>
              <w:right w:type="dxa" w:w="100"/>
            </w:tcMar>
            <w:vAlign w:val="top"/>
          </w:tcPr>
          <w:p>
            <w:pPr>
              <w:spacing w:after="0" w:line="252" w:lineRule="auto"/>
            </w:pPr>
            <w:r>
              <w:rPr>
                <w:sz w:val="18"/>
                <w:szCs w:val="18"/>
              </w:rPr>
              <w:t xml:space="preserve">leave_request.*, leave_balance.changed</w:t>
            </w:r>
          </w:p>
        </w:tc>
        <w:tc>
          <w:tcPr>
            <w:tcW w:type="dxa" w:w="1058"/>
            <w:tcMar>
              <w:top w:type="dxa" w:w="70"/>
              <w:left w:type="dxa" w:w="100"/>
              <w:bottom w:type="dxa" w:w="70"/>
              <w:right w:type="dxa" w:w="100"/>
            </w:tcMar>
            <w:vAlign w:val="top"/>
          </w:tcPr>
          <w:p>
            <w:pPr>
              <w:spacing w:after="0" w:line="252" w:lineRule="auto"/>
            </w:pPr>
            <w:r>
              <w:rPr>
                <w:sz w:val="18"/>
                <w:szCs w:val="18"/>
              </w:rPr>
              <w:t xml:space="preserve">2</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Training (§15)</w:t>
            </w:r>
          </w:p>
        </w:tc>
        <w:tc>
          <w:tcPr>
            <w:tcW w:type="dxa" w:w="2006"/>
            <w:tcMar>
              <w:top w:type="dxa" w:w="70"/>
              <w:left w:type="dxa" w:w="100"/>
              <w:bottom w:type="dxa" w:w="70"/>
              <w:right w:type="dxa" w:w="100"/>
            </w:tcMar>
            <w:vAlign w:val="top"/>
          </w:tcPr>
          <w:p>
            <w:pPr>
              <w:spacing w:after="0" w:line="252" w:lineRule="auto"/>
            </w:pPr>
            <w:r>
              <w:rPr>
                <w:sz w:val="18"/>
                <w:szCs w:val="18"/>
              </w:rPr>
              <w:t xml:space="preserve">Learning</w:t>
            </w:r>
          </w:p>
        </w:tc>
        <w:tc>
          <w:tcPr>
            <w:tcW w:type="dxa" w:w="3272"/>
            <w:tcMar>
              <w:top w:type="dxa" w:w="70"/>
              <w:left w:type="dxa" w:w="100"/>
              <w:bottom w:type="dxa" w:w="70"/>
              <w:right w:type="dxa" w:w="100"/>
            </w:tcMar>
            <w:vAlign w:val="top"/>
          </w:tcPr>
          <w:p>
            <w:pPr>
              <w:spacing w:after="0" w:line="252" w:lineRule="auto"/>
            </w:pPr>
            <w:r>
              <w:rPr>
                <w:sz w:val="18"/>
                <w:szCs w:val="18"/>
              </w:rPr>
              <w:t xml:space="preserve">Programmes, sessions, enrolments, feedback</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/v1/learning-sessions</w:t>
            </w:r>
          </w:p>
        </w:tc>
        <w:tc>
          <w:tcPr>
            <w:tcW w:type="dxa" w:w="2956"/>
            <w:tcMar>
              <w:top w:type="dxa" w:w="70"/>
              <w:left w:type="dxa" w:w="100"/>
              <w:bottom w:type="dxa" w:w="70"/>
              <w:right w:type="dxa" w:w="100"/>
            </w:tcMar>
            <w:vAlign w:val="top"/>
          </w:tcPr>
          <w:p>
            <w:pPr>
              <w:spacing w:after="0" w:line="252" w:lineRule="auto"/>
            </w:pPr>
            <w:r>
              <w:rPr>
                <w:sz w:val="18"/>
                <w:szCs w:val="18"/>
              </w:rPr>
              <w:t xml:space="preserve">enrolment.completed</w:t>
            </w:r>
          </w:p>
        </w:tc>
        <w:tc>
          <w:tcPr>
            <w:tcW w:type="dxa" w:w="1058"/>
            <w:tcMar>
              <w:top w:type="dxa" w:w="70"/>
              <w:left w:type="dxa" w:w="100"/>
              <w:bottom w:type="dxa" w:w="70"/>
              <w:right w:type="dxa" w:w="100"/>
            </w:tcMar>
            <w:vAlign w:val="top"/>
          </w:tcPr>
          <w:p>
            <w:pPr>
              <w:spacing w:after="0" w:line="252" w:lineRule="auto"/>
            </w:pPr>
            <w:r>
              <w:rPr>
                <w:sz w:val="18"/>
                <w:szCs w:val="18"/>
              </w:rPr>
              <w:t xml:space="preserve">3</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Payroll and salary (§17)</w:t>
            </w:r>
          </w:p>
        </w:tc>
        <w:tc>
          <w:tcPr>
            <w:tcW w:type="dxa" w:w="2006"/>
            <w:tcMar>
              <w:top w:type="dxa" w:w="70"/>
              <w:left w:type="dxa" w:w="100"/>
              <w:bottom w:type="dxa" w:w="70"/>
              <w:right w:type="dxa" w:w="100"/>
            </w:tcMar>
            <w:vAlign w:val="top"/>
          </w:tcPr>
          <w:p>
            <w:pPr>
              <w:spacing w:after="0" w:line="252" w:lineRule="auto"/>
            </w:pPr>
            <w:r>
              <w:rPr>
                <w:sz w:val="18"/>
                <w:szCs w:val="18"/>
              </w:rPr>
              <w:t xml:space="preserve">Compensation, payroll inputs</w:t>
            </w:r>
          </w:p>
        </w:tc>
        <w:tc>
          <w:tcPr>
            <w:tcW w:type="dxa" w:w="3272"/>
            <w:tcMar>
              <w:top w:type="dxa" w:w="70"/>
              <w:left w:type="dxa" w:w="100"/>
              <w:bottom w:type="dxa" w:w="70"/>
              <w:right w:type="dxa" w:w="100"/>
            </w:tcMar>
            <w:vAlign w:val="top"/>
          </w:tcPr>
          <w:p>
            <w:pPr>
              <w:spacing w:after="0" w:line="252" w:lineRule="auto"/>
            </w:pPr>
            <w:r>
              <w:rPr>
                <w:sz w:val="18"/>
                <w:szCs w:val="18"/>
              </w:rPr>
              <w:t xml:space="preserve">Structures, revisions, pay groups, input snapshots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/v1/payroll-periods/{id}/inputs</w:t>
            </w:r>
          </w:p>
        </w:tc>
        <w:tc>
          <w:tcPr>
            <w:tcW w:type="dxa" w:w="2956"/>
            <w:tcMar>
              <w:top w:type="dxa" w:w="70"/>
              <w:left w:type="dxa" w:w="100"/>
              <w:bottom w:type="dxa" w:w="70"/>
              <w:right w:type="dxa" w:w="100"/>
            </w:tcMar>
            <w:vAlign w:val="top"/>
          </w:tcPr>
          <w:p>
            <w:pPr>
              <w:spacing w:after="0" w:line="252" w:lineRule="auto"/>
            </w:pPr>
            <w:r>
              <w:rPr>
                <w:sz w:val="18"/>
                <w:szCs w:val="18"/>
              </w:rPr>
              <w:t xml:space="preserve">payroll_inputs.published</w:t>
            </w:r>
          </w:p>
        </w:tc>
        <w:tc>
          <w:tcPr>
            <w:tcW w:type="dxa" w:w="1058"/>
            <w:tcMar>
              <w:top w:type="dxa" w:w="70"/>
              <w:left w:type="dxa" w:w="100"/>
              <w:bottom w:type="dxa" w:w="70"/>
              <w:right w:type="dxa" w:w="100"/>
            </w:tcMar>
            <w:vAlign w:val="top"/>
          </w:tcPr>
          <w:p>
            <w:pPr>
              <w:spacing w:after="0" w:line="252" w:lineRule="auto"/>
            </w:pPr>
            <w:r>
              <w:rPr>
                <w:sz w:val="18"/>
                <w:szCs w:val="18"/>
              </w:rPr>
              <w:t xml:space="preserve">2 inputs; 5 engine</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Assets (§18)</w:t>
            </w:r>
          </w:p>
        </w:tc>
        <w:tc>
          <w:tcPr>
            <w:tcW w:type="dxa" w:w="2006"/>
            <w:tcMar>
              <w:top w:type="dxa" w:w="70"/>
              <w:left w:type="dxa" w:w="100"/>
              <w:bottom w:type="dxa" w:w="70"/>
              <w:right w:type="dxa" w:w="100"/>
            </w:tcMar>
            <w:vAlign w:val="top"/>
          </w:tcPr>
          <w:p>
            <w:pPr>
              <w:spacing w:after="0" w:line="252" w:lineRule="auto"/>
            </w:pPr>
            <w:r>
              <w:rPr>
                <w:sz w:val="18"/>
                <w:szCs w:val="18"/>
              </w:rPr>
              <w:t xml:space="preserve">Assets</w:t>
            </w:r>
          </w:p>
        </w:tc>
        <w:tc>
          <w:tcPr>
            <w:tcW w:type="dxa" w:w="3272"/>
            <w:tcMar>
              <w:top w:type="dxa" w:w="70"/>
              <w:left w:type="dxa" w:w="100"/>
              <w:bottom w:type="dxa" w:w="70"/>
              <w:right w:type="dxa" w:w="100"/>
            </w:tcMar>
            <w:vAlign w:val="top"/>
          </w:tcPr>
          <w:p>
            <w:pPr>
              <w:spacing w:after="0" w:line="252" w:lineRule="auto"/>
            </w:pPr>
            <w:r>
              <w:rPr>
                <w:sz w:val="18"/>
                <w:szCs w:val="18"/>
              </w:rPr>
              <w:t xml:space="preserve">Register, assignments, returns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/v1/assets</w:t>
            </w:r>
          </w:p>
        </w:tc>
        <w:tc>
          <w:tcPr>
            <w:tcW w:type="dxa" w:w="2956"/>
            <w:tcMar>
              <w:top w:type="dxa" w:w="70"/>
              <w:left w:type="dxa" w:w="100"/>
              <w:bottom w:type="dxa" w:w="70"/>
              <w:right w:type="dxa" w:w="100"/>
            </w:tcMar>
            <w:vAlign w:val="top"/>
          </w:tcPr>
          <w:p>
            <w:pPr>
              <w:spacing w:after="0" w:line="252" w:lineRule="auto"/>
            </w:pPr>
            <w:r>
              <w:rPr>
                <w:sz w:val="18"/>
                <w:szCs w:val="18"/>
              </w:rPr>
              <w:t xml:space="preserve">asset.assigned, asset.returned</w:t>
            </w:r>
          </w:p>
        </w:tc>
        <w:tc>
          <w:tcPr>
            <w:tcW w:type="dxa" w:w="1058"/>
            <w:tcMar>
              <w:top w:type="dxa" w:w="70"/>
              <w:left w:type="dxa" w:w="100"/>
              <w:bottom w:type="dxa" w:w="70"/>
              <w:right w:type="dxa" w:w="100"/>
            </w:tcMar>
            <w:vAlign w:val="top"/>
          </w:tcPr>
          <w:p>
            <w:pPr>
              <w:spacing w:after="0" w:line="252" w:lineRule="auto"/>
            </w:pPr>
            <w:r>
              <w:rPr>
                <w:sz w:val="18"/>
                <w:szCs w:val="18"/>
              </w:rPr>
              <w:t xml:space="preserve">3</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Exit (§19)</w:t>
            </w:r>
          </w:p>
        </w:tc>
        <w:tc>
          <w:tcPr>
            <w:tcW w:type="dxa" w:w="2006"/>
            <w:tcMar>
              <w:top w:type="dxa" w:w="70"/>
              <w:left w:type="dxa" w:w="100"/>
              <w:bottom w:type="dxa" w:w="70"/>
              <w:right w:type="dxa" w:w="100"/>
            </w:tcMar>
            <w:vAlign w:val="top"/>
          </w:tcPr>
          <w:p>
            <w:pPr>
              <w:spacing w:after="0" w:line="252" w:lineRule="auto"/>
            </w:pPr>
            <w:r>
              <w:rPr>
                <w:sz w:val="18"/>
                <w:szCs w:val="18"/>
              </w:rPr>
              <w:t xml:space="preserve">Separation</w:t>
            </w:r>
          </w:p>
        </w:tc>
        <w:tc>
          <w:tcPr>
            <w:tcW w:type="dxa" w:w="3272"/>
            <w:tcMar>
              <w:top w:type="dxa" w:w="70"/>
              <w:left w:type="dxa" w:w="100"/>
              <w:bottom w:type="dxa" w:w="70"/>
              <w:right w:type="dxa" w:w="100"/>
            </w:tcMar>
            <w:vAlign w:val="top"/>
          </w:tcPr>
          <w:p>
            <w:pPr>
              <w:spacing w:after="0" w:line="252" w:lineRule="auto"/>
            </w:pPr>
            <w:r>
              <w:rPr>
                <w:sz w:val="18"/>
                <w:szCs w:val="18"/>
              </w:rPr>
              <w:t xml:space="preserve">Exit cases, clearance items, F&amp;F inputs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/v1/separations</w:t>
            </w:r>
          </w:p>
        </w:tc>
        <w:tc>
          <w:tcPr>
            <w:tcW w:type="dxa" w:w="2956"/>
            <w:tcMar>
              <w:top w:type="dxa" w:w="70"/>
              <w:left w:type="dxa" w:w="100"/>
              <w:bottom w:type="dxa" w:w="70"/>
              <w:right w:type="dxa" w:w="100"/>
            </w:tcMar>
            <w:vAlign w:val="top"/>
          </w:tcPr>
          <w:p>
            <w:pPr>
              <w:spacing w:after="0" w:line="252" w:lineRule="auto"/>
            </w:pPr>
            <w:r>
              <w:rPr>
                <w:sz w:val="18"/>
                <w:szCs w:val="18"/>
              </w:rPr>
              <w:t xml:space="preserve">employment.ended, clearance.completed</w:t>
            </w:r>
          </w:p>
        </w:tc>
        <w:tc>
          <w:tcPr>
            <w:tcW w:type="dxa" w:w="1058"/>
            <w:tcMar>
              <w:top w:type="dxa" w:w="70"/>
              <w:left w:type="dxa" w:w="100"/>
              <w:bottom w:type="dxa" w:w="70"/>
              <w:right w:type="dxa" w:w="100"/>
            </w:tcMar>
            <w:vAlign w:val="top"/>
          </w:tcPr>
          <w:p>
            <w:pPr>
              <w:spacing w:after="0" w:line="252" w:lineRule="auto"/>
            </w:pPr>
            <w:r>
              <w:rPr>
                <w:sz w:val="18"/>
                <w:szCs w:val="18"/>
              </w:rPr>
              <w:t xml:space="preserve">1 basic; 4</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Statutory compliance (§20)</w:t>
            </w:r>
          </w:p>
        </w:tc>
        <w:tc>
          <w:tcPr>
            <w:tcW w:type="dxa" w:w="2006"/>
            <w:tcMar>
              <w:top w:type="dxa" w:w="70"/>
              <w:left w:type="dxa" w:w="100"/>
              <w:bottom w:type="dxa" w:w="70"/>
              <w:right w:type="dxa" w:w="100"/>
            </w:tcMar>
            <w:vAlign w:val="top"/>
          </w:tcPr>
          <w:p>
            <w:pPr>
              <w:spacing w:after="0" w:line="252" w:lineRule="auto"/>
            </w:pPr>
            <w:r>
              <w:rPr>
                <w:sz w:val="18"/>
                <w:szCs w:val="18"/>
              </w:rPr>
              <w:t xml:space="preserve">Compliance</w:t>
            </w:r>
          </w:p>
        </w:tc>
        <w:tc>
          <w:tcPr>
            <w:tcW w:type="dxa" w:w="3272"/>
            <w:tcMar>
              <w:top w:type="dxa" w:w="70"/>
              <w:left w:type="dxa" w:w="100"/>
              <w:bottom w:type="dxa" w:w="70"/>
              <w:right w:type="dxa" w:w="100"/>
            </w:tcMar>
            <w:vAlign w:val="top"/>
          </w:tcPr>
          <w:p>
            <w:pPr>
              <w:spacing w:after="0" w:line="252" w:lineRule="auto"/>
            </w:pPr>
            <w:r>
              <w:rPr>
                <w:sz w:val="18"/>
                <w:szCs w:val="18"/>
              </w:rPr>
              <w:t xml:space="preserve">Registrations, obligations, evidence, statutory profiles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/v1/compliance-obligations</w:t>
            </w:r>
          </w:p>
        </w:tc>
        <w:tc>
          <w:tcPr>
            <w:tcW w:type="dxa" w:w="2956"/>
            <w:tcMar>
              <w:top w:type="dxa" w:w="70"/>
              <w:left w:type="dxa" w:w="100"/>
              <w:bottom w:type="dxa" w:w="70"/>
              <w:right w:type="dxa" w:w="100"/>
            </w:tcMar>
            <w:vAlign w:val="top"/>
          </w:tcPr>
          <w:p>
            <w:pPr>
              <w:spacing w:after="0" w:line="252" w:lineRule="auto"/>
            </w:pPr>
            <w:r>
              <w:rPr>
                <w:sz w:val="18"/>
                <w:szCs w:val="18"/>
              </w:rPr>
              <w:t xml:space="preserve">compliance_obligation.due, .overdue</w:t>
            </w:r>
          </w:p>
        </w:tc>
        <w:tc>
          <w:tcPr>
            <w:tcW w:type="dxa" w:w="1058"/>
            <w:tcMar>
              <w:top w:type="dxa" w:w="70"/>
              <w:left w:type="dxa" w:w="100"/>
              <w:bottom w:type="dxa" w:w="70"/>
              <w:right w:type="dxa" w:w="100"/>
            </w:tcMar>
            <w:vAlign w:val="top"/>
          </w:tcPr>
          <w:p>
            <w:pPr>
              <w:spacing w:after="0" w:line="252" w:lineRule="auto"/>
            </w:pPr>
            <w:r>
              <w:rPr>
                <w:sz w:val="18"/>
                <w:szCs w:val="18"/>
              </w:rPr>
              <w:t xml:space="preserve">4</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Documents (§21)</w:t>
            </w:r>
          </w:p>
        </w:tc>
        <w:tc>
          <w:tcPr>
            <w:tcW w:type="dxa" w:w="2006"/>
            <w:tcMar>
              <w:top w:type="dxa" w:w="70"/>
              <w:left w:type="dxa" w:w="100"/>
              <w:bottom w:type="dxa" w:w="70"/>
              <w:right w:type="dxa" w:w="100"/>
            </w:tcMar>
            <w:vAlign w:val="top"/>
          </w:tcPr>
          <w:p>
            <w:pPr>
              <w:spacing w:after="0" w:line="252" w:lineRule="auto"/>
            </w:pPr>
            <w:r>
              <w:rPr>
                <w:sz w:val="18"/>
                <w:szCs w:val="18"/>
              </w:rPr>
              <w:t xml:space="preserve">Kernel: documents</w:t>
            </w:r>
          </w:p>
        </w:tc>
        <w:tc>
          <w:tcPr>
            <w:tcW w:type="dxa" w:w="3272"/>
            <w:tcMar>
              <w:top w:type="dxa" w:w="70"/>
              <w:left w:type="dxa" w:w="100"/>
              <w:bottom w:type="dxa" w:w="70"/>
              <w:right w:type="dxa" w:w="100"/>
            </w:tcMar>
            <w:vAlign w:val="top"/>
          </w:tcPr>
          <w:p>
            <w:pPr>
              <w:spacing w:after="0" w:line="252" w:lineRule="auto"/>
            </w:pPr>
            <w:r>
              <w:rPr>
                <w:sz w:val="18"/>
                <w:szCs w:val="18"/>
              </w:rPr>
              <w:t xml:space="preserve">Documents, versions, templates, letters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/v1/documents</w:t>
            </w:r>
          </w:p>
        </w:tc>
        <w:tc>
          <w:tcPr>
            <w:tcW w:type="dxa" w:w="2956"/>
            <w:tcMar>
              <w:top w:type="dxa" w:w="70"/>
              <w:left w:type="dxa" w:w="100"/>
              <w:bottom w:type="dxa" w:w="70"/>
              <w:right w:type="dxa" w:w="100"/>
            </w:tcMar>
            <w:vAlign w:val="top"/>
          </w:tcPr>
          <w:p>
            <w:pPr>
              <w:spacing w:after="0" w:line="252" w:lineRule="auto"/>
            </w:pPr>
            <w:r>
              <w:rPr>
                <w:sz w:val="18"/>
                <w:szCs w:val="18"/>
              </w:rPr>
              <w:t xml:space="preserve">document.verified, document.expiring</w:t>
            </w:r>
          </w:p>
        </w:tc>
        <w:tc>
          <w:tcPr>
            <w:tcW w:type="dxa" w:w="1058"/>
            <w:tcMar>
              <w:top w:type="dxa" w:w="70"/>
              <w:left w:type="dxa" w:w="100"/>
              <w:bottom w:type="dxa" w:w="70"/>
              <w:right w:type="dxa" w:w="100"/>
            </w:tcMar>
            <w:vAlign w:val="top"/>
          </w:tcPr>
          <w:p>
            <w:pPr>
              <w:spacing w:after="0" w:line="252" w:lineRule="auto"/>
            </w:pPr>
            <w:r>
              <w:rPr>
                <w:sz w:val="18"/>
                <w:szCs w:val="18"/>
              </w:rPr>
              <w:t xml:space="preserve">1</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HR requests (§22)</w:t>
            </w:r>
          </w:p>
        </w:tc>
        <w:tc>
          <w:tcPr>
            <w:tcW w:type="dxa" w:w="2006"/>
            <w:tcMar>
              <w:top w:type="dxa" w:w="70"/>
              <w:left w:type="dxa" w:w="100"/>
              <w:bottom w:type="dxa" w:w="70"/>
              <w:right w:type="dxa" w:w="100"/>
            </w:tcMar>
            <w:vAlign w:val="top"/>
          </w:tcPr>
          <w:p>
            <w:pPr>
              <w:spacing w:after="0" w:line="252" w:lineRule="auto"/>
            </w:pPr>
            <w:r>
              <w:rPr>
                <w:sz w:val="18"/>
                <w:szCs w:val="18"/>
              </w:rPr>
              <w:t xml:space="preserve">Service desk</w:t>
            </w:r>
          </w:p>
        </w:tc>
        <w:tc>
          <w:tcPr>
            <w:tcW w:type="dxa" w:w="3272"/>
            <w:tcMar>
              <w:top w:type="dxa" w:w="70"/>
              <w:left w:type="dxa" w:w="100"/>
              <w:bottom w:type="dxa" w:w="70"/>
              <w:right w:type="dxa" w:w="100"/>
            </w:tcMar>
            <w:vAlign w:val="top"/>
          </w:tcPr>
          <w:p>
            <w:pPr>
              <w:spacing w:after="0" w:line="252" w:lineRule="auto"/>
            </w:pPr>
            <w:r>
              <w:rPr>
                <w:sz w:val="18"/>
                <w:szCs w:val="18"/>
              </w:rPr>
              <w:t xml:space="preserve">Requests, SLA clocks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/v1/hr-requests</w:t>
            </w:r>
          </w:p>
        </w:tc>
        <w:tc>
          <w:tcPr>
            <w:tcW w:type="dxa" w:w="2956"/>
            <w:tcMar>
              <w:top w:type="dxa" w:w="70"/>
              <w:left w:type="dxa" w:w="100"/>
              <w:bottom w:type="dxa" w:w="70"/>
              <w:right w:type="dxa" w:w="100"/>
            </w:tcMar>
            <w:vAlign w:val="top"/>
          </w:tcPr>
          <w:p>
            <w:pPr>
              <w:spacing w:after="0" w:line="252" w:lineRule="auto"/>
            </w:pPr>
            <w:r>
              <w:rPr>
                <w:sz w:val="18"/>
                <w:szCs w:val="18"/>
              </w:rPr>
              <w:t xml:space="preserve">hr_request.created, hr_request.resolved</w:t>
            </w:r>
          </w:p>
        </w:tc>
        <w:tc>
          <w:tcPr>
            <w:tcW w:type="dxa" w:w="1058"/>
            <w:tcMar>
              <w:top w:type="dxa" w:w="70"/>
              <w:left w:type="dxa" w:w="100"/>
              <w:bottom w:type="dxa" w:w="70"/>
              <w:right w:type="dxa" w:w="100"/>
            </w:tcMar>
            <w:vAlign w:val="top"/>
          </w:tcPr>
          <w:p>
            <w:pPr>
              <w:spacing w:after="0" w:line="252" w:lineRule="auto"/>
            </w:pPr>
            <w:r>
              <w:rPr>
                <w:sz w:val="18"/>
                <w:szCs w:val="18"/>
              </w:rPr>
              <w:t xml:space="preserve">2</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Policies (§23)</w:t>
            </w:r>
          </w:p>
        </w:tc>
        <w:tc>
          <w:tcPr>
            <w:tcW w:type="dxa" w:w="2006"/>
            <w:tcMar>
              <w:top w:type="dxa" w:w="70"/>
              <w:left w:type="dxa" w:w="100"/>
              <w:bottom w:type="dxa" w:w="70"/>
              <w:right w:type="dxa" w:w="100"/>
            </w:tcMar>
            <w:vAlign w:val="top"/>
          </w:tcPr>
          <w:p>
            <w:pPr>
              <w:spacing w:after="0" w:line="252" w:lineRule="auto"/>
            </w:pPr>
            <w:r>
              <w:rPr>
                <w:sz w:val="18"/>
                <w:szCs w:val="18"/>
              </w:rPr>
              <w:t xml:space="preserve">Policies</w:t>
            </w:r>
          </w:p>
        </w:tc>
        <w:tc>
          <w:tcPr>
            <w:tcW w:type="dxa" w:w="3272"/>
            <w:tcMar>
              <w:top w:type="dxa" w:w="70"/>
              <w:left w:type="dxa" w:w="100"/>
              <w:bottom w:type="dxa" w:w="70"/>
              <w:right w:type="dxa" w:w="100"/>
            </w:tcMar>
            <w:vAlign w:val="top"/>
          </w:tcPr>
          <w:p>
            <w:pPr>
              <w:spacing w:after="0" w:line="252" w:lineRule="auto"/>
            </w:pPr>
            <w:r>
              <w:rPr>
                <w:sz w:val="18"/>
                <w:szCs w:val="18"/>
              </w:rPr>
              <w:t xml:space="preserve">Policies, versions, acknowledgements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/v1/policies</w:t>
            </w:r>
          </w:p>
        </w:tc>
        <w:tc>
          <w:tcPr>
            <w:tcW w:type="dxa" w:w="2956"/>
            <w:tcMar>
              <w:top w:type="dxa" w:w="70"/>
              <w:left w:type="dxa" w:w="100"/>
              <w:bottom w:type="dxa" w:w="70"/>
              <w:right w:type="dxa" w:w="100"/>
            </w:tcMar>
            <w:vAlign w:val="top"/>
          </w:tcPr>
          <w:p>
            <w:pPr>
              <w:spacing w:after="0" w:line="252" w:lineRule="auto"/>
            </w:pPr>
            <w:r>
              <w:rPr>
                <w:sz w:val="18"/>
                <w:szCs w:val="18"/>
              </w:rPr>
              <w:t xml:space="preserve">policy.published, policy.acknowledged</w:t>
            </w:r>
          </w:p>
        </w:tc>
        <w:tc>
          <w:tcPr>
            <w:tcW w:type="dxa" w:w="1058"/>
            <w:tcMar>
              <w:top w:type="dxa" w:w="70"/>
              <w:left w:type="dxa" w:w="100"/>
              <w:bottom w:type="dxa" w:w="70"/>
              <w:right w:type="dxa" w:w="100"/>
            </w:tcMar>
            <w:vAlign w:val="top"/>
          </w:tcPr>
          <w:p>
            <w:pPr>
              <w:spacing w:after="0" w:line="252" w:lineRule="auto"/>
            </w:pPr>
            <w:r>
              <w:rPr>
                <w:sz w:val="18"/>
                <w:szCs w:val="18"/>
              </w:rPr>
              <w:t xml:space="preserve">2</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Dashboard, reports (§6, §24)</w:t>
            </w:r>
          </w:p>
        </w:tc>
        <w:tc>
          <w:tcPr>
            <w:tcW w:type="dxa" w:w="2006"/>
            <w:tcMar>
              <w:top w:type="dxa" w:w="70"/>
              <w:left w:type="dxa" w:w="100"/>
              <w:bottom w:type="dxa" w:w="70"/>
              <w:right w:type="dxa" w:w="100"/>
            </w:tcMar>
            <w:vAlign w:val="top"/>
          </w:tcPr>
          <w:p>
            <w:pPr>
              <w:spacing w:after="0" w:line="252" w:lineRule="auto"/>
            </w:pPr>
            <w:r>
              <w:rPr>
                <w:sz w:val="18"/>
                <w:szCs w:val="18"/>
              </w:rPr>
              <w:t xml:space="preserve">Analytics, Experience</w:t>
            </w:r>
          </w:p>
        </w:tc>
        <w:tc>
          <w:tcPr>
            <w:tcW w:type="dxa" w:w="3272"/>
            <w:tcMar>
              <w:top w:type="dxa" w:w="70"/>
              <w:left w:type="dxa" w:w="100"/>
              <w:bottom w:type="dxa" w:w="70"/>
              <w:right w:type="dxa" w:w="100"/>
            </w:tcMar>
            <w:vAlign w:val="top"/>
          </w:tcPr>
          <w:p>
            <w:pPr>
              <w:spacing w:after="0" w:line="252" w:lineRule="auto"/>
            </w:pPr>
            <w:r>
              <w:rPr>
                <w:sz w:val="18"/>
                <w:szCs w:val="18"/>
              </w:rPr>
              <w:t xml:space="preserve">Metric definitions, snapshots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/v1/metrics</w:t>
            </w:r>
            <w:r>
              <w:rPr>
                <w:sz w:val="18"/>
                <w:szCs w:val="18"/>
              </w:rPr>
              <w:t xml:space="preserve">, </w:t>
            </w:r>
            <w:r>
              <w:rPr>
                <w:rFonts w:ascii="Consolas" w:cs="Consolas" w:eastAsia="Consolas" w:hAnsi="Consolas"/>
                <w:color w:val="0B4F4F"/>
                <w:sz w:val="17"/>
                <w:szCs w:val="17"/>
              </w:rPr>
              <w:t xml:space="preserve">/v1/bulk-exports</w:t>
            </w:r>
          </w:p>
        </w:tc>
        <w:tc>
          <w:tcPr>
            <w:tcW w:type="dxa" w:w="2956"/>
            <w:tcMar>
              <w:top w:type="dxa" w:w="70"/>
              <w:left w:type="dxa" w:w="100"/>
              <w:bottom w:type="dxa" w:w="70"/>
              <w:right w:type="dxa" w:w="100"/>
            </w:tcMar>
            <w:vAlign w:val="top"/>
          </w:tcPr>
          <w:p>
            <w:pPr>
              <w:spacing w:after="0" w:line="252" w:lineRule="auto"/>
            </w:pPr>
            <w:r>
              <w:rPr>
                <w:sz w:val="18"/>
                <w:szCs w:val="18"/>
              </w:rPr>
              <w:t xml:space="preserve">None</w:t>
            </w:r>
          </w:p>
        </w:tc>
        <w:tc>
          <w:tcPr>
            <w:tcW w:type="dxa" w:w="1058"/>
            <w:tcMar>
              <w:top w:type="dxa" w:w="70"/>
              <w:left w:type="dxa" w:w="100"/>
              <w:bottom w:type="dxa" w:w="70"/>
              <w:right w:type="dxa" w:w="100"/>
            </w:tcMar>
            <w:vAlign w:val="top"/>
          </w:tcPr>
          <w:p>
            <w:pPr>
              <w:spacing w:after="0" w:line="252" w:lineRule="auto"/>
            </w:pPr>
            <w:r>
              <w:rPr>
                <w:sz w:val="18"/>
                <w:szCs w:val="18"/>
              </w:rPr>
              <w:t xml:space="preserve">1 → 5</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Self-service, mobile (§25, §35)</w:t>
            </w:r>
          </w:p>
        </w:tc>
        <w:tc>
          <w:tcPr>
            <w:tcW w:type="dxa" w:w="2006"/>
            <w:tcMar>
              <w:top w:type="dxa" w:w="70"/>
              <w:left w:type="dxa" w:w="100"/>
              <w:bottom w:type="dxa" w:w="70"/>
              <w:right w:type="dxa" w:w="100"/>
            </w:tcMar>
            <w:vAlign w:val="top"/>
          </w:tcPr>
          <w:p>
            <w:pPr>
              <w:spacing w:after="0" w:line="252" w:lineRule="auto"/>
            </w:pPr>
            <w:r>
              <w:rPr>
                <w:sz w:val="18"/>
                <w:szCs w:val="18"/>
              </w:rPr>
              <w:t xml:space="preserve">Experience (BFF)</w:t>
            </w:r>
          </w:p>
        </w:tc>
        <w:tc>
          <w:tcPr>
            <w:tcW w:type="dxa" w:w="3272"/>
            <w:tcMar>
              <w:top w:type="dxa" w:w="70"/>
              <w:left w:type="dxa" w:w="100"/>
              <w:bottom w:type="dxa" w:w="70"/>
              <w:right w:type="dxa" w:w="100"/>
            </w:tcMar>
            <w:vAlign w:val="top"/>
          </w:tcPr>
          <w:p>
            <w:pPr>
              <w:spacing w:after="0" w:line="252" w:lineRule="auto"/>
            </w:pPr>
            <w:r>
              <w:rPr>
                <w:sz w:val="18"/>
                <w:szCs w:val="18"/>
              </w:rPr>
              <w:t xml:space="preserve">None of its own</w:t>
            </w:r>
          </w:p>
        </w:tc>
        <w:tc>
          <w:tcPr>
            <w:tcW w:type="dxa" w:w="3061"/>
            <w:tcMar>
              <w:top w:type="dxa" w:w="70"/>
              <w:left w:type="dxa" w:w="100"/>
              <w:bottom w:type="dxa" w:w="70"/>
              <w:right w:type="dxa" w:w="100"/>
            </w:tcMar>
            <w:vAlign w:val="top"/>
          </w:tcPr>
          <w:p>
            <w:pPr>
              <w:spacing w:after="0" w:line="252" w:lineRule="auto"/>
            </w:pPr>
            <w:r>
              <w:rPr>
                <w:sz w:val="18"/>
                <w:szCs w:val="18"/>
              </w:rPr>
              <w:t xml:space="preserve">Uses the public API contracts</w:t>
            </w:r>
          </w:p>
        </w:tc>
        <w:tc>
          <w:tcPr>
            <w:tcW w:type="dxa" w:w="2956"/>
            <w:tcMar>
              <w:top w:type="dxa" w:w="70"/>
              <w:left w:type="dxa" w:w="100"/>
              <w:bottom w:type="dxa" w:w="70"/>
              <w:right w:type="dxa" w:w="100"/>
            </w:tcMar>
            <w:vAlign w:val="top"/>
          </w:tcPr>
          <w:p>
            <w:pPr>
              <w:spacing w:after="0" w:line="252" w:lineRule="auto"/>
            </w:pPr>
            <w:r>
              <w:rPr>
                <w:sz w:val="18"/>
                <w:szCs w:val="18"/>
              </w:rPr>
              <w:t xml:space="preserve">None</w:t>
            </w:r>
          </w:p>
        </w:tc>
        <w:tc>
          <w:tcPr>
            <w:tcW w:type="dxa" w:w="1058"/>
            <w:tcMar>
              <w:top w:type="dxa" w:w="70"/>
              <w:left w:type="dxa" w:w="100"/>
              <w:bottom w:type="dxa" w:w="70"/>
              <w:right w:type="dxa" w:w="100"/>
            </w:tcMar>
            <w:vAlign w:val="top"/>
          </w:tcPr>
          <w:p>
            <w:pPr>
              <w:spacing w:after="0" w:line="252" w:lineRule="auto"/>
            </w:pPr>
            <w:r>
              <w:rPr>
                <w:sz w:val="18"/>
                <w:szCs w:val="18"/>
              </w:rPr>
              <w:t xml:space="preserve">1–2</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Notifications (§26)</w:t>
            </w:r>
          </w:p>
        </w:tc>
        <w:tc>
          <w:tcPr>
            <w:tcW w:type="dxa" w:w="2006"/>
            <w:tcMar>
              <w:top w:type="dxa" w:w="70"/>
              <w:left w:type="dxa" w:w="100"/>
              <w:bottom w:type="dxa" w:w="70"/>
              <w:right w:type="dxa" w:w="100"/>
            </w:tcMar>
            <w:vAlign w:val="top"/>
          </w:tcPr>
          <w:p>
            <w:pPr>
              <w:spacing w:after="0" w:line="252" w:lineRule="auto"/>
            </w:pPr>
            <w:r>
              <w:rPr>
                <w:sz w:val="18"/>
                <w:szCs w:val="18"/>
              </w:rPr>
              <w:t xml:space="preserve">Kernel</w:t>
            </w:r>
          </w:p>
        </w:tc>
        <w:tc>
          <w:tcPr>
            <w:tcW w:type="dxa" w:w="3272"/>
            <w:tcMar>
              <w:top w:type="dxa" w:w="70"/>
              <w:left w:type="dxa" w:w="100"/>
              <w:bottom w:type="dxa" w:w="70"/>
              <w:right w:type="dxa" w:w="100"/>
            </w:tcMar>
            <w:vAlign w:val="top"/>
          </w:tcPr>
          <w:p>
            <w:pPr>
              <w:spacing w:after="0" w:line="252" w:lineRule="auto"/>
            </w:pPr>
            <w:r>
              <w:rPr>
                <w:sz w:val="18"/>
                <w:szCs w:val="18"/>
              </w:rPr>
              <w:t xml:space="preserve">Templates, preferences, deliveries</w:t>
            </w:r>
          </w:p>
        </w:tc>
        <w:tc>
          <w:tcPr>
            <w:tcW w:type="dxa" w:w="3061"/>
            <w:tcMar>
              <w:top w:type="dxa" w:w="70"/>
              <w:left w:type="dxa" w:w="100"/>
              <w:bottom w:type="dxa" w:w="70"/>
              <w:right w:type="dxa" w:w="100"/>
            </w:tcMar>
            <w:vAlign w:val="top"/>
          </w:tcPr>
          <w:p>
            <w:pPr>
              <w:spacing w:after="0" w:line="252" w:lineRule="auto"/>
            </w:pPr>
            <w:r>
              <w:rPr>
                <w:sz w:val="18"/>
                <w:szCs w:val="18"/>
              </w:rPr>
              <w:t xml:space="preserve">Internal</w:t>
            </w:r>
          </w:p>
        </w:tc>
        <w:tc>
          <w:tcPr>
            <w:tcW w:type="dxa" w:w="2956"/>
            <w:tcMar>
              <w:top w:type="dxa" w:w="70"/>
              <w:left w:type="dxa" w:w="100"/>
              <w:bottom w:type="dxa" w:w="70"/>
              <w:right w:type="dxa" w:w="100"/>
            </w:tcMar>
            <w:vAlign w:val="top"/>
          </w:tcPr>
          <w:p>
            <w:pPr>
              <w:spacing w:after="0" w:line="252" w:lineRule="auto"/>
            </w:pPr>
            <w:r>
              <w:rPr>
                <w:sz w:val="18"/>
                <w:szCs w:val="18"/>
              </w:rPr>
              <w:t xml:space="preserve">obligation.due, obligation.overdue</w:t>
            </w:r>
          </w:p>
        </w:tc>
        <w:tc>
          <w:tcPr>
            <w:tcW w:type="dxa" w:w="1058"/>
            <w:tcMar>
              <w:top w:type="dxa" w:w="70"/>
              <w:left w:type="dxa" w:w="100"/>
              <w:bottom w:type="dxa" w:w="70"/>
              <w:right w:type="dxa" w:w="100"/>
            </w:tcMar>
            <w:vAlign w:val="top"/>
          </w:tcPr>
          <w:p>
            <w:pPr>
              <w:spacing w:after="0" w:line="252" w:lineRule="auto"/>
            </w:pPr>
            <w:r>
              <w:rPr>
                <w:sz w:val="18"/>
                <w:szCs w:val="18"/>
              </w:rPr>
              <w:t xml:space="preserve">0</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Approvals (§27)</w:t>
            </w:r>
          </w:p>
        </w:tc>
        <w:tc>
          <w:tcPr>
            <w:tcW w:type="dxa" w:w="2006"/>
            <w:tcMar>
              <w:top w:type="dxa" w:w="70"/>
              <w:left w:type="dxa" w:w="100"/>
              <w:bottom w:type="dxa" w:w="70"/>
              <w:right w:type="dxa" w:w="100"/>
            </w:tcMar>
            <w:vAlign w:val="top"/>
          </w:tcPr>
          <w:p>
            <w:pPr>
              <w:spacing w:after="0" w:line="252" w:lineRule="auto"/>
            </w:pPr>
            <w:r>
              <w:rPr>
                <w:sz w:val="18"/>
                <w:szCs w:val="18"/>
              </w:rPr>
              <w:t xml:space="preserve">Kernel: approval engine</w:t>
            </w:r>
          </w:p>
        </w:tc>
        <w:tc>
          <w:tcPr>
            <w:tcW w:type="dxa" w:w="3272"/>
            <w:tcMar>
              <w:top w:type="dxa" w:w="70"/>
              <w:left w:type="dxa" w:w="100"/>
              <w:bottom w:type="dxa" w:w="70"/>
              <w:right w:type="dxa" w:w="100"/>
            </w:tcMar>
            <w:vAlign w:val="top"/>
          </w:tcPr>
          <w:p>
            <w:pPr>
              <w:spacing w:after="0" w:line="252" w:lineRule="auto"/>
            </w:pPr>
            <w:r>
              <w:rPr>
                <w:sz w:val="18"/>
                <w:szCs w:val="18"/>
              </w:rPr>
              <w:t xml:space="preserve">Definitions, instances, tasks, delegations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/v1/tasks</w:t>
            </w:r>
          </w:p>
        </w:tc>
        <w:tc>
          <w:tcPr>
            <w:tcW w:type="dxa" w:w="2956"/>
            <w:tcMar>
              <w:top w:type="dxa" w:w="70"/>
              <w:left w:type="dxa" w:w="100"/>
              <w:bottom w:type="dxa" w:w="70"/>
              <w:right w:type="dxa" w:w="100"/>
            </w:tcMar>
            <w:vAlign w:val="top"/>
          </w:tcPr>
          <w:p>
            <w:pPr>
              <w:spacing w:after="0" w:line="252" w:lineRule="auto"/>
            </w:pPr>
            <w:r>
              <w:rPr>
                <w:sz w:val="18"/>
                <w:szCs w:val="18"/>
              </w:rPr>
              <w:t xml:space="preserve">task.created, task.completed</w:t>
            </w:r>
          </w:p>
        </w:tc>
        <w:tc>
          <w:tcPr>
            <w:tcW w:type="dxa" w:w="1058"/>
            <w:tcMar>
              <w:top w:type="dxa" w:w="70"/>
              <w:left w:type="dxa" w:w="100"/>
              <w:bottom w:type="dxa" w:w="70"/>
              <w:right w:type="dxa" w:w="100"/>
            </w:tcMar>
            <w:vAlign w:val="top"/>
          </w:tcPr>
          <w:p>
            <w:pPr>
              <w:spacing w:after="0" w:line="252" w:lineRule="auto"/>
            </w:pPr>
            <w:r>
              <w:rPr>
                <w:sz w:val="18"/>
                <w:szCs w:val="18"/>
              </w:rPr>
              <w:t xml:space="preserve">0</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History, audit (§28)</w:t>
            </w:r>
          </w:p>
        </w:tc>
        <w:tc>
          <w:tcPr>
            <w:tcW w:type="dxa" w:w="2006"/>
            <w:tcMar>
              <w:top w:type="dxa" w:w="70"/>
              <w:left w:type="dxa" w:w="100"/>
              <w:bottom w:type="dxa" w:w="70"/>
              <w:right w:type="dxa" w:w="100"/>
            </w:tcMar>
            <w:vAlign w:val="top"/>
          </w:tcPr>
          <w:p>
            <w:pPr>
              <w:spacing w:after="0" w:line="252" w:lineRule="auto"/>
            </w:pPr>
            <w:r>
              <w:rPr>
                <w:sz w:val="18"/>
                <w:szCs w:val="18"/>
              </w:rPr>
              <w:t xml:space="preserve">Kernel: audit</w:t>
            </w:r>
          </w:p>
        </w:tc>
        <w:tc>
          <w:tcPr>
            <w:tcW w:type="dxa" w:w="3272"/>
            <w:tcMar>
              <w:top w:type="dxa" w:w="70"/>
              <w:left w:type="dxa" w:w="100"/>
              <w:bottom w:type="dxa" w:w="70"/>
              <w:right w:type="dxa" w:w="100"/>
            </w:tcMar>
            <w:vAlign w:val="top"/>
          </w:tcPr>
          <w:p>
            <w:pPr>
              <w:spacing w:after="0" w:line="252" w:lineRule="auto"/>
            </w:pPr>
            <w:r>
              <w:rPr>
                <w:sz w:val="18"/>
                <w:szCs w:val="18"/>
              </w:rPr>
              <w:t xml:space="preserve">Audit entries, seals, sensitive-read log</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/v1/admin/audit-events</w:t>
            </w:r>
          </w:p>
        </w:tc>
        <w:tc>
          <w:tcPr>
            <w:tcW w:type="dxa" w:w="2956"/>
            <w:tcMar>
              <w:top w:type="dxa" w:w="70"/>
              <w:left w:type="dxa" w:w="100"/>
              <w:bottom w:type="dxa" w:w="70"/>
              <w:right w:type="dxa" w:w="100"/>
            </w:tcMar>
            <w:vAlign w:val="top"/>
          </w:tcPr>
          <w:p>
            <w:pPr>
              <w:spacing w:after="0" w:line="252" w:lineRule="auto"/>
            </w:pPr>
            <w:r>
              <w:rPr>
                <w:sz w:val="18"/>
                <w:szCs w:val="18"/>
              </w:rPr>
              <w:t xml:space="preserve">Streamed to SIEM</w:t>
            </w:r>
          </w:p>
        </w:tc>
        <w:tc>
          <w:tcPr>
            <w:tcW w:type="dxa" w:w="1058"/>
            <w:tcMar>
              <w:top w:type="dxa" w:w="70"/>
              <w:left w:type="dxa" w:w="100"/>
              <w:bottom w:type="dxa" w:w="70"/>
              <w:right w:type="dxa" w:w="100"/>
            </w:tcMar>
            <w:vAlign w:val="top"/>
          </w:tcPr>
          <w:p>
            <w:pPr>
              <w:spacing w:after="0" w:line="252" w:lineRule="auto"/>
            </w:pPr>
            <w:r>
              <w:rPr>
                <w:sz w:val="18"/>
                <w:szCs w:val="18"/>
              </w:rPr>
              <w:t xml:space="preserve">0</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Exceptions (§29)</w:t>
            </w:r>
          </w:p>
        </w:tc>
        <w:tc>
          <w:tcPr>
            <w:tcW w:type="dxa" w:w="2006"/>
            <w:tcMar>
              <w:top w:type="dxa" w:w="70"/>
              <w:left w:type="dxa" w:w="100"/>
              <w:bottom w:type="dxa" w:w="70"/>
              <w:right w:type="dxa" w:w="100"/>
            </w:tcMar>
            <w:vAlign w:val="top"/>
          </w:tcPr>
          <w:p>
            <w:pPr>
              <w:spacing w:after="0" w:line="252" w:lineRule="auto"/>
            </w:pPr>
            <w:r>
              <w:rPr>
                <w:sz w:val="18"/>
                <w:szCs w:val="18"/>
              </w:rPr>
              <w:t xml:space="preserve">Kernel</w:t>
            </w:r>
          </w:p>
        </w:tc>
        <w:tc>
          <w:tcPr>
            <w:tcW w:type="dxa" w:w="3272"/>
            <w:tcMar>
              <w:top w:type="dxa" w:w="70"/>
              <w:left w:type="dxa" w:w="100"/>
              <w:bottom w:type="dxa" w:w="70"/>
              <w:right w:type="dxa" w:w="100"/>
            </w:tcMar>
            <w:vAlign w:val="top"/>
          </w:tcPr>
          <w:p>
            <w:pPr>
              <w:spacing w:after="0" w:line="252" w:lineRule="auto"/>
            </w:pPr>
            <w:r>
              <w:rPr>
                <w:sz w:val="18"/>
                <w:szCs w:val="18"/>
              </w:rPr>
              <w:t xml:space="preserve">Exception records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/v1/exceptions</w:t>
            </w:r>
          </w:p>
        </w:tc>
        <w:tc>
          <w:tcPr>
            <w:tcW w:type="dxa" w:w="2956"/>
            <w:tcMar>
              <w:top w:type="dxa" w:w="70"/>
              <w:left w:type="dxa" w:w="100"/>
              <w:bottom w:type="dxa" w:w="70"/>
              <w:right w:type="dxa" w:w="100"/>
            </w:tcMar>
            <w:vAlign w:val="top"/>
          </w:tcPr>
          <w:p>
            <w:pPr>
              <w:spacing w:after="0" w:line="252" w:lineRule="auto"/>
            </w:pPr>
            <w:r>
              <w:rPr>
                <w:sz w:val="18"/>
                <w:szCs w:val="18"/>
              </w:rPr>
              <w:t xml:space="preserve">exception.approved, exception.expired</w:t>
            </w:r>
          </w:p>
        </w:tc>
        <w:tc>
          <w:tcPr>
            <w:tcW w:type="dxa" w:w="1058"/>
            <w:tcMar>
              <w:top w:type="dxa" w:w="70"/>
              <w:left w:type="dxa" w:w="100"/>
              <w:bottom w:type="dxa" w:w="70"/>
              <w:right w:type="dxa" w:w="100"/>
            </w:tcMar>
            <w:vAlign w:val="top"/>
          </w:tcPr>
          <w:p>
            <w:pPr>
              <w:spacing w:after="0" w:line="252" w:lineRule="auto"/>
            </w:pPr>
            <w:r>
              <w:rPr>
                <w:sz w:val="18"/>
                <w:szCs w:val="18"/>
              </w:rPr>
              <w:t xml:space="preserve">0</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Settings and masters (§32)</w:t>
            </w:r>
          </w:p>
        </w:tc>
        <w:tc>
          <w:tcPr>
            <w:tcW w:type="dxa" w:w="2006"/>
            <w:tcMar>
              <w:top w:type="dxa" w:w="70"/>
              <w:left w:type="dxa" w:w="100"/>
              <w:bottom w:type="dxa" w:w="70"/>
              <w:right w:type="dxa" w:w="100"/>
            </w:tcMar>
            <w:vAlign w:val="top"/>
          </w:tcPr>
          <w:p>
            <w:pPr>
              <w:spacing w:after="0" w:line="252" w:lineRule="auto"/>
            </w:pPr>
            <w:r>
              <w:rPr>
                <w:sz w:val="18"/>
                <w:szCs w:val="18"/>
              </w:rPr>
              <w:t xml:space="preserve">Kernel: configuration</w:t>
            </w:r>
          </w:p>
        </w:tc>
        <w:tc>
          <w:tcPr>
            <w:tcW w:type="dxa" w:w="3272"/>
            <w:tcMar>
              <w:top w:type="dxa" w:w="70"/>
              <w:left w:type="dxa" w:w="100"/>
              <w:bottom w:type="dxa" w:w="70"/>
              <w:right w:type="dxa" w:w="100"/>
            </w:tcMar>
            <w:vAlign w:val="top"/>
          </w:tcPr>
          <w:p>
            <w:pPr>
              <w:spacing w:after="0" w:line="252" w:lineRule="auto"/>
            </w:pPr>
            <w:r>
              <w:rPr>
                <w:sz w:val="18"/>
                <w:szCs w:val="18"/>
              </w:rPr>
              <w:t xml:space="preserve">Config objects, packs, bundles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/v1/admin/config-bundles</w:t>
            </w:r>
          </w:p>
        </w:tc>
        <w:tc>
          <w:tcPr>
            <w:tcW w:type="dxa" w:w="2956"/>
            <w:tcMar>
              <w:top w:type="dxa" w:w="70"/>
              <w:left w:type="dxa" w:w="100"/>
              <w:bottom w:type="dxa" w:w="70"/>
              <w:right w:type="dxa" w:w="100"/>
            </w:tcMar>
            <w:vAlign w:val="top"/>
          </w:tcPr>
          <w:p>
            <w:pPr>
              <w:spacing w:after="0" w:line="252" w:lineRule="auto"/>
            </w:pPr>
            <w:r>
              <w:rPr>
                <w:sz w:val="18"/>
                <w:szCs w:val="18"/>
              </w:rPr>
              <w:t xml:space="preserve">config.published (internal)</w:t>
            </w:r>
          </w:p>
        </w:tc>
        <w:tc>
          <w:tcPr>
            <w:tcW w:type="dxa" w:w="1058"/>
            <w:tcMar>
              <w:top w:type="dxa" w:w="70"/>
              <w:left w:type="dxa" w:w="100"/>
              <w:bottom w:type="dxa" w:w="70"/>
              <w:right w:type="dxa" w:w="100"/>
            </w:tcMar>
            <w:vAlign w:val="top"/>
          </w:tcPr>
          <w:p>
            <w:pPr>
              <w:spacing w:after="0" w:line="252" w:lineRule="auto"/>
            </w:pPr>
            <w:r>
              <w:rPr>
                <w:sz w:val="18"/>
                <w:szCs w:val="18"/>
              </w:rPr>
              <w:t xml:space="preserve">0</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Integrations (§34)</w:t>
            </w:r>
          </w:p>
        </w:tc>
        <w:tc>
          <w:tcPr>
            <w:tcW w:type="dxa" w:w="2006"/>
            <w:tcMar>
              <w:top w:type="dxa" w:w="70"/>
              <w:left w:type="dxa" w:w="100"/>
              <w:bottom w:type="dxa" w:w="70"/>
              <w:right w:type="dxa" w:w="100"/>
            </w:tcMar>
            <w:vAlign w:val="top"/>
          </w:tcPr>
          <w:p>
            <w:pPr>
              <w:spacing w:after="0" w:line="252" w:lineRule="auto"/>
            </w:pPr>
            <w:r>
              <w:rPr>
                <w:sz w:val="18"/>
                <w:szCs w:val="18"/>
              </w:rPr>
              <w:t xml:space="preserve">Integration hub</w:t>
            </w:r>
          </w:p>
        </w:tc>
        <w:tc>
          <w:tcPr>
            <w:tcW w:type="dxa" w:w="3272"/>
            <w:tcMar>
              <w:top w:type="dxa" w:w="70"/>
              <w:left w:type="dxa" w:w="100"/>
              <w:bottom w:type="dxa" w:w="70"/>
              <w:right w:type="dxa" w:w="100"/>
            </w:tcMar>
            <w:vAlign w:val="top"/>
          </w:tcPr>
          <w:p>
            <w:pPr>
              <w:spacing w:after="0" w:line="252" w:lineRule="auto"/>
            </w:pPr>
            <w:r>
              <w:rPr>
                <w:sz w:val="18"/>
                <w:szCs w:val="18"/>
              </w:rPr>
              <w:t xml:space="preserve">Connections, mappings, runs</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/v1/integrations</w:t>
            </w:r>
            <w:r>
              <w:rPr>
                <w:sz w:val="18"/>
                <w:szCs w:val="18"/>
              </w:rPr>
              <w:t xml:space="preserve">, </w:t>
            </w:r>
            <w:r>
              <w:rPr>
                <w:rFonts w:ascii="Consolas" w:cs="Consolas" w:eastAsia="Consolas" w:hAnsi="Consolas"/>
                <w:color w:val="0B4F4F"/>
                <w:sz w:val="17"/>
                <w:szCs w:val="17"/>
              </w:rPr>
              <w:t xml:space="preserve">/v1/bulk-imports</w:t>
            </w:r>
          </w:p>
        </w:tc>
        <w:tc>
          <w:tcPr>
            <w:tcW w:type="dxa" w:w="2956"/>
            <w:tcMar>
              <w:top w:type="dxa" w:w="70"/>
              <w:left w:type="dxa" w:w="100"/>
              <w:bottom w:type="dxa" w:w="70"/>
              <w:right w:type="dxa" w:w="100"/>
            </w:tcMar>
            <w:vAlign w:val="top"/>
          </w:tcPr>
          <w:p>
            <w:pPr>
              <w:spacing w:after="0" w:line="252" w:lineRule="auto"/>
            </w:pPr>
            <w:r>
              <w:rPr>
                <w:sz w:val="18"/>
                <w:szCs w:val="18"/>
              </w:rPr>
              <w:t xml:space="preserve">integration_run.failed</w:t>
            </w:r>
          </w:p>
        </w:tc>
        <w:tc>
          <w:tcPr>
            <w:tcW w:type="dxa" w:w="1058"/>
            <w:tcMar>
              <w:top w:type="dxa" w:w="70"/>
              <w:left w:type="dxa" w:w="100"/>
              <w:bottom w:type="dxa" w:w="70"/>
              <w:right w:type="dxa" w:w="100"/>
            </w:tcMar>
            <w:vAlign w:val="top"/>
          </w:tcPr>
          <w:p>
            <w:pPr>
              <w:spacing w:after="0" w:line="252" w:lineRule="auto"/>
            </w:pPr>
            <w:r>
              <w:rPr>
                <w:sz w:val="18"/>
                <w:szCs w:val="18"/>
              </w:rPr>
              <w:t xml:space="preserve">1 → 5</w:t>
            </w:r>
          </w:p>
        </w:tc>
      </w:tr>
      <w:tr>
        <w:trPr>
          <w:cantSplit/>
          <w:tblHeader w:val="false"/>
        </w:trPr>
        <w:tc>
          <w:tcPr>
            <w:tcW w:type="dxa" w:w="2217"/>
            <w:tcMar>
              <w:top w:type="dxa" w:w="70"/>
              <w:left w:type="dxa" w:w="100"/>
              <w:bottom w:type="dxa" w:w="70"/>
              <w:right w:type="dxa" w:w="100"/>
            </w:tcMar>
            <w:vAlign w:val="top"/>
          </w:tcPr>
          <w:p>
            <w:pPr>
              <w:spacing w:after="0" w:line="252" w:lineRule="auto"/>
            </w:pPr>
            <w:r>
              <w:rPr>
                <w:b/>
                <w:bCs/>
                <w:color w:val="16222A"/>
                <w:sz w:val="18"/>
                <w:szCs w:val="18"/>
              </w:rPr>
              <w:t xml:space="preserve">Search (§31)</w:t>
            </w:r>
          </w:p>
        </w:tc>
        <w:tc>
          <w:tcPr>
            <w:tcW w:type="dxa" w:w="2006"/>
            <w:tcMar>
              <w:top w:type="dxa" w:w="70"/>
              <w:left w:type="dxa" w:w="100"/>
              <w:bottom w:type="dxa" w:w="70"/>
              <w:right w:type="dxa" w:w="100"/>
            </w:tcMar>
            <w:vAlign w:val="top"/>
          </w:tcPr>
          <w:p>
            <w:pPr>
              <w:spacing w:after="0" w:line="252" w:lineRule="auto"/>
            </w:pPr>
            <w:r>
              <w:rPr>
                <w:sz w:val="18"/>
                <w:szCs w:val="18"/>
              </w:rPr>
              <w:t xml:space="preserve">Kernel: search</w:t>
            </w:r>
          </w:p>
        </w:tc>
        <w:tc>
          <w:tcPr>
            <w:tcW w:type="dxa" w:w="3272"/>
            <w:tcMar>
              <w:top w:type="dxa" w:w="70"/>
              <w:left w:type="dxa" w:w="100"/>
              <w:bottom w:type="dxa" w:w="70"/>
              <w:right w:type="dxa" w:w="100"/>
            </w:tcMar>
            <w:vAlign w:val="top"/>
          </w:tcPr>
          <w:p>
            <w:pPr>
              <w:spacing w:after="0" w:line="252" w:lineRule="auto"/>
            </w:pPr>
            <w:r>
              <w:rPr>
                <w:sz w:val="18"/>
                <w:szCs w:val="18"/>
              </w:rPr>
              <w:t xml:space="preserve">Search index (derived)</w:t>
            </w:r>
          </w:p>
        </w:tc>
        <w:tc>
          <w:tcPr>
            <w:tcW w:type="dxa" w:w="3061"/>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/v1/search</w:t>
            </w:r>
          </w:p>
        </w:tc>
        <w:tc>
          <w:tcPr>
            <w:tcW w:type="dxa" w:w="2956"/>
            <w:tcMar>
              <w:top w:type="dxa" w:w="70"/>
              <w:left w:type="dxa" w:w="100"/>
              <w:bottom w:type="dxa" w:w="70"/>
              <w:right w:type="dxa" w:w="100"/>
            </w:tcMar>
            <w:vAlign w:val="top"/>
          </w:tcPr>
          <w:p>
            <w:pPr>
              <w:spacing w:after="0" w:line="252" w:lineRule="auto"/>
            </w:pPr>
            <w:r>
              <w:rPr>
                <w:sz w:val="18"/>
                <w:szCs w:val="18"/>
              </w:rPr>
              <w:t xml:space="preserve">None</w:t>
            </w:r>
          </w:p>
        </w:tc>
        <w:tc>
          <w:tcPr>
            <w:tcW w:type="dxa" w:w="1058"/>
            <w:tcMar>
              <w:top w:type="dxa" w:w="70"/>
              <w:left w:type="dxa" w:w="100"/>
              <w:bottom w:type="dxa" w:w="70"/>
              <w:right w:type="dxa" w:w="100"/>
            </w:tcMar>
            <w:vAlign w:val="top"/>
          </w:tcPr>
          <w:p>
            <w:pPr>
              <w:spacing w:after="0" w:line="252" w:lineRule="auto"/>
            </w:pPr>
            <w:r>
              <w:rPr>
                <w:sz w:val="18"/>
                <w:szCs w:val="18"/>
              </w:rPr>
              <w:t xml:space="preserve">1</w:t>
            </w:r>
          </w:p>
        </w:tc>
      </w:tr>
    </w:tbl>
    <w:p>
      <w:pPr>
        <w:spacing w:after="160"/>
      </w:pPr>
    </w:p>
    <w:p>
      <w:pPr>
        <w:sectPr>
          <w:headerReference w:type="default" r:id="rId11"/>
          <w:footerReference w:type="default" r:id="rId12"/>
          <w:pgSz w:w="16838" w:h="11906" w:orient="landscape"/>
          <w:pgMar w:top="1134" w:right="1134" w:bottom="1134" w:left="1134" w:header="567" w:footer="567" w:gutter="0"/>
          <w:pgNumType/>
          <w:docGrid w:linePitch="360"/>
        </w:sectPr>
      </w:pPr>
    </w:p>
    <w:p>
      <w:pPr>
        <w:pStyle w:val="Heading1"/>
      </w:pPr>
      <w:bookmarkStart w:id="8015" w:name="_Toc900015"/>
      <w:r>
        <w:t xml:space="preserve">4. Architecture overview</w:t>
      </w:r>
      <w:bookmarkEnd w:id="8015"/>
    </w:p>
    <w:p>
      <w:pPr>
        <w:pStyle w:val="Heading2"/>
      </w:pPr>
      <w:bookmarkStart w:id="8016" w:name="_Toc900016"/>
      <w:r>
        <w:t xml:space="preserve">4.1 Launch architecture</w:t>
      </w:r>
      <w:bookmarkEnd w:id="8016"/>
    </w:p>
    <w:p>
      <w:pPr>
        <w:keepNext/>
        <w:spacing w:after="60" w:before="120" w:line="240" w:lineRule="auto"/>
        <w:jc w:val="center"/>
      </w:pPr>
      <w:r>
        <w:drawing>
          <wp:inline distT="0" distB="0" distL="0" distR="0">
            <wp:extent cx="6096000" cy="5267325"/>
            <wp:effectExtent t="0" r="0" b="0" l="0"/>
            <wp:docPr id="1" name="p02-launch" descr="Launch architecture: one cell in Mumbai. All traffic passes the gateway; the core application holds the web BFF, public API and every module; workers take work from queues." title="Launch architecture: one cell in Mumbai. All traffic passes the gateway; the core application holds the web BFF, public API and every module; workers take work from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5267325"/>
                    </a:xfrm>
                    <a:prstGeom prst="rect">
                      <a:avLst/>
                    </a:prstGeom>
                  </pic:spPr>
                </pic:pic>
              </a:graphicData>
            </a:graphic>
          </wp:inline>
        </w:drawing>
      </w:r>
    </w:p>
    <w:p>
      <w:pPr>
        <w:pStyle w:val="Caption"/>
        <w:jc w:val="left"/>
      </w:pPr>
      <w:r>
        <w:rPr>
          <w:b/>
          <w:bCs/>
        </w:rPr>
        <w:t xml:space="preserve">Figure 2. </w:t>
      </w:r>
      <w:r>
        <w:t xml:space="preserve">Launch architecture: one cell in Mumbai. All traffic passes the gateway; the core application holds the web BFF, public API and every module; workers take work from queues.</w:t>
      </w:r>
    </w:p>
    <w:p>
      <w:pPr>
        <w:pStyle w:val="ListParagraph"/>
        <w:numPr>
          <w:ilvl w:val="0"/>
          <w:numId w:val="2"/>
        </w:numPr>
        <w:spacing w:after="60"/>
      </w:pPr>
      <w:r>
        <w:rPr>
          <w:b/>
          <w:bCs/>
        </w:rPr>
        <w:t xml:space="preserve">One cell</w:t>
      </w:r>
      <w:r>
        <w:t xml:space="preserve"> runs everything that holds tenant data: the core application, workers, Aurora PostgreSQL, S3, Valkey and SQS.</w:t>
      </w:r>
    </w:p>
    <w:p>
      <w:pPr>
        <w:pStyle w:val="ListParagraph"/>
        <w:numPr>
          <w:ilvl w:val="0"/>
          <w:numId w:val="2"/>
        </w:numPr>
        <w:spacing w:after="60"/>
      </w:pPr>
      <w:r>
        <w:rPr>
          <w:b/>
          <w:bCs/>
        </w:rPr>
        <w:t xml:space="preserve">Events</w:t>
      </w:r>
      <w:r>
        <w:t xml:space="preserve"> are written to an outbox table in the same transaction as the change. A relay in the application forwards them to SQS queues for workers (webhooks, notifications, search indexing, imports and exports, punch ingestion).</w:t>
      </w:r>
    </w:p>
    <w:p>
      <w:pPr>
        <w:pStyle w:val="ListParagraph"/>
        <w:numPr>
          <w:ilvl w:val="0"/>
          <w:numId w:val="2"/>
        </w:numPr>
        <w:spacing w:after="60"/>
      </w:pPr>
      <w:r>
        <w:rPr>
          <w:b/>
          <w:bCs/>
        </w:rPr>
        <w:t xml:space="preserve">Jobs and timers</w:t>
      </w:r>
      <w:r>
        <w:t xml:space="preserve"> (reminders, escalations, scheduled effective dates, month close) run on a PostgreSQL-backed scheduler (db-scheduler). Approvals run on our own engine over PostgreSQL state.</w:t>
      </w:r>
    </w:p>
    <w:p>
      <w:pPr>
        <w:pStyle w:val="ListParagraph"/>
        <w:numPr>
          <w:ilvl w:val="0"/>
          <w:numId w:val="2"/>
        </w:numPr>
        <w:spacing w:after="60"/>
      </w:pPr>
      <w:r>
        <w:rPr>
          <w:b/>
          <w:bCs/>
        </w:rPr>
        <w:t xml:space="preserve">Search</w:t>
      </w:r>
      <w:r>
        <w:t xml:space="preserve"> uses PostgreSQL full-text and trigram indexes over the permitted population.</w:t>
      </w:r>
    </w:p>
    <w:p>
      <w:pPr>
        <w:pStyle w:val="ListParagraph"/>
        <w:numPr>
          <w:ilvl w:val="0"/>
          <w:numId w:val="2"/>
        </w:numPr>
        <w:spacing w:after="60"/>
      </w:pPr>
      <w:r>
        <w:rPr>
          <w:b/>
          <w:bCs/>
        </w:rPr>
        <w:t xml:space="preserve">Reports</w:t>
      </w:r>
      <w:r>
        <w:t xml:space="preserve"> read from an Aurora read replica, materialized views and daily headcount snapshots.</w:t>
      </w:r>
    </w:p>
    <w:p>
      <w:pPr>
        <w:pStyle w:val="ListParagraph"/>
        <w:numPr>
          <w:ilvl w:val="0"/>
          <w:numId w:val="2"/>
        </w:numPr>
        <w:spacing w:after="60"/>
      </w:pPr>
      <w:r>
        <w:rPr>
          <w:b/>
          <w:bCs/>
        </w:rPr>
        <w:t xml:space="preserve">Disaster recovery:</w:t>
      </w:r>
      <w:r>
        <w:t xml:space="preserve"> Aurora Global Database with a headless secondary in Hyderabad (storage replicates; instances are added when promoting), S3 replication, and an EKS cluster kept ready at zero nodes.</w:t>
      </w:r>
    </w:p>
    <w:p>
      <w:pPr>
        <w:sectPr>
          <w:headerReference w:type="default" r:id="rId13"/>
          <w:footerReference w:type="default" r:id="rId14"/>
          <w:pgSz w:w="11906" w:h="16838" w:orient="portrait"/>
          <w:pgMar w:top="1134" w:right="1134" w:bottom="1134" w:left="1134" w:header="567" w:footer="567" w:gutter="0"/>
          <w:pgNumType/>
          <w:docGrid w:linePitch="360"/>
        </w:sectPr>
      </w:pPr>
    </w:p>
    <w:p>
      <w:pPr>
        <w:pStyle w:val="Heading2"/>
      </w:pPr>
      <w:bookmarkStart w:id="8017" w:name="_Toc900017"/>
      <w:r>
        <w:t xml:space="preserve">4.2 Target architecture</w:t>
      </w:r>
      <w:bookmarkEnd w:id="8017"/>
    </w:p>
    <w:p>
      <w:r>
        <w:t xml:space="preserve">At scale the same design gains more cells, a regional shared tier (identity, gateway, analytics, observability; multi-AZ with its own error budget) and satellite services. The control plane receives </w:t>
      </w:r>
      <w:r>
        <w:rPr>
          <w:b/>
          <w:bCs/>
        </w:rPr>
        <w:t xml:space="preserve">aggregates only</w:t>
      </w:r>
      <w:r>
        <w:t xml:space="preserve"> (tenant, date, active count), never employee events.</w:t>
      </w:r>
    </w:p>
    <w:p>
      <w:pPr>
        <w:keepNext/>
        <w:spacing w:after="60" w:before="120" w:line="240" w:lineRule="auto"/>
        <w:jc w:val="center"/>
      </w:pPr>
      <w:r>
        <w:drawing>
          <wp:inline distT="0" distB="0" distL="0" distR="0">
            <wp:extent cx="6877050" cy="4667250"/>
            <wp:effectExtent t="0" r="0" b="0" l="0"/>
            <wp:docPr id="1" name="l01-target" descr="Target architecture: a global layer without employee data, a regional shared tier, N identical pooled cells, dedicated cells and a Hyderabad DR region. Kafka, OpenSearch and Temporal appear here only once their triggers are met." title="Target architecture: a global layer without employee data, a regional shared tier, N identical pooled cells, dedicated cells and a Hyderabad DR region. Kafka, OpenSearch and Temporal appear here only once their triggers are 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877050" cy="4667250"/>
                    </a:xfrm>
                    <a:prstGeom prst="rect">
                      <a:avLst/>
                    </a:prstGeom>
                  </pic:spPr>
                </pic:pic>
              </a:graphicData>
            </a:graphic>
          </wp:inline>
        </w:drawing>
      </w:r>
    </w:p>
    <w:p>
      <w:pPr>
        <w:pStyle w:val="Caption"/>
        <w:jc w:val="left"/>
      </w:pPr>
      <w:r>
        <w:rPr>
          <w:b/>
          <w:bCs/>
        </w:rPr>
        <w:t xml:space="preserve">Figure 3. </w:t>
      </w:r>
      <w:r>
        <w:t xml:space="preserve">Target architecture: a global layer without employee data, a regional shared tier, N identical pooled cells, dedicated cells and a Hyderabad DR region. Kafka, OpenSearch and Temporal appear here only once their triggers are met.</w:t>
      </w:r>
    </w:p>
    <w:p>
      <w:pPr>
        <w:sectPr>
          <w:headerReference w:type="default" r:id="rId15"/>
          <w:footerReference w:type="default" r:id="rId16"/>
          <w:pgSz w:w="16838" w:h="11906" w:orient="landscape"/>
          <w:pgMar w:top="1134" w:right="1134" w:bottom="1134" w:left="1134" w:header="567" w:footer="567" w:gutter="0"/>
          <w:pgNumType/>
          <w:docGrid w:linePitch="360"/>
        </w:sectPr>
      </w:pPr>
    </w:p>
    <w:p>
      <w:pPr>
        <w:pStyle w:val="Heading2"/>
      </w:pPr>
      <w:bookmarkStart w:id="8018" w:name="_Toc900018"/>
      <w:r>
        <w:t xml:space="preserve">4.3 Growth triggers</w:t>
      </w:r>
      <w:bookmarkEnd w:id="8018"/>
    </w:p>
    <w:p>
      <w:pPr>
        <w:keepNext/>
        <w:spacing w:after="80" w:before="120"/>
      </w:pPr>
      <w:r>
        <w:rPr>
          <w:b/>
          <w:bCs/>
          <w:color w:val="4F5E67"/>
          <w:sz w:val="18"/>
          <w:szCs w:val="18"/>
        </w:rPr>
        <w:t xml:space="preserve">Table 6. Components added by trigger</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050"/>
        <w:gridCol w:w="2050"/>
        <w:gridCol w:w="3281"/>
        <w:gridCol w:w="2257"/>
      </w:tblGrid>
      <w:tr>
        <w:trPr>
          <w:cantSplit/>
          <w:tblHeader/>
        </w:trPr>
        <w:tc>
          <w:tcPr>
            <w:tcW w:type="dxa" w:w="205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Component</w:t>
            </w:r>
          </w:p>
        </w:tc>
        <w:tc>
          <w:tcPr>
            <w:tcW w:type="dxa" w:w="205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Launch substitute</w:t>
            </w:r>
          </w:p>
        </w:tc>
        <w:tc>
          <w:tcPr>
            <w:tcW w:type="dxa" w:w="328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Add when</w:t>
            </w:r>
          </w:p>
        </w:tc>
        <w:tc>
          <w:tcPr>
            <w:tcW w:type="dxa" w:w="225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Why wait</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Amazon MSK (Kafka) + Debezium</w:t>
            </w:r>
          </w:p>
        </w:tc>
        <w:tc>
          <w:tcPr>
            <w:tcW w:type="dxa" w:w="2050"/>
            <w:tcMar>
              <w:top w:type="dxa" w:w="70"/>
              <w:left w:type="dxa" w:w="100"/>
              <w:bottom w:type="dxa" w:w="70"/>
              <w:right w:type="dxa" w:w="100"/>
            </w:tcMar>
            <w:vAlign w:val="top"/>
          </w:tcPr>
          <w:p>
            <w:pPr>
              <w:spacing w:after="0" w:line="252" w:lineRule="auto"/>
            </w:pPr>
            <w:r>
              <w:rPr>
                <w:sz w:val="18"/>
                <w:szCs w:val="18"/>
              </w:rPr>
              <w:t xml:space="preserve">Outbox + SQS</w:t>
            </w:r>
          </w:p>
        </w:tc>
        <w:tc>
          <w:tcPr>
            <w:tcW w:type="dxa" w:w="3281"/>
            <w:tcMar>
              <w:top w:type="dxa" w:w="70"/>
              <w:left w:type="dxa" w:w="100"/>
              <w:bottom w:type="dxa" w:w="70"/>
              <w:right w:type="dxa" w:w="100"/>
            </w:tcMar>
            <w:vAlign w:val="top"/>
          </w:tcPr>
          <w:p>
            <w:pPr>
              <w:spacing w:after="0" w:line="252" w:lineRule="auto"/>
            </w:pPr>
            <w:r>
              <w:rPr>
                <w:sz w:val="18"/>
                <w:szCs w:val="18"/>
              </w:rPr>
              <w:t xml:space="preserve">&gt; 3 consumers need replay, CDC to analytics is needed, Enterprise event streaming is sold, or &gt; ~500 events/s sustained</w:t>
            </w:r>
          </w:p>
        </w:tc>
        <w:tc>
          <w:tcPr>
            <w:tcW w:type="dxa" w:w="2257"/>
            <w:tcMar>
              <w:top w:type="dxa" w:w="70"/>
              <w:left w:type="dxa" w:w="100"/>
              <w:bottom w:type="dxa" w:w="70"/>
              <w:right w:type="dxa" w:w="100"/>
            </w:tcMar>
            <w:vAlign w:val="top"/>
          </w:tcPr>
          <w:p>
            <w:pPr>
              <w:spacing w:after="0" w:line="252" w:lineRule="auto"/>
            </w:pPr>
            <w:r>
              <w:rPr>
                <w:sz w:val="18"/>
                <w:szCs w:val="18"/>
              </w:rPr>
              <w:t xml:space="preserve">A production MSK cluster needs three brokers per cell</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Temporal</w:t>
            </w:r>
          </w:p>
        </w:tc>
        <w:tc>
          <w:tcPr>
            <w:tcW w:type="dxa" w:w="2050"/>
            <w:tcMar>
              <w:top w:type="dxa" w:w="70"/>
              <w:left w:type="dxa" w:w="100"/>
              <w:bottom w:type="dxa" w:w="70"/>
              <w:right w:type="dxa" w:w="100"/>
            </w:tcMar>
            <w:vAlign w:val="top"/>
          </w:tcPr>
          <w:p>
            <w:pPr>
              <w:spacing w:after="0" w:line="252" w:lineRule="auto"/>
            </w:pPr>
            <w:r>
              <w:rPr>
                <w:sz w:val="18"/>
                <w:szCs w:val="18"/>
              </w:rPr>
              <w:t xml:space="preserve">Approval engine + db-scheduler</w:t>
            </w:r>
          </w:p>
        </w:tc>
        <w:tc>
          <w:tcPr>
            <w:tcW w:type="dxa" w:w="3281"/>
            <w:tcMar>
              <w:top w:type="dxa" w:w="70"/>
              <w:left w:type="dxa" w:w="100"/>
              <w:bottom w:type="dxa" w:w="70"/>
              <w:right w:type="dxa" w:w="100"/>
            </w:tcMar>
            <w:vAlign w:val="top"/>
          </w:tcPr>
          <w:p>
            <w:pPr>
              <w:spacing w:after="0" w:line="252" w:lineRule="auto"/>
            </w:pPr>
            <w:r>
              <w:rPr>
                <w:sz w:val="18"/>
                <w:szCs w:val="18"/>
              </w:rPr>
              <w:t xml:space="preserve">Long cross-system orchestrations (payroll runs, multi-step connectors) or scheduler lag under load</w:t>
            </w:r>
          </w:p>
        </w:tc>
        <w:tc>
          <w:tcPr>
            <w:tcW w:type="dxa" w:w="2257"/>
            <w:tcMar>
              <w:top w:type="dxa" w:w="70"/>
              <w:left w:type="dxa" w:w="100"/>
              <w:bottom w:type="dxa" w:w="70"/>
              <w:right w:type="dxa" w:w="100"/>
            </w:tcMar>
            <w:vAlign w:val="top"/>
          </w:tcPr>
          <w:p>
            <w:pPr>
              <w:spacing w:after="0" w:line="252" w:lineRule="auto"/>
            </w:pPr>
            <w:r>
              <w:rPr>
                <w:sz w:val="18"/>
                <w:szCs w:val="18"/>
              </w:rPr>
              <w:t xml:space="preserve">Another stateful system, or usage-priced cloud</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OpenSearch</w:t>
            </w:r>
          </w:p>
        </w:tc>
        <w:tc>
          <w:tcPr>
            <w:tcW w:type="dxa" w:w="2050"/>
            <w:tcMar>
              <w:top w:type="dxa" w:w="70"/>
              <w:left w:type="dxa" w:w="100"/>
              <w:bottom w:type="dxa" w:w="70"/>
              <w:right w:type="dxa" w:w="100"/>
            </w:tcMar>
            <w:vAlign w:val="top"/>
          </w:tcPr>
          <w:p>
            <w:pPr>
              <w:spacing w:after="0" w:line="252" w:lineRule="auto"/>
            </w:pPr>
            <w:r>
              <w:rPr>
                <w:sz w:val="18"/>
                <w:szCs w:val="18"/>
              </w:rPr>
              <w:t xml:space="preserve">PostgreSQL full text + pg_trgm</w:t>
            </w:r>
          </w:p>
        </w:tc>
        <w:tc>
          <w:tcPr>
            <w:tcW w:type="dxa" w:w="3281"/>
            <w:tcMar>
              <w:top w:type="dxa" w:w="70"/>
              <w:left w:type="dxa" w:w="100"/>
              <w:bottom w:type="dxa" w:w="70"/>
              <w:right w:type="dxa" w:w="100"/>
            </w:tcMar>
            <w:vAlign w:val="top"/>
          </w:tcPr>
          <w:p>
            <w:pPr>
              <w:spacing w:after="0" w:line="252" w:lineRule="auto"/>
            </w:pPr>
            <w:r>
              <w:rPr>
                <w:sz w:val="18"/>
                <w:szCs w:val="18"/>
              </w:rPr>
              <w:t xml:space="preserve">Document search, &gt; ~500,000 employees in a cell, or search p95 &gt; 500 ms</w:t>
            </w:r>
          </w:p>
        </w:tc>
        <w:tc>
          <w:tcPr>
            <w:tcW w:type="dxa" w:w="2257"/>
            <w:tcMar>
              <w:top w:type="dxa" w:w="70"/>
              <w:left w:type="dxa" w:w="100"/>
              <w:bottom w:type="dxa" w:w="70"/>
              <w:right w:type="dxa" w:w="100"/>
            </w:tcMar>
            <w:vAlign w:val="top"/>
          </w:tcPr>
          <w:p>
            <w:pPr>
              <w:spacing w:after="0" w:line="252" w:lineRule="auto"/>
            </w:pPr>
            <w:r>
              <w:rPr>
                <w:sz w:val="18"/>
                <w:szCs w:val="18"/>
              </w:rPr>
              <w:t xml:space="preserve">Cost and reindex operations</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ClickHouse + Cube</w:t>
            </w:r>
          </w:p>
        </w:tc>
        <w:tc>
          <w:tcPr>
            <w:tcW w:type="dxa" w:w="2050"/>
            <w:tcMar>
              <w:top w:type="dxa" w:w="70"/>
              <w:left w:type="dxa" w:w="100"/>
              <w:bottom w:type="dxa" w:w="70"/>
              <w:right w:type="dxa" w:w="100"/>
            </w:tcMar>
            <w:vAlign w:val="top"/>
          </w:tcPr>
          <w:p>
            <w:pPr>
              <w:spacing w:after="0" w:line="252" w:lineRule="auto"/>
            </w:pPr>
            <w:r>
              <w:rPr>
                <w:sz w:val="18"/>
                <w:szCs w:val="18"/>
              </w:rPr>
              <w:t xml:space="preserve">Replica + views + snapshots</w:t>
            </w:r>
          </w:p>
        </w:tc>
        <w:tc>
          <w:tcPr>
            <w:tcW w:type="dxa" w:w="3281"/>
            <w:tcMar>
              <w:top w:type="dxa" w:w="70"/>
              <w:left w:type="dxa" w:w="100"/>
              <w:bottom w:type="dxa" w:w="70"/>
              <w:right w:type="dxa" w:w="100"/>
            </w:tcMar>
            <w:vAlign w:val="top"/>
          </w:tcPr>
          <w:p>
            <w:pPr>
              <w:spacing w:after="0" w:line="252" w:lineRule="auto"/>
            </w:pPr>
            <w:r>
              <w:rPr>
                <w:sz w:val="18"/>
                <w:szCs w:val="18"/>
              </w:rPr>
              <w:t xml:space="preserve">Analytics API sold, or dashboards p95 &gt; 2 s</w:t>
            </w:r>
          </w:p>
        </w:tc>
        <w:tc>
          <w:tcPr>
            <w:tcW w:type="dxa" w:w="2257"/>
            <w:tcMar>
              <w:top w:type="dxa" w:w="70"/>
              <w:left w:type="dxa" w:w="100"/>
              <w:bottom w:type="dxa" w:w="70"/>
              <w:right w:type="dxa" w:w="100"/>
            </w:tcMar>
            <w:vAlign w:val="top"/>
          </w:tcPr>
          <w:p>
            <w:pPr>
              <w:spacing w:after="0" w:line="252" w:lineRule="auto"/>
            </w:pPr>
            <w:r>
              <w:rPr>
                <w:sz w:val="18"/>
                <w:szCs w:val="18"/>
              </w:rPr>
              <w:t xml:space="preserve">CDC pipeline and a shared regional store</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Svix</w:t>
            </w:r>
          </w:p>
        </w:tc>
        <w:tc>
          <w:tcPr>
            <w:tcW w:type="dxa" w:w="2050"/>
            <w:tcMar>
              <w:top w:type="dxa" w:w="70"/>
              <w:left w:type="dxa" w:w="100"/>
              <w:bottom w:type="dxa" w:w="70"/>
              <w:right w:type="dxa" w:w="100"/>
            </w:tcMar>
            <w:vAlign w:val="top"/>
          </w:tcPr>
          <w:p>
            <w:pPr>
              <w:spacing w:after="0" w:line="252" w:lineRule="auto"/>
            </w:pPr>
            <w:r>
              <w:rPr>
                <w:sz w:val="18"/>
                <w:szCs w:val="18"/>
              </w:rPr>
              <w:t xml:space="preserve">In-house dispatcher</w:t>
            </w:r>
          </w:p>
        </w:tc>
        <w:tc>
          <w:tcPr>
            <w:tcW w:type="dxa" w:w="3281"/>
            <w:tcMar>
              <w:top w:type="dxa" w:w="70"/>
              <w:left w:type="dxa" w:w="100"/>
              <w:bottom w:type="dxa" w:w="70"/>
              <w:right w:type="dxa" w:w="100"/>
            </w:tcMar>
            <w:vAlign w:val="top"/>
          </w:tcPr>
          <w:p>
            <w:pPr>
              <w:spacing w:after="0" w:line="252" w:lineRule="auto"/>
            </w:pPr>
            <w:r>
              <w:rPr>
                <w:sz w:val="18"/>
                <w:szCs w:val="18"/>
              </w:rPr>
              <w:t xml:space="preserve">&gt; ~1 M deliveries a day, or a customer-facing endpoint portal</w:t>
            </w:r>
          </w:p>
        </w:tc>
        <w:tc>
          <w:tcPr>
            <w:tcW w:type="dxa" w:w="2257"/>
            <w:tcMar>
              <w:top w:type="dxa" w:w="70"/>
              <w:left w:type="dxa" w:w="100"/>
              <w:bottom w:type="dxa" w:w="70"/>
              <w:right w:type="dxa" w:w="100"/>
            </w:tcMar>
            <w:vAlign w:val="top"/>
          </w:tcPr>
          <w:p>
            <w:pPr>
              <w:spacing w:after="0" w:line="252" w:lineRule="auto"/>
            </w:pPr>
            <w:r>
              <w:rPr>
                <w:sz w:val="18"/>
                <w:szCs w:val="18"/>
              </w:rPr>
              <w:t xml:space="preserve">Extra service; feature parity to verify</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Kong Enterprise / Konnect</w:t>
            </w:r>
          </w:p>
        </w:tc>
        <w:tc>
          <w:tcPr>
            <w:tcW w:type="dxa" w:w="2050"/>
            <w:tcMar>
              <w:top w:type="dxa" w:w="70"/>
              <w:left w:type="dxa" w:w="100"/>
              <w:bottom w:type="dxa" w:w="70"/>
              <w:right w:type="dxa" w:w="100"/>
            </w:tcMar>
            <w:vAlign w:val="top"/>
          </w:tcPr>
          <w:p>
            <w:pPr>
              <w:spacing w:after="0" w:line="252" w:lineRule="auto"/>
            </w:pPr>
            <w:r>
              <w:rPr>
                <w:sz w:val="18"/>
                <w:szCs w:val="18"/>
              </w:rPr>
              <w:t xml:space="preserve">Kong OSS + our plugins</w:t>
            </w:r>
          </w:p>
        </w:tc>
        <w:tc>
          <w:tcPr>
            <w:tcW w:type="dxa" w:w="3281"/>
            <w:tcMar>
              <w:top w:type="dxa" w:w="70"/>
              <w:left w:type="dxa" w:w="100"/>
              <w:bottom w:type="dxa" w:w="70"/>
              <w:right w:type="dxa" w:w="100"/>
            </w:tcMar>
            <w:vAlign w:val="top"/>
          </w:tcPr>
          <w:p>
            <w:pPr>
              <w:spacing w:after="0" w:line="252" w:lineRule="auto"/>
            </w:pPr>
            <w:r>
              <w:rPr>
                <w:sz w:val="18"/>
                <w:szCs w:val="18"/>
              </w:rPr>
              <w:t xml:space="preserve">Need for gateway-side OpenAPI validation, advanced analytics or its portal</w:t>
            </w:r>
          </w:p>
        </w:tc>
        <w:tc>
          <w:tcPr>
            <w:tcW w:type="dxa" w:w="2257"/>
            <w:tcMar>
              <w:top w:type="dxa" w:w="70"/>
              <w:left w:type="dxa" w:w="100"/>
              <w:bottom w:type="dxa" w:w="70"/>
              <w:right w:type="dxa" w:w="100"/>
            </w:tcMar>
            <w:vAlign w:val="top"/>
          </w:tcPr>
          <w:p>
            <w:pPr>
              <w:spacing w:after="0" w:line="252" w:lineRule="auto"/>
            </w:pPr>
            <w:r>
              <w:rPr>
                <w:sz w:val="18"/>
                <w:szCs w:val="18"/>
              </w:rPr>
              <w:t xml:space="preserve">Licence cost</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AWS Shield Advanced</w:t>
            </w:r>
          </w:p>
        </w:tc>
        <w:tc>
          <w:tcPr>
            <w:tcW w:type="dxa" w:w="2050"/>
            <w:tcMar>
              <w:top w:type="dxa" w:w="70"/>
              <w:left w:type="dxa" w:w="100"/>
              <w:bottom w:type="dxa" w:w="70"/>
              <w:right w:type="dxa" w:w="100"/>
            </w:tcMar>
            <w:vAlign w:val="top"/>
          </w:tcPr>
          <w:p>
            <w:pPr>
              <w:spacing w:after="0" w:line="252" w:lineRule="auto"/>
            </w:pPr>
            <w:r>
              <w:rPr>
                <w:sz w:val="18"/>
                <w:szCs w:val="18"/>
              </w:rPr>
              <w:t xml:space="preserve">Shield Standard + WAF</w:t>
            </w:r>
          </w:p>
        </w:tc>
        <w:tc>
          <w:tcPr>
            <w:tcW w:type="dxa" w:w="3281"/>
            <w:tcMar>
              <w:top w:type="dxa" w:w="70"/>
              <w:left w:type="dxa" w:w="100"/>
              <w:bottom w:type="dxa" w:w="70"/>
              <w:right w:type="dxa" w:w="100"/>
            </w:tcMar>
            <w:vAlign w:val="top"/>
          </w:tcPr>
          <w:p>
            <w:pPr>
              <w:spacing w:after="0" w:line="252" w:lineRule="auto"/>
            </w:pPr>
            <w:r>
              <w:rPr>
                <w:sz w:val="18"/>
                <w:szCs w:val="18"/>
              </w:rPr>
              <w:t xml:space="preserve">First Enterprise SLA contract, or a DDoS incident</w:t>
            </w:r>
          </w:p>
        </w:tc>
        <w:tc>
          <w:tcPr>
            <w:tcW w:type="dxa" w:w="2257"/>
            <w:tcMar>
              <w:top w:type="dxa" w:w="70"/>
              <w:left w:type="dxa" w:w="100"/>
              <w:bottom w:type="dxa" w:w="70"/>
              <w:right w:type="dxa" w:w="100"/>
            </w:tcMar>
            <w:vAlign w:val="top"/>
          </w:tcPr>
          <w:p>
            <w:pPr>
              <w:spacing w:after="0" w:line="252" w:lineRule="auto"/>
            </w:pPr>
            <w:r>
              <w:rPr>
                <w:sz w:val="18"/>
                <w:szCs w:val="18"/>
              </w:rPr>
              <w:t xml:space="preserve">Fixed fee of about USD 3,000 a month</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AWS Network Firewall</w:t>
            </w:r>
          </w:p>
        </w:tc>
        <w:tc>
          <w:tcPr>
            <w:tcW w:type="dxa" w:w="2050"/>
            <w:tcMar>
              <w:top w:type="dxa" w:w="70"/>
              <w:left w:type="dxa" w:w="100"/>
              <w:bottom w:type="dxa" w:w="70"/>
              <w:right w:type="dxa" w:w="100"/>
            </w:tcMar>
            <w:vAlign w:val="top"/>
          </w:tcPr>
          <w:p>
            <w:pPr>
              <w:spacing w:after="0" w:line="252" w:lineRule="auto"/>
            </w:pPr>
            <w:r>
              <w:rPr>
                <w:sz w:val="18"/>
                <w:szCs w:val="18"/>
              </w:rPr>
              <w:t xml:space="preserve">Security groups, NAT, egress allowlist proxy</w:t>
            </w:r>
          </w:p>
        </w:tc>
        <w:tc>
          <w:tcPr>
            <w:tcW w:type="dxa" w:w="3281"/>
            <w:tcMar>
              <w:top w:type="dxa" w:w="70"/>
              <w:left w:type="dxa" w:w="100"/>
              <w:bottom w:type="dxa" w:w="70"/>
              <w:right w:type="dxa" w:w="100"/>
            </w:tcMar>
            <w:vAlign w:val="top"/>
          </w:tcPr>
          <w:p>
            <w:pPr>
              <w:spacing w:after="0" w:line="252" w:lineRule="auto"/>
            </w:pPr>
            <w:r>
              <w:rPr>
                <w:sz w:val="18"/>
                <w:szCs w:val="18"/>
              </w:rPr>
              <w:t xml:space="preserve">Enterprise egress audit requirement</w:t>
            </w:r>
          </w:p>
        </w:tc>
        <w:tc>
          <w:tcPr>
            <w:tcW w:type="dxa" w:w="2257"/>
            <w:tcMar>
              <w:top w:type="dxa" w:w="70"/>
              <w:left w:type="dxa" w:w="100"/>
              <w:bottom w:type="dxa" w:w="70"/>
              <w:right w:type="dxa" w:w="100"/>
            </w:tcMar>
            <w:vAlign w:val="top"/>
          </w:tcPr>
          <w:p>
            <w:pPr>
              <w:spacing w:after="0" w:line="252" w:lineRule="auto"/>
            </w:pPr>
            <w:r>
              <w:rPr>
                <w:sz w:val="18"/>
                <w:szCs w:val="18"/>
              </w:rPr>
              <w:t xml:space="preserve">Charged per AZ-hour plus traffic</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Second pooled cell</w:t>
            </w:r>
          </w:p>
        </w:tc>
        <w:tc>
          <w:tcPr>
            <w:tcW w:type="dxa" w:w="2050"/>
            <w:tcMar>
              <w:top w:type="dxa" w:w="70"/>
              <w:left w:type="dxa" w:w="100"/>
              <w:bottom w:type="dxa" w:w="70"/>
              <w:right w:type="dxa" w:w="100"/>
            </w:tcMar>
            <w:vAlign w:val="top"/>
          </w:tcPr>
          <w:p>
            <w:pPr>
              <w:spacing w:after="0" w:line="252" w:lineRule="auto"/>
            </w:pPr>
            <w:r>
              <w:rPr>
                <w:sz w:val="18"/>
                <w:szCs w:val="18"/>
              </w:rPr>
              <w:t xml:space="preserve">None</w:t>
            </w:r>
          </w:p>
        </w:tc>
        <w:tc>
          <w:tcPr>
            <w:tcW w:type="dxa" w:w="3281"/>
            <w:tcMar>
              <w:top w:type="dxa" w:w="70"/>
              <w:left w:type="dxa" w:w="100"/>
              <w:bottom w:type="dxa" w:w="70"/>
              <w:right w:type="dxa" w:w="100"/>
            </w:tcMar>
            <w:vAlign w:val="top"/>
          </w:tcPr>
          <w:p>
            <w:pPr>
              <w:spacing w:after="0" w:line="252" w:lineRule="auto"/>
            </w:pPr>
            <w:r>
              <w:rPr>
                <w:sz w:val="18"/>
                <w:szCs w:val="18"/>
              </w:rPr>
              <w:t xml:space="preserve">Cell at 70% of its design point (NFR-08, NFR-10)</w:t>
            </w:r>
          </w:p>
        </w:tc>
        <w:tc>
          <w:tcPr>
            <w:tcW w:type="dxa" w:w="2257"/>
            <w:tcMar>
              <w:top w:type="dxa" w:w="70"/>
              <w:left w:type="dxa" w:w="100"/>
              <w:bottom w:type="dxa" w:w="70"/>
              <w:right w:type="dxa" w:w="100"/>
            </w:tcMar>
            <w:vAlign w:val="top"/>
          </w:tcPr>
          <w:p>
            <w:pPr>
              <w:spacing w:after="0" w:line="252" w:lineRule="auto"/>
            </w:pPr>
            <w:r>
              <w:rPr>
                <w:sz w:val="18"/>
                <w:szCs w:val="18"/>
              </w:rPr>
              <w:t xml:space="preserve">Fixed cost per cell</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Dedicated database or cell</w:t>
            </w:r>
          </w:p>
        </w:tc>
        <w:tc>
          <w:tcPr>
            <w:tcW w:type="dxa" w:w="2050"/>
            <w:tcMar>
              <w:top w:type="dxa" w:w="70"/>
              <w:left w:type="dxa" w:w="100"/>
              <w:bottom w:type="dxa" w:w="70"/>
              <w:right w:type="dxa" w:w="100"/>
            </w:tcMar>
            <w:vAlign w:val="top"/>
          </w:tcPr>
          <w:p>
            <w:pPr>
              <w:spacing w:after="0" w:line="252" w:lineRule="auto"/>
            </w:pPr>
            <w:r>
              <w:rPr>
                <w:sz w:val="18"/>
                <w:szCs w:val="18"/>
              </w:rPr>
              <w:t xml:space="preserve">Pooled</w:t>
            </w:r>
          </w:p>
        </w:tc>
        <w:tc>
          <w:tcPr>
            <w:tcW w:type="dxa" w:w="3281"/>
            <w:tcMar>
              <w:top w:type="dxa" w:w="70"/>
              <w:left w:type="dxa" w:w="100"/>
              <w:bottom w:type="dxa" w:w="70"/>
              <w:right w:type="dxa" w:w="100"/>
            </w:tcMar>
            <w:vAlign w:val="top"/>
          </w:tcPr>
          <w:p>
            <w:pPr>
              <w:spacing w:after="0" w:line="252" w:lineRule="auto"/>
            </w:pPr>
            <w:r>
              <w:rPr>
                <w:sz w:val="18"/>
                <w:szCs w:val="18"/>
              </w:rPr>
              <w:t xml:space="preserve">Tenant &gt; 20,000 or &gt; 100,000 employees, residency, or contract</w:t>
            </w:r>
          </w:p>
        </w:tc>
        <w:tc>
          <w:tcPr>
            <w:tcW w:type="dxa" w:w="2257"/>
            <w:tcMar>
              <w:top w:type="dxa" w:w="70"/>
              <w:left w:type="dxa" w:w="100"/>
              <w:bottom w:type="dxa" w:w="70"/>
              <w:right w:type="dxa" w:w="100"/>
            </w:tcMar>
            <w:vAlign w:val="top"/>
          </w:tcPr>
          <w:p>
            <w:pPr>
              <w:spacing w:after="0" w:line="252" w:lineRule="auto"/>
            </w:pPr>
            <w:r>
              <w:rPr>
                <w:sz w:val="18"/>
                <w:szCs w:val="18"/>
              </w:rPr>
              <w:t xml:space="preserve">Priced to cover its fixed cost</w:t>
            </w:r>
          </w:p>
        </w:tc>
      </w:tr>
      <w:tr>
        <w:trPr>
          <w:cantSplit/>
          <w:tblHeader w:val="false"/>
        </w:trPr>
        <w:tc>
          <w:tcPr>
            <w:tcW w:type="dxa" w:w="2050"/>
            <w:tcMar>
              <w:top w:type="dxa" w:w="70"/>
              <w:left w:type="dxa" w:w="100"/>
              <w:bottom w:type="dxa" w:w="70"/>
              <w:right w:type="dxa" w:w="100"/>
            </w:tcMar>
            <w:vAlign w:val="top"/>
          </w:tcPr>
          <w:p>
            <w:pPr>
              <w:spacing w:after="0" w:line="252" w:lineRule="auto"/>
            </w:pPr>
            <w:r>
              <w:rPr>
                <w:b/>
                <w:bCs/>
                <w:color w:val="16222A"/>
                <w:sz w:val="18"/>
                <w:szCs w:val="18"/>
              </w:rPr>
              <w:t xml:space="preserve">Self-hosted Grafana stack</w:t>
            </w:r>
          </w:p>
        </w:tc>
        <w:tc>
          <w:tcPr>
            <w:tcW w:type="dxa" w:w="2050"/>
            <w:tcMar>
              <w:top w:type="dxa" w:w="70"/>
              <w:left w:type="dxa" w:w="100"/>
              <w:bottom w:type="dxa" w:w="70"/>
              <w:right w:type="dxa" w:w="100"/>
            </w:tcMar>
            <w:vAlign w:val="top"/>
          </w:tcPr>
          <w:p>
            <w:pPr>
              <w:spacing w:after="0" w:line="252" w:lineRule="auto"/>
            </w:pPr>
            <w:r>
              <w:rPr>
                <w:sz w:val="18"/>
                <w:szCs w:val="18"/>
              </w:rPr>
              <w:t xml:space="preserve">AWS managed Prometheus/Grafana, CloudWatch</w:t>
            </w:r>
          </w:p>
        </w:tc>
        <w:tc>
          <w:tcPr>
            <w:tcW w:type="dxa" w:w="3281"/>
            <w:tcMar>
              <w:top w:type="dxa" w:w="70"/>
              <w:left w:type="dxa" w:w="100"/>
              <w:bottom w:type="dxa" w:w="70"/>
              <w:right w:type="dxa" w:w="100"/>
            </w:tcMar>
            <w:vAlign w:val="top"/>
          </w:tcPr>
          <w:p>
            <w:pPr>
              <w:spacing w:after="0" w:line="252" w:lineRule="auto"/>
            </w:pPr>
            <w:r>
              <w:rPr>
                <w:sz w:val="18"/>
                <w:szCs w:val="18"/>
              </w:rPr>
              <w:t xml:space="preserve">Observability bill passes an agreed threshold</w:t>
            </w:r>
          </w:p>
        </w:tc>
        <w:tc>
          <w:tcPr>
            <w:tcW w:type="dxa" w:w="2257"/>
            <w:tcMar>
              <w:top w:type="dxa" w:w="70"/>
              <w:left w:type="dxa" w:w="100"/>
              <w:bottom w:type="dxa" w:w="70"/>
              <w:right w:type="dxa" w:w="100"/>
            </w:tcMar>
            <w:vAlign w:val="top"/>
          </w:tcPr>
          <w:p>
            <w:pPr>
              <w:spacing w:after="0" w:line="252" w:lineRule="auto"/>
            </w:pPr>
            <w:r>
              <w:rPr>
                <w:sz w:val="18"/>
                <w:szCs w:val="18"/>
              </w:rPr>
              <w:t xml:space="preserve">Operational effort</w:t>
            </w:r>
          </w:p>
        </w:tc>
      </w:tr>
    </w:tbl>
    <w:p>
      <w:pPr>
        <w:spacing w:after="160"/>
      </w:pPr>
    </w:p>
    <w:p>
      <w:pPr>
        <w:pStyle w:val="Heading1"/>
        <w:pageBreakBefore/>
      </w:pPr>
      <w:bookmarkStart w:id="8019" w:name="_Toc900019"/>
      <w:r>
        <w:t xml:space="preserve">5. Tenancy and isolation</w:t>
      </w:r>
      <w:bookmarkEnd w:id="8019"/>
    </w:p>
    <w:p>
      <w:r>
        <w:t xml:space="preserve">A </w:t>
      </w:r>
      <w:r>
        <w:rPr>
          <w:b/>
          <w:bCs/>
        </w:rPr>
        <w:t xml:space="preserve">tenant</w:t>
      </w:r>
      <w:r>
        <w:t xml:space="preserve"> is one customer organisation under one contract. It is the isolation boundary, the configuration root, the identity boundary and the billing account. Inside a tenant sit legal entities (optionally grouped), locations, org units and the other dimensions of section 7. </w:t>
      </w:r>
      <w:r>
        <w:rPr>
          <w:b/>
          <w:bCs/>
        </w:rPr>
        <w:t xml:space="preserve">SURAJ Group is one tenant with several legal entities.</w:t>
      </w:r>
      <w:r>
        <w:t xml:space="preserve"> Its group dashboards, inter-company transfers and group-unique IDs need that.</w:t>
      </w:r>
    </w:p>
    <w:p>
      <w:pPr>
        <w:keepNext/>
        <w:spacing w:after="60" w:before="120" w:line="240" w:lineRule="auto"/>
        <w:jc w:val="center"/>
      </w:pPr>
      <w:r>
        <w:drawing>
          <wp:inline distT="0" distB="0" distL="0" distR="0">
            <wp:extent cx="6096000" cy="3600450"/>
            <wp:effectExtent t="0" r="0" b="0" l="0"/>
            <wp:docPr id="1" name="p03-tenancy" descr="How a request finds its tenant and carries that tenant into every store." title="How a request finds its tenant and carries that tenant into every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3600450"/>
                    </a:xfrm>
                    <a:prstGeom prst="rect">
                      <a:avLst/>
                    </a:prstGeom>
                  </pic:spPr>
                </pic:pic>
              </a:graphicData>
            </a:graphic>
          </wp:inline>
        </w:drawing>
      </w:r>
    </w:p>
    <w:p>
      <w:pPr>
        <w:pStyle w:val="Caption"/>
        <w:jc w:val="left"/>
      </w:pPr>
      <w:r>
        <w:rPr>
          <w:b/>
          <w:bCs/>
        </w:rPr>
        <w:t xml:space="preserve">Figure 4. </w:t>
      </w:r>
      <w:r>
        <w:t xml:space="preserve">How a request finds its tenant and carries that tenant into every store.</w:t>
      </w:r>
    </w:p>
    <w:p>
      <w:pPr>
        <w:keepNext/>
        <w:spacing w:after="80" w:before="120"/>
      </w:pPr>
      <w:r>
        <w:rPr>
          <w:b/>
          <w:bCs/>
          <w:color w:val="4F5E67"/>
          <w:sz w:val="18"/>
          <w:szCs w:val="18"/>
        </w:rPr>
        <w:t xml:space="preserve">Table 7. Isolation tiers (same code, schema and migrations)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029"/>
        <w:gridCol w:w="3246"/>
        <w:gridCol w:w="1318"/>
        <w:gridCol w:w="3045"/>
      </w:tblGrid>
      <w:tr>
        <w:trPr>
          <w:cantSplit/>
          <w:tblHeader/>
        </w:trPr>
        <w:tc>
          <w:tcPr>
            <w:tcW w:type="dxa" w:w="202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Tier</w:t>
            </w:r>
          </w:p>
        </w:tc>
        <w:tc>
          <w:tcPr>
            <w:tcW w:type="dxa" w:w="324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Data</w:t>
            </w:r>
          </w:p>
        </w:tc>
        <w:tc>
          <w:tcPr>
            <w:tcW w:type="dxa" w:w="131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Compute</w:t>
            </w:r>
          </w:p>
        </w:tc>
        <w:tc>
          <w:tcPr>
            <w:tcW w:type="dxa" w:w="304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Typical tenant</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Pooled</w:t>
            </w:r>
          </w:p>
        </w:tc>
        <w:tc>
          <w:tcPr>
            <w:tcW w:type="dxa" w:w="3246"/>
            <w:tcMar>
              <w:top w:type="dxa" w:w="70"/>
              <w:left w:type="dxa" w:w="100"/>
              <w:bottom w:type="dxa" w:w="70"/>
              <w:right w:type="dxa" w:w="100"/>
            </w:tcMar>
            <w:vAlign w:val="top"/>
          </w:tcPr>
          <w:p>
            <w:pPr>
              <w:spacing w:after="0" w:line="252" w:lineRule="auto"/>
            </w:pPr>
            <w:r>
              <w:rPr>
                <w:sz w:val="18"/>
                <w:szCs w:val="18"/>
              </w:rPr>
              <w:t xml:space="preserve">Shared Aurora cluster; tenant_id on every row; RLS</w:t>
            </w:r>
          </w:p>
        </w:tc>
        <w:tc>
          <w:tcPr>
            <w:tcW w:type="dxa" w:w="1318"/>
            <w:tcMar>
              <w:top w:type="dxa" w:w="70"/>
              <w:left w:type="dxa" w:w="100"/>
              <w:bottom w:type="dxa" w:w="70"/>
              <w:right w:type="dxa" w:w="100"/>
            </w:tcMar>
            <w:vAlign w:val="top"/>
          </w:tcPr>
          <w:p>
            <w:pPr>
              <w:spacing w:after="0" w:line="252" w:lineRule="auto"/>
            </w:pPr>
            <w:r>
              <w:rPr>
                <w:sz w:val="18"/>
                <w:szCs w:val="18"/>
              </w:rPr>
              <w:t xml:space="preserve">Shared cell</w:t>
            </w:r>
          </w:p>
        </w:tc>
        <w:tc>
          <w:tcPr>
            <w:tcW w:type="dxa" w:w="3045"/>
            <w:tcMar>
              <w:top w:type="dxa" w:w="70"/>
              <w:left w:type="dxa" w:w="100"/>
              <w:bottom w:type="dxa" w:w="70"/>
              <w:right w:type="dxa" w:w="100"/>
            </w:tcMar>
            <w:vAlign w:val="top"/>
          </w:tcPr>
          <w:p>
            <w:pPr>
              <w:spacing w:after="0" w:line="252" w:lineRule="auto"/>
            </w:pPr>
            <w:r>
              <w:rPr>
                <w:sz w:val="18"/>
                <w:szCs w:val="18"/>
              </w:rPr>
              <w:t xml:space="preserve">SMB and mid-market; trials</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Pooled + dedicated database</w:t>
            </w:r>
          </w:p>
        </w:tc>
        <w:tc>
          <w:tcPr>
            <w:tcW w:type="dxa" w:w="3246"/>
            <w:tcMar>
              <w:top w:type="dxa" w:w="70"/>
              <w:left w:type="dxa" w:w="100"/>
              <w:bottom w:type="dxa" w:w="70"/>
              <w:right w:type="dxa" w:w="100"/>
            </w:tcMar>
            <w:vAlign w:val="top"/>
          </w:tcPr>
          <w:p>
            <w:pPr>
              <w:spacing w:after="0" w:line="252" w:lineRule="auto"/>
            </w:pPr>
            <w:r>
              <w:rPr>
                <w:sz w:val="18"/>
                <w:szCs w:val="18"/>
              </w:rPr>
              <w:t xml:space="preserve">Own Aurora cluster</w:t>
            </w:r>
          </w:p>
        </w:tc>
        <w:tc>
          <w:tcPr>
            <w:tcW w:type="dxa" w:w="1318"/>
            <w:tcMar>
              <w:top w:type="dxa" w:w="70"/>
              <w:left w:type="dxa" w:w="100"/>
              <w:bottom w:type="dxa" w:w="70"/>
              <w:right w:type="dxa" w:w="100"/>
            </w:tcMar>
            <w:vAlign w:val="top"/>
          </w:tcPr>
          <w:p>
            <w:pPr>
              <w:spacing w:after="0" w:line="252" w:lineRule="auto"/>
            </w:pPr>
            <w:r>
              <w:rPr>
                <w:sz w:val="18"/>
                <w:szCs w:val="18"/>
              </w:rPr>
              <w:t xml:space="preserve">Shared cell</w:t>
            </w:r>
          </w:p>
        </w:tc>
        <w:tc>
          <w:tcPr>
            <w:tcW w:type="dxa" w:w="3045"/>
            <w:tcMar>
              <w:top w:type="dxa" w:w="70"/>
              <w:left w:type="dxa" w:w="100"/>
              <w:bottom w:type="dxa" w:w="70"/>
              <w:right w:type="dxa" w:w="100"/>
            </w:tcMar>
            <w:vAlign w:val="top"/>
          </w:tcPr>
          <w:p>
            <w:pPr>
              <w:spacing w:after="0" w:line="252" w:lineRule="auto"/>
            </w:pPr>
            <w:r>
              <w:rPr>
                <w:sz w:val="18"/>
                <w:szCs w:val="18"/>
              </w:rPr>
              <w:t xml:space="preserve">&gt; 20,000 employees; heavy batch; strict review</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Dedicated cell</w:t>
            </w:r>
          </w:p>
        </w:tc>
        <w:tc>
          <w:tcPr>
            <w:tcW w:type="dxa" w:w="3246"/>
            <w:tcMar>
              <w:top w:type="dxa" w:w="70"/>
              <w:left w:type="dxa" w:w="100"/>
              <w:bottom w:type="dxa" w:w="70"/>
              <w:right w:type="dxa" w:w="100"/>
            </w:tcMar>
            <w:vAlign w:val="top"/>
          </w:tcPr>
          <w:p>
            <w:pPr>
              <w:spacing w:after="0" w:line="252" w:lineRule="auto"/>
            </w:pPr>
            <w:r>
              <w:rPr>
                <w:sz w:val="18"/>
                <w:szCs w:val="18"/>
              </w:rPr>
              <w:t xml:space="preserve">Full stack; optionally the customer's AWS account or another cloud</w:t>
            </w:r>
          </w:p>
        </w:tc>
        <w:tc>
          <w:tcPr>
            <w:tcW w:type="dxa" w:w="1318"/>
            <w:tcMar>
              <w:top w:type="dxa" w:w="70"/>
              <w:left w:type="dxa" w:w="100"/>
              <w:bottom w:type="dxa" w:w="70"/>
              <w:right w:type="dxa" w:w="100"/>
            </w:tcMar>
            <w:vAlign w:val="top"/>
          </w:tcPr>
          <w:p>
            <w:pPr>
              <w:spacing w:after="0" w:line="252" w:lineRule="auto"/>
            </w:pPr>
            <w:r>
              <w:rPr>
                <w:sz w:val="18"/>
                <w:szCs w:val="18"/>
              </w:rPr>
              <w:t xml:space="preserve">Own</w:t>
            </w:r>
          </w:p>
        </w:tc>
        <w:tc>
          <w:tcPr>
            <w:tcW w:type="dxa" w:w="3045"/>
            <w:tcMar>
              <w:top w:type="dxa" w:w="70"/>
              <w:left w:type="dxa" w:w="100"/>
              <w:bottom w:type="dxa" w:w="70"/>
              <w:right w:type="dxa" w:w="100"/>
            </w:tcMar>
            <w:vAlign w:val="top"/>
          </w:tcPr>
          <w:p>
            <w:pPr>
              <w:spacing w:after="0" w:line="252" w:lineRule="auto"/>
            </w:pPr>
            <w:r>
              <w:rPr>
                <w:sz w:val="18"/>
                <w:szCs w:val="18"/>
              </w:rPr>
              <w:t xml:space="preserve">&gt; 100,000 employees; regulated; private deployment</w:t>
            </w:r>
          </w:p>
        </w:tc>
      </w:tr>
    </w:tbl>
    <w:p>
      <w:pPr>
        <w:spacing w:after="160"/>
      </w:pPr>
    </w:p>
    <w:p>
      <w:pPr>
        <w:pStyle w:val="Heading2"/>
      </w:pPr>
      <w:bookmarkStart w:id="8020" w:name="_Toc900020"/>
      <w:r>
        <w:t xml:space="preserve">5.1 Isolation rules</w:t>
      </w:r>
      <w:bookmarkEnd w:id="8020"/>
    </w:p>
    <w:p>
      <w:pPr>
        <w:pStyle w:val="ListParagraph"/>
        <w:numPr>
          <w:ilvl w:val="0"/>
          <w:numId w:val="2"/>
        </w:numPr>
        <w:spacing w:after="60"/>
      </w:pPr>
      <w:r>
        <w:rPr>
          <w:b/>
          <w:bCs/>
        </w:rPr>
        <w:t xml:space="preserve">Tenant from the verified token only.</w:t>
      </w:r>
      <w:r>
        <w:t xml:space="preserve"> The gateway strips inbound tenant headers; for web it also checks the host against the token.</w:t>
      </w:r>
    </w:p>
    <w:p>
      <w:pPr>
        <w:pStyle w:val="ListParagraph"/>
        <w:numPr>
          <w:ilvl w:val="0"/>
          <w:numId w:val="2"/>
        </w:numPr>
        <w:spacing w:after="60"/>
      </w:pPr>
      <w:r>
        <w:rPr>
          <w:b/>
          <w:bCs/>
        </w:rPr>
        <w:t xml:space="preserve">Every statement runs inside a transaction that sets the tenant</w:t>
      </w:r>
      <w:r>
        <w:t xml:space="preserve"> (</w:t>
      </w:r>
      <w:r>
        <w:rPr>
          <w:rFonts w:ascii="Consolas" w:cs="Consolas" w:eastAsia="Consolas" w:hAnsi="Consolas"/>
          <w:color w:val="0B4F4F"/>
          <w:sz w:val="18"/>
          <w:szCs w:val="18"/>
        </w:rPr>
        <w:t xml:space="preserve">set_config('app.tenant_id', …, true)</w:t>
      </w:r>
      <w:r>
        <w:t xml:space="preserve">). The data layer rejects autocommit reads. RLS uses </w:t>
      </w:r>
      <w:r>
        <w:rPr>
          <w:rFonts w:ascii="Consolas" w:cs="Consolas" w:eastAsia="Consolas" w:hAnsi="Consolas"/>
          <w:color w:val="0B4F4F"/>
          <w:sz w:val="18"/>
          <w:szCs w:val="18"/>
        </w:rPr>
        <w:t xml:space="preserve">FORCE ROW LEVEL SECURITY</w:t>
      </w:r>
      <w:r>
        <w:t xml:space="preserve"> and </w:t>
      </w:r>
      <w:r>
        <w:rPr>
          <w:b/>
          <w:bCs/>
        </w:rPr>
        <w:t xml:space="preserve">fails loudly</w:t>
      </w:r>
      <w:r>
        <w:t xml:space="preserve"> (a cast error) if the setting is missing, never returning silently empty results.</w:t>
      </w:r>
    </w:p>
    <w:p>
      <w:pPr>
        <w:pStyle w:val="ListParagraph"/>
        <w:numPr>
          <w:ilvl w:val="0"/>
          <w:numId w:val="2"/>
        </w:numPr>
        <w:spacing w:after="60"/>
      </w:pPr>
      <w:r>
        <w:rPr>
          <w:b/>
          <w:bCs/>
        </w:rPr>
        <w:t xml:space="preserve">Keys include tenant_id.</w:t>
      </w:r>
      <w:r>
        <w:t xml:space="preserve"> Primary keys, unique constraints and composite foreign keys all include it, so rows cannot reference another tenant.</w:t>
      </w:r>
    </w:p>
    <w:p>
      <w:pPr>
        <w:pStyle w:val="ListParagraph"/>
        <w:numPr>
          <w:ilvl w:val="0"/>
          <w:numId w:val="2"/>
        </w:numPr>
        <w:spacing w:after="60"/>
      </w:pPr>
      <w:r>
        <w:rPr>
          <w:b/>
          <w:bCs/>
        </w:rPr>
        <w:t xml:space="preserve">Everywhere else too:</w:t>
      </w:r>
      <w:r>
        <w:t xml:space="preserve"> tenant-prefixed cache keys, per-tenant S3 prefixes and KMS data keys, tenant in every event envelope, per-tenant background jobs.</w:t>
      </w:r>
    </w:p>
    <w:p>
      <w:pPr>
        <w:pStyle w:val="ListParagraph"/>
        <w:numPr>
          <w:ilvl w:val="0"/>
          <w:numId w:val="2"/>
        </w:numPr>
        <w:spacing w:after="60"/>
      </w:pPr>
      <w:r>
        <w:rPr>
          <w:b/>
          <w:bCs/>
        </w:rPr>
        <w:t xml:space="preserve">Control plane gets aggregates only.</w:t>
      </w:r>
      <w:r>
        <w:t xml:space="preserve"> Cells send daily counts per tenant for billing; no employee events leave the cell.</w:t>
      </w:r>
    </w:p>
    <w:p>
      <w:pPr>
        <w:pStyle w:val="ListParagraph"/>
        <w:numPr>
          <w:ilvl w:val="0"/>
          <w:numId w:val="2"/>
        </w:numPr>
        <w:spacing w:after="60"/>
      </w:pPr>
      <w:r>
        <w:rPr>
          <w:b/>
          <w:bCs/>
        </w:rPr>
        <w:t xml:space="preserve">Tenant moves</w:t>
      </w:r>
      <w:r>
        <w:t xml:space="preserve"> between tiers use logical replication and a short cutover. There is no long write freeze.</w:t>
      </w:r>
    </w:p>
    <w:p>
      <w:pPr>
        <w:pStyle w:val="ListParagraph"/>
        <w:numPr>
          <w:ilvl w:val="0"/>
          <w:numId w:val="2"/>
        </w:numPr>
        <w:spacing w:after="60"/>
      </w:pPr>
      <w:r>
        <w:rPr>
          <w:b/>
          <w:bCs/>
        </w:rPr>
        <w:t xml:space="preserve">A cross-tenant leakage suite</w:t>
      </w:r>
      <w:r>
        <w:t xml:space="preserve"> runs in CI: two tenant fixtures, every route and event consumer called with the other tenant's IDs.</w:t>
      </w:r>
    </w:p>
    <w:p>
      <w:pPr>
        <w:pStyle w:val="Heading1"/>
        <w:pageBreakBefore/>
      </w:pPr>
      <w:bookmarkStart w:id="8021" w:name="_Toc900021"/>
      <w:r>
        <w:t xml:space="preserve">6. Application architecture</w:t>
      </w:r>
      <w:bookmarkEnd w:id="8021"/>
    </w:p>
    <w:p>
      <w:pPr>
        <w:keepNext/>
        <w:spacing w:after="60" w:before="120" w:line="240" w:lineRule="auto"/>
        <w:jc w:val="center"/>
      </w:pPr>
      <w:r>
        <w:drawing>
          <wp:inline distT="0" distB="0" distL="0" distR="0">
            <wp:extent cx="6096000" cy="5181600"/>
            <wp:effectExtent t="0" r="0" b="0" l="0"/>
            <wp:docPr id="1" name="p04-modules" descr="Inside the core platform application: interfaces, twelve domain modules, the platform kernel and infrastructure adapters." title="Inside the core platform application: interfaces, twelve domain modules, the platform kernel and infrastructure ad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5181600"/>
                    </a:xfrm>
                    <a:prstGeom prst="rect">
                      <a:avLst/>
                    </a:prstGeom>
                  </pic:spPr>
                </pic:pic>
              </a:graphicData>
            </a:graphic>
          </wp:inline>
        </w:drawing>
      </w:r>
    </w:p>
    <w:p>
      <w:pPr>
        <w:pStyle w:val="Caption"/>
        <w:jc w:val="left"/>
      </w:pPr>
      <w:r>
        <w:rPr>
          <w:b/>
          <w:bCs/>
        </w:rPr>
        <w:t xml:space="preserve">Figure 5. </w:t>
      </w:r>
      <w:r>
        <w:t xml:space="preserve">Inside the core platform application: interfaces, twelve domain modules, the platform kernel and infrastructure adapters.</w:t>
      </w:r>
    </w:p>
    <w:p>
      <w:pPr>
        <w:pStyle w:val="ListParagraph"/>
        <w:numPr>
          <w:ilvl w:val="0"/>
          <w:numId w:val="2"/>
        </w:numPr>
        <w:spacing w:after="60"/>
      </w:pPr>
      <w:r>
        <w:rPr>
          <w:b/>
          <w:bCs/>
        </w:rPr>
        <w:t xml:space="preserve">Java 21 LTS, Spring Boot, Spring Modulith.</w:t>
      </w:r>
      <w:r>
        <w:t xml:space="preserve"> Each module has a published API package and an internal package. Spring Modulith and ArchUnit fail the build if a module reaches into another module's tables or internals.</w:t>
      </w:r>
    </w:p>
    <w:p>
      <w:pPr>
        <w:pStyle w:val="ListParagraph"/>
        <w:numPr>
          <w:ilvl w:val="0"/>
          <w:numId w:val="2"/>
        </w:numPr>
        <w:spacing w:after="60"/>
      </w:pPr>
      <w:r>
        <w:rPr>
          <w:b/>
          <w:bCs/>
        </w:rPr>
        <w:t xml:space="preserve">Persistence:</w:t>
      </w:r>
      <w:r>
        <w:t xml:space="preserve"> Spring Data JPA (Hibernate 6) for aggregates, jOOQ for temporal and reporting SQL, Flyway migrations per module.</w:t>
      </w:r>
    </w:p>
    <w:p>
      <w:pPr>
        <w:pStyle w:val="ListParagraph"/>
        <w:numPr>
          <w:ilvl w:val="0"/>
          <w:numId w:val="2"/>
        </w:numPr>
        <w:spacing w:after="60"/>
      </w:pPr>
      <w:r>
        <w:rPr>
          <w:b/>
          <w:bCs/>
        </w:rPr>
        <w:t xml:space="preserve">Rules:</w:t>
      </w:r>
      <w:r>
        <w:t xml:space="preserve"> CEL (</w:t>
      </w:r>
      <w:r>
        <w:rPr>
          <w:rFonts w:ascii="Consolas" w:cs="Consolas" w:eastAsia="Consolas" w:hAnsi="Consolas"/>
          <w:color w:val="0B4F4F"/>
          <w:sz w:val="18"/>
          <w:szCs w:val="18"/>
        </w:rPr>
        <w:t xml:space="preserve">cel-java</w:t>
      </w:r>
      <w:r>
        <w:t xml:space="preserve">) with a curated function library and cost limits; no tenant-authored code.</w:t>
      </w:r>
    </w:p>
    <w:p>
      <w:pPr>
        <w:pStyle w:val="ListParagraph"/>
        <w:numPr>
          <w:ilvl w:val="0"/>
          <w:numId w:val="2"/>
        </w:numPr>
        <w:spacing w:after="60"/>
      </w:pPr>
      <w:r>
        <w:rPr>
          <w:b/>
          <w:bCs/>
        </w:rPr>
        <w:t xml:space="preserve">Contract-first interfaces:</w:t>
      </w:r>
      <w:r>
        <w:t xml:space="preserve"> the OpenAPI 3.1 documents generate server interfaces, validators, TypeScript types and SDKs.</w:t>
      </w:r>
    </w:p>
    <w:p>
      <w:pPr>
        <w:pStyle w:val="ListParagraph"/>
        <w:numPr>
          <w:ilvl w:val="0"/>
          <w:numId w:val="2"/>
        </w:numPr>
        <w:spacing w:after="60"/>
      </w:pPr>
      <w:r>
        <w:rPr>
          <w:b/>
          <w:bCs/>
        </w:rPr>
        <w:t xml:space="preserve">Module contract:</w:t>
      </w:r>
      <w:r>
        <w:t xml:space="preserve"> each module declares its entities and data classes, permissions, configuration types, obligation types, events, API routes, dashboard cards, report datasets and migrations. New modules (rostering, payroll, performance) plug in the same way.</w:t>
      </w:r>
    </w:p>
    <w:p>
      <w:pPr>
        <w:pStyle w:val="ListParagraph"/>
        <w:numPr>
          <w:ilvl w:val="0"/>
          <w:numId w:val="2"/>
        </w:numPr>
        <w:spacing w:after="60"/>
      </w:pPr>
      <w:r>
        <w:rPr>
          <w:b/>
          <w:bCs/>
        </w:rPr>
        <w:t xml:space="preserve">Satellite services</w:t>
      </w:r>
      <w:r>
        <w:t xml:space="preserve"> start as worker deployments of the same codebase and split out only when their load profile demands it.</w:t>
      </w:r>
    </w:p>
    <w:p>
      <w:pPr>
        <w:pStyle w:val="Heading1"/>
        <w:pageBreakBefore/>
      </w:pPr>
      <w:bookmarkStart w:id="8022" w:name="_Toc900022"/>
      <w:r>
        <w:t xml:space="preserve">7. Data architecture</w:t>
      </w:r>
      <w:bookmarkEnd w:id="8022"/>
    </w:p>
    <w:p>
      <w:pPr>
        <w:pStyle w:val="Heading2"/>
      </w:pPr>
      <w:bookmarkStart w:id="8023" w:name="_Toc900023"/>
      <w:r>
        <w:t xml:space="preserve">7.1 Worker, employment and assignment</w:t>
      </w:r>
      <w:bookmarkEnd w:id="8023"/>
    </w:p>
    <w:p>
      <w:pPr>
        <w:keepNext/>
        <w:spacing w:after="60" w:before="120" w:line="240" w:lineRule="auto"/>
        <w:jc w:val="center"/>
      </w:pPr>
      <w:r>
        <w:drawing>
          <wp:inline distT="0" distB="0" distL="0" distR="0">
            <wp:extent cx="6096000" cy="3114675"/>
            <wp:effectExtent t="0" r="0" b="0" l="0"/>
            <wp:docPr id="1" name="p05-worker" descr="One worker for life in a tenant; one employment per legal entity; effective-dated assignment slices, including scheduled ones." title="One worker for life in a tenant; one employment per legal entity; effective-dated assignment slices, including scheduled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114675"/>
                    </a:xfrm>
                    <a:prstGeom prst="rect">
                      <a:avLst/>
                    </a:prstGeom>
                  </pic:spPr>
                </pic:pic>
              </a:graphicData>
            </a:graphic>
          </wp:inline>
        </w:drawing>
      </w:r>
    </w:p>
    <w:p>
      <w:pPr>
        <w:pStyle w:val="Caption"/>
        <w:jc w:val="left"/>
      </w:pPr>
      <w:r>
        <w:rPr>
          <w:b/>
          <w:bCs/>
        </w:rPr>
        <w:t xml:space="preserve">Figure 6. </w:t>
      </w:r>
      <w:r>
        <w:t xml:space="preserve">One worker for life in a tenant; one employment per legal entity; effective-dated assignment slices, including scheduled ones.</w:t>
      </w:r>
    </w:p>
    <w:p>
      <w:pPr>
        <w:pStyle w:val="ListParagraph"/>
        <w:numPr>
          <w:ilvl w:val="0"/>
          <w:numId w:val="2"/>
        </w:numPr>
        <w:spacing w:after="60"/>
      </w:pPr>
      <w:r>
        <w:rPr>
          <w:b/>
          <w:bCs/>
        </w:rPr>
        <w:t xml:space="preserve">Worker (`wrk_…`)</w:t>
      </w:r>
      <w:r>
        <w:t xml:space="preserve">: identity and personal data. One per human per tenant; never shared across tenants; stable across rehire and inter-company transfer.</w:t>
      </w:r>
    </w:p>
    <w:p>
      <w:pPr>
        <w:pStyle w:val="ListParagraph"/>
        <w:numPr>
          <w:ilvl w:val="0"/>
          <w:numId w:val="2"/>
        </w:numPr>
        <w:spacing w:after="60"/>
      </w:pPr>
      <w:r>
        <w:rPr>
          <w:b/>
          <w:bCs/>
        </w:rPr>
        <w:t xml:space="preserve">Employment (`emp_…`)</w:t>
      </w:r>
      <w:r>
        <w:t xml:space="preserve">: the work relationship with one legal entity. It holds the hire date, employee number, worker type, employment state (pre-hire, active, on notice, hold, separated) and service stage (probation, confirmed, contract). State and stage are separate fields, so "on notice during probation" can be represented.</w:t>
      </w:r>
    </w:p>
    <w:p>
      <w:pPr>
        <w:pStyle w:val="ListParagraph"/>
        <w:numPr>
          <w:ilvl w:val="0"/>
          <w:numId w:val="2"/>
        </w:numPr>
        <w:spacing w:after="60"/>
      </w:pPr>
      <w:r>
        <w:rPr>
          <w:b/>
          <w:bCs/>
        </w:rPr>
        <w:t xml:space="preserve">Assignment</w:t>
      </w:r>
      <w:r>
        <w:t xml:space="preserve">: effective-dated slices of org unit, location, job, grade, position, managers, cost centre, pay group and custom dimensions.</w:t>
      </w:r>
    </w:p>
    <w:p>
      <w:pPr>
        <w:pStyle w:val="ListParagraph"/>
        <w:numPr>
          <w:ilvl w:val="0"/>
          <w:numId w:val="2"/>
        </w:numPr>
        <w:spacing w:after="60"/>
      </w:pPr>
      <w:r>
        <w:rPr>
          <w:b/>
          <w:bCs/>
        </w:rPr>
        <w:t xml:space="preserve">An inter-company transfer ends one employment and starts a linked one.</w:t>
      </w:r>
      <w:r>
        <w:t xml:space="preserve"> This matches its legal meaning: a new employer, a new appointment letter and a PF transfer.</w:t>
      </w:r>
    </w:p>
    <w:p>
      <w:pPr>
        <w:pStyle w:val="Heading2"/>
      </w:pPr>
      <w:bookmarkStart w:id="8024" w:name="_Toc900024"/>
      <w:r>
        <w:t xml:space="preserve">7.2 Core data model</w:t>
      </w:r>
      <w:bookmarkEnd w:id="8024"/>
    </w:p>
    <w:p>
      <w:pPr>
        <w:keepNext/>
        <w:spacing w:after="60" w:before="120" w:line="240" w:lineRule="auto"/>
        <w:jc w:val="center"/>
      </w:pPr>
      <w:r>
        <w:drawing>
          <wp:inline distT="0" distB="0" distL="0" distR="0">
            <wp:extent cx="6096000" cy="5267325"/>
            <wp:effectExtent t="0" r="0" b="0" l="0"/>
            <wp:docPr id="1" name="p14-erd" descr="Core entities for Phases 0 and 1. Arrows run from parent to child." title="Core entities for Phases 0 and 1. Arrows run from parent to 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5267325"/>
                    </a:xfrm>
                    <a:prstGeom prst="rect">
                      <a:avLst/>
                    </a:prstGeom>
                  </pic:spPr>
                </pic:pic>
              </a:graphicData>
            </a:graphic>
          </wp:inline>
        </w:drawing>
      </w:r>
    </w:p>
    <w:p>
      <w:pPr>
        <w:pStyle w:val="Caption"/>
        <w:jc w:val="left"/>
      </w:pPr>
      <w:r>
        <w:rPr>
          <w:b/>
          <w:bCs/>
        </w:rPr>
        <w:t xml:space="preserve">Figure 7. </w:t>
      </w:r>
      <w:r>
        <w:t xml:space="preserve">Core entities for Phases 0 and 1. Arrows run from parent to child.</w:t>
      </w:r>
    </w:p>
    <w:p>
      <w:pPr>
        <w:keepNext/>
        <w:spacing w:after="80" w:before="120"/>
      </w:pPr>
      <w:r>
        <w:rPr>
          <w:b/>
          <w:bCs/>
          <w:color w:val="4F5E67"/>
          <w:sz w:val="18"/>
          <w:szCs w:val="18"/>
        </w:rPr>
        <w:t xml:space="preserve">Table 8. Table conventions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971"/>
        <w:gridCol w:w="7667"/>
      </w:tblGrid>
      <w:tr>
        <w:trPr>
          <w:cantSplit/>
          <w:tblHeader/>
        </w:trPr>
        <w:tc>
          <w:tcPr>
            <w:tcW w:type="dxa" w:w="197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Convention</w:t>
            </w:r>
          </w:p>
        </w:tc>
        <w:tc>
          <w:tcPr>
            <w:tcW w:type="dxa" w:w="766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Rule</w:t>
            </w:r>
          </w:p>
        </w:tc>
      </w:tr>
      <w:tr>
        <w:trPr>
          <w:cantSplit/>
          <w:tblHeader w:val="false"/>
        </w:trPr>
        <w:tc>
          <w:tcPr>
            <w:tcW w:type="dxa" w:w="1971"/>
            <w:tcMar>
              <w:top w:type="dxa" w:w="70"/>
              <w:left w:type="dxa" w:w="100"/>
              <w:bottom w:type="dxa" w:w="70"/>
              <w:right w:type="dxa" w:w="100"/>
            </w:tcMar>
            <w:vAlign w:val="top"/>
          </w:tcPr>
          <w:p>
            <w:pPr>
              <w:spacing w:after="0" w:line="252" w:lineRule="auto"/>
            </w:pPr>
            <w:r>
              <w:rPr>
                <w:b/>
                <w:bCs/>
                <w:color w:val="16222A"/>
                <w:sz w:val="18"/>
                <w:szCs w:val="18"/>
              </w:rPr>
              <w:t xml:space="preserve">Keys</w:t>
            </w:r>
          </w:p>
        </w:tc>
        <w:tc>
          <w:tcPr>
            <w:tcW w:type="dxa" w:w="766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(tenant_id, id)</w:t>
            </w:r>
            <w:r>
              <w:rPr>
                <w:sz w:val="18"/>
                <w:szCs w:val="18"/>
              </w:rPr>
              <w:t xml:space="preserve"> primary keys; UUIDv7 ids; foreign keys include tenant_id</w:t>
            </w:r>
          </w:p>
        </w:tc>
      </w:tr>
      <w:tr>
        <w:trPr>
          <w:cantSplit/>
          <w:tblHeader w:val="false"/>
        </w:trPr>
        <w:tc>
          <w:tcPr>
            <w:tcW w:type="dxa" w:w="1971"/>
            <w:tcMar>
              <w:top w:type="dxa" w:w="70"/>
              <w:left w:type="dxa" w:w="100"/>
              <w:bottom w:type="dxa" w:w="70"/>
              <w:right w:type="dxa" w:w="100"/>
            </w:tcMar>
            <w:vAlign w:val="top"/>
          </w:tcPr>
          <w:p>
            <w:pPr>
              <w:spacing w:after="0" w:line="252" w:lineRule="auto"/>
            </w:pPr>
            <w:r>
              <w:rPr>
                <w:b/>
                <w:bCs/>
                <w:color w:val="16222A"/>
                <w:sz w:val="18"/>
                <w:szCs w:val="18"/>
              </w:rPr>
              <w:t xml:space="preserve">Public IDs</w:t>
            </w:r>
          </w:p>
        </w:tc>
        <w:tc>
          <w:tcPr>
            <w:tcW w:type="dxa" w:w="7667"/>
            <w:tcMar>
              <w:top w:type="dxa" w:w="70"/>
              <w:left w:type="dxa" w:w="100"/>
              <w:bottom w:type="dxa" w:w="70"/>
              <w:right w:type="dxa" w:w="100"/>
            </w:tcMar>
            <w:vAlign w:val="top"/>
          </w:tcPr>
          <w:p>
            <w:pPr>
              <w:spacing w:after="0" w:line="252" w:lineRule="auto"/>
            </w:pPr>
            <w:r>
              <w:rPr>
                <w:sz w:val="18"/>
                <w:szCs w:val="18"/>
              </w:rPr>
              <w:t xml:space="preserve">Typed opaque prefixes in the API (</w:t>
            </w:r>
            <w:r>
              <w:rPr>
                <w:rFonts w:ascii="Consolas" w:cs="Consolas" w:eastAsia="Consolas" w:hAnsi="Consolas"/>
                <w:color w:val="0B4F4F"/>
                <w:sz w:val="17"/>
                <w:szCs w:val="17"/>
              </w:rPr>
              <w:t xml:space="preserve">wrk_</w:t>
            </w:r>
            <w:r>
              <w:rPr>
                <w:sz w:val="18"/>
                <w:szCs w:val="18"/>
              </w:rPr>
              <w:t xml:space="preserve">, </w:t>
            </w:r>
            <w:r>
              <w:rPr>
                <w:rFonts w:ascii="Consolas" w:cs="Consolas" w:eastAsia="Consolas" w:hAnsi="Consolas"/>
                <w:color w:val="0B4F4F"/>
                <w:sz w:val="17"/>
                <w:szCs w:val="17"/>
              </w:rPr>
              <w:t xml:space="preserve">emp_</w:t>
            </w:r>
            <w:r>
              <w:rPr>
                <w:sz w:val="18"/>
                <w:szCs w:val="18"/>
              </w:rPr>
              <w:t xml:space="preserve">, </w:t>
            </w:r>
            <w:r>
              <w:rPr>
                <w:rFonts w:ascii="Consolas" w:cs="Consolas" w:eastAsia="Consolas" w:hAnsi="Consolas"/>
                <w:color w:val="0B4F4F"/>
                <w:sz w:val="17"/>
                <w:szCs w:val="17"/>
              </w:rPr>
              <w:t xml:space="preserve">pa_</w:t>
            </w:r>
            <w:r>
              <w:rPr>
                <w:sz w:val="18"/>
                <w:szCs w:val="18"/>
              </w:rPr>
              <w:t xml:space="preserve">, </w:t>
            </w:r>
            <w:r>
              <w:rPr>
                <w:rFonts w:ascii="Consolas" w:cs="Consolas" w:eastAsia="Consolas" w:hAnsi="Consolas"/>
                <w:color w:val="0B4F4F"/>
                <w:sz w:val="17"/>
                <w:szCs w:val="17"/>
              </w:rPr>
              <w:t xml:space="preserve">loc_</w:t>
            </w:r>
            <w:r>
              <w:rPr>
                <w:sz w:val="18"/>
                <w:szCs w:val="18"/>
              </w:rPr>
              <w:t xml:space="preserve">); internal keys never exposed</w:t>
            </w:r>
          </w:p>
        </w:tc>
      </w:tr>
      <w:tr>
        <w:trPr>
          <w:cantSplit/>
          <w:tblHeader w:val="false"/>
        </w:trPr>
        <w:tc>
          <w:tcPr>
            <w:tcW w:type="dxa" w:w="1971"/>
            <w:tcMar>
              <w:top w:type="dxa" w:w="70"/>
              <w:left w:type="dxa" w:w="100"/>
              <w:bottom w:type="dxa" w:w="70"/>
              <w:right w:type="dxa" w:w="100"/>
            </w:tcMar>
            <w:vAlign w:val="top"/>
          </w:tcPr>
          <w:p>
            <w:pPr>
              <w:spacing w:after="0" w:line="252" w:lineRule="auto"/>
            </w:pPr>
            <w:r>
              <w:rPr>
                <w:b/>
                <w:bCs/>
                <w:color w:val="16222A"/>
                <w:sz w:val="18"/>
                <w:szCs w:val="18"/>
              </w:rPr>
              <w:t xml:space="preserve">Effective dating</w:t>
            </w:r>
          </w:p>
        </w:tc>
        <w:tc>
          <w:tcPr>
            <w:tcW w:type="dxa" w:w="766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effective_from</w:t>
            </w:r>
            <w:r>
              <w:rPr>
                <w:sz w:val="18"/>
                <w:szCs w:val="18"/>
              </w:rPr>
              <w:t xml:space="preserve"> inclusive, </w:t>
            </w:r>
            <w:r>
              <w:rPr>
                <w:rFonts w:ascii="Consolas" w:cs="Consolas" w:eastAsia="Consolas" w:hAnsi="Consolas"/>
                <w:color w:val="0B4F4F"/>
                <w:sz w:val="17"/>
                <w:szCs w:val="17"/>
              </w:rPr>
              <w:t xml:space="preserve">effective_to</w:t>
            </w:r>
            <w:r>
              <w:rPr>
                <w:sz w:val="18"/>
                <w:szCs w:val="18"/>
              </w:rPr>
              <w:t xml:space="preserve"> exclusive (null = open); gist exclusion constraint per owner</w:t>
            </w:r>
          </w:p>
        </w:tc>
      </w:tr>
      <w:tr>
        <w:trPr>
          <w:cantSplit/>
          <w:tblHeader w:val="false"/>
        </w:trPr>
        <w:tc>
          <w:tcPr>
            <w:tcW w:type="dxa" w:w="1971"/>
            <w:tcMar>
              <w:top w:type="dxa" w:w="70"/>
              <w:left w:type="dxa" w:w="100"/>
              <w:bottom w:type="dxa" w:w="70"/>
              <w:right w:type="dxa" w:w="100"/>
            </w:tcMar>
            <w:vAlign w:val="top"/>
          </w:tcPr>
          <w:p>
            <w:pPr>
              <w:spacing w:after="0" w:line="252" w:lineRule="auto"/>
            </w:pPr>
            <w:r>
              <w:rPr>
                <w:b/>
                <w:bCs/>
                <w:color w:val="16222A"/>
                <w:sz w:val="18"/>
                <w:szCs w:val="18"/>
              </w:rPr>
              <w:t xml:space="preserve">Concurrency</w:t>
            </w:r>
          </w:p>
        </w:tc>
        <w:tc>
          <w:tcPr>
            <w:tcW w:type="dxa" w:w="766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version</w:t>
            </w:r>
            <w:r>
              <w:rPr>
                <w:sz w:val="18"/>
                <w:szCs w:val="18"/>
              </w:rPr>
              <w:t xml:space="preserve"> column for optimistic locking, exposed as the API ETag</w:t>
            </w:r>
          </w:p>
        </w:tc>
      </w:tr>
      <w:tr>
        <w:trPr>
          <w:cantSplit/>
          <w:tblHeader w:val="false"/>
        </w:trPr>
        <w:tc>
          <w:tcPr>
            <w:tcW w:type="dxa" w:w="1971"/>
            <w:tcMar>
              <w:top w:type="dxa" w:w="70"/>
              <w:left w:type="dxa" w:w="100"/>
              <w:bottom w:type="dxa" w:w="70"/>
              <w:right w:type="dxa" w:w="100"/>
            </w:tcMar>
            <w:vAlign w:val="top"/>
          </w:tcPr>
          <w:p>
            <w:pPr>
              <w:spacing w:after="0" w:line="252" w:lineRule="auto"/>
            </w:pPr>
            <w:r>
              <w:rPr>
                <w:b/>
                <w:bCs/>
                <w:color w:val="16222A"/>
                <w:sz w:val="18"/>
                <w:szCs w:val="18"/>
              </w:rPr>
              <w:t xml:space="preserve">Classification</w:t>
            </w:r>
          </w:p>
        </w:tc>
        <w:tc>
          <w:tcPr>
            <w:tcW w:type="dxa" w:w="7667"/>
            <w:tcMar>
              <w:top w:type="dxa" w:w="70"/>
              <w:left w:type="dxa" w:w="100"/>
              <w:bottom w:type="dxa" w:w="70"/>
              <w:right w:type="dxa" w:w="100"/>
            </w:tcMar>
            <w:vAlign w:val="top"/>
          </w:tcPr>
          <w:p>
            <w:pPr>
              <w:spacing w:after="0" w:line="252" w:lineRule="auto"/>
            </w:pPr>
            <w:r>
              <w:rPr>
                <w:sz w:val="18"/>
                <w:szCs w:val="18"/>
              </w:rPr>
              <w:t xml:space="preserve">Every column has a data class (Directory, Personal, Financial, Identity, Case) in module metadata</w:t>
            </w:r>
          </w:p>
        </w:tc>
      </w:tr>
      <w:tr>
        <w:trPr>
          <w:cantSplit/>
          <w:tblHeader w:val="false"/>
        </w:trPr>
        <w:tc>
          <w:tcPr>
            <w:tcW w:type="dxa" w:w="1971"/>
            <w:tcMar>
              <w:top w:type="dxa" w:w="70"/>
              <w:left w:type="dxa" w:w="100"/>
              <w:bottom w:type="dxa" w:w="70"/>
              <w:right w:type="dxa" w:w="100"/>
            </w:tcMar>
            <w:vAlign w:val="top"/>
          </w:tcPr>
          <w:p>
            <w:pPr>
              <w:spacing w:after="0" w:line="252" w:lineRule="auto"/>
            </w:pPr>
            <w:r>
              <w:rPr>
                <w:b/>
                <w:bCs/>
                <w:color w:val="16222A"/>
                <w:sz w:val="18"/>
                <w:szCs w:val="18"/>
              </w:rPr>
              <w:t xml:space="preserve">Deletion</w:t>
            </w:r>
          </w:p>
        </w:tc>
        <w:tc>
          <w:tcPr>
            <w:tcW w:type="dxa" w:w="766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archived_at</w:t>
            </w:r>
            <w:r>
              <w:rPr>
                <w:sz w:val="18"/>
                <w:szCs w:val="18"/>
              </w:rPr>
              <w:t xml:space="preserve"> for business records; physical purge only by the retention engine or a verified erasure</w:t>
            </w:r>
          </w:p>
        </w:tc>
      </w:tr>
      <w:tr>
        <w:trPr>
          <w:cantSplit/>
          <w:tblHeader w:val="false"/>
        </w:trPr>
        <w:tc>
          <w:tcPr>
            <w:tcW w:type="dxa" w:w="1971"/>
            <w:tcMar>
              <w:top w:type="dxa" w:w="70"/>
              <w:left w:type="dxa" w:w="100"/>
              <w:bottom w:type="dxa" w:w="70"/>
              <w:right w:type="dxa" w:w="100"/>
            </w:tcMar>
            <w:vAlign w:val="top"/>
          </w:tcPr>
          <w:p>
            <w:pPr>
              <w:spacing w:after="0" w:line="252" w:lineRule="auto"/>
            </w:pPr>
            <w:r>
              <w:rPr>
                <w:b/>
                <w:bCs/>
                <w:color w:val="16222A"/>
                <w:sz w:val="18"/>
                <w:szCs w:val="18"/>
              </w:rPr>
              <w:t xml:space="preserve">Custom fields</w:t>
            </w:r>
          </w:p>
        </w:tc>
        <w:tc>
          <w:tcPr>
            <w:tcW w:type="dxa" w:w="766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custom_fields jsonb</w:t>
            </w:r>
            <w:r>
              <w:rPr>
                <w:sz w:val="18"/>
                <w:szCs w:val="18"/>
              </w:rPr>
              <w:t xml:space="preserve"> with a metadata registry and GIN index; flattened into a typed side table for analytics</w:t>
            </w:r>
          </w:p>
        </w:tc>
      </w:tr>
      <w:tr>
        <w:trPr>
          <w:cantSplit/>
          <w:tblHeader w:val="false"/>
        </w:trPr>
        <w:tc>
          <w:tcPr>
            <w:tcW w:type="dxa" w:w="1971"/>
            <w:tcMar>
              <w:top w:type="dxa" w:w="70"/>
              <w:left w:type="dxa" w:w="100"/>
              <w:bottom w:type="dxa" w:w="70"/>
              <w:right w:type="dxa" w:w="100"/>
            </w:tcMar>
            <w:vAlign w:val="top"/>
          </w:tcPr>
          <w:p>
            <w:pPr>
              <w:spacing w:after="0" w:line="252" w:lineRule="auto"/>
            </w:pPr>
            <w:r>
              <w:rPr>
                <w:b/>
                <w:bCs/>
                <w:color w:val="16222A"/>
                <w:sz w:val="18"/>
                <w:szCs w:val="18"/>
              </w:rPr>
              <w:t xml:space="preserve">Partitioning</w:t>
            </w:r>
          </w:p>
        </w:tc>
        <w:tc>
          <w:tcPr>
            <w:tcW w:type="dxa" w:w="7667"/>
            <w:tcMar>
              <w:top w:type="dxa" w:w="70"/>
              <w:left w:type="dxa" w:w="100"/>
              <w:bottom w:type="dxa" w:w="70"/>
              <w:right w:type="dxa" w:w="100"/>
            </w:tcMar>
            <w:vAlign w:val="top"/>
          </w:tcPr>
          <w:p>
            <w:pPr>
              <w:spacing w:after="0" w:line="252" w:lineRule="auto"/>
            </w:pPr>
            <w:r>
              <w:rPr>
                <w:sz w:val="18"/>
                <w:szCs w:val="18"/>
              </w:rPr>
              <w:t xml:space="preserve">Monthly partitions for punches, attendance days, audit, notifications and outbox</w:t>
            </w:r>
          </w:p>
        </w:tc>
      </w:tr>
    </w:tbl>
    <w:p>
      <w:pPr>
        <w:spacing w:after="160"/>
      </w:pPr>
    </w:p>
    <w:p>
      <w:pPr>
        <w:pStyle w:val="Heading2"/>
      </w:pPr>
      <w:bookmarkStart w:id="8025" w:name="_Toc900025"/>
      <w:r>
        <w:t xml:space="preserve">7.3 Effective dating and history</w:t>
      </w:r>
      <w:bookmarkEnd w:id="8025"/>
    </w:p>
    <w:p>
      <w:pPr>
        <w:pStyle w:val="ListParagraph"/>
        <w:numPr>
          <w:ilvl w:val="0"/>
          <w:numId w:val="2"/>
        </w:numPr>
        <w:spacing w:after="60"/>
      </w:pPr>
      <w:r>
        <w:rPr>
          <w:b/>
          <w:bCs/>
        </w:rPr>
        <w:t xml:space="preserve">Valid time</w:t>
      </w:r>
      <w:r>
        <w:t xml:space="preserve"> (</w:t>
      </w:r>
      <w:r>
        <w:rPr>
          <w:rFonts w:ascii="Consolas" w:cs="Consolas" w:eastAsia="Consolas" w:hAnsi="Consolas"/>
          <w:color w:val="0B4F4F"/>
          <w:sz w:val="18"/>
          <w:szCs w:val="18"/>
        </w:rPr>
        <w:t xml:space="preserve">effective_from</w:t>
      </w:r>
      <w:r>
        <w:t xml:space="preserve">, </w:t>
      </w:r>
      <w:r>
        <w:rPr>
          <w:rFonts w:ascii="Consolas" w:cs="Consolas" w:eastAsia="Consolas" w:hAnsi="Consolas"/>
          <w:color w:val="0B4F4F"/>
          <w:sz w:val="18"/>
          <w:szCs w:val="18"/>
        </w:rPr>
        <w:t xml:space="preserve">effective_to</w:t>
      </w:r>
      <w:r>
        <w:t xml:space="preserve">) on employment, assignment, compensation, statutory profile, org structure and configuration. Overlaps are blocked with </w:t>
      </w:r>
      <w:r>
        <w:rPr>
          <w:rFonts w:ascii="Consolas" w:cs="Consolas" w:eastAsia="Consolas" w:hAnsi="Consolas"/>
          <w:color w:val="0B4F4F"/>
          <w:sz w:val="18"/>
          <w:szCs w:val="18"/>
        </w:rPr>
        <w:t xml:space="preserve">EXCLUDE USING gist (tenant_id WITH =, owner_id WITH =, daterange(effective_from, effective_to, '[)') WITH &amp;&amp;)</w:t>
      </w:r>
      <w:r>
        <w:t xml:space="preserve">. This works on current PostgreSQL; the newer </w:t>
      </w:r>
      <w:r>
        <w:rPr>
          <w:rFonts w:ascii="Consolas" w:cs="Consolas" w:eastAsia="Consolas" w:hAnsi="Consolas"/>
          <w:color w:val="0B4F4F"/>
          <w:sz w:val="18"/>
          <w:szCs w:val="18"/>
        </w:rPr>
        <w:t xml:space="preserve">WITHOUT OVERLAPS</w:t>
      </w:r>
      <w:r>
        <w:t xml:space="preserve"> syntax is not required.</w:t>
      </w:r>
    </w:p>
    <w:p>
      <w:pPr>
        <w:pStyle w:val="ListParagraph"/>
        <w:numPr>
          <w:ilvl w:val="0"/>
          <w:numId w:val="2"/>
        </w:numPr>
        <w:spacing w:after="60"/>
      </w:pPr>
      <w:r>
        <w:rPr>
          <w:b/>
          <w:bCs/>
        </w:rPr>
        <w:t xml:space="preserve">Transaction time</w:t>
      </w:r>
      <w:r>
        <w:t xml:space="preserve"> for assignment and compensation only: the application writes history rows in the same transaction (no trigger magic, no extension dependency). Everything else relies on the audit log.</w:t>
      </w:r>
    </w:p>
    <w:p>
      <w:pPr>
        <w:pStyle w:val="ListParagraph"/>
        <w:numPr>
          <w:ilvl w:val="0"/>
          <w:numId w:val="2"/>
        </w:numPr>
        <w:spacing w:after="60"/>
      </w:pPr>
      <w:r>
        <w:t xml:space="preserve">One </w:t>
      </w:r>
      <w:r>
        <w:rPr>
          <w:b/>
          <w:bCs/>
        </w:rPr>
        <w:t xml:space="preserve">temporal library</w:t>
      </w:r>
      <w:r>
        <w:t xml:space="preserve"> in the kernel owns as-of reads, slice splitting and corrections versus changes. Property-based tests (jqwik) cover backdated, future-dated and overlapping edits.</w:t>
      </w:r>
    </w:p>
    <w:p>
      <w:pPr>
        <w:pStyle w:val="ListParagraph"/>
        <w:numPr>
          <w:ilvl w:val="0"/>
          <w:numId w:val="2"/>
        </w:numPr>
        <w:spacing w:after="60"/>
      </w:pPr>
      <w:r>
        <w:t xml:space="preserve">A </w:t>
      </w:r>
      <w:r>
        <w:rPr>
          <w:b/>
          <w:bCs/>
        </w:rPr>
        <w:t xml:space="preserve">daily headcount snapshot</w:t>
      </w:r>
      <w:r>
        <w:t xml:space="preserve"> per tenant serves trend reports cheaply.</w:t>
      </w:r>
    </w:p>
    <w:p>
      <w:pPr>
        <w:pStyle w:val="Heading2"/>
      </w:pPr>
      <w:bookmarkStart w:id="8026" w:name="_Toc900026"/>
      <w:r>
        <w:t xml:space="preserve">7.4 Sensitive data</w:t>
      </w:r>
      <w:bookmarkEnd w:id="8026"/>
    </w:p>
    <w:p>
      <w:pPr>
        <w:keepNext/>
        <w:spacing w:after="80" w:before="120"/>
      </w:pPr>
      <w:r>
        <w:rPr>
          <w:b/>
          <w:bCs/>
          <w:color w:val="4F5E67"/>
          <w:sz w:val="18"/>
          <w:szCs w:val="18"/>
        </w:rPr>
        <w:t xml:space="preserve">Table 9. Data classes</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840"/>
        <w:gridCol w:w="3248"/>
        <w:gridCol w:w="4550"/>
      </w:tblGrid>
      <w:tr>
        <w:trPr>
          <w:cantSplit/>
          <w:tblHeader/>
        </w:trPr>
        <w:tc>
          <w:tcPr>
            <w:tcW w:type="dxa" w:w="184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Class</w:t>
            </w:r>
          </w:p>
        </w:tc>
        <w:tc>
          <w:tcPr>
            <w:tcW w:type="dxa" w:w="324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Examples</w:t>
            </w:r>
          </w:p>
        </w:tc>
        <w:tc>
          <w:tcPr>
            <w:tcW w:type="dxa" w:w="455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Storage and protection</w:t>
            </w:r>
          </w:p>
        </w:tc>
      </w:tr>
      <w:tr>
        <w:trPr>
          <w:cantSplit/>
          <w:tblHeader w:val="false"/>
        </w:trPr>
        <w:tc>
          <w:tcPr>
            <w:tcW w:type="dxa" w:w="1840"/>
            <w:tcMar>
              <w:top w:type="dxa" w:w="70"/>
              <w:left w:type="dxa" w:w="100"/>
              <w:bottom w:type="dxa" w:w="70"/>
              <w:right w:type="dxa" w:w="100"/>
            </w:tcMar>
            <w:vAlign w:val="top"/>
          </w:tcPr>
          <w:p>
            <w:pPr>
              <w:spacing w:after="0" w:line="252" w:lineRule="auto"/>
            </w:pPr>
            <w:r>
              <w:rPr>
                <w:b/>
                <w:bCs/>
                <w:color w:val="16222A"/>
                <w:sz w:val="18"/>
                <w:szCs w:val="18"/>
              </w:rPr>
              <w:t xml:space="preserve">Directory</w:t>
            </w:r>
          </w:p>
        </w:tc>
        <w:tc>
          <w:tcPr>
            <w:tcW w:type="dxa" w:w="3248"/>
            <w:tcMar>
              <w:top w:type="dxa" w:w="70"/>
              <w:left w:type="dxa" w:w="100"/>
              <w:bottom w:type="dxa" w:w="70"/>
              <w:right w:type="dxa" w:w="100"/>
            </w:tcMar>
            <w:vAlign w:val="top"/>
          </w:tcPr>
          <w:p>
            <w:pPr>
              <w:spacing w:after="0" w:line="252" w:lineRule="auto"/>
            </w:pPr>
            <w:r>
              <w:rPr>
                <w:sz w:val="18"/>
                <w:szCs w:val="18"/>
              </w:rPr>
              <w:t xml:space="preserve">Name, photo, designation, department, official email, location</w:t>
            </w:r>
          </w:p>
        </w:tc>
        <w:tc>
          <w:tcPr>
            <w:tcW w:type="dxa" w:w="4550"/>
            <w:tcMar>
              <w:top w:type="dxa" w:w="70"/>
              <w:left w:type="dxa" w:w="100"/>
              <w:bottom w:type="dxa" w:w="70"/>
              <w:right w:type="dxa" w:w="100"/>
            </w:tcMar>
            <w:vAlign w:val="top"/>
          </w:tcPr>
          <w:p>
            <w:pPr>
              <w:spacing w:after="0" w:line="252" w:lineRule="auto"/>
            </w:pPr>
            <w:r>
              <w:rPr>
                <w:sz w:val="18"/>
                <w:szCs w:val="18"/>
              </w:rPr>
              <w:t xml:space="preserve">Standard; visible across the tenant (tenant can narrow)</w:t>
            </w:r>
          </w:p>
        </w:tc>
      </w:tr>
      <w:tr>
        <w:trPr>
          <w:cantSplit/>
          <w:tblHeader w:val="false"/>
        </w:trPr>
        <w:tc>
          <w:tcPr>
            <w:tcW w:type="dxa" w:w="1840"/>
            <w:tcMar>
              <w:top w:type="dxa" w:w="70"/>
              <w:left w:type="dxa" w:w="100"/>
              <w:bottom w:type="dxa" w:w="70"/>
              <w:right w:type="dxa" w:w="100"/>
            </w:tcMar>
            <w:vAlign w:val="top"/>
          </w:tcPr>
          <w:p>
            <w:pPr>
              <w:spacing w:after="0" w:line="252" w:lineRule="auto"/>
            </w:pPr>
            <w:r>
              <w:rPr>
                <w:b/>
                <w:bCs/>
                <w:color w:val="16222A"/>
                <w:sz w:val="18"/>
                <w:szCs w:val="18"/>
              </w:rPr>
              <w:t xml:space="preserve">Personal</w:t>
            </w:r>
          </w:p>
        </w:tc>
        <w:tc>
          <w:tcPr>
            <w:tcW w:type="dxa" w:w="3248"/>
            <w:tcMar>
              <w:top w:type="dxa" w:w="70"/>
              <w:left w:type="dxa" w:w="100"/>
              <w:bottom w:type="dxa" w:w="70"/>
              <w:right w:type="dxa" w:w="100"/>
            </w:tcMar>
            <w:vAlign w:val="top"/>
          </w:tcPr>
          <w:p>
            <w:pPr>
              <w:spacing w:after="0" w:line="252" w:lineRule="auto"/>
            </w:pPr>
            <w:r>
              <w:rPr>
                <w:sz w:val="18"/>
                <w:szCs w:val="18"/>
              </w:rPr>
              <w:t xml:space="preserve">Personal contacts, address, date of birth, family, emergency contact</w:t>
            </w:r>
          </w:p>
        </w:tc>
        <w:tc>
          <w:tcPr>
            <w:tcW w:type="dxa" w:w="4550"/>
            <w:tcMar>
              <w:top w:type="dxa" w:w="70"/>
              <w:left w:type="dxa" w:w="100"/>
              <w:bottom w:type="dxa" w:w="70"/>
              <w:right w:type="dxa" w:w="100"/>
            </w:tcMar>
            <w:vAlign w:val="top"/>
          </w:tcPr>
          <w:p>
            <w:pPr>
              <w:spacing w:after="0" w:line="252" w:lineRule="auto"/>
            </w:pPr>
            <w:r>
              <w:rPr>
                <w:sz w:val="18"/>
                <w:szCs w:val="18"/>
              </w:rPr>
              <w:t xml:space="preserve">Standard; changes audited; managers see a limited set</w:t>
            </w:r>
          </w:p>
        </w:tc>
      </w:tr>
      <w:tr>
        <w:trPr>
          <w:cantSplit/>
          <w:tblHeader w:val="false"/>
        </w:trPr>
        <w:tc>
          <w:tcPr>
            <w:tcW w:type="dxa" w:w="1840"/>
            <w:tcMar>
              <w:top w:type="dxa" w:w="70"/>
              <w:left w:type="dxa" w:w="100"/>
              <w:bottom w:type="dxa" w:w="70"/>
              <w:right w:type="dxa" w:w="100"/>
            </w:tcMar>
            <w:vAlign w:val="top"/>
          </w:tcPr>
          <w:p>
            <w:pPr>
              <w:spacing w:after="0" w:line="252" w:lineRule="auto"/>
            </w:pPr>
            <w:r>
              <w:rPr>
                <w:b/>
                <w:bCs/>
                <w:color w:val="16222A"/>
                <w:sz w:val="18"/>
                <w:szCs w:val="18"/>
              </w:rPr>
              <w:t xml:space="preserve">Identity</w:t>
            </w:r>
          </w:p>
        </w:tc>
        <w:tc>
          <w:tcPr>
            <w:tcW w:type="dxa" w:w="3248"/>
            <w:tcMar>
              <w:top w:type="dxa" w:w="70"/>
              <w:left w:type="dxa" w:w="100"/>
              <w:bottom w:type="dxa" w:w="70"/>
              <w:right w:type="dxa" w:w="100"/>
            </w:tcMar>
            <w:vAlign w:val="top"/>
          </w:tcPr>
          <w:p>
            <w:pPr>
              <w:spacing w:after="0" w:line="252" w:lineRule="auto"/>
            </w:pPr>
            <w:r>
              <w:rPr>
                <w:sz w:val="18"/>
                <w:szCs w:val="18"/>
              </w:rPr>
              <w:t xml:space="preserve">PAN, UAN, ESIC IP, passport; Aadhaar masked only</w:t>
            </w:r>
          </w:p>
        </w:tc>
        <w:tc>
          <w:tcPr>
            <w:tcW w:type="dxa" w:w="4550"/>
            <w:tcMar>
              <w:top w:type="dxa" w:w="70"/>
              <w:left w:type="dxa" w:w="100"/>
              <w:bottom w:type="dxa" w:w="70"/>
              <w:right w:type="dxa" w:w="100"/>
            </w:tcMar>
            <w:vAlign w:val="top"/>
          </w:tcPr>
          <w:p>
            <w:pPr>
              <w:spacing w:after="0" w:line="252" w:lineRule="auto"/>
            </w:pPr>
            <w:r>
              <w:rPr>
                <w:b/>
                <w:bCs/>
                <w:sz w:val="18"/>
                <w:szCs w:val="18"/>
              </w:rPr>
              <w:t xml:space="preserve">Field-level envelope encryption</w:t>
            </w:r>
            <w:r>
              <w:rPr>
                <w:sz w:val="18"/>
                <w:szCs w:val="18"/>
              </w:rPr>
              <w:t xml:space="preserve"> with the tenant data key; blind index (HMAC) for exact-match duplicate checks; masked display</w:t>
            </w:r>
          </w:p>
        </w:tc>
      </w:tr>
      <w:tr>
        <w:trPr>
          <w:cantSplit/>
          <w:tblHeader w:val="false"/>
        </w:trPr>
        <w:tc>
          <w:tcPr>
            <w:tcW w:type="dxa" w:w="1840"/>
            <w:tcMar>
              <w:top w:type="dxa" w:w="70"/>
              <w:left w:type="dxa" w:w="100"/>
              <w:bottom w:type="dxa" w:w="70"/>
              <w:right w:type="dxa" w:w="100"/>
            </w:tcMar>
            <w:vAlign w:val="top"/>
          </w:tcPr>
          <w:p>
            <w:pPr>
              <w:spacing w:after="0" w:line="252" w:lineRule="auto"/>
            </w:pPr>
            <w:r>
              <w:rPr>
                <w:b/>
                <w:bCs/>
                <w:color w:val="16222A"/>
                <w:sz w:val="18"/>
                <w:szCs w:val="18"/>
              </w:rPr>
              <w:t xml:space="preserve">Financial: bank</w:t>
            </w:r>
          </w:p>
        </w:tc>
        <w:tc>
          <w:tcPr>
            <w:tcW w:type="dxa" w:w="3248"/>
            <w:tcMar>
              <w:top w:type="dxa" w:w="70"/>
              <w:left w:type="dxa" w:w="100"/>
              <w:bottom w:type="dxa" w:w="70"/>
              <w:right w:type="dxa" w:w="100"/>
            </w:tcMar>
            <w:vAlign w:val="top"/>
          </w:tcPr>
          <w:p>
            <w:pPr>
              <w:spacing w:after="0" w:line="252" w:lineRule="auto"/>
            </w:pPr>
            <w:r>
              <w:rPr>
                <w:sz w:val="18"/>
                <w:szCs w:val="18"/>
              </w:rPr>
              <w:t xml:space="preserve">Bank account number</w:t>
            </w:r>
          </w:p>
        </w:tc>
        <w:tc>
          <w:tcPr>
            <w:tcW w:type="dxa" w:w="4550"/>
            <w:tcMar>
              <w:top w:type="dxa" w:w="70"/>
              <w:left w:type="dxa" w:w="100"/>
              <w:bottom w:type="dxa" w:w="70"/>
              <w:right w:type="dxa" w:w="100"/>
            </w:tcMar>
            <w:vAlign w:val="top"/>
          </w:tcPr>
          <w:p>
            <w:pPr>
              <w:spacing w:after="0" w:line="252" w:lineRule="auto"/>
            </w:pPr>
            <w:r>
              <w:rPr>
                <w:b/>
                <w:bCs/>
                <w:sz w:val="18"/>
                <w:szCs w:val="18"/>
              </w:rPr>
              <w:t xml:space="preserve">Field-level encryption</w:t>
            </w:r>
            <w:r>
              <w:rPr>
                <w:sz w:val="18"/>
                <w:szCs w:val="18"/>
              </w:rPr>
              <w:t xml:space="preserve">; masked; reveal logged; step-up MFA</w:t>
            </w:r>
          </w:p>
        </w:tc>
      </w:tr>
      <w:tr>
        <w:trPr>
          <w:cantSplit/>
          <w:tblHeader w:val="false"/>
        </w:trPr>
        <w:tc>
          <w:tcPr>
            <w:tcW w:type="dxa" w:w="1840"/>
            <w:tcMar>
              <w:top w:type="dxa" w:w="70"/>
              <w:left w:type="dxa" w:w="100"/>
              <w:bottom w:type="dxa" w:w="70"/>
              <w:right w:type="dxa" w:w="100"/>
            </w:tcMar>
            <w:vAlign w:val="top"/>
          </w:tcPr>
          <w:p>
            <w:pPr>
              <w:spacing w:after="0" w:line="252" w:lineRule="auto"/>
            </w:pPr>
            <w:r>
              <w:rPr>
                <w:b/>
                <w:bCs/>
                <w:color w:val="16222A"/>
                <w:sz w:val="18"/>
                <w:szCs w:val="18"/>
              </w:rPr>
              <w:t xml:space="preserve">Financial: compensation</w:t>
            </w:r>
          </w:p>
        </w:tc>
        <w:tc>
          <w:tcPr>
            <w:tcW w:type="dxa" w:w="3248"/>
            <w:tcMar>
              <w:top w:type="dxa" w:w="70"/>
              <w:left w:type="dxa" w:w="100"/>
              <w:bottom w:type="dxa" w:w="70"/>
              <w:right w:type="dxa" w:w="100"/>
            </w:tcMar>
            <w:vAlign w:val="top"/>
          </w:tcPr>
          <w:p>
            <w:pPr>
              <w:spacing w:after="0" w:line="252" w:lineRule="auto"/>
            </w:pPr>
            <w:r>
              <w:rPr>
                <w:sz w:val="18"/>
                <w:szCs w:val="18"/>
              </w:rPr>
              <w:t xml:space="preserve">Salary structure, CTC, revisions</w:t>
            </w:r>
          </w:p>
        </w:tc>
        <w:tc>
          <w:tcPr>
            <w:tcW w:type="dxa" w:w="4550"/>
            <w:tcMar>
              <w:top w:type="dxa" w:w="70"/>
              <w:left w:type="dxa" w:w="100"/>
              <w:bottom w:type="dxa" w:w="70"/>
              <w:right w:type="dxa" w:w="100"/>
            </w:tcMar>
            <w:vAlign w:val="top"/>
          </w:tcPr>
          <w:p>
            <w:pPr>
              <w:spacing w:after="0" w:line="252" w:lineRule="auto"/>
            </w:pPr>
            <w:r>
              <w:rPr>
                <w:b/>
                <w:bCs/>
                <w:sz w:val="18"/>
                <w:szCs w:val="18"/>
              </w:rPr>
              <w:t xml:space="preserve">Not field-encrypted</w:t>
            </w:r>
            <w:r>
              <w:rPr>
                <w:sz w:val="18"/>
                <w:szCs w:val="18"/>
              </w:rPr>
              <w:t xml:space="preserve">, so it can be aggregated in SQL. Kept in a restricted schema that only the Compensation module's database role can read; every read goes to the sensitive-read log</w:t>
            </w:r>
          </w:p>
        </w:tc>
      </w:tr>
      <w:tr>
        <w:trPr>
          <w:cantSplit/>
          <w:tblHeader w:val="false"/>
        </w:trPr>
        <w:tc>
          <w:tcPr>
            <w:tcW w:type="dxa" w:w="1840"/>
            <w:tcMar>
              <w:top w:type="dxa" w:w="70"/>
              <w:left w:type="dxa" w:w="100"/>
              <w:bottom w:type="dxa" w:w="70"/>
              <w:right w:type="dxa" w:w="100"/>
            </w:tcMar>
            <w:vAlign w:val="top"/>
          </w:tcPr>
          <w:p>
            <w:pPr>
              <w:spacing w:after="0" w:line="252" w:lineRule="auto"/>
            </w:pPr>
            <w:r>
              <w:rPr>
                <w:b/>
                <w:bCs/>
                <w:color w:val="16222A"/>
                <w:sz w:val="18"/>
                <w:szCs w:val="18"/>
              </w:rPr>
              <w:t xml:space="preserve">Case</w:t>
            </w:r>
          </w:p>
        </w:tc>
        <w:tc>
          <w:tcPr>
            <w:tcW w:type="dxa" w:w="3248"/>
            <w:tcMar>
              <w:top w:type="dxa" w:w="70"/>
              <w:left w:type="dxa" w:w="100"/>
              <w:bottom w:type="dxa" w:w="70"/>
              <w:right w:type="dxa" w:w="100"/>
            </w:tcMar>
            <w:vAlign w:val="top"/>
          </w:tcPr>
          <w:p>
            <w:pPr>
              <w:spacing w:after="0" w:line="252" w:lineRule="auto"/>
            </w:pPr>
            <w:r>
              <w:rPr>
                <w:sz w:val="18"/>
                <w:szCs w:val="18"/>
              </w:rPr>
              <w:t xml:space="preserve">Exit-interview notes, grievance, POSH, disciplinary, medical</w:t>
            </w:r>
          </w:p>
        </w:tc>
        <w:tc>
          <w:tcPr>
            <w:tcW w:type="dxa" w:w="4550"/>
            <w:tcMar>
              <w:top w:type="dxa" w:w="70"/>
              <w:left w:type="dxa" w:w="100"/>
              <w:bottom w:type="dxa" w:w="70"/>
              <w:right w:type="dxa" w:w="100"/>
            </w:tcMar>
            <w:vAlign w:val="top"/>
          </w:tcPr>
          <w:p>
            <w:pPr>
              <w:spacing w:after="0" w:line="252" w:lineRule="auto"/>
            </w:pPr>
            <w:r>
              <w:rPr>
                <w:sz w:val="18"/>
                <w:szCs w:val="18"/>
              </w:rPr>
              <w:t xml:space="preserve">Separate access lists; never inherited through managers; excluded from search and exports</w:t>
            </w:r>
          </w:p>
        </w:tc>
      </w:tr>
    </w:tbl>
    <w:p>
      <w:pPr>
        <w:spacing w:after="160"/>
      </w:pPr>
    </w:p>
    <w:p>
      <w:r>
        <w:t xml:space="preserve">Decryption uses </w:t>
      </w:r>
      <w:r>
        <w:rPr>
          <w:b/>
          <w:bCs/>
        </w:rPr>
        <w:t xml:space="preserve">cached data keys</w:t>
      </w:r>
      <w:r>
        <w:t xml:space="preserve"> (the AWS Encryption SDK caching pattern), so reads do not hit KMS request quotas. Aadhaar is stored masked unless the tenant has a legal basis to keep more.</w:t>
      </w:r>
    </w:p>
    <w:p>
      <w:pPr>
        <w:pStyle w:val="Heading2"/>
      </w:pPr>
      <w:bookmarkStart w:id="8027" w:name="_Toc900027"/>
      <w:r>
        <w:t xml:space="preserve">7.5 Audit</w:t>
      </w:r>
      <w:bookmarkEnd w:id="8027"/>
    </w:p>
    <w:p>
      <w:pPr>
        <w:pStyle w:val="ListParagraph"/>
        <w:numPr>
          <w:ilvl w:val="0"/>
          <w:numId w:val="2"/>
        </w:numPr>
        <w:spacing w:after="60"/>
      </w:pPr>
      <w:r>
        <w:t xml:space="preserve">Audit entries are written freely (append-only, partitioned): who, on behalf of whom, what, before and after (restricted values tokenised), when, where, channel, reason, action ID.</w:t>
      </w:r>
    </w:p>
    <w:p>
      <w:pPr>
        <w:pStyle w:val="ListParagraph"/>
        <w:numPr>
          <w:ilvl w:val="0"/>
          <w:numId w:val="2"/>
        </w:numPr>
        <w:spacing w:after="60"/>
      </w:pPr>
      <w:r>
        <w:rPr>
          <w:b/>
          <w:bCs/>
        </w:rPr>
        <w:t xml:space="preserve">Sealing:</w:t>
      </w:r>
      <w:r>
        <w:t xml:space="preserve"> every minute a job computes a Merkle root per tenant over the new entries and anchors it in S3 Object Lock (compliance mode). This is tamper-evident without serialising writes.</w:t>
      </w:r>
    </w:p>
    <w:p>
      <w:pPr>
        <w:pStyle w:val="ListParagraph"/>
        <w:numPr>
          <w:ilvl w:val="0"/>
          <w:numId w:val="2"/>
        </w:numPr>
        <w:spacing w:after="60"/>
      </w:pPr>
      <w:r>
        <w:t xml:space="preserve">A </w:t>
      </w:r>
      <w:r>
        <w:rPr>
          <w:b/>
          <w:bCs/>
        </w:rPr>
        <w:t xml:space="preserve">sensitive-read log</w:t>
      </w:r>
      <w:r>
        <w:t xml:space="preserve"> records every reveal or read of Identity, Financial and Case data, and every export. Tenant administrators can search it, and it can be streamed to their SIEM.</w:t>
      </w:r>
    </w:p>
    <w:p>
      <w:pPr>
        <w:pStyle w:val="Heading2"/>
      </w:pPr>
      <w:bookmarkStart w:id="8028" w:name="_Toc900028"/>
      <w:r>
        <w:t xml:space="preserve">7.6 Stores and retention</w:t>
      </w:r>
      <w:bookmarkEnd w:id="8028"/>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029"/>
        <w:gridCol w:w="3652"/>
        <w:gridCol w:w="1927"/>
        <w:gridCol w:w="2030"/>
      </w:tblGrid>
      <w:tr>
        <w:trPr>
          <w:cantSplit/>
          <w:tblHeader/>
        </w:trPr>
        <w:tc>
          <w:tcPr>
            <w:tcW w:type="dxa" w:w="202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Store</w:t>
            </w:r>
          </w:p>
        </w:tc>
        <w:tc>
          <w:tcPr>
            <w:tcW w:type="dxa" w:w="3652"/>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Holds</w:t>
            </w:r>
          </w:p>
        </w:tc>
        <w:tc>
          <w:tcPr>
            <w:tcW w:type="dxa" w:w="192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Rebuildable</w:t>
            </w:r>
          </w:p>
        </w:tc>
        <w:tc>
          <w:tcPr>
            <w:tcW w:type="dxa" w:w="203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Retention</w:t>
            </w:r>
          </w:p>
        </w:tc>
      </w:tr>
      <w:tr>
        <w:trPr>
          <w:cantSplit/>
          <w:tblHeader w:val="false"/>
        </w:trPr>
        <w:tc>
          <w:tcPr>
            <w:tcW w:type="dxa" w:w="2029"/>
            <w:tcMar>
              <w:top w:type="dxa" w:w="70"/>
              <w:left w:type="dxa" w:w="100"/>
              <w:bottom w:type="dxa" w:w="70"/>
              <w:right w:type="dxa" w:w="100"/>
            </w:tcMar>
            <w:vAlign w:val="top"/>
          </w:tcPr>
          <w:p>
            <w:pPr>
              <w:spacing w:after="0" w:line="252" w:lineRule="auto"/>
            </w:pPr>
            <w:r>
              <w:rPr>
                <w:sz w:val="18"/>
                <w:szCs w:val="18"/>
              </w:rPr>
              <w:t xml:space="preserve">Aurora PostgreSQL</w:t>
            </w:r>
          </w:p>
        </w:tc>
        <w:tc>
          <w:tcPr>
            <w:tcW w:type="dxa" w:w="3652"/>
            <w:tcMar>
              <w:top w:type="dxa" w:w="70"/>
              <w:left w:type="dxa" w:w="100"/>
              <w:bottom w:type="dxa" w:w="70"/>
              <w:right w:type="dxa" w:w="100"/>
            </w:tcMar>
            <w:vAlign w:val="top"/>
          </w:tcPr>
          <w:p>
            <w:pPr>
              <w:spacing w:after="0" w:line="252" w:lineRule="auto"/>
            </w:pPr>
            <w:r>
              <w:rPr>
                <w:sz w:val="18"/>
                <w:szCs w:val="18"/>
              </w:rPr>
              <w:t xml:space="preserve">System of record: business data, configuration, outbox, recent audit</w:t>
            </w:r>
          </w:p>
        </w:tc>
        <w:tc>
          <w:tcPr>
            <w:tcW w:type="dxa" w:w="1927"/>
            <w:tcMar>
              <w:top w:type="dxa" w:w="70"/>
              <w:left w:type="dxa" w:w="100"/>
              <w:bottom w:type="dxa" w:w="70"/>
              <w:right w:type="dxa" w:w="100"/>
            </w:tcMar>
            <w:vAlign w:val="top"/>
          </w:tcPr>
          <w:p>
            <w:pPr>
              <w:spacing w:after="0" w:line="252" w:lineRule="auto"/>
            </w:pPr>
            <w:r>
              <w:rPr>
                <w:sz w:val="18"/>
                <w:szCs w:val="18"/>
              </w:rPr>
              <w:t xml:space="preserve">No; backed up and replicated</w:t>
            </w:r>
          </w:p>
        </w:tc>
        <w:tc>
          <w:tcPr>
            <w:tcW w:type="dxa" w:w="2030"/>
            <w:tcMar>
              <w:top w:type="dxa" w:w="70"/>
              <w:left w:type="dxa" w:w="100"/>
              <w:bottom w:type="dxa" w:w="70"/>
              <w:right w:type="dxa" w:w="100"/>
            </w:tcMar>
            <w:vAlign w:val="top"/>
          </w:tcPr>
          <w:p>
            <w:pPr>
              <w:spacing w:after="0" w:line="252" w:lineRule="auto"/>
            </w:pPr>
            <w:r>
              <w:rPr>
                <w:sz w:val="18"/>
                <w:szCs w:val="18"/>
              </w:rPr>
              <w:t xml:space="preserve">Per data class and tenant policy</w:t>
            </w:r>
          </w:p>
        </w:tc>
      </w:tr>
      <w:tr>
        <w:trPr>
          <w:cantSplit/>
          <w:tblHeader w:val="false"/>
        </w:trPr>
        <w:tc>
          <w:tcPr>
            <w:tcW w:type="dxa" w:w="2029"/>
            <w:tcMar>
              <w:top w:type="dxa" w:w="70"/>
              <w:left w:type="dxa" w:w="100"/>
              <w:bottom w:type="dxa" w:w="70"/>
              <w:right w:type="dxa" w:w="100"/>
            </w:tcMar>
            <w:vAlign w:val="top"/>
          </w:tcPr>
          <w:p>
            <w:pPr>
              <w:spacing w:after="0" w:line="252" w:lineRule="auto"/>
            </w:pPr>
            <w:r>
              <w:rPr>
                <w:sz w:val="18"/>
                <w:szCs w:val="18"/>
              </w:rPr>
              <w:t xml:space="preserve">S3</w:t>
            </w:r>
          </w:p>
        </w:tc>
        <w:tc>
          <w:tcPr>
            <w:tcW w:type="dxa" w:w="3652"/>
            <w:tcMar>
              <w:top w:type="dxa" w:w="70"/>
              <w:left w:type="dxa" w:w="100"/>
              <w:bottom w:type="dxa" w:w="70"/>
              <w:right w:type="dxa" w:w="100"/>
            </w:tcMar>
            <w:vAlign w:val="top"/>
          </w:tcPr>
          <w:p>
            <w:pPr>
              <w:spacing w:after="0" w:line="252" w:lineRule="auto"/>
            </w:pPr>
            <w:r>
              <w:rPr>
                <w:sz w:val="18"/>
                <w:szCs w:val="18"/>
              </w:rPr>
              <w:t xml:space="preserve">Documents, letters, exports, audit archive, tenant snapshots</w:t>
            </w:r>
          </w:p>
        </w:tc>
        <w:tc>
          <w:tcPr>
            <w:tcW w:type="dxa" w:w="1927"/>
            <w:tcMar>
              <w:top w:type="dxa" w:w="70"/>
              <w:left w:type="dxa" w:w="100"/>
              <w:bottom w:type="dxa" w:w="70"/>
              <w:right w:type="dxa" w:w="100"/>
            </w:tcMar>
            <w:vAlign w:val="top"/>
          </w:tcPr>
          <w:p>
            <w:pPr>
              <w:spacing w:after="0" w:line="252" w:lineRule="auto"/>
            </w:pPr>
            <w:r>
              <w:rPr>
                <w:sz w:val="18"/>
                <w:szCs w:val="18"/>
              </w:rPr>
              <w:t xml:space="preserve">No; versioned and replicated</w:t>
            </w:r>
          </w:p>
        </w:tc>
        <w:tc>
          <w:tcPr>
            <w:tcW w:type="dxa" w:w="2030"/>
            <w:tcMar>
              <w:top w:type="dxa" w:w="70"/>
              <w:left w:type="dxa" w:w="100"/>
              <w:bottom w:type="dxa" w:w="70"/>
              <w:right w:type="dxa" w:w="100"/>
            </w:tcMar>
            <w:vAlign w:val="top"/>
          </w:tcPr>
          <w:p>
            <w:pPr>
              <w:spacing w:after="0" w:line="252" w:lineRule="auto"/>
            </w:pPr>
            <w:r>
              <w:rPr>
                <w:sz w:val="18"/>
                <w:szCs w:val="18"/>
              </w:rPr>
              <w:t xml:space="preserve">Per document type; legal hold overrides</w:t>
            </w:r>
          </w:p>
        </w:tc>
      </w:tr>
      <w:tr>
        <w:trPr>
          <w:cantSplit/>
          <w:tblHeader w:val="false"/>
        </w:trPr>
        <w:tc>
          <w:tcPr>
            <w:tcW w:type="dxa" w:w="2029"/>
            <w:tcMar>
              <w:top w:type="dxa" w:w="70"/>
              <w:left w:type="dxa" w:w="100"/>
              <w:bottom w:type="dxa" w:w="70"/>
              <w:right w:type="dxa" w:w="100"/>
            </w:tcMar>
            <w:vAlign w:val="top"/>
          </w:tcPr>
          <w:p>
            <w:pPr>
              <w:spacing w:after="0" w:line="252" w:lineRule="auto"/>
            </w:pPr>
            <w:r>
              <w:rPr>
                <w:sz w:val="18"/>
                <w:szCs w:val="18"/>
              </w:rPr>
              <w:t xml:space="preserve">SQS (launch) / Kafka (scale)</w:t>
            </w:r>
          </w:p>
        </w:tc>
        <w:tc>
          <w:tcPr>
            <w:tcW w:type="dxa" w:w="3652"/>
            <w:tcMar>
              <w:top w:type="dxa" w:w="70"/>
              <w:left w:type="dxa" w:w="100"/>
              <w:bottom w:type="dxa" w:w="70"/>
              <w:right w:type="dxa" w:w="100"/>
            </w:tcMar>
            <w:vAlign w:val="top"/>
          </w:tcPr>
          <w:p>
            <w:pPr>
              <w:spacing w:after="0" w:line="252" w:lineRule="auto"/>
            </w:pPr>
            <w:r>
              <w:rPr>
                <w:sz w:val="18"/>
                <w:szCs w:val="18"/>
              </w:rPr>
              <w:t xml:space="preserve">Events and work items</w:t>
            </w:r>
          </w:p>
        </w:tc>
        <w:tc>
          <w:tcPr>
            <w:tcW w:type="dxa" w:w="1927"/>
            <w:tcMar>
              <w:top w:type="dxa" w:w="70"/>
              <w:left w:type="dxa" w:w="100"/>
              <w:bottom w:type="dxa" w:w="70"/>
              <w:right w:type="dxa" w:w="100"/>
            </w:tcMar>
            <w:vAlign w:val="top"/>
          </w:tcPr>
          <w:p>
            <w:pPr>
              <w:spacing w:after="0" w:line="252" w:lineRule="auto"/>
            </w:pPr>
            <w:r>
              <w:rPr>
                <w:sz w:val="18"/>
                <w:szCs w:val="18"/>
              </w:rPr>
              <w:t xml:space="preserve">Yes, from the outbox</w:t>
            </w:r>
          </w:p>
        </w:tc>
        <w:tc>
          <w:tcPr>
            <w:tcW w:type="dxa" w:w="2030"/>
            <w:tcMar>
              <w:top w:type="dxa" w:w="70"/>
              <w:left w:type="dxa" w:w="100"/>
              <w:bottom w:type="dxa" w:w="70"/>
              <w:right w:type="dxa" w:w="100"/>
            </w:tcMar>
            <w:vAlign w:val="top"/>
          </w:tcPr>
          <w:p>
            <w:pPr>
              <w:spacing w:after="0" w:line="252" w:lineRule="auto"/>
            </w:pPr>
            <w:r>
              <w:rPr>
                <w:sz w:val="18"/>
                <w:szCs w:val="18"/>
              </w:rPr>
              <w:t xml:space="preserve">Days</w:t>
            </w:r>
          </w:p>
        </w:tc>
      </w:tr>
      <w:tr>
        <w:trPr>
          <w:cantSplit/>
          <w:tblHeader w:val="false"/>
        </w:trPr>
        <w:tc>
          <w:tcPr>
            <w:tcW w:type="dxa" w:w="2029"/>
            <w:tcMar>
              <w:top w:type="dxa" w:w="70"/>
              <w:left w:type="dxa" w:w="100"/>
              <w:bottom w:type="dxa" w:w="70"/>
              <w:right w:type="dxa" w:w="100"/>
            </w:tcMar>
            <w:vAlign w:val="top"/>
          </w:tcPr>
          <w:p>
            <w:pPr>
              <w:spacing w:after="0" w:line="252" w:lineRule="auto"/>
            </w:pPr>
            <w:r>
              <w:rPr>
                <w:sz w:val="18"/>
                <w:szCs w:val="18"/>
              </w:rPr>
              <w:t xml:space="preserve">Search index</w:t>
            </w:r>
          </w:p>
        </w:tc>
        <w:tc>
          <w:tcPr>
            <w:tcW w:type="dxa" w:w="3652"/>
            <w:tcMar>
              <w:top w:type="dxa" w:w="70"/>
              <w:left w:type="dxa" w:w="100"/>
              <w:bottom w:type="dxa" w:w="70"/>
              <w:right w:type="dxa" w:w="100"/>
            </w:tcMar>
            <w:vAlign w:val="top"/>
          </w:tcPr>
          <w:p>
            <w:pPr>
              <w:spacing w:after="0" w:line="252" w:lineRule="auto"/>
            </w:pPr>
            <w:r>
              <w:rPr>
                <w:sz w:val="18"/>
                <w:szCs w:val="18"/>
              </w:rPr>
              <w:t xml:space="preserve">Employee and document search</w:t>
            </w:r>
          </w:p>
        </w:tc>
        <w:tc>
          <w:tcPr>
            <w:tcW w:type="dxa" w:w="1927"/>
            <w:tcMar>
              <w:top w:type="dxa" w:w="70"/>
              <w:left w:type="dxa" w:w="100"/>
              <w:bottom w:type="dxa" w:w="70"/>
              <w:right w:type="dxa" w:w="100"/>
            </w:tcMar>
            <w:vAlign w:val="top"/>
          </w:tcPr>
          <w:p>
            <w:pPr>
              <w:spacing w:after="0" w:line="252" w:lineRule="auto"/>
            </w:pPr>
            <w:r>
              <w:rPr>
                <w:sz w:val="18"/>
                <w:szCs w:val="18"/>
              </w:rPr>
              <w:t xml:space="preserve">Yes, reindex from PostgreSQL</w:t>
            </w:r>
          </w:p>
        </w:tc>
        <w:tc>
          <w:tcPr>
            <w:tcW w:type="dxa" w:w="2030"/>
            <w:tcMar>
              <w:top w:type="dxa" w:w="70"/>
              <w:left w:type="dxa" w:w="100"/>
              <w:bottom w:type="dxa" w:w="70"/>
              <w:right w:type="dxa" w:w="100"/>
            </w:tcMar>
            <w:vAlign w:val="top"/>
          </w:tcPr>
          <w:p>
            <w:pPr>
              <w:spacing w:after="0" w:line="252" w:lineRule="auto"/>
            </w:pPr>
            <w:r>
              <w:rPr>
                <w:sz w:val="18"/>
                <w:szCs w:val="18"/>
              </w:rPr>
              <w:t xml:space="preserve">Follows source</w:t>
            </w:r>
          </w:p>
        </w:tc>
      </w:tr>
      <w:tr>
        <w:trPr>
          <w:cantSplit/>
          <w:tblHeader w:val="false"/>
        </w:trPr>
        <w:tc>
          <w:tcPr>
            <w:tcW w:type="dxa" w:w="2029"/>
            <w:tcMar>
              <w:top w:type="dxa" w:w="70"/>
              <w:left w:type="dxa" w:w="100"/>
              <w:bottom w:type="dxa" w:w="70"/>
              <w:right w:type="dxa" w:w="100"/>
            </w:tcMar>
            <w:vAlign w:val="top"/>
          </w:tcPr>
          <w:p>
            <w:pPr>
              <w:spacing w:after="0" w:line="252" w:lineRule="auto"/>
            </w:pPr>
            <w:r>
              <w:rPr>
                <w:sz w:val="18"/>
                <w:szCs w:val="18"/>
              </w:rPr>
              <w:t xml:space="preserve">Analytics</w:t>
            </w:r>
          </w:p>
        </w:tc>
        <w:tc>
          <w:tcPr>
            <w:tcW w:type="dxa" w:w="3652"/>
            <w:tcMar>
              <w:top w:type="dxa" w:w="70"/>
              <w:left w:type="dxa" w:w="100"/>
              <w:bottom w:type="dxa" w:w="70"/>
              <w:right w:type="dxa" w:w="100"/>
            </w:tcMar>
            <w:vAlign w:val="top"/>
          </w:tcPr>
          <w:p>
            <w:pPr>
              <w:spacing w:after="0" w:line="252" w:lineRule="auto"/>
            </w:pPr>
            <w:r>
              <w:rPr>
                <w:sz w:val="18"/>
                <w:szCs w:val="18"/>
              </w:rPr>
              <w:t xml:space="preserve">Snapshots, facts</w:t>
            </w:r>
          </w:p>
        </w:tc>
        <w:tc>
          <w:tcPr>
            <w:tcW w:type="dxa" w:w="1927"/>
            <w:tcMar>
              <w:top w:type="dxa" w:w="70"/>
              <w:left w:type="dxa" w:w="100"/>
              <w:bottom w:type="dxa" w:w="70"/>
              <w:right w:type="dxa" w:w="100"/>
            </w:tcMar>
            <w:vAlign w:val="top"/>
          </w:tcPr>
          <w:p>
            <w:pPr>
              <w:spacing w:after="0" w:line="252" w:lineRule="auto"/>
            </w:pPr>
            <w:r>
              <w:rPr>
                <w:sz w:val="18"/>
                <w:szCs w:val="18"/>
              </w:rPr>
              <w:t xml:space="preserve">Yes, from snapshots and CDC</w:t>
            </w:r>
          </w:p>
        </w:tc>
        <w:tc>
          <w:tcPr>
            <w:tcW w:type="dxa" w:w="2030"/>
            <w:tcMar>
              <w:top w:type="dxa" w:w="70"/>
              <w:left w:type="dxa" w:w="100"/>
              <w:bottom w:type="dxa" w:w="70"/>
              <w:right w:type="dxa" w:w="100"/>
            </w:tcMar>
            <w:vAlign w:val="top"/>
          </w:tcPr>
          <w:p>
            <w:pPr>
              <w:spacing w:after="0" w:line="252" w:lineRule="auto"/>
            </w:pPr>
            <w:r>
              <w:rPr>
                <w:sz w:val="18"/>
                <w:szCs w:val="18"/>
              </w:rPr>
              <w:t xml:space="preserve">Per contract</w:t>
            </w:r>
          </w:p>
        </w:tc>
      </w:tr>
      <w:tr>
        <w:trPr>
          <w:cantSplit/>
          <w:tblHeader w:val="false"/>
        </w:trPr>
        <w:tc>
          <w:tcPr>
            <w:tcW w:type="dxa" w:w="2029"/>
            <w:tcMar>
              <w:top w:type="dxa" w:w="70"/>
              <w:left w:type="dxa" w:w="100"/>
              <w:bottom w:type="dxa" w:w="70"/>
              <w:right w:type="dxa" w:w="100"/>
            </w:tcMar>
            <w:vAlign w:val="top"/>
          </w:tcPr>
          <w:p>
            <w:pPr>
              <w:spacing w:after="0" w:line="252" w:lineRule="auto"/>
            </w:pPr>
            <w:r>
              <w:rPr>
                <w:sz w:val="18"/>
                <w:szCs w:val="18"/>
              </w:rPr>
              <w:t xml:space="preserve">Valkey</w:t>
            </w:r>
          </w:p>
        </w:tc>
        <w:tc>
          <w:tcPr>
            <w:tcW w:type="dxa" w:w="3652"/>
            <w:tcMar>
              <w:top w:type="dxa" w:w="70"/>
              <w:left w:type="dxa" w:w="100"/>
              <w:bottom w:type="dxa" w:w="70"/>
              <w:right w:type="dxa" w:w="100"/>
            </w:tcMar>
            <w:vAlign w:val="top"/>
          </w:tcPr>
          <w:p>
            <w:pPr>
              <w:spacing w:after="0" w:line="252" w:lineRule="auto"/>
            </w:pPr>
            <w:r>
              <w:rPr>
                <w:sz w:val="18"/>
                <w:szCs w:val="18"/>
              </w:rPr>
              <w:t xml:space="preserve">Cache, rate-limit counters, BFF sessions</w:t>
            </w:r>
          </w:p>
        </w:tc>
        <w:tc>
          <w:tcPr>
            <w:tcW w:type="dxa" w:w="1927"/>
            <w:tcMar>
              <w:top w:type="dxa" w:w="70"/>
              <w:left w:type="dxa" w:w="100"/>
              <w:bottom w:type="dxa" w:w="70"/>
              <w:right w:type="dxa" w:w="100"/>
            </w:tcMar>
            <w:vAlign w:val="top"/>
          </w:tcPr>
          <w:p>
            <w:pPr>
              <w:spacing w:after="0" w:line="252" w:lineRule="auto"/>
            </w:pPr>
            <w:r>
              <w:rPr>
                <w:sz w:val="18"/>
                <w:szCs w:val="18"/>
              </w:rPr>
              <w:t xml:space="preserve">Yes</w:t>
            </w:r>
          </w:p>
        </w:tc>
        <w:tc>
          <w:tcPr>
            <w:tcW w:type="dxa" w:w="2030"/>
            <w:tcMar>
              <w:top w:type="dxa" w:w="70"/>
              <w:left w:type="dxa" w:w="100"/>
              <w:bottom w:type="dxa" w:w="70"/>
              <w:right w:type="dxa" w:w="100"/>
            </w:tcMar>
            <w:vAlign w:val="top"/>
          </w:tcPr>
          <w:p>
            <w:pPr>
              <w:spacing w:after="0" w:line="252" w:lineRule="auto"/>
            </w:pPr>
            <w:r>
              <w:rPr>
                <w:sz w:val="18"/>
                <w:szCs w:val="18"/>
              </w:rPr>
              <w:t xml:space="preserve">Minutes to hours</w:t>
            </w:r>
          </w:p>
        </w:tc>
      </w:tr>
    </w:tbl>
    <w:p>
      <w:pPr>
        <w:spacing w:after="160"/>
      </w:pPr>
    </w:p>
    <w:p>
      <w:pPr>
        <w:pStyle w:val="Heading1"/>
        <w:pageBreakBefore/>
      </w:pPr>
      <w:bookmarkStart w:id="8029" w:name="_Toc900029"/>
      <w:r>
        <w:t xml:space="preserve">8. Master data ownership and integration mode</w:t>
      </w:r>
      <w:bookmarkEnd w:id="8029"/>
    </w:p>
    <w:p>
      <w:r>
        <w:t xml:space="preserve">Many enterprise customers keep SAP, Oracle or Workday as their employee master and buy this platform for attendance, leave, compliance or self-service. The platform therefore records </w:t>
      </w:r>
      <w:r>
        <w:rPr>
          <w:b/>
          <w:bCs/>
        </w:rPr>
        <w:t xml:space="preserve">who owns each group of fields</w:t>
      </w:r>
      <w:r>
        <w:t xml:space="preserve"> for each tenant.</w:t>
      </w:r>
    </w:p>
    <w:p>
      <w:pPr>
        <w:keepNext/>
        <w:spacing w:after="60" w:before="120" w:line="240" w:lineRule="auto"/>
        <w:jc w:val="center"/>
      </w:pPr>
      <w:r>
        <w:drawing>
          <wp:inline distT="0" distB="0" distL="0" distR="0">
            <wp:extent cx="6096000" cy="3048000"/>
            <wp:effectExtent t="0" r="0" b="0" l="0"/>
            <wp:docPr id="1" name="p08-ownership" descr="Ownership rules decide whether a change arrives as an audited integration change or as an approvable personnel action." title="Ownership rules decide whether a change arrives as an audited integration change or as an approvable personnel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3048000"/>
                    </a:xfrm>
                    <a:prstGeom prst="rect">
                      <a:avLst/>
                    </a:prstGeom>
                  </pic:spPr>
                </pic:pic>
              </a:graphicData>
            </a:graphic>
          </wp:inline>
        </w:drawing>
      </w:r>
    </w:p>
    <w:p>
      <w:pPr>
        <w:pStyle w:val="Caption"/>
        <w:jc w:val="left"/>
      </w:pPr>
      <w:r>
        <w:rPr>
          <w:b/>
          <w:bCs/>
        </w:rPr>
        <w:t xml:space="preserve">Figure 8. </w:t>
      </w:r>
      <w:r>
        <w:t xml:space="preserve">Ownership rules decide whether a change arrives as an audited integration change or as an approvable personnel action.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007"/>
        <w:gridCol w:w="5019"/>
        <w:gridCol w:w="2612"/>
      </w:tblGrid>
      <w:tr>
        <w:trPr>
          <w:cantSplit/>
          <w:tblHeader/>
        </w:trPr>
        <w:tc>
          <w:tcPr>
            <w:tcW w:type="dxa" w:w="200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Mode</w:t>
            </w:r>
          </w:p>
        </w:tc>
        <w:tc>
          <w:tcPr>
            <w:tcW w:type="dxa" w:w="501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Behaviour</w:t>
            </w:r>
          </w:p>
        </w:tc>
        <w:tc>
          <w:tcPr>
            <w:tcW w:type="dxa" w:w="2612"/>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Typical tenant</w:t>
            </w:r>
          </w:p>
        </w:tc>
      </w:tr>
      <w:tr>
        <w:trPr>
          <w:cantSplit/>
          <w:tblHeader w:val="false"/>
        </w:trPr>
        <w:tc>
          <w:tcPr>
            <w:tcW w:type="dxa" w:w="2007"/>
            <w:tcMar>
              <w:top w:type="dxa" w:w="70"/>
              <w:left w:type="dxa" w:w="100"/>
              <w:bottom w:type="dxa" w:w="70"/>
              <w:right w:type="dxa" w:w="100"/>
            </w:tcMar>
            <w:vAlign w:val="top"/>
          </w:tcPr>
          <w:p>
            <w:pPr>
              <w:spacing w:after="0" w:line="252" w:lineRule="auto"/>
            </w:pPr>
            <w:r>
              <w:rPr>
                <w:b/>
                <w:bCs/>
                <w:color w:val="16222A"/>
                <w:sz w:val="18"/>
                <w:szCs w:val="18"/>
              </w:rPr>
              <w:t xml:space="preserve">HRMS-owned (default)</w:t>
            </w:r>
          </w:p>
        </w:tc>
        <w:tc>
          <w:tcPr>
            <w:tcW w:type="dxa" w:w="5019"/>
            <w:tcMar>
              <w:top w:type="dxa" w:w="70"/>
              <w:left w:type="dxa" w:w="100"/>
              <w:bottom w:type="dxa" w:w="70"/>
              <w:right w:type="dxa" w:w="100"/>
            </w:tcMar>
            <w:vAlign w:val="top"/>
          </w:tcPr>
          <w:p>
            <w:pPr>
              <w:spacing w:after="0" w:line="252" w:lineRule="auto"/>
            </w:pPr>
            <w:r>
              <w:rPr>
                <w:sz w:val="18"/>
                <w:szCs w:val="18"/>
              </w:rPr>
              <w:t xml:space="preserve">Changes go through personnel actions with effective dates, approvals and letters</w:t>
            </w:r>
          </w:p>
        </w:tc>
        <w:tc>
          <w:tcPr>
            <w:tcW w:type="dxa" w:w="2612"/>
            <w:tcMar>
              <w:top w:type="dxa" w:w="70"/>
              <w:left w:type="dxa" w:w="100"/>
              <w:bottom w:type="dxa" w:w="70"/>
              <w:right w:type="dxa" w:w="100"/>
            </w:tcMar>
            <w:vAlign w:val="top"/>
          </w:tcPr>
          <w:p>
            <w:pPr>
              <w:spacing w:after="0" w:line="252" w:lineRule="auto"/>
            </w:pPr>
            <w:r>
              <w:rPr>
                <w:sz w:val="18"/>
                <w:szCs w:val="18"/>
              </w:rPr>
              <w:t xml:space="preserve">SURAJ Group; most SMB and mid-market tenants</w:t>
            </w:r>
          </w:p>
        </w:tc>
      </w:tr>
      <w:tr>
        <w:trPr>
          <w:cantSplit/>
          <w:tblHeader w:val="false"/>
        </w:trPr>
        <w:tc>
          <w:tcPr>
            <w:tcW w:type="dxa" w:w="2007"/>
            <w:tcMar>
              <w:top w:type="dxa" w:w="70"/>
              <w:left w:type="dxa" w:w="100"/>
              <w:bottom w:type="dxa" w:w="70"/>
              <w:right w:type="dxa" w:w="100"/>
            </w:tcMar>
            <w:vAlign w:val="top"/>
          </w:tcPr>
          <w:p>
            <w:pPr>
              <w:spacing w:after="0" w:line="252" w:lineRule="auto"/>
            </w:pPr>
            <w:r>
              <w:rPr>
                <w:b/>
                <w:bCs/>
                <w:color w:val="16222A"/>
                <w:sz w:val="18"/>
                <w:szCs w:val="18"/>
              </w:rPr>
              <w:t xml:space="preserve">Externally owned</w:t>
            </w:r>
          </w:p>
        </w:tc>
        <w:tc>
          <w:tcPr>
            <w:tcW w:type="dxa" w:w="5019"/>
            <w:tcMar>
              <w:top w:type="dxa" w:w="70"/>
              <w:left w:type="dxa" w:w="100"/>
              <w:bottom w:type="dxa" w:w="70"/>
              <w:right w:type="dxa" w:w="100"/>
            </w:tcMar>
            <w:vAlign w:val="top"/>
          </w:tcPr>
          <w:p>
            <w:pPr>
              <w:spacing w:after="0" w:line="252" w:lineRule="auto"/>
            </w:pPr>
            <w:r>
              <w:rPr>
                <w:sz w:val="18"/>
                <w:szCs w:val="18"/>
              </w:rPr>
              <w:t xml:space="preserve">Changes arrive through </w:t>
            </w:r>
            <w:r>
              <w:rPr>
                <w:rFonts w:ascii="Consolas" w:cs="Consolas" w:eastAsia="Consolas" w:hAnsi="Consolas"/>
                <w:color w:val="0B4F4F"/>
                <w:sz w:val="17"/>
                <w:szCs w:val="17"/>
              </w:rPr>
              <w:t xml:space="preserve">POST /v1/personnel-actions:bulk</w:t>
            </w:r>
            <w:r>
              <w:rPr>
                <w:sz w:val="18"/>
                <w:szCs w:val="18"/>
              </w:rPr>
              <w:t xml:space="preserve"> in integration mode: applied directly, audited as integration changes, read-only in the UI</w:t>
            </w:r>
          </w:p>
        </w:tc>
        <w:tc>
          <w:tcPr>
            <w:tcW w:type="dxa" w:w="2612"/>
            <w:tcMar>
              <w:top w:type="dxa" w:w="70"/>
              <w:left w:type="dxa" w:w="100"/>
              <w:bottom w:type="dxa" w:w="70"/>
              <w:right w:type="dxa" w:w="100"/>
            </w:tcMar>
            <w:vAlign w:val="top"/>
          </w:tcPr>
          <w:p>
            <w:pPr>
              <w:spacing w:after="0" w:line="252" w:lineRule="auto"/>
            </w:pPr>
            <w:r>
              <w:rPr>
                <w:sz w:val="18"/>
                <w:szCs w:val="18"/>
              </w:rPr>
              <w:t xml:space="preserve">Enterprises with an ERP-based HR master</w:t>
            </w:r>
          </w:p>
        </w:tc>
      </w:tr>
      <w:tr>
        <w:trPr>
          <w:cantSplit/>
          <w:tblHeader w:val="false"/>
        </w:trPr>
        <w:tc>
          <w:tcPr>
            <w:tcW w:type="dxa" w:w="2007"/>
            <w:tcMar>
              <w:top w:type="dxa" w:w="70"/>
              <w:left w:type="dxa" w:w="100"/>
              <w:bottom w:type="dxa" w:w="70"/>
              <w:right w:type="dxa" w:w="100"/>
            </w:tcMar>
            <w:vAlign w:val="top"/>
          </w:tcPr>
          <w:p>
            <w:pPr>
              <w:spacing w:after="0" w:line="252" w:lineRule="auto"/>
            </w:pPr>
            <w:r>
              <w:rPr>
                <w:b/>
                <w:bCs/>
                <w:color w:val="16222A"/>
                <w:sz w:val="18"/>
                <w:szCs w:val="18"/>
              </w:rPr>
              <w:t xml:space="preserve">Shared</w:t>
            </w:r>
          </w:p>
        </w:tc>
        <w:tc>
          <w:tcPr>
            <w:tcW w:type="dxa" w:w="5019"/>
            <w:tcMar>
              <w:top w:type="dxa" w:w="70"/>
              <w:left w:type="dxa" w:w="100"/>
              <w:bottom w:type="dxa" w:w="70"/>
              <w:right w:type="dxa" w:w="100"/>
            </w:tcMar>
            <w:vAlign w:val="top"/>
          </w:tcPr>
          <w:p>
            <w:pPr>
              <w:spacing w:after="0" w:line="252" w:lineRule="auto"/>
            </w:pPr>
            <w:r>
              <w:rPr>
                <w:sz w:val="18"/>
                <w:szCs w:val="18"/>
              </w:rPr>
              <w:t xml:space="preserve">Per-field conflict rule: last writer by source priority, or a review queue for HR</w:t>
            </w:r>
          </w:p>
        </w:tc>
        <w:tc>
          <w:tcPr>
            <w:tcW w:type="dxa" w:w="2612"/>
            <w:tcMar>
              <w:top w:type="dxa" w:w="70"/>
              <w:left w:type="dxa" w:w="100"/>
              <w:bottom w:type="dxa" w:w="70"/>
              <w:right w:type="dxa" w:w="100"/>
            </w:tcMar>
            <w:vAlign w:val="top"/>
          </w:tcPr>
          <w:p>
            <w:pPr>
              <w:spacing w:after="0" w:line="252" w:lineRule="auto"/>
            </w:pPr>
            <w:r>
              <w:rPr>
                <w:sz w:val="18"/>
                <w:szCs w:val="18"/>
              </w:rPr>
              <w:t xml:space="preserve">Transitional periods, migrations</w:t>
            </w:r>
          </w:p>
        </w:tc>
      </w:tr>
    </w:tbl>
    <w:p>
      <w:pPr>
        <w:spacing w:after="160"/>
      </w:pPr>
    </w:p>
    <w:p>
      <w:pPr>
        <w:pStyle w:val="ListParagraph"/>
        <w:numPr>
          <w:ilvl w:val="0"/>
          <w:numId w:val="2"/>
        </w:numPr>
        <w:spacing w:after="60"/>
      </w:pPr>
      <w:r>
        <w:t xml:space="preserve">Ownership is set per tenant and per field group (identity, contacts, job and organisation, compensation, bank, statutory) and is effective-dated.</w:t>
      </w:r>
    </w:p>
    <w:p>
      <w:pPr>
        <w:pStyle w:val="ListParagraph"/>
        <w:numPr>
          <w:ilvl w:val="0"/>
          <w:numId w:val="2"/>
        </w:numPr>
        <w:spacing w:after="60"/>
      </w:pPr>
      <w:r>
        <w:t xml:space="preserve">Integration mode is a tenant-approved exception, recorded once for the integration rather than once per change.</w:t>
      </w:r>
    </w:p>
    <w:p>
      <w:pPr>
        <w:pStyle w:val="ListParagraph"/>
        <w:numPr>
          <w:ilvl w:val="0"/>
          <w:numId w:val="2"/>
        </w:numPr>
        <w:spacing w:after="60"/>
      </w:pPr>
      <w:r>
        <w:t xml:space="preserve">Bulk actions also serve reorganisations: one request moves many employees with one effective date.</w:t>
      </w:r>
    </w:p>
    <w:p>
      <w:pPr>
        <w:pStyle w:val="Heading1"/>
        <w:pageBreakBefore/>
      </w:pPr>
      <w:bookmarkStart w:id="8030" w:name="_Toc900030"/>
      <w:r>
        <w:t xml:space="preserve">9. Identity and access</w:t>
      </w:r>
      <w:bookmarkEnd w:id="8030"/>
    </w:p>
    <w:p>
      <w:pPr>
        <w:pStyle w:val="Heading2"/>
      </w:pPr>
      <w:bookmarkStart w:id="8031" w:name="_Toc900031"/>
      <w:r>
        <w:t xml:space="preserve">9.1 Sign-in</w:t>
      </w:r>
      <w:bookmarkEnd w:id="8031"/>
    </w:p>
    <w:p>
      <w:pPr>
        <w:keepNext/>
        <w:spacing w:after="60" w:before="120" w:line="240" w:lineRule="auto"/>
        <w:jc w:val="center"/>
      </w:pPr>
      <w:r>
        <w:drawing>
          <wp:inline distT="0" distB="0" distL="0" distR="0">
            <wp:extent cx="6096000" cy="3476625"/>
            <wp:effectExtent t="0" r="0" b="0" l="0"/>
            <wp:docPr id="1" name="p13-seq-login" descr="Web sign-in through the customer's identity provider. Tokens stay on the server; the browser holds only an httpOnly session cookie." title="Web sign-in through the customer's identity provider. Tokens stay on the server; the browser holds only an httpOnly session coo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476625"/>
                    </a:xfrm>
                    <a:prstGeom prst="rect">
                      <a:avLst/>
                    </a:prstGeom>
                  </pic:spPr>
                </pic:pic>
              </a:graphicData>
            </a:graphic>
          </wp:inline>
        </w:drawing>
      </w:r>
    </w:p>
    <w:p>
      <w:pPr>
        <w:pStyle w:val="Caption"/>
        <w:jc w:val="left"/>
      </w:pPr>
      <w:r>
        <w:rPr>
          <w:b/>
          <w:bCs/>
        </w:rPr>
        <w:t xml:space="preserve">Figure 9. </w:t>
      </w:r>
      <w:r>
        <w:t xml:space="preserve">Web sign-in through the customer's identity provider. Tokens stay on the server; the browser holds only an httpOnly session cookie.</w:t>
      </w:r>
    </w:p>
    <w:p>
      <w:pPr>
        <w:pStyle w:val="ListParagraph"/>
        <w:numPr>
          <w:ilvl w:val="0"/>
          <w:numId w:val="2"/>
        </w:numPr>
        <w:spacing w:after="60"/>
      </w:pPr>
      <w:r>
        <w:rPr>
          <w:b/>
          <w:bCs/>
        </w:rPr>
        <w:t xml:space="preserve">Methods per tenant:</w:t>
      </w:r>
      <w:r>
        <w:t xml:space="preserve"> SSO through SAML 2.0 or OIDC (just-in-time creation); password plus MFA (TOTP, WebAuthn, passkeys); </w:t>
      </w:r>
      <w:r>
        <w:rPr>
          <w:b/>
          <w:bCs/>
        </w:rPr>
        <w:t xml:space="preserve">employee code plus mobile OTP</w:t>
      </w:r>
      <w:r>
        <w:t xml:space="preserve"> for staff without email (device binding, rate limits); kiosk mode later.</w:t>
      </w:r>
    </w:p>
    <w:p>
      <w:pPr>
        <w:pStyle w:val="ListParagraph"/>
        <w:numPr>
          <w:ilvl w:val="0"/>
          <w:numId w:val="2"/>
        </w:numPr>
        <w:spacing w:after="60"/>
      </w:pPr>
      <w:r>
        <w:rPr>
          <w:b/>
          <w:bCs/>
        </w:rPr>
        <w:t xml:space="preserve">Web uses a backend-for-frontend (BFF):</w:t>
      </w:r>
      <w:r>
        <w:t xml:space="preserve"> the core application completes OIDC with PKCE, keeps tokens server-side (session in Valkey) and gives the browser an httpOnly, SameSite cookie. The mobile app uses OIDC with PKCE and platform secure storage.</w:t>
      </w:r>
    </w:p>
    <w:p>
      <w:pPr>
        <w:pStyle w:val="ListParagraph"/>
        <w:numPr>
          <w:ilvl w:val="0"/>
          <w:numId w:val="2"/>
        </w:numPr>
        <w:spacing w:after="60"/>
      </w:pPr>
      <w:r>
        <w:rPr>
          <w:b/>
          <w:bCs/>
        </w:rPr>
        <w:t xml:space="preserve">Provisioning:</w:t>
      </w:r>
      <w:r>
        <w:t xml:space="preserve"> SCIM 2.0 endpoints for directory tools that pull; push connectors to Microsoft Entra ID, Okta and Google Workspace for joiners, movers and leavers. This automates IT clearance on exit.</w:t>
      </w:r>
    </w:p>
    <w:p>
      <w:pPr>
        <w:pStyle w:val="Heading2"/>
      </w:pPr>
      <w:bookmarkStart w:id="8032" w:name="_Toc900032"/>
      <w:r>
        <w:t xml:space="preserve">9.2 What Keycloak does, and what we build</w:t>
      </w:r>
      <w:bookmarkEnd w:id="803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637"/>
        <w:gridCol w:w="3043"/>
        <w:gridCol w:w="3958"/>
      </w:tblGrid>
      <w:tr>
        <w:trPr>
          <w:cantSplit/>
          <w:tblHeader/>
        </w:trPr>
        <w:tc>
          <w:tcPr>
            <w:tcW w:type="dxa" w:w="263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Need</w:t>
            </w:r>
          </w:p>
        </w:tc>
        <w:tc>
          <w:tcPr>
            <w:tcW w:type="dxa" w:w="304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Keycloak 26+</w:t>
            </w:r>
          </w:p>
        </w:tc>
        <w:tc>
          <w:tcPr>
            <w:tcW w:type="dxa" w:w="395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We build</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Tenant login boundary and SSO per customer</w:t>
            </w:r>
          </w:p>
        </w:tc>
        <w:tc>
          <w:tcPr>
            <w:tcW w:type="dxa" w:w="3043"/>
            <w:tcMar>
              <w:top w:type="dxa" w:w="70"/>
              <w:left w:type="dxa" w:w="100"/>
              <w:bottom w:type="dxa" w:w="70"/>
              <w:right w:type="dxa" w:w="100"/>
            </w:tcMar>
            <w:vAlign w:val="top"/>
          </w:tcPr>
          <w:p>
            <w:pPr>
              <w:spacing w:after="0" w:line="252" w:lineRule="auto"/>
            </w:pPr>
            <w:r>
              <w:rPr>
                <w:sz w:val="18"/>
                <w:szCs w:val="18"/>
              </w:rPr>
              <w:t xml:space="preserve">Organizations inside one realm per region, with a linked IdP per organisation</w:t>
            </w:r>
          </w:p>
        </w:tc>
        <w:tc>
          <w:tcPr>
            <w:tcW w:type="dxa" w:w="3958"/>
            <w:tcMar>
              <w:top w:type="dxa" w:w="70"/>
              <w:left w:type="dxa" w:w="100"/>
              <w:bottom w:type="dxa" w:w="70"/>
              <w:right w:type="dxa" w:w="100"/>
            </w:tcMar>
            <w:vAlign w:val="top"/>
          </w:tcPr>
          <w:p>
            <w:pPr>
              <w:spacing w:after="0" w:line="252" w:lineRule="auto"/>
            </w:pPr>
            <w:r>
              <w:rPr>
                <w:sz w:val="18"/>
                <w:szCs w:val="18"/>
              </w:rPr>
              <w:t xml:space="preserve">Proof of concept at 2,000 organisations (section 15.3)</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Tenant-bound API tokens</w:t>
            </w:r>
          </w:p>
        </w:tc>
        <w:tc>
          <w:tcPr>
            <w:tcW w:type="dxa" w:w="3043"/>
            <w:tcMar>
              <w:top w:type="dxa" w:w="70"/>
              <w:left w:type="dxa" w:w="100"/>
              <w:bottom w:type="dxa" w:w="70"/>
              <w:right w:type="dxa" w:w="100"/>
            </w:tcMar>
            <w:vAlign w:val="top"/>
          </w:tcPr>
          <w:p>
            <w:pPr>
              <w:spacing w:after="0" w:line="252" w:lineRule="auto"/>
            </w:pPr>
            <w:r>
              <w:rPr>
                <w:sz w:val="18"/>
                <w:szCs w:val="18"/>
              </w:rPr>
              <w:t xml:space="preserve">Clients are realm-level, not organisation-level</w:t>
            </w:r>
          </w:p>
        </w:tc>
        <w:tc>
          <w:tcPr>
            <w:tcW w:type="dxa" w:w="3958"/>
            <w:tcMar>
              <w:top w:type="dxa" w:w="70"/>
              <w:left w:type="dxa" w:w="100"/>
              <w:bottom w:type="dxa" w:w="70"/>
              <w:right w:type="dxa" w:w="100"/>
            </w:tcMar>
            <w:vAlign w:val="top"/>
          </w:tcPr>
          <w:p>
            <w:pPr>
              <w:spacing w:after="0" w:line="252" w:lineRule="auto"/>
            </w:pPr>
            <w:r>
              <w:rPr>
                <w:sz w:val="18"/>
                <w:szCs w:val="18"/>
              </w:rPr>
              <w:t xml:space="preserve">A tenant attribute on each client and a protocol mapper that adds the tenant claim; tests that reject mismatches</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Partner app installation with admin consent</w:t>
            </w:r>
          </w:p>
        </w:tc>
        <w:tc>
          <w:tcPr>
            <w:tcW w:type="dxa" w:w="3043"/>
            <w:tcMar>
              <w:top w:type="dxa" w:w="70"/>
              <w:left w:type="dxa" w:w="100"/>
              <w:bottom w:type="dxa" w:w="70"/>
              <w:right w:type="dxa" w:w="100"/>
            </w:tcMar>
            <w:vAlign w:val="top"/>
          </w:tcPr>
          <w:p>
            <w:pPr>
              <w:spacing w:after="0" w:line="252" w:lineRule="auto"/>
            </w:pPr>
            <w:r>
              <w:rPr>
                <w:sz w:val="18"/>
                <w:szCs w:val="18"/>
              </w:rPr>
              <w:t xml:space="preserve">Consent is per user and client only</w:t>
            </w:r>
          </w:p>
        </w:tc>
        <w:tc>
          <w:tcPr>
            <w:tcW w:type="dxa" w:w="3958"/>
            <w:tcMar>
              <w:top w:type="dxa" w:w="70"/>
              <w:left w:type="dxa" w:w="100"/>
              <w:bottom w:type="dxa" w:w="70"/>
              <w:right w:type="dxa" w:w="100"/>
            </w:tcMar>
            <w:vAlign w:val="top"/>
          </w:tcPr>
          <w:p>
            <w:pPr>
              <w:spacing w:after="0" w:line="252" w:lineRule="auto"/>
            </w:pPr>
            <w:r>
              <w:rPr>
                <w:sz w:val="18"/>
                <w:szCs w:val="18"/>
              </w:rPr>
              <w:t xml:space="preserve">An </w:t>
            </w:r>
            <w:r>
              <w:rPr>
                <w:b/>
                <w:bCs/>
                <w:sz w:val="18"/>
                <w:szCs w:val="18"/>
              </w:rPr>
              <w:t xml:space="preserve">installation service</w:t>
            </w:r>
            <w:r>
              <w:rPr>
                <w:sz w:val="18"/>
                <w:szCs w:val="18"/>
              </w:rPr>
              <w:t xml:space="preserve">: admin consent screen, granted scopes and data scope per tenant, revocation that revokes every token the installation issued</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First-party versus third-party clients</w:t>
            </w:r>
          </w:p>
        </w:tc>
        <w:tc>
          <w:tcPr>
            <w:tcW w:type="dxa" w:w="3043"/>
            <w:tcMar>
              <w:top w:type="dxa" w:w="70"/>
              <w:left w:type="dxa" w:w="100"/>
              <w:bottom w:type="dxa" w:w="70"/>
              <w:right w:type="dxa" w:w="100"/>
            </w:tcMar>
            <w:vAlign w:val="top"/>
          </w:tcPr>
          <w:p>
            <w:pPr>
              <w:spacing w:after="0" w:line="252" w:lineRule="auto"/>
            </w:pPr>
            <w:r>
              <w:rPr>
                <w:sz w:val="18"/>
                <w:szCs w:val="18"/>
              </w:rPr>
              <w:t xml:space="preserve">Generic clients</w:t>
            </w:r>
          </w:p>
        </w:tc>
        <w:tc>
          <w:tcPr>
            <w:tcW w:type="dxa" w:w="3958"/>
            <w:tcMar>
              <w:top w:type="dxa" w:w="70"/>
              <w:left w:type="dxa" w:w="100"/>
              <w:bottom w:type="dxa" w:w="70"/>
              <w:right w:type="dxa" w:w="100"/>
            </w:tcMar>
            <w:vAlign w:val="top"/>
          </w:tcPr>
          <w:p>
            <w:pPr>
              <w:spacing w:after="0" w:line="252" w:lineRule="auto"/>
            </w:pPr>
            <w:r>
              <w:rPr>
                <w:sz w:val="18"/>
                <w:szCs w:val="18"/>
              </w:rPr>
              <w:t xml:space="preserve">A client class attribute used by the gateway for quotas</w:t>
            </w:r>
          </w:p>
        </w:tc>
      </w:tr>
    </w:tbl>
    <w:p>
      <w:pPr>
        <w:spacing w:after="160"/>
      </w:pPr>
    </w:p>
    <w:p>
      <w:pPr>
        <w:pBdr>
          <w:top w:val="single" w:color="D9B25F" w:sz="6" w:space="6"/>
          <w:bottom w:val="single" w:color="D9B25F" w:sz="6" w:space="6"/>
        </w:pBdr>
        <w:shd w:fill="FDF3DC" w:color="auto" w:val="clear"/>
        <w:spacing w:after="200" w:before="120"/>
      </w:pPr>
      <w:r>
        <w:rPr>
          <w:b/>
          <w:bCs/>
          <w:color w:val="7A4800"/>
        </w:rPr>
        <w:t xml:space="preserve">Decision gate.  </w:t>
      </w:r>
      <w:r>
        <w:t xml:space="preserve">If the proof of concept fails at the target organisation count, the same interfaces are tested against Zitadel and one managed CIAM before a decision (ADR-07).</w:t>
      </w:r>
    </w:p>
    <w:p>
      <w:pPr>
        <w:pStyle w:val="Heading2"/>
      </w:pPr>
      <w:bookmarkStart w:id="8033" w:name="_Toc900033"/>
      <w:r>
        <w:t xml:space="preserve">9.3 Authorization</w:t>
      </w:r>
      <w:bookmarkEnd w:id="803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521"/>
        <w:gridCol w:w="2637"/>
        <w:gridCol w:w="5480"/>
      </w:tblGrid>
      <w:tr>
        <w:trPr>
          <w:cantSplit/>
          <w:tblHeader/>
        </w:trPr>
        <w:tc>
          <w:tcPr>
            <w:tcW w:type="dxa" w:w="152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Layer</w:t>
            </w:r>
          </w:p>
        </w:tc>
        <w:tc>
          <w:tcPr>
            <w:tcW w:type="dxa" w:w="263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Question</w:t>
            </w:r>
          </w:p>
        </w:tc>
        <w:tc>
          <w:tcPr>
            <w:tcW w:type="dxa" w:w="548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Mechanism</w:t>
            </w:r>
          </w:p>
        </w:tc>
      </w:tr>
      <w:tr>
        <w:trPr>
          <w:cantSplit/>
          <w:tblHeader w:val="false"/>
        </w:trPr>
        <w:tc>
          <w:tcPr>
            <w:tcW w:type="dxa" w:w="1521"/>
            <w:tcMar>
              <w:top w:type="dxa" w:w="70"/>
              <w:left w:type="dxa" w:w="100"/>
              <w:bottom w:type="dxa" w:w="70"/>
              <w:right w:type="dxa" w:w="100"/>
            </w:tcMar>
            <w:vAlign w:val="top"/>
          </w:tcPr>
          <w:p>
            <w:pPr>
              <w:spacing w:after="0" w:line="252" w:lineRule="auto"/>
            </w:pPr>
            <w:r>
              <w:rPr>
                <w:b/>
                <w:bCs/>
                <w:color w:val="16222A"/>
                <w:sz w:val="18"/>
                <w:szCs w:val="18"/>
              </w:rPr>
              <w:t xml:space="preserve">Entitlement</w:t>
            </w:r>
          </w:p>
        </w:tc>
        <w:tc>
          <w:tcPr>
            <w:tcW w:type="dxa" w:w="2637"/>
            <w:tcMar>
              <w:top w:type="dxa" w:w="70"/>
              <w:left w:type="dxa" w:w="100"/>
              <w:bottom w:type="dxa" w:w="70"/>
              <w:right w:type="dxa" w:w="100"/>
            </w:tcMar>
            <w:vAlign w:val="top"/>
          </w:tcPr>
          <w:p>
            <w:pPr>
              <w:spacing w:after="0" w:line="252" w:lineRule="auto"/>
            </w:pPr>
            <w:r>
              <w:rPr>
                <w:sz w:val="18"/>
                <w:szCs w:val="18"/>
              </w:rPr>
              <w:t xml:space="preserve">Is the module licensed for this tenant?</w:t>
            </w:r>
          </w:p>
        </w:tc>
        <w:tc>
          <w:tcPr>
            <w:tcW w:type="dxa" w:w="5480"/>
            <w:tcMar>
              <w:top w:type="dxa" w:w="70"/>
              <w:left w:type="dxa" w:w="100"/>
              <w:bottom w:type="dxa" w:w="70"/>
              <w:right w:type="dxa" w:w="100"/>
            </w:tcMar>
            <w:vAlign w:val="top"/>
          </w:tcPr>
          <w:p>
            <w:pPr>
              <w:spacing w:after="0" w:line="252" w:lineRule="auto"/>
            </w:pPr>
            <w:r>
              <w:rPr>
                <w:sz w:val="18"/>
                <w:szCs w:val="18"/>
              </w:rPr>
              <w:t xml:space="preserve">Control-plane plan, cached as feature flags</w:t>
            </w:r>
          </w:p>
        </w:tc>
      </w:tr>
      <w:tr>
        <w:trPr>
          <w:cantSplit/>
          <w:tblHeader w:val="false"/>
        </w:trPr>
        <w:tc>
          <w:tcPr>
            <w:tcW w:type="dxa" w:w="1521"/>
            <w:tcMar>
              <w:top w:type="dxa" w:w="70"/>
              <w:left w:type="dxa" w:w="100"/>
              <w:bottom w:type="dxa" w:w="70"/>
              <w:right w:type="dxa" w:w="100"/>
            </w:tcMar>
            <w:vAlign w:val="top"/>
          </w:tcPr>
          <w:p>
            <w:pPr>
              <w:spacing w:after="0" w:line="252" w:lineRule="auto"/>
            </w:pPr>
            <w:r>
              <w:rPr>
                <w:b/>
                <w:bCs/>
                <w:color w:val="16222A"/>
                <w:sz w:val="18"/>
                <w:szCs w:val="18"/>
              </w:rPr>
              <w:t xml:space="preserve">Permission</w:t>
            </w:r>
          </w:p>
        </w:tc>
        <w:tc>
          <w:tcPr>
            <w:tcW w:type="dxa" w:w="2637"/>
            <w:tcMar>
              <w:top w:type="dxa" w:w="70"/>
              <w:left w:type="dxa" w:w="100"/>
              <w:bottom w:type="dxa" w:w="70"/>
              <w:right w:type="dxa" w:w="100"/>
            </w:tcMar>
            <w:vAlign w:val="top"/>
          </w:tcPr>
          <w:p>
            <w:pPr>
              <w:spacing w:after="0" w:line="252" w:lineRule="auto"/>
            </w:pPr>
            <w:r>
              <w:rPr>
                <w:sz w:val="18"/>
                <w:szCs w:val="18"/>
              </w:rPr>
              <w:t xml:space="preserve">May this role do this action?</w:t>
            </w:r>
          </w:p>
        </w:tc>
        <w:tc>
          <w:tcPr>
            <w:tcW w:type="dxa" w:w="5480"/>
            <w:tcMar>
              <w:top w:type="dxa" w:w="70"/>
              <w:left w:type="dxa" w:w="100"/>
              <w:bottom w:type="dxa" w:w="70"/>
              <w:right w:type="dxa" w:w="100"/>
            </w:tcMar>
            <w:vAlign w:val="top"/>
          </w:tcPr>
          <w:p>
            <w:pPr>
              <w:spacing w:after="0" w:line="252" w:lineRule="auto"/>
            </w:pPr>
            <w:r>
              <w:rPr>
                <w:sz w:val="18"/>
                <w:szCs w:val="18"/>
              </w:rPr>
              <w:t xml:space="preserve">Catalogue </w:t>
            </w:r>
            <w:r>
              <w:rPr>
                <w:rFonts w:ascii="Consolas" w:cs="Consolas" w:eastAsia="Consolas" w:hAnsi="Consolas"/>
                <w:color w:val="0B4F4F"/>
                <w:sz w:val="17"/>
                <w:szCs w:val="17"/>
              </w:rPr>
              <w:t xml:space="preserve">module.resource.action</w:t>
            </w:r>
            <w:r>
              <w:rPr>
                <w:sz w:val="18"/>
                <w:szCs w:val="18"/>
              </w:rPr>
              <w:t xml:space="preserve">; roles bundle permissions</w:t>
            </w:r>
          </w:p>
        </w:tc>
      </w:tr>
      <w:tr>
        <w:trPr>
          <w:cantSplit/>
          <w:tblHeader w:val="false"/>
        </w:trPr>
        <w:tc>
          <w:tcPr>
            <w:tcW w:type="dxa" w:w="1521"/>
            <w:tcMar>
              <w:top w:type="dxa" w:w="70"/>
              <w:left w:type="dxa" w:w="100"/>
              <w:bottom w:type="dxa" w:w="70"/>
              <w:right w:type="dxa" w:w="100"/>
            </w:tcMar>
            <w:vAlign w:val="top"/>
          </w:tcPr>
          <w:p>
            <w:pPr>
              <w:spacing w:after="0" w:line="252" w:lineRule="auto"/>
            </w:pPr>
            <w:r>
              <w:rPr>
                <w:b/>
                <w:bCs/>
                <w:color w:val="16222A"/>
                <w:sz w:val="18"/>
                <w:szCs w:val="18"/>
              </w:rPr>
              <w:t xml:space="preserve">Data scope</w:t>
            </w:r>
          </w:p>
        </w:tc>
        <w:tc>
          <w:tcPr>
            <w:tcW w:type="dxa" w:w="2637"/>
            <w:tcMar>
              <w:top w:type="dxa" w:w="70"/>
              <w:left w:type="dxa" w:w="100"/>
              <w:bottom w:type="dxa" w:w="70"/>
              <w:right w:type="dxa" w:w="100"/>
            </w:tcMar>
            <w:vAlign w:val="top"/>
          </w:tcPr>
          <w:p>
            <w:pPr>
              <w:spacing w:after="0" w:line="252" w:lineRule="auto"/>
            </w:pPr>
            <w:r>
              <w:rPr>
                <w:sz w:val="18"/>
                <w:szCs w:val="18"/>
              </w:rPr>
              <w:t xml:space="preserve">On which people and records?</w:t>
            </w:r>
          </w:p>
        </w:tc>
        <w:tc>
          <w:tcPr>
            <w:tcW w:type="dxa" w:w="5480"/>
            <w:tcMar>
              <w:top w:type="dxa" w:w="70"/>
              <w:left w:type="dxa" w:w="100"/>
              <w:bottom w:type="dxa" w:w="70"/>
              <w:right w:type="dxa" w:w="100"/>
            </w:tcMar>
            <w:vAlign w:val="top"/>
          </w:tcPr>
          <w:p>
            <w:pPr>
              <w:spacing w:after="0" w:line="252" w:lineRule="auto"/>
            </w:pPr>
            <w:r>
              <w:rPr>
                <w:sz w:val="18"/>
                <w:szCs w:val="18"/>
              </w:rPr>
              <w:t xml:space="preserve">Self, direct or all reports, org units, locations, legal entities, dynamic groups; </w:t>
            </w:r>
            <w:r>
              <w:rPr>
                <w:b/>
                <w:bCs/>
                <w:sz w:val="18"/>
                <w:szCs w:val="18"/>
              </w:rPr>
              <w:t xml:space="preserve">compiled into SQL predicates</w:t>
            </w:r>
          </w:p>
        </w:tc>
      </w:tr>
      <w:tr>
        <w:trPr>
          <w:cantSplit/>
          <w:tblHeader w:val="false"/>
        </w:trPr>
        <w:tc>
          <w:tcPr>
            <w:tcW w:type="dxa" w:w="1521"/>
            <w:tcMar>
              <w:top w:type="dxa" w:w="70"/>
              <w:left w:type="dxa" w:w="100"/>
              <w:bottom w:type="dxa" w:w="70"/>
              <w:right w:type="dxa" w:w="100"/>
            </w:tcMar>
            <w:vAlign w:val="top"/>
          </w:tcPr>
          <w:p>
            <w:pPr>
              <w:spacing w:after="0" w:line="252" w:lineRule="auto"/>
            </w:pPr>
            <w:r>
              <w:rPr>
                <w:b/>
                <w:bCs/>
                <w:color w:val="16222A"/>
                <w:sz w:val="18"/>
                <w:szCs w:val="18"/>
              </w:rPr>
              <w:t xml:space="preserve">Data class</w:t>
            </w:r>
          </w:p>
        </w:tc>
        <w:tc>
          <w:tcPr>
            <w:tcW w:type="dxa" w:w="2637"/>
            <w:tcMar>
              <w:top w:type="dxa" w:w="70"/>
              <w:left w:type="dxa" w:w="100"/>
              <w:bottom w:type="dxa" w:w="70"/>
              <w:right w:type="dxa" w:w="100"/>
            </w:tcMar>
            <w:vAlign w:val="top"/>
          </w:tcPr>
          <w:p>
            <w:pPr>
              <w:spacing w:after="0" w:line="252" w:lineRule="auto"/>
            </w:pPr>
            <w:r>
              <w:rPr>
                <w:sz w:val="18"/>
                <w:szCs w:val="18"/>
              </w:rPr>
              <w:t xml:space="preserve">Which fields?</w:t>
            </w:r>
          </w:p>
        </w:tc>
        <w:tc>
          <w:tcPr>
            <w:tcW w:type="dxa" w:w="5480"/>
            <w:tcMar>
              <w:top w:type="dxa" w:w="70"/>
              <w:left w:type="dxa" w:w="100"/>
              <w:bottom w:type="dxa" w:w="70"/>
              <w:right w:type="dxa" w:w="100"/>
            </w:tcMar>
            <w:vAlign w:val="top"/>
          </w:tcPr>
          <w:p>
            <w:pPr>
              <w:spacing w:after="0" w:line="252" w:lineRule="auto"/>
            </w:pPr>
            <w:r>
              <w:rPr>
                <w:sz w:val="18"/>
                <w:szCs w:val="18"/>
              </w:rPr>
              <w:t xml:space="preserve">Class grants per role; one serialiser trims API responses, exports, notifications and search documents</w:t>
            </w:r>
          </w:p>
        </w:tc>
      </w:tr>
      <w:tr>
        <w:trPr>
          <w:cantSplit/>
          <w:tblHeader w:val="false"/>
        </w:trPr>
        <w:tc>
          <w:tcPr>
            <w:tcW w:type="dxa" w:w="1521"/>
            <w:tcMar>
              <w:top w:type="dxa" w:w="70"/>
              <w:left w:type="dxa" w:w="100"/>
              <w:bottom w:type="dxa" w:w="70"/>
              <w:right w:type="dxa" w:w="100"/>
            </w:tcMar>
            <w:vAlign w:val="top"/>
          </w:tcPr>
          <w:p>
            <w:pPr>
              <w:spacing w:after="0" w:line="252" w:lineRule="auto"/>
            </w:pPr>
            <w:r>
              <w:rPr>
                <w:b/>
                <w:bCs/>
                <w:color w:val="16222A"/>
                <w:sz w:val="18"/>
                <w:szCs w:val="18"/>
              </w:rPr>
              <w:t xml:space="preserve">Conditions</w:t>
            </w:r>
          </w:p>
        </w:tc>
        <w:tc>
          <w:tcPr>
            <w:tcW w:type="dxa" w:w="2637"/>
            <w:tcMar>
              <w:top w:type="dxa" w:w="70"/>
              <w:left w:type="dxa" w:w="100"/>
              <w:bottom w:type="dxa" w:w="70"/>
              <w:right w:type="dxa" w:w="100"/>
            </w:tcMar>
            <w:vAlign w:val="top"/>
          </w:tcPr>
          <w:p>
            <w:pPr>
              <w:spacing w:after="0" w:line="252" w:lineRule="auto"/>
            </w:pPr>
            <w:r>
              <w:rPr>
                <w:sz w:val="18"/>
                <w:szCs w:val="18"/>
              </w:rPr>
              <w:t xml:space="preserve">Under what circumstances?</w:t>
            </w:r>
          </w:p>
        </w:tc>
        <w:tc>
          <w:tcPr>
            <w:tcW w:type="dxa" w:w="5480"/>
            <w:tcMar>
              <w:top w:type="dxa" w:w="70"/>
              <w:left w:type="dxa" w:w="100"/>
              <w:bottom w:type="dxa" w:w="70"/>
              <w:right w:type="dxa" w:w="100"/>
            </w:tcMar>
            <w:vAlign w:val="top"/>
          </w:tcPr>
          <w:p>
            <w:pPr>
              <w:spacing w:after="0" w:line="252" w:lineRule="auto"/>
            </w:pPr>
            <w:r>
              <w:rPr>
                <w:sz w:val="18"/>
                <w:szCs w:val="18"/>
              </w:rPr>
              <w:t xml:space="preserve">CEL rules: no self-approval, maker ≠ checker, closed periods, delegation windows</w:t>
            </w:r>
          </w:p>
        </w:tc>
      </w:tr>
    </w:tbl>
    <w:p>
      <w:pPr>
        <w:spacing w:after="160"/>
      </w:pPr>
    </w:p>
    <w:p>
      <w:pPr>
        <w:pStyle w:val="ListParagraph"/>
        <w:numPr>
          <w:ilvl w:val="0"/>
          <w:numId w:val="2"/>
        </w:numPr>
        <w:spacing w:after="60"/>
      </w:pPr>
      <w:r>
        <w:rPr>
          <w:b/>
          <w:bCs/>
        </w:rPr>
        <w:t xml:space="preserve">Apps are scoped like people.</w:t>
      </w:r>
      <w:r>
        <w:t xml:space="preserve"> A client-credentials app or partner installation carries OAuth scopes </w:t>
      </w:r>
      <w:r>
        <w:rPr>
          <w:b/>
          <w:bCs/>
        </w:rPr>
        <w:t xml:space="preserve">and</w:t>
      </w:r>
      <w:r>
        <w:t xml:space="preserve"> a data scope (legal entities, locations, groups) </w:t>
      </w:r>
      <w:r>
        <w:rPr>
          <w:b/>
          <w:bCs/>
        </w:rPr>
        <w:t xml:space="preserve">and</w:t>
      </w:r>
      <w:r>
        <w:t xml:space="preserve"> class limits, shown on the consent screen and enforced by the same compiled predicates.</w:t>
      </w:r>
    </w:p>
    <w:p>
      <w:pPr>
        <w:pStyle w:val="ListParagraph"/>
        <w:numPr>
          <w:ilvl w:val="0"/>
          <w:numId w:val="2"/>
        </w:numPr>
        <w:spacing w:after="60"/>
      </w:pPr>
      <w:r>
        <w:rPr>
          <w:b/>
          <w:bCs/>
        </w:rPr>
        <w:t xml:space="preserve">Revocation is synchronous.</w:t>
      </w:r>
      <w:r>
        <w:t xml:space="preserve"> Removing a role, scope or installation invalidates the caches in the same transaction (version stamp checked per request). Granting access may propagate within seconds.</w:t>
      </w:r>
    </w:p>
    <w:p>
      <w:pPr>
        <w:pStyle w:val="ListParagraph"/>
        <w:numPr>
          <w:ilvl w:val="0"/>
          <w:numId w:val="2"/>
        </w:numPr>
        <w:spacing w:after="60"/>
      </w:pPr>
      <w:r>
        <w:rPr>
          <w:b/>
          <w:bCs/>
        </w:rPr>
        <w:t xml:space="preserve">Visibility sets</w:t>
      </w:r>
      <w:r>
        <w:t xml:space="preserve"> for hierarchies come from closure tables and are refreshed by events. Search filters by allowed org-unit and location IDs at query time, so a reorganisation needs no reindex.</w:t>
      </w:r>
    </w:p>
    <w:p>
      <w:pPr>
        <w:pStyle w:val="ListParagraph"/>
        <w:numPr>
          <w:ilvl w:val="0"/>
          <w:numId w:val="2"/>
        </w:numPr>
        <w:spacing w:after="60"/>
      </w:pPr>
      <w:r>
        <w:rPr>
          <w:b/>
          <w:bCs/>
        </w:rPr>
        <w:t xml:space="preserve">Access reviews:</w:t>
      </w:r>
      <w:r>
        <w:t xml:space="preserve"> quarterly certification of roles and scopes per tenant. The access matrix is tenant data, and changing it is an approvable action.</w:t>
      </w:r>
    </w:p>
    <w:p>
      <w:pPr>
        <w:keepNext/>
        <w:spacing w:after="80" w:before="120"/>
      </w:pPr>
      <w:r>
        <w:rPr>
          <w:b/>
          <w:bCs/>
          <w:color w:val="4F5E67"/>
          <w:sz w:val="18"/>
          <w:szCs w:val="18"/>
        </w:rPr>
        <w:t xml:space="preserve">Table 10. Default role templates (SURAJ Group sign-off becomes the default)</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434"/>
        <w:gridCol w:w="3043"/>
        <w:gridCol w:w="4161"/>
      </w:tblGrid>
      <w:tr>
        <w:trPr>
          <w:cantSplit/>
          <w:tblHeader/>
        </w:trPr>
        <w:tc>
          <w:tcPr>
            <w:tcW w:type="dxa" w:w="243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Role template (§3)</w:t>
            </w:r>
          </w:p>
        </w:tc>
        <w:tc>
          <w:tcPr>
            <w:tcW w:type="dxa" w:w="304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Default data scope</w:t>
            </w:r>
          </w:p>
        </w:tc>
        <w:tc>
          <w:tcPr>
            <w:tcW w:type="dxa" w:w="416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Data classes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Management</w:t>
            </w:r>
          </w:p>
        </w:tc>
        <w:tc>
          <w:tcPr>
            <w:tcW w:type="dxa" w:w="3043"/>
            <w:tcMar>
              <w:top w:type="dxa" w:w="70"/>
              <w:left w:type="dxa" w:w="100"/>
              <w:bottom w:type="dxa" w:w="70"/>
              <w:right w:type="dxa" w:w="100"/>
            </w:tcMar>
            <w:vAlign w:val="top"/>
          </w:tcPr>
          <w:p>
            <w:pPr>
              <w:spacing w:after="0" w:line="252" w:lineRule="auto"/>
            </w:pPr>
            <w:r>
              <w:rPr>
                <w:sz w:val="18"/>
                <w:szCs w:val="18"/>
              </w:rPr>
              <w:t xml:space="preserve">Entity group or legal entities</w:t>
            </w:r>
          </w:p>
        </w:tc>
        <w:tc>
          <w:tcPr>
            <w:tcW w:type="dxa" w:w="4161"/>
            <w:tcMar>
              <w:top w:type="dxa" w:w="70"/>
              <w:left w:type="dxa" w:w="100"/>
              <w:bottom w:type="dxa" w:w="70"/>
              <w:right w:type="dxa" w:w="100"/>
            </w:tcMar>
            <w:vAlign w:val="top"/>
          </w:tcPr>
          <w:p>
            <w:pPr>
              <w:spacing w:after="0" w:line="252" w:lineRule="auto"/>
            </w:pPr>
            <w:r>
              <w:rPr>
                <w:sz w:val="18"/>
                <w:szCs w:val="18"/>
              </w:rPr>
              <w:t xml:space="preserve">Directory; aggregates only for Financial</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HR Head / Manager</w:t>
            </w:r>
          </w:p>
        </w:tc>
        <w:tc>
          <w:tcPr>
            <w:tcW w:type="dxa" w:w="3043"/>
            <w:tcMar>
              <w:top w:type="dxa" w:w="70"/>
              <w:left w:type="dxa" w:w="100"/>
              <w:bottom w:type="dxa" w:w="70"/>
              <w:right w:type="dxa" w:w="100"/>
            </w:tcMar>
            <w:vAlign w:val="top"/>
          </w:tcPr>
          <w:p>
            <w:pPr>
              <w:spacing w:after="0" w:line="252" w:lineRule="auto"/>
            </w:pPr>
            <w:r>
              <w:rPr>
                <w:sz w:val="18"/>
                <w:szCs w:val="18"/>
              </w:rPr>
              <w:t xml:space="preserve">Legal entities</w:t>
            </w:r>
          </w:p>
        </w:tc>
        <w:tc>
          <w:tcPr>
            <w:tcW w:type="dxa" w:w="4161"/>
            <w:tcMar>
              <w:top w:type="dxa" w:w="70"/>
              <w:left w:type="dxa" w:w="100"/>
              <w:bottom w:type="dxa" w:w="70"/>
              <w:right w:type="dxa" w:w="100"/>
            </w:tcMar>
            <w:vAlign w:val="top"/>
          </w:tcPr>
          <w:p>
            <w:pPr>
              <w:spacing w:after="0" w:line="252" w:lineRule="auto"/>
            </w:pPr>
            <w:r>
              <w:rPr>
                <w:sz w:val="18"/>
                <w:szCs w:val="18"/>
              </w:rPr>
              <w:t xml:space="preserve">Directory, Personal, Identity, Financial (read), named Case</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HR Executive</w:t>
            </w:r>
          </w:p>
        </w:tc>
        <w:tc>
          <w:tcPr>
            <w:tcW w:type="dxa" w:w="3043"/>
            <w:tcMar>
              <w:top w:type="dxa" w:w="70"/>
              <w:left w:type="dxa" w:w="100"/>
              <w:bottom w:type="dxa" w:w="70"/>
              <w:right w:type="dxa" w:w="100"/>
            </w:tcMar>
            <w:vAlign w:val="top"/>
          </w:tcPr>
          <w:p>
            <w:pPr>
              <w:spacing w:after="0" w:line="252" w:lineRule="auto"/>
            </w:pPr>
            <w:r>
              <w:rPr>
                <w:sz w:val="18"/>
                <w:szCs w:val="18"/>
              </w:rPr>
              <w:t xml:space="preserve">Assigned locations or org units</w:t>
            </w:r>
          </w:p>
        </w:tc>
        <w:tc>
          <w:tcPr>
            <w:tcW w:type="dxa" w:w="4161"/>
            <w:tcMar>
              <w:top w:type="dxa" w:w="70"/>
              <w:left w:type="dxa" w:w="100"/>
              <w:bottom w:type="dxa" w:w="70"/>
              <w:right w:type="dxa" w:w="100"/>
            </w:tcMar>
            <w:vAlign w:val="top"/>
          </w:tcPr>
          <w:p>
            <w:pPr>
              <w:spacing w:after="0" w:line="252" w:lineRule="auto"/>
            </w:pPr>
            <w:r>
              <w:rPr>
                <w:sz w:val="18"/>
                <w:szCs w:val="18"/>
              </w:rPr>
              <w:t xml:space="preserve">Directory, Personal, Identity</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Department Manager</w:t>
            </w:r>
          </w:p>
        </w:tc>
        <w:tc>
          <w:tcPr>
            <w:tcW w:type="dxa" w:w="3043"/>
            <w:tcMar>
              <w:top w:type="dxa" w:w="70"/>
              <w:left w:type="dxa" w:w="100"/>
              <w:bottom w:type="dxa" w:w="70"/>
              <w:right w:type="dxa" w:w="100"/>
            </w:tcMar>
            <w:vAlign w:val="top"/>
          </w:tcPr>
          <w:p>
            <w:pPr>
              <w:spacing w:after="0" w:line="252" w:lineRule="auto"/>
            </w:pPr>
            <w:r>
              <w:rPr>
                <w:sz w:val="18"/>
                <w:szCs w:val="18"/>
              </w:rPr>
              <w:t xml:space="preserve">All reports</w:t>
            </w:r>
          </w:p>
        </w:tc>
        <w:tc>
          <w:tcPr>
            <w:tcW w:type="dxa" w:w="4161"/>
            <w:tcMar>
              <w:top w:type="dxa" w:w="70"/>
              <w:left w:type="dxa" w:w="100"/>
              <w:bottom w:type="dxa" w:w="70"/>
              <w:right w:type="dxa" w:w="100"/>
            </w:tcMar>
            <w:vAlign w:val="top"/>
          </w:tcPr>
          <w:p>
            <w:pPr>
              <w:spacing w:after="0" w:line="252" w:lineRule="auto"/>
            </w:pPr>
            <w:r>
              <w:rPr>
                <w:sz w:val="18"/>
                <w:szCs w:val="18"/>
              </w:rPr>
              <w:t xml:space="preserve">Directory, limited Personal</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Employee</w:t>
            </w:r>
          </w:p>
        </w:tc>
        <w:tc>
          <w:tcPr>
            <w:tcW w:type="dxa" w:w="3043"/>
            <w:tcMar>
              <w:top w:type="dxa" w:w="70"/>
              <w:left w:type="dxa" w:w="100"/>
              <w:bottom w:type="dxa" w:w="70"/>
              <w:right w:type="dxa" w:w="100"/>
            </w:tcMar>
            <w:vAlign w:val="top"/>
          </w:tcPr>
          <w:p>
            <w:pPr>
              <w:spacing w:after="0" w:line="252" w:lineRule="auto"/>
            </w:pPr>
            <w:r>
              <w:rPr>
                <w:sz w:val="18"/>
                <w:szCs w:val="18"/>
              </w:rPr>
              <w:t xml:space="preserve">Self</w:t>
            </w:r>
          </w:p>
        </w:tc>
        <w:tc>
          <w:tcPr>
            <w:tcW w:type="dxa" w:w="4161"/>
            <w:tcMar>
              <w:top w:type="dxa" w:w="70"/>
              <w:left w:type="dxa" w:w="100"/>
              <w:bottom w:type="dxa" w:w="70"/>
              <w:right w:type="dxa" w:w="100"/>
            </w:tcMar>
            <w:vAlign w:val="top"/>
          </w:tcPr>
          <w:p>
            <w:pPr>
              <w:spacing w:after="0" w:line="252" w:lineRule="auto"/>
            </w:pPr>
            <w:r>
              <w:rPr>
                <w:sz w:val="18"/>
                <w:szCs w:val="18"/>
              </w:rPr>
              <w:t xml:space="preserve">All own data (read); corrections by request</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Accounts / Payroll</w:t>
            </w:r>
          </w:p>
        </w:tc>
        <w:tc>
          <w:tcPr>
            <w:tcW w:type="dxa" w:w="3043"/>
            <w:tcMar>
              <w:top w:type="dxa" w:w="70"/>
              <w:left w:type="dxa" w:w="100"/>
              <w:bottom w:type="dxa" w:w="70"/>
              <w:right w:type="dxa" w:w="100"/>
            </w:tcMar>
            <w:vAlign w:val="top"/>
          </w:tcPr>
          <w:p>
            <w:pPr>
              <w:spacing w:after="0" w:line="252" w:lineRule="auto"/>
            </w:pPr>
            <w:r>
              <w:rPr>
                <w:sz w:val="18"/>
                <w:szCs w:val="18"/>
              </w:rPr>
              <w:t xml:space="preserve">Legal entities or pay groups</w:t>
            </w:r>
          </w:p>
        </w:tc>
        <w:tc>
          <w:tcPr>
            <w:tcW w:type="dxa" w:w="4161"/>
            <w:tcMar>
              <w:top w:type="dxa" w:w="70"/>
              <w:left w:type="dxa" w:w="100"/>
              <w:bottom w:type="dxa" w:w="70"/>
              <w:right w:type="dxa" w:w="100"/>
            </w:tcMar>
            <w:vAlign w:val="top"/>
          </w:tcPr>
          <w:p>
            <w:pPr>
              <w:spacing w:after="0" w:line="252" w:lineRule="auto"/>
            </w:pPr>
            <w:r>
              <w:rPr>
                <w:sz w:val="18"/>
                <w:szCs w:val="18"/>
              </w:rPr>
              <w:t xml:space="preserve">Directory, Financial, Identity</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Admin / IT</w:t>
            </w:r>
          </w:p>
        </w:tc>
        <w:tc>
          <w:tcPr>
            <w:tcW w:type="dxa" w:w="3043"/>
            <w:tcMar>
              <w:top w:type="dxa" w:w="70"/>
              <w:left w:type="dxa" w:w="100"/>
              <w:bottom w:type="dxa" w:w="70"/>
              <w:right w:type="dxa" w:w="100"/>
            </w:tcMar>
            <w:vAlign w:val="top"/>
          </w:tcPr>
          <w:p>
            <w:pPr>
              <w:spacing w:after="0" w:line="252" w:lineRule="auto"/>
            </w:pPr>
            <w:r>
              <w:rPr>
                <w:sz w:val="18"/>
                <w:szCs w:val="18"/>
              </w:rPr>
              <w:t xml:space="preserve">Locations</w:t>
            </w:r>
          </w:p>
        </w:tc>
        <w:tc>
          <w:tcPr>
            <w:tcW w:type="dxa" w:w="4161"/>
            <w:tcMar>
              <w:top w:type="dxa" w:w="70"/>
              <w:left w:type="dxa" w:w="100"/>
              <w:bottom w:type="dxa" w:w="70"/>
              <w:right w:type="dxa" w:w="100"/>
            </w:tcMar>
            <w:vAlign w:val="top"/>
          </w:tcPr>
          <w:p>
            <w:pPr>
              <w:spacing w:after="0" w:line="252" w:lineRule="auto"/>
            </w:pPr>
            <w:r>
              <w:rPr>
                <w:sz w:val="18"/>
                <w:szCs w:val="18"/>
              </w:rPr>
              <w:t xml:space="preserve">Directory; assets and clearance items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Tenant administrator</w:t>
            </w:r>
          </w:p>
        </w:tc>
        <w:tc>
          <w:tcPr>
            <w:tcW w:type="dxa" w:w="3043"/>
            <w:tcMar>
              <w:top w:type="dxa" w:w="70"/>
              <w:left w:type="dxa" w:w="100"/>
              <w:bottom w:type="dxa" w:w="70"/>
              <w:right w:type="dxa" w:w="100"/>
            </w:tcMar>
            <w:vAlign w:val="top"/>
          </w:tcPr>
          <w:p>
            <w:pPr>
              <w:spacing w:after="0" w:line="252" w:lineRule="auto"/>
            </w:pPr>
            <w:r>
              <w:rPr>
                <w:sz w:val="18"/>
                <w:szCs w:val="18"/>
              </w:rPr>
              <w:t xml:space="preserve">Configuration</w:t>
            </w:r>
          </w:p>
        </w:tc>
        <w:tc>
          <w:tcPr>
            <w:tcW w:type="dxa" w:w="4161"/>
            <w:tcMar>
              <w:top w:type="dxa" w:w="70"/>
              <w:left w:type="dxa" w:w="100"/>
              <w:bottom w:type="dxa" w:w="70"/>
              <w:right w:type="dxa" w:w="100"/>
            </w:tcMar>
            <w:vAlign w:val="top"/>
          </w:tcPr>
          <w:p>
            <w:pPr>
              <w:spacing w:after="0" w:line="252" w:lineRule="auto"/>
            </w:pPr>
            <w:r>
              <w:rPr>
                <w:sz w:val="18"/>
                <w:szCs w:val="18"/>
              </w:rPr>
              <w:t xml:space="preserve">No employee data by default</w:t>
            </w:r>
          </w:p>
        </w:tc>
      </w:tr>
    </w:tbl>
    <w:p>
      <w:pPr>
        <w:spacing w:after="160"/>
      </w:pPr>
    </w:p>
    <w:p>
      <w:pPr>
        <w:pStyle w:val="Heading1"/>
        <w:pageBreakBefore/>
      </w:pPr>
      <w:bookmarkStart w:id="8034" w:name="_Toc900034"/>
      <w:r>
        <w:t xml:space="preserve">10. Workflows, rules and obligations</w:t>
      </w:r>
      <w:bookmarkEnd w:id="8034"/>
    </w:p>
    <w:p>
      <w:pPr>
        <w:pStyle w:val="Heading2"/>
      </w:pPr>
      <w:bookmarkStart w:id="8035" w:name="_Toc900035"/>
      <w:r>
        <w:t xml:space="preserve">10.1 Approval engine</w:t>
      </w:r>
      <w:bookmarkEnd w:id="8035"/>
    </w:p>
    <w:p>
      <w:pPr>
        <w:keepNext/>
        <w:spacing w:after="60" w:before="120" w:line="240" w:lineRule="auto"/>
        <w:jc w:val="center"/>
      </w:pPr>
      <w:r>
        <w:drawing>
          <wp:inline distT="0" distB="0" distL="0" distR="0">
            <wp:extent cx="6096000" cy="3476625"/>
            <wp:effectExtent t="0" r="0" b="0" l="0"/>
            <wp:docPr id="1" name="p12-seq-leave" descr="A leave approval. Every approvable process follows the same path: definition, task, timers, decision, apply." title="A leave approval. Every approvable process follows the same path: definition, task, timers, decision,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476625"/>
                    </a:xfrm>
                    <a:prstGeom prst="rect">
                      <a:avLst/>
                    </a:prstGeom>
                  </pic:spPr>
                </pic:pic>
              </a:graphicData>
            </a:graphic>
          </wp:inline>
        </w:drawing>
      </w:r>
    </w:p>
    <w:p>
      <w:pPr>
        <w:pStyle w:val="Caption"/>
        <w:jc w:val="left"/>
      </w:pPr>
      <w:r>
        <w:rPr>
          <w:b/>
          <w:bCs/>
        </w:rPr>
        <w:t xml:space="preserve">Figure 10. </w:t>
      </w:r>
      <w:r>
        <w:t xml:space="preserve">A leave approval. Every approvable process follows the same path: definition, task, timers, decision, apply.</w:t>
      </w:r>
    </w:p>
    <w:p>
      <w:pPr>
        <w:pStyle w:val="ListParagraph"/>
        <w:numPr>
          <w:ilvl w:val="0"/>
          <w:numId w:val="2"/>
        </w:numPr>
        <w:spacing w:after="60"/>
      </w:pPr>
      <w:r>
        <w:rPr>
          <w:b/>
          <w:bCs/>
        </w:rPr>
        <w:t xml:space="preserve">Definitions are data,</w:t>
      </w:r>
      <w:r>
        <w:t xml:space="preserve"> versioned per tenant and process: steps (sequential or parallel), approver resolvers (line manager, n-th manager, unit head, role within scope, named user, expression), conditions, SLAs, escalation, delegation and segregation-of-duties rules. In-flight instances stay on the version they started with.</w:t>
      </w:r>
    </w:p>
    <w:p>
      <w:pPr>
        <w:pStyle w:val="ListParagraph"/>
        <w:numPr>
          <w:ilvl w:val="0"/>
          <w:numId w:val="2"/>
        </w:numPr>
        <w:spacing w:after="60"/>
      </w:pPr>
      <w:r>
        <w:rPr>
          <w:b/>
          <w:bCs/>
        </w:rPr>
        <w:t xml:space="preserve">Runtime:</w:t>
      </w:r>
      <w:r>
        <w:t xml:space="preserve"> instance state in PostgreSQL; reminders, escalations and scheduled effective dates run on db-scheduler; tasks appear in the Action Centre and the mobile app.</w:t>
      </w:r>
    </w:p>
    <w:p>
      <w:pPr>
        <w:pStyle w:val="ListParagraph"/>
        <w:numPr>
          <w:ilvl w:val="0"/>
          <w:numId w:val="2"/>
        </w:numPr>
        <w:spacing w:after="60"/>
      </w:pPr>
      <w:r>
        <w:rPr>
          <w:b/>
          <w:bCs/>
        </w:rPr>
        <w:t xml:space="preserve">Edge cases handled:</w:t>
      </w:r>
      <w:r>
        <w:t xml:space="preserve"> approver leaves (re-resolve), no manager (fallback to HR plus an early data-quality alert), reorganisation in flight (resolve as of decision date), email approvals (signed, single-use, never for Financial items).</w:t>
      </w:r>
    </w:p>
    <w:p>
      <w:pPr>
        <w:pStyle w:val="Heading2"/>
      </w:pPr>
      <w:bookmarkStart w:id="8036" w:name="_Toc900036"/>
      <w:r>
        <w:t xml:space="preserve">10.2 Configuration layers</w:t>
      </w:r>
      <w:bookmarkEnd w:id="8036"/>
    </w:p>
    <w:p>
      <w:pPr>
        <w:keepNext/>
        <w:spacing w:after="60" w:before="120" w:line="240" w:lineRule="auto"/>
        <w:jc w:val="center"/>
      </w:pPr>
      <w:r>
        <w:drawing>
          <wp:inline distT="0" distB="0" distL="0" distR="0">
            <wp:extent cx="6096000" cy="3324225"/>
            <wp:effectExtent t="0" r="0" b="0" l="0"/>
            <wp:docPr id="1" name="p06-config" descr="Configuration resolves from general to specific; the most specific published value wins." title="Configuration resolves from general to specific; the most specific published value 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324225"/>
                    </a:xfrm>
                    <a:prstGeom prst="rect">
                      <a:avLst/>
                    </a:prstGeom>
                  </pic:spPr>
                </pic:pic>
              </a:graphicData>
            </a:graphic>
          </wp:inline>
        </w:drawing>
      </w:r>
    </w:p>
    <w:p>
      <w:pPr>
        <w:pStyle w:val="Caption"/>
        <w:jc w:val="left"/>
      </w:pPr>
      <w:r>
        <w:rPr>
          <w:b/>
          <w:bCs/>
        </w:rPr>
        <w:t xml:space="preserve">Figure 11. </w:t>
      </w:r>
      <w:r>
        <w:t xml:space="preserve">Configuration resolves from general to specific; the most specific published value wins.</w:t>
      </w:r>
    </w:p>
    <w:p>
      <w:pPr>
        <w:pStyle w:val="ListParagraph"/>
        <w:numPr>
          <w:ilvl w:val="0"/>
          <w:numId w:val="2"/>
        </w:numPr>
        <w:spacing w:after="60"/>
      </w:pPr>
      <w:r>
        <w:t xml:space="preserve">Layers: platform default → country pack → industry pack → tenant → entity group → legal entity → location → org unit → employee group.</w:t>
      </w:r>
    </w:p>
    <w:p>
      <w:pPr>
        <w:pStyle w:val="ListParagraph"/>
        <w:numPr>
          <w:ilvl w:val="0"/>
          <w:numId w:val="2"/>
        </w:numPr>
        <w:spacing w:after="60"/>
      </w:pPr>
      <w:r>
        <w:t xml:space="preserve">Every configuration object is typed, scoped, effective-dated, versioned (draft, published, retired), audited and optionally approved. A higher layer can lock a value.</w:t>
      </w:r>
    </w:p>
    <w:p>
      <w:pPr>
        <w:pStyle w:val="ListParagraph"/>
        <w:numPr>
          <w:ilvl w:val="0"/>
          <w:numId w:val="2"/>
        </w:numPr>
        <w:spacing w:after="60"/>
      </w:pPr>
      <w:r>
        <w:rPr>
          <w:b/>
          <w:bCs/>
        </w:rPr>
        <w:t xml:space="preserve">Simulation before publishing</w:t>
      </w:r>
      <w:r>
        <w:t xml:space="preserve"> shows the impact on sample employees.</w:t>
      </w:r>
    </w:p>
    <w:p>
      <w:pPr>
        <w:pStyle w:val="ListParagraph"/>
        <w:numPr>
          <w:ilvl w:val="0"/>
          <w:numId w:val="2"/>
        </w:numPr>
        <w:spacing w:after="60"/>
      </w:pPr>
      <w:r>
        <w:rPr>
          <w:b/>
          <w:bCs/>
        </w:rPr>
        <w:t xml:space="preserve">"Explain value"</w:t>
      </w:r>
      <w:r>
        <w:t xml:space="preserve"> shows HR the chain that produced any value, for example why an employee gets 5 minutes' grace.</w:t>
      </w:r>
    </w:p>
    <w:p>
      <w:pPr>
        <w:pStyle w:val="ListParagraph"/>
        <w:numPr>
          <w:ilvl w:val="0"/>
          <w:numId w:val="2"/>
        </w:numPr>
        <w:spacing w:after="60"/>
      </w:pPr>
      <w:r>
        <w:rPr>
          <w:b/>
          <w:bCs/>
        </w:rPr>
        <w:t xml:space="preserve">Configuration regression tests:</w:t>
      </w:r>
      <w:r>
        <w:t xml:space="preserve"> before each release, every tenant's published configuration is replayed through the policy test suite.</w:t>
      </w:r>
    </w:p>
    <w:p>
      <w:pPr>
        <w:pStyle w:val="ListParagraph"/>
        <w:numPr>
          <w:ilvl w:val="0"/>
          <w:numId w:val="2"/>
        </w:numPr>
        <w:spacing w:after="60"/>
      </w:pPr>
      <w:r>
        <w:t xml:space="preserve">Configuration moves between sandbox and production as versioned bundles.</w:t>
      </w:r>
    </w:p>
    <w:p>
      <w:pPr>
        <w:pStyle w:val="Heading2"/>
      </w:pPr>
      <w:bookmarkStart w:id="8037" w:name="_Toc900037"/>
      <w:r>
        <w:t xml:space="preserve">10.3 Obligations and exceptions</w:t>
      </w:r>
      <w:bookmarkEnd w:id="8037"/>
    </w:p>
    <w:p>
      <w:pPr>
        <w:pStyle w:val="ListParagraph"/>
        <w:numPr>
          <w:ilvl w:val="0"/>
          <w:numId w:val="2"/>
        </w:numPr>
        <w:spacing w:after="60"/>
      </w:pPr>
      <w:r>
        <w:rPr>
          <w:b/>
          <w:bCs/>
        </w:rPr>
        <w:t xml:space="preserve">Obligations</w:t>
      </w:r>
      <w:r>
        <w:t xml:space="preserve"> (probation due, contract end, document expiry, notice end, clearance item, compliance filing, request SLA) are generated by rules from data and recomputed on events. For example, when the last working day changes, clearance dates move.</w:t>
      </w:r>
    </w:p>
    <w:p>
      <w:pPr>
        <w:pStyle w:val="ListParagraph"/>
        <w:numPr>
          <w:ilvl w:val="0"/>
          <w:numId w:val="2"/>
        </w:numPr>
        <w:spacing w:after="60"/>
      </w:pPr>
      <w:r>
        <w:rPr>
          <w:b/>
          <w:bCs/>
        </w:rPr>
        <w:t xml:space="preserve">Reminders</w:t>
      </w:r>
      <w:r>
        <w:t xml:space="preserve"> use configurable offsets (the 30/15/7-day defaults of §14 and §26), recipients by role within scope, channels and escalation. Overdue items stay until done or closed by an approved exception.</w:t>
      </w:r>
    </w:p>
    <w:p>
      <w:pPr>
        <w:pStyle w:val="ListParagraph"/>
        <w:numPr>
          <w:ilvl w:val="0"/>
          <w:numId w:val="2"/>
        </w:numPr>
        <w:spacing w:after="60"/>
      </w:pPr>
      <w:r>
        <w:rPr>
          <w:b/>
          <w:bCs/>
        </w:rPr>
        <w:t xml:space="preserve">Exceptions</w:t>
      </w:r>
      <w:r>
        <w:t xml:space="preserve"> are one platform record (rule bypassed, reason, evidence, approver, expiry), used by compliance, clearance, onboarding, leave and period corrections.</w:t>
      </w:r>
    </w:p>
    <w:p>
      <w:pPr>
        <w:pStyle w:val="Heading1"/>
        <w:pageBreakBefore/>
      </w:pPr>
      <w:bookmarkStart w:id="8038" w:name="_Toc900038"/>
      <w:r>
        <w:t xml:space="preserve">11. Events and integrations</w:t>
      </w:r>
      <w:bookmarkEnd w:id="8038"/>
    </w:p>
    <w:p>
      <w:pPr>
        <w:pStyle w:val="Heading2"/>
      </w:pPr>
      <w:bookmarkStart w:id="8039" w:name="_Toc900039"/>
      <w:r>
        <w:t xml:space="preserve">11.1 Events</w:t>
      </w:r>
      <w:bookmarkEnd w:id="8039"/>
    </w:p>
    <w:p>
      <w:pPr>
        <w:keepNext/>
        <w:spacing w:after="60" w:before="120" w:line="240" w:lineRule="auto"/>
        <w:jc w:val="center"/>
      </w:pPr>
      <w:r>
        <w:drawing>
          <wp:inline distT="0" distB="0" distL="0" distR="0">
            <wp:extent cx="6096000" cy="3876675"/>
            <wp:effectExtent t="0" r="0" b="0" l="0"/>
            <wp:docPr id="1" name="p07-flow" descr="One approved change, one transaction, one event; every module updates itself." title="One approved change, one transaction, one event; every module updates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3876675"/>
                    </a:xfrm>
                    <a:prstGeom prst="rect">
                      <a:avLst/>
                    </a:prstGeom>
                  </pic:spPr>
                </pic:pic>
              </a:graphicData>
            </a:graphic>
          </wp:inline>
        </w:drawing>
      </w:r>
    </w:p>
    <w:p>
      <w:pPr>
        <w:pStyle w:val="Caption"/>
        <w:jc w:val="left"/>
      </w:pPr>
      <w:r>
        <w:rPr>
          <w:b/>
          <w:bCs/>
        </w:rPr>
        <w:t xml:space="preserve">Figure 12. </w:t>
      </w:r>
      <w:r>
        <w:t xml:space="preserve">One approved change, one transaction, one event; every module updates itself.</w:t>
      </w:r>
    </w:p>
    <w:p>
      <w:pPr>
        <w:pStyle w:val="ListParagraph"/>
        <w:numPr>
          <w:ilvl w:val="0"/>
          <w:numId w:val="2"/>
        </w:numPr>
        <w:spacing w:after="60"/>
      </w:pPr>
      <w:r>
        <w:rPr>
          <w:b/>
          <w:bCs/>
        </w:rPr>
        <w:t xml:space="preserve">Envelope:</w:t>
      </w:r>
      <w:r>
        <w:t xml:space="preserve"> CloudEvents 1.0 with extensions </w:t>
      </w:r>
      <w:r>
        <w:rPr>
          <w:rFonts w:ascii="Consolas" w:cs="Consolas" w:eastAsia="Consolas" w:hAnsi="Consolas"/>
          <w:color w:val="0B4F4F"/>
          <w:sz w:val="18"/>
          <w:szCs w:val="18"/>
        </w:rPr>
        <w:t xml:space="preserve">tenantid</w:t>
      </w:r>
      <w:r>
        <w:t xml:space="preserve">, </w:t>
      </w:r>
      <w:r>
        <w:rPr>
          <w:rFonts w:ascii="Consolas" w:cs="Consolas" w:eastAsia="Consolas" w:hAnsi="Consolas"/>
          <w:color w:val="0B4F4F"/>
          <w:sz w:val="18"/>
          <w:szCs w:val="18"/>
        </w:rPr>
        <w:t xml:space="preserve">cellid</w:t>
      </w:r>
      <w:r>
        <w:t xml:space="preserve">, </w:t>
      </w:r>
      <w:r>
        <w:rPr>
          <w:rFonts w:ascii="Consolas" w:cs="Consolas" w:eastAsia="Consolas" w:hAnsi="Consolas"/>
          <w:color w:val="0B4F4F"/>
          <w:sz w:val="18"/>
          <w:szCs w:val="18"/>
        </w:rPr>
        <w:t xml:space="preserve">traceparent</w:t>
      </w:r>
      <w:r>
        <w:t xml:space="preserve"> and </w:t>
      </w:r>
      <w:r>
        <w:rPr>
          <w:rFonts w:ascii="Consolas" w:cs="Consolas" w:eastAsia="Consolas" w:hAnsi="Consolas"/>
          <w:color w:val="0B4F4F"/>
          <w:sz w:val="18"/>
          <w:szCs w:val="18"/>
        </w:rPr>
        <w:t xml:space="preserve">actionid</w:t>
      </w:r>
      <w:r>
        <w:t xml:space="preserve">. Partition or message-group key = tenant plus aggregate, so one employee's events stay in order.</w:t>
      </w:r>
    </w:p>
    <w:p>
      <w:pPr>
        <w:pStyle w:val="ListParagraph"/>
        <w:numPr>
          <w:ilvl w:val="0"/>
          <w:numId w:val="2"/>
        </w:numPr>
        <w:spacing w:after="60"/>
      </w:pPr>
      <w:r>
        <w:rPr>
          <w:b/>
          <w:bCs/>
        </w:rPr>
        <w:t xml:space="preserve">Naming:</w:t>
      </w:r>
      <w:r>
        <w:t xml:space="preserve"> event types are </w:t>
      </w:r>
      <w:r>
        <w:rPr>
          <w:rFonts w:ascii="Consolas" w:cs="Consolas" w:eastAsia="Consolas" w:hAnsi="Consolas"/>
          <w:color w:val="0B4F4F"/>
          <w:sz w:val="18"/>
          <w:szCs w:val="18"/>
        </w:rPr>
        <w:t xml:space="preserve">&lt;resource&gt;.&lt;past_tense&gt;</w:t>
      </w:r>
      <w:r>
        <w:t xml:space="preserve"> in snake_case (</w:t>
      </w:r>
      <w:r>
        <w:rPr>
          <w:rFonts w:ascii="Consolas" w:cs="Consolas" w:eastAsia="Consolas" w:hAnsi="Consolas"/>
          <w:color w:val="0B4F4F"/>
          <w:sz w:val="18"/>
          <w:szCs w:val="18"/>
        </w:rPr>
        <w:t xml:space="preserve">employment.assignment_changed</w:t>
      </w:r>
      <w:r>
        <w:t xml:space="preserve">); topics are </w:t>
      </w:r>
      <w:r>
        <w:rPr>
          <w:rFonts w:ascii="Consolas" w:cs="Consolas" w:eastAsia="Consolas" w:hAnsi="Consolas"/>
          <w:color w:val="0B4F4F"/>
          <w:sz w:val="18"/>
          <w:szCs w:val="18"/>
        </w:rPr>
        <w:t xml:space="preserve">&lt;module&gt;.&lt;resource&gt;.v&lt;major&gt;</w:t>
      </w:r>
      <w:r>
        <w:t xml:space="preserve"> (</w:t>
      </w:r>
      <w:r>
        <w:rPr>
          <w:rFonts w:ascii="Consolas" w:cs="Consolas" w:eastAsia="Consolas" w:hAnsi="Consolas"/>
          <w:color w:val="0B4F4F"/>
          <w:sz w:val="18"/>
          <w:szCs w:val="18"/>
        </w:rPr>
        <w:t xml:space="preserve">people.employment.v1</w:t>
      </w:r>
      <w:r>
        <w:t xml:space="preserve">); API paths are kebab-case plurals (</w:t>
      </w:r>
      <w:r>
        <w:rPr>
          <w:rFonts w:ascii="Consolas" w:cs="Consolas" w:eastAsia="Consolas" w:hAnsi="Consolas"/>
          <w:color w:val="0B4F4F"/>
          <w:sz w:val="18"/>
          <w:szCs w:val="18"/>
        </w:rPr>
        <w:t xml:space="preserve">/v1/leave-requests</w:t>
      </w:r>
      <w:r>
        <w:t xml:space="preserve">).</w:t>
      </w:r>
    </w:p>
    <w:p>
      <w:pPr>
        <w:pStyle w:val="ListParagraph"/>
        <w:numPr>
          <w:ilvl w:val="0"/>
          <w:numId w:val="2"/>
        </w:numPr>
        <w:spacing w:after="60"/>
      </w:pPr>
      <w:r>
        <w:rPr>
          <w:b/>
          <w:bCs/>
        </w:rPr>
        <w:t xml:space="preserve">Schemas:</w:t>
      </w:r>
      <w:r>
        <w:t xml:space="preserve"> JSON Schema in a registry; backward-compatible evolution checked in CI.</w:t>
      </w:r>
    </w:p>
    <w:p>
      <w:pPr>
        <w:pStyle w:val="ListParagraph"/>
        <w:numPr>
          <w:ilvl w:val="0"/>
          <w:numId w:val="2"/>
        </w:numPr>
        <w:spacing w:after="60"/>
      </w:pPr>
      <w:r>
        <w:rPr>
          <w:b/>
          <w:bCs/>
        </w:rPr>
        <w:t xml:space="preserve">Public events are thin:</w:t>
      </w:r>
      <w:r>
        <w:t xml:space="preserve"> IDs, what changed, the effective date and a per-employment sequence. Tenants may opt in to Directory-class fields per webhook endpoint. Restricted classes are never included.</w:t>
      </w:r>
    </w:p>
    <w:p>
      <w:pPr>
        <w:keepNext/>
        <w:spacing w:after="80" w:before="120"/>
      </w:pPr>
      <w:r>
        <w:rPr>
          <w:b/>
          <w:bCs/>
          <w:color w:val="4F5E67"/>
          <w:sz w:val="18"/>
          <w:szCs w:val="18"/>
        </w:rPr>
        <w:t xml:space="preserve">Table 11. Event catalogue (excerpt)</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3413"/>
        <w:gridCol w:w="1405"/>
        <w:gridCol w:w="3815"/>
        <w:gridCol w:w="1005"/>
      </w:tblGrid>
      <w:tr>
        <w:trPr>
          <w:cantSplit/>
          <w:tblHeader/>
        </w:trPr>
        <w:tc>
          <w:tcPr>
            <w:tcW w:type="dxa" w:w="341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Event</w:t>
            </w:r>
          </w:p>
        </w:tc>
        <w:tc>
          <w:tcPr>
            <w:tcW w:type="dxa" w:w="140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Producer</w:t>
            </w:r>
          </w:p>
        </w:tc>
        <w:tc>
          <w:tcPr>
            <w:tcW w:type="dxa" w:w="381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Consumers</w:t>
            </w:r>
          </w:p>
        </w:tc>
        <w:tc>
          <w:tcPr>
            <w:tcW w:type="dxa" w:w="100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Webhook</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employment.started (hire, rehire, transfer in)</w:t>
            </w:r>
          </w:p>
        </w:tc>
        <w:tc>
          <w:tcPr>
            <w:tcW w:type="dxa" w:w="1405"/>
            <w:tcMar>
              <w:top w:type="dxa" w:w="70"/>
              <w:left w:type="dxa" w:w="100"/>
              <w:bottom w:type="dxa" w:w="70"/>
              <w:right w:type="dxa" w:w="100"/>
            </w:tcMar>
            <w:vAlign w:val="top"/>
          </w:tcPr>
          <w:p>
            <w:pPr>
              <w:spacing w:after="0" w:line="252" w:lineRule="auto"/>
            </w:pPr>
            <w:r>
              <w:rPr>
                <w:sz w:val="18"/>
                <w:szCs w:val="18"/>
              </w:rPr>
              <w:t xml:space="preserve">People</w:t>
            </w:r>
          </w:p>
        </w:tc>
        <w:tc>
          <w:tcPr>
            <w:tcW w:type="dxa" w:w="3815"/>
            <w:tcMar>
              <w:top w:type="dxa" w:w="70"/>
              <w:left w:type="dxa" w:w="100"/>
              <w:bottom w:type="dxa" w:w="70"/>
              <w:right w:type="dxa" w:w="100"/>
            </w:tcMar>
            <w:vAlign w:val="top"/>
          </w:tcPr>
          <w:p>
            <w:pPr>
              <w:spacing w:after="0" w:line="252" w:lineRule="auto"/>
            </w:pPr>
            <w:r>
              <w:rPr>
                <w:sz w:val="18"/>
                <w:szCs w:val="18"/>
              </w:rPr>
              <w:t xml:space="preserve">Time, Absence, Learning, Assets, Compliance, Search, Notifications</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employment.assignment_changed</w:t>
            </w:r>
          </w:p>
        </w:tc>
        <w:tc>
          <w:tcPr>
            <w:tcW w:type="dxa" w:w="1405"/>
            <w:tcMar>
              <w:top w:type="dxa" w:w="70"/>
              <w:left w:type="dxa" w:w="100"/>
              <w:bottom w:type="dxa" w:w="70"/>
              <w:right w:type="dxa" w:w="100"/>
            </w:tcMar>
            <w:vAlign w:val="top"/>
          </w:tcPr>
          <w:p>
            <w:pPr>
              <w:spacing w:after="0" w:line="252" w:lineRule="auto"/>
            </w:pPr>
            <w:r>
              <w:rPr>
                <w:sz w:val="18"/>
                <w:szCs w:val="18"/>
              </w:rPr>
              <w:t xml:space="preserve">People</w:t>
            </w:r>
          </w:p>
        </w:tc>
        <w:tc>
          <w:tcPr>
            <w:tcW w:type="dxa" w:w="3815"/>
            <w:tcMar>
              <w:top w:type="dxa" w:w="70"/>
              <w:left w:type="dxa" w:w="100"/>
              <w:bottom w:type="dxa" w:w="70"/>
              <w:right w:type="dxa" w:w="100"/>
            </w:tcMar>
            <w:vAlign w:val="top"/>
          </w:tcPr>
          <w:p>
            <w:pPr>
              <w:spacing w:after="0" w:line="252" w:lineRule="auto"/>
            </w:pPr>
            <w:r>
              <w:rPr>
                <w:sz w:val="18"/>
                <w:szCs w:val="18"/>
              </w:rPr>
              <w:t xml:space="preserve">Time, Absence, Access, Obligations, Search</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employment.status_changed (confirmed, notice, hold)</w:t>
            </w:r>
          </w:p>
        </w:tc>
        <w:tc>
          <w:tcPr>
            <w:tcW w:type="dxa" w:w="1405"/>
            <w:tcMar>
              <w:top w:type="dxa" w:w="70"/>
              <w:left w:type="dxa" w:w="100"/>
              <w:bottom w:type="dxa" w:w="70"/>
              <w:right w:type="dxa" w:w="100"/>
            </w:tcMar>
            <w:vAlign w:val="top"/>
          </w:tcPr>
          <w:p>
            <w:pPr>
              <w:spacing w:after="0" w:line="252" w:lineRule="auto"/>
            </w:pPr>
            <w:r>
              <w:rPr>
                <w:sz w:val="18"/>
                <w:szCs w:val="18"/>
              </w:rPr>
              <w:t xml:space="preserve">People</w:t>
            </w:r>
          </w:p>
        </w:tc>
        <w:tc>
          <w:tcPr>
            <w:tcW w:type="dxa" w:w="3815"/>
            <w:tcMar>
              <w:top w:type="dxa" w:w="70"/>
              <w:left w:type="dxa" w:w="100"/>
              <w:bottom w:type="dxa" w:w="70"/>
              <w:right w:type="dxa" w:w="100"/>
            </w:tcMar>
            <w:vAlign w:val="top"/>
          </w:tcPr>
          <w:p>
            <w:pPr>
              <w:spacing w:after="0" w:line="252" w:lineRule="auto"/>
            </w:pPr>
            <w:r>
              <w:rPr>
                <w:sz w:val="18"/>
                <w:szCs w:val="18"/>
              </w:rPr>
              <w:t xml:space="preserve">Obligations, Access, Payroll inputs</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employment.ended</w:t>
            </w:r>
          </w:p>
        </w:tc>
        <w:tc>
          <w:tcPr>
            <w:tcW w:type="dxa" w:w="1405"/>
            <w:tcMar>
              <w:top w:type="dxa" w:w="70"/>
              <w:left w:type="dxa" w:w="100"/>
              <w:bottom w:type="dxa" w:w="70"/>
              <w:right w:type="dxa" w:w="100"/>
            </w:tcMar>
            <w:vAlign w:val="top"/>
          </w:tcPr>
          <w:p>
            <w:pPr>
              <w:spacing w:after="0" w:line="252" w:lineRule="auto"/>
            </w:pPr>
            <w:r>
              <w:rPr>
                <w:sz w:val="18"/>
                <w:szCs w:val="18"/>
              </w:rPr>
              <w:t xml:space="preserve">Separation</w:t>
            </w:r>
          </w:p>
        </w:tc>
        <w:tc>
          <w:tcPr>
            <w:tcW w:type="dxa" w:w="3815"/>
            <w:tcMar>
              <w:top w:type="dxa" w:w="70"/>
              <w:left w:type="dxa" w:w="100"/>
              <w:bottom w:type="dxa" w:w="70"/>
              <w:right w:type="dxa" w:w="100"/>
            </w:tcMar>
            <w:vAlign w:val="top"/>
          </w:tcPr>
          <w:p>
            <w:pPr>
              <w:spacing w:after="0" w:line="252" w:lineRule="auto"/>
            </w:pPr>
            <w:r>
              <w:rPr>
                <w:sz w:val="18"/>
                <w:szCs w:val="18"/>
              </w:rPr>
              <w:t xml:space="preserve">Assets, Payroll inputs, Compliance, Identity (deprovision)</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worker.updated / worker.erased</w:t>
            </w:r>
          </w:p>
        </w:tc>
        <w:tc>
          <w:tcPr>
            <w:tcW w:type="dxa" w:w="1405"/>
            <w:tcMar>
              <w:top w:type="dxa" w:w="70"/>
              <w:left w:type="dxa" w:w="100"/>
              <w:bottom w:type="dxa" w:w="70"/>
              <w:right w:type="dxa" w:w="100"/>
            </w:tcMar>
            <w:vAlign w:val="top"/>
          </w:tcPr>
          <w:p>
            <w:pPr>
              <w:spacing w:after="0" w:line="252" w:lineRule="auto"/>
            </w:pPr>
            <w:r>
              <w:rPr>
                <w:sz w:val="18"/>
                <w:szCs w:val="18"/>
              </w:rPr>
              <w:t xml:space="preserve">People</w:t>
            </w:r>
          </w:p>
        </w:tc>
        <w:tc>
          <w:tcPr>
            <w:tcW w:type="dxa" w:w="3815"/>
            <w:tcMar>
              <w:top w:type="dxa" w:w="70"/>
              <w:left w:type="dxa" w:w="100"/>
              <w:bottom w:type="dxa" w:w="70"/>
              <w:right w:type="dxa" w:w="100"/>
            </w:tcMar>
            <w:vAlign w:val="top"/>
          </w:tcPr>
          <w:p>
            <w:pPr>
              <w:spacing w:after="0" w:line="252" w:lineRule="auto"/>
            </w:pPr>
            <w:r>
              <w:rPr>
                <w:sz w:val="18"/>
                <w:szCs w:val="18"/>
              </w:rPr>
              <w:t xml:space="preserve">Search, Analytics, connected systems (erasure propagates)</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personnel_action.submitted / approved / rejected / applied</w:t>
            </w:r>
          </w:p>
        </w:tc>
        <w:tc>
          <w:tcPr>
            <w:tcW w:type="dxa" w:w="1405"/>
            <w:tcMar>
              <w:top w:type="dxa" w:w="70"/>
              <w:left w:type="dxa" w:w="100"/>
              <w:bottom w:type="dxa" w:w="70"/>
              <w:right w:type="dxa" w:w="100"/>
            </w:tcMar>
            <w:vAlign w:val="top"/>
          </w:tcPr>
          <w:p>
            <w:pPr>
              <w:spacing w:after="0" w:line="252" w:lineRule="auto"/>
            </w:pPr>
            <w:r>
              <w:rPr>
                <w:sz w:val="18"/>
                <w:szCs w:val="18"/>
              </w:rPr>
              <w:t xml:space="preserve">People</w:t>
            </w:r>
          </w:p>
        </w:tc>
        <w:tc>
          <w:tcPr>
            <w:tcW w:type="dxa" w:w="3815"/>
            <w:tcMar>
              <w:top w:type="dxa" w:w="70"/>
              <w:left w:type="dxa" w:w="100"/>
              <w:bottom w:type="dxa" w:w="70"/>
              <w:right w:type="dxa" w:w="100"/>
            </w:tcMar>
            <w:vAlign w:val="top"/>
          </w:tcPr>
          <w:p>
            <w:pPr>
              <w:spacing w:after="0" w:line="252" w:lineRule="auto"/>
            </w:pPr>
            <w:r>
              <w:rPr>
                <w:sz w:val="18"/>
                <w:szCs w:val="18"/>
              </w:rPr>
              <w:t xml:space="preserve">Notifications, Documents (letters)</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leave_request.* / leave_balance.changed</w:t>
            </w:r>
          </w:p>
        </w:tc>
        <w:tc>
          <w:tcPr>
            <w:tcW w:type="dxa" w:w="1405"/>
            <w:tcMar>
              <w:top w:type="dxa" w:w="70"/>
              <w:left w:type="dxa" w:w="100"/>
              <w:bottom w:type="dxa" w:w="70"/>
              <w:right w:type="dxa" w:w="100"/>
            </w:tcMar>
            <w:vAlign w:val="top"/>
          </w:tcPr>
          <w:p>
            <w:pPr>
              <w:spacing w:after="0" w:line="252" w:lineRule="auto"/>
            </w:pPr>
            <w:r>
              <w:rPr>
                <w:sz w:val="18"/>
                <w:szCs w:val="18"/>
              </w:rPr>
              <w:t xml:space="preserve">Absence</w:t>
            </w:r>
          </w:p>
        </w:tc>
        <w:tc>
          <w:tcPr>
            <w:tcW w:type="dxa" w:w="3815"/>
            <w:tcMar>
              <w:top w:type="dxa" w:w="70"/>
              <w:left w:type="dxa" w:w="100"/>
              <w:bottom w:type="dxa" w:w="70"/>
              <w:right w:type="dxa" w:w="100"/>
            </w:tcMar>
            <w:vAlign w:val="top"/>
          </w:tcPr>
          <w:p>
            <w:pPr>
              <w:spacing w:after="0" w:line="252" w:lineRule="auto"/>
            </w:pPr>
            <w:r>
              <w:rPr>
                <w:sz w:val="18"/>
                <w:szCs w:val="18"/>
              </w:rPr>
              <w:t xml:space="preserve">Time, Payroll inputs, Notifications</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attendance_period.closed</w:t>
            </w:r>
          </w:p>
        </w:tc>
        <w:tc>
          <w:tcPr>
            <w:tcW w:type="dxa" w:w="1405"/>
            <w:tcMar>
              <w:top w:type="dxa" w:w="70"/>
              <w:left w:type="dxa" w:w="100"/>
              <w:bottom w:type="dxa" w:w="70"/>
              <w:right w:type="dxa" w:w="100"/>
            </w:tcMar>
            <w:vAlign w:val="top"/>
          </w:tcPr>
          <w:p>
            <w:pPr>
              <w:spacing w:after="0" w:line="252" w:lineRule="auto"/>
            </w:pPr>
            <w:r>
              <w:rPr>
                <w:sz w:val="18"/>
                <w:szCs w:val="18"/>
              </w:rPr>
              <w:t xml:space="preserve">Time</w:t>
            </w:r>
          </w:p>
        </w:tc>
        <w:tc>
          <w:tcPr>
            <w:tcW w:type="dxa" w:w="3815"/>
            <w:tcMar>
              <w:top w:type="dxa" w:w="70"/>
              <w:left w:type="dxa" w:w="100"/>
              <w:bottom w:type="dxa" w:w="70"/>
              <w:right w:type="dxa" w:w="100"/>
            </w:tcMar>
            <w:vAlign w:val="top"/>
          </w:tcPr>
          <w:p>
            <w:pPr>
              <w:spacing w:after="0" w:line="252" w:lineRule="auto"/>
            </w:pPr>
            <w:r>
              <w:rPr>
                <w:sz w:val="18"/>
                <w:szCs w:val="18"/>
              </w:rPr>
              <w:t xml:space="preserve">Payroll inputs, Compliance</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payroll_inputs.published (versioned)</w:t>
            </w:r>
          </w:p>
        </w:tc>
        <w:tc>
          <w:tcPr>
            <w:tcW w:type="dxa" w:w="1405"/>
            <w:tcMar>
              <w:top w:type="dxa" w:w="70"/>
              <w:left w:type="dxa" w:w="100"/>
              <w:bottom w:type="dxa" w:w="70"/>
              <w:right w:type="dxa" w:w="100"/>
            </w:tcMar>
            <w:vAlign w:val="top"/>
          </w:tcPr>
          <w:p>
            <w:pPr>
              <w:spacing w:after="0" w:line="252" w:lineRule="auto"/>
            </w:pPr>
            <w:r>
              <w:rPr>
                <w:sz w:val="18"/>
                <w:szCs w:val="18"/>
              </w:rPr>
              <w:t xml:space="preserve">Payroll inputs</w:t>
            </w:r>
          </w:p>
        </w:tc>
        <w:tc>
          <w:tcPr>
            <w:tcW w:type="dxa" w:w="3815"/>
            <w:tcMar>
              <w:top w:type="dxa" w:w="70"/>
              <w:left w:type="dxa" w:w="100"/>
              <w:bottom w:type="dxa" w:w="70"/>
              <w:right w:type="dxa" w:w="100"/>
            </w:tcMar>
            <w:vAlign w:val="top"/>
          </w:tcPr>
          <w:p>
            <w:pPr>
              <w:spacing w:after="0" w:line="252" w:lineRule="auto"/>
            </w:pPr>
            <w:r>
              <w:rPr>
                <w:sz w:val="18"/>
                <w:szCs w:val="18"/>
              </w:rPr>
              <w:t xml:space="preserve">Compliance, Analytics</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compliance_obligation.due / overdue / completed</w:t>
            </w:r>
          </w:p>
        </w:tc>
        <w:tc>
          <w:tcPr>
            <w:tcW w:type="dxa" w:w="1405"/>
            <w:tcMar>
              <w:top w:type="dxa" w:w="70"/>
              <w:left w:type="dxa" w:w="100"/>
              <w:bottom w:type="dxa" w:w="70"/>
              <w:right w:type="dxa" w:w="100"/>
            </w:tcMar>
            <w:vAlign w:val="top"/>
          </w:tcPr>
          <w:p>
            <w:pPr>
              <w:spacing w:after="0" w:line="252" w:lineRule="auto"/>
            </w:pPr>
            <w:r>
              <w:rPr>
                <w:sz w:val="18"/>
                <w:szCs w:val="18"/>
              </w:rPr>
              <w:t xml:space="preserve">Compliance</w:t>
            </w:r>
          </w:p>
        </w:tc>
        <w:tc>
          <w:tcPr>
            <w:tcW w:type="dxa" w:w="3815"/>
            <w:tcMar>
              <w:top w:type="dxa" w:w="70"/>
              <w:left w:type="dxa" w:w="100"/>
              <w:bottom w:type="dxa" w:w="70"/>
              <w:right w:type="dxa" w:w="100"/>
            </w:tcMar>
            <w:vAlign w:val="top"/>
          </w:tcPr>
          <w:p>
            <w:pPr>
              <w:spacing w:after="0" w:line="252" w:lineRule="auto"/>
            </w:pPr>
            <w:r>
              <w:rPr>
                <w:sz w:val="18"/>
                <w:szCs w:val="18"/>
              </w:rPr>
              <w:t xml:space="preserve">Action Centre, Notifications</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task.created / task.completed</w:t>
            </w:r>
          </w:p>
        </w:tc>
        <w:tc>
          <w:tcPr>
            <w:tcW w:type="dxa" w:w="1405"/>
            <w:tcMar>
              <w:top w:type="dxa" w:w="70"/>
              <w:left w:type="dxa" w:w="100"/>
              <w:bottom w:type="dxa" w:w="70"/>
              <w:right w:type="dxa" w:w="100"/>
            </w:tcMar>
            <w:vAlign w:val="top"/>
          </w:tcPr>
          <w:p>
            <w:pPr>
              <w:spacing w:after="0" w:line="252" w:lineRule="auto"/>
            </w:pPr>
            <w:r>
              <w:rPr>
                <w:sz w:val="18"/>
                <w:szCs w:val="18"/>
              </w:rPr>
              <w:t xml:space="preserve">Kernel</w:t>
            </w:r>
          </w:p>
        </w:tc>
        <w:tc>
          <w:tcPr>
            <w:tcW w:type="dxa" w:w="3815"/>
            <w:tcMar>
              <w:top w:type="dxa" w:w="70"/>
              <w:left w:type="dxa" w:w="100"/>
              <w:bottom w:type="dxa" w:w="70"/>
              <w:right w:type="dxa" w:w="100"/>
            </w:tcMar>
            <w:vAlign w:val="top"/>
          </w:tcPr>
          <w:p>
            <w:pPr>
              <w:spacing w:after="0" w:line="252" w:lineRule="auto"/>
            </w:pPr>
            <w:r>
              <w:rPr>
                <w:sz w:val="18"/>
                <w:szCs w:val="18"/>
              </w:rPr>
              <w:t xml:space="preserve">Action Centre, chat and approval integrations</w:t>
            </w:r>
          </w:p>
        </w:tc>
        <w:tc>
          <w:tcPr>
            <w:tcW w:type="dxa" w:w="1005"/>
            <w:tcMar>
              <w:top w:type="dxa" w:w="70"/>
              <w:left w:type="dxa" w:w="100"/>
              <w:bottom w:type="dxa" w:w="70"/>
              <w:right w:type="dxa" w:w="100"/>
            </w:tcMar>
            <w:vAlign w:val="top"/>
          </w:tcPr>
          <w:p>
            <w:pPr>
              <w:spacing w:after="0" w:line="252" w:lineRule="auto"/>
            </w:pPr>
            <w:r>
              <w:rPr>
                <w:sz w:val="18"/>
                <w:szCs w:val="18"/>
              </w:rPr>
              <w:t xml:space="preserve">Yes</w:t>
            </w:r>
          </w:p>
        </w:tc>
      </w:tr>
      <w:tr>
        <w:trPr>
          <w:cantSplit/>
          <w:tblHeader w:val="false"/>
        </w:trPr>
        <w:tc>
          <w:tcPr>
            <w:tcW w:type="dxa" w:w="3413"/>
            <w:tcMar>
              <w:top w:type="dxa" w:w="70"/>
              <w:left w:type="dxa" w:w="100"/>
              <w:bottom w:type="dxa" w:w="70"/>
              <w:right w:type="dxa" w:w="100"/>
            </w:tcMar>
            <w:vAlign w:val="top"/>
          </w:tcPr>
          <w:p>
            <w:pPr>
              <w:spacing w:after="0" w:line="252" w:lineRule="auto"/>
            </w:pPr>
            <w:r>
              <w:rPr>
                <w:sz w:val="18"/>
                <w:szCs w:val="18"/>
              </w:rPr>
              <w:t xml:space="preserve">punch.received</w:t>
            </w:r>
          </w:p>
        </w:tc>
        <w:tc>
          <w:tcPr>
            <w:tcW w:type="dxa" w:w="1405"/>
            <w:tcMar>
              <w:top w:type="dxa" w:w="70"/>
              <w:left w:type="dxa" w:w="100"/>
              <w:bottom w:type="dxa" w:w="70"/>
              <w:right w:type="dxa" w:w="100"/>
            </w:tcMar>
            <w:vAlign w:val="top"/>
          </w:tcPr>
          <w:p>
            <w:pPr>
              <w:spacing w:after="0" w:line="252" w:lineRule="auto"/>
            </w:pPr>
            <w:r>
              <w:rPr>
                <w:sz w:val="18"/>
                <w:szCs w:val="18"/>
              </w:rPr>
              <w:t xml:space="preserve">Ingestion</w:t>
            </w:r>
          </w:p>
        </w:tc>
        <w:tc>
          <w:tcPr>
            <w:tcW w:type="dxa" w:w="3815"/>
            <w:tcMar>
              <w:top w:type="dxa" w:w="70"/>
              <w:left w:type="dxa" w:w="100"/>
              <w:bottom w:type="dxa" w:w="70"/>
              <w:right w:type="dxa" w:w="100"/>
            </w:tcMar>
            <w:vAlign w:val="top"/>
          </w:tcPr>
          <w:p>
            <w:pPr>
              <w:spacing w:after="0" w:line="252" w:lineRule="auto"/>
            </w:pPr>
            <w:r>
              <w:rPr>
                <w:sz w:val="18"/>
                <w:szCs w:val="18"/>
              </w:rPr>
              <w:t xml:space="preserve">Attendance computation</w:t>
            </w:r>
          </w:p>
        </w:tc>
        <w:tc>
          <w:tcPr>
            <w:tcW w:type="dxa" w:w="1005"/>
            <w:tcMar>
              <w:top w:type="dxa" w:w="70"/>
              <w:left w:type="dxa" w:w="100"/>
              <w:bottom w:type="dxa" w:w="70"/>
              <w:right w:type="dxa" w:w="100"/>
            </w:tcMar>
            <w:vAlign w:val="top"/>
          </w:tcPr>
          <w:p>
            <w:pPr>
              <w:spacing w:after="0" w:line="252" w:lineRule="auto"/>
            </w:pPr>
            <w:r>
              <w:rPr>
                <w:sz w:val="18"/>
                <w:szCs w:val="18"/>
              </w:rPr>
              <w:t xml:space="preserve">No (use the API)</w:t>
            </w:r>
          </w:p>
        </w:tc>
      </w:tr>
    </w:tbl>
    <w:p>
      <w:pPr>
        <w:spacing w:after="160"/>
      </w:pPr>
    </w:p>
    <w:p>
      <w:pPr>
        <w:pStyle w:val="Heading2"/>
      </w:pPr>
      <w:bookmarkStart w:id="8040" w:name="_Toc900040"/>
      <w:r>
        <w:t xml:space="preserve">11.2 Attendance ingestion</w:t>
      </w:r>
      <w:bookmarkEnd w:id="8040"/>
    </w:p>
    <w:p>
      <w:pPr>
        <w:keepNext/>
        <w:spacing w:after="60" w:before="120" w:line="240" w:lineRule="auto"/>
        <w:jc w:val="center"/>
      </w:pPr>
      <w:r>
        <w:drawing>
          <wp:inline distT="0" distB="0" distL="0" distR="0">
            <wp:extent cx="6096000" cy="3467100"/>
            <wp:effectExtent t="0" r="0" b="0" l="0"/>
            <wp:docPr id="1" name="p09-attendance" descr="Three ingestion paths into one idempotent service; punches are append-only and attendance days can always be recomputed." title="Three ingestion paths into one idempotent service; punches are append-only and attendance days can always be recomp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467100"/>
                    </a:xfrm>
                    <a:prstGeom prst="rect">
                      <a:avLst/>
                    </a:prstGeom>
                  </pic:spPr>
                </pic:pic>
              </a:graphicData>
            </a:graphic>
          </wp:inline>
        </w:drawing>
      </w:r>
    </w:p>
    <w:p>
      <w:pPr>
        <w:pStyle w:val="Caption"/>
        <w:jc w:val="left"/>
      </w:pPr>
      <w:r>
        <w:rPr>
          <w:b/>
          <w:bCs/>
        </w:rPr>
        <w:t xml:space="preserve">Figure 13. </w:t>
      </w:r>
      <w:r>
        <w:t xml:space="preserve">Three ingestion paths into one idempotent service; punches are append-only and attendance days can always be recomputed.</w:t>
      </w:r>
    </w:p>
    <w:p>
      <w:pPr>
        <w:pStyle w:val="ListParagraph"/>
        <w:numPr>
          <w:ilvl w:val="0"/>
          <w:numId w:val="2"/>
        </w:numPr>
        <w:spacing w:after="60"/>
      </w:pPr>
      <w:r>
        <w:rPr>
          <w:b/>
          <w:bCs/>
        </w:rPr>
        <w:t xml:space="preserve">The site agent is the default</w:t>
      </w:r>
      <w:r>
        <w:t xml:space="preserve"> for devices on a customer network. It is a signed Go binary with automatic updates, certificate rotation, mTLS and offline buffering.</w:t>
      </w:r>
    </w:p>
    <w:p>
      <w:pPr>
        <w:pStyle w:val="ListParagraph"/>
        <w:numPr>
          <w:ilvl w:val="0"/>
          <w:numId w:val="2"/>
        </w:numPr>
        <w:spacing w:after="60"/>
      </w:pPr>
      <w:r>
        <w:rPr>
          <w:b/>
          <w:bCs/>
        </w:rPr>
        <w:t xml:space="preserve">Direct-push devices</w:t>
      </w:r>
      <w:r>
        <w:t xml:space="preserve"> that only speak plain HTTP go to a separate hardened device edge: serial-number allowlist, per-device secret where the firmware supports one, IP restrictions, strict payload validation and its own rate limits. It is never the main API endpoint.</w:t>
      </w:r>
    </w:p>
    <w:p>
      <w:pPr>
        <w:pStyle w:val="ListParagraph"/>
        <w:numPr>
          <w:ilvl w:val="0"/>
          <w:numId w:val="2"/>
        </w:numPr>
        <w:spacing w:after="60"/>
      </w:pPr>
      <w:r>
        <w:rPr>
          <w:b/>
          <w:bCs/>
        </w:rPr>
        <w:t xml:space="preserve">Mobile punches</w:t>
      </w:r>
      <w:r>
        <w:t xml:space="preserve"> use the public API with Play Integrity or App Attest, geo-fence and optional selfie. Time is taken from the server receive time plus a monotonic device clock, so a changed phone clock cannot backdate punches.</w:t>
      </w:r>
    </w:p>
    <w:p>
      <w:pPr>
        <w:pStyle w:val="ListParagraph"/>
        <w:numPr>
          <w:ilvl w:val="0"/>
          <w:numId w:val="2"/>
        </w:numPr>
        <w:spacing w:after="60"/>
      </w:pPr>
      <w:r>
        <w:t xml:space="preserve">Supported device models are listed per protocol once SURAJ Group's devices are known (decision D11).</w:t>
      </w:r>
    </w:p>
    <w:p>
      <w:pPr>
        <w:pStyle w:val="Heading2"/>
      </w:pPr>
      <w:bookmarkStart w:id="8041" w:name="_Toc900041"/>
      <w:r>
        <w:t xml:space="preserve">11.3 Payroll input contract</w:t>
      </w:r>
      <w:bookmarkEnd w:id="8041"/>
    </w:p>
    <w:p>
      <w:pPr>
        <w:pStyle w:val="ListParagraph"/>
        <w:numPr>
          <w:ilvl w:val="0"/>
          <w:numId w:val="2"/>
        </w:numPr>
        <w:spacing w:after="60"/>
      </w:pPr>
      <w:r>
        <w:t xml:space="preserve">A </w:t>
      </w:r>
      <w:r>
        <w:rPr>
          <w:b/>
          <w:bCs/>
        </w:rPr>
        <w:t xml:space="preserve">pay-period snapshot</w:t>
      </w:r>
      <w:r>
        <w:t xml:space="preserve"> per legal entity and pay group containing:</w:t>
      </w:r>
    </w:p>
    <w:p>
      <w:pPr>
        <w:pStyle w:val="ListParagraph"/>
        <w:numPr>
          <w:ilvl w:val="1"/>
          <w:numId w:val="2"/>
        </w:numPr>
        <w:spacing w:after="60"/>
      </w:pPr>
      <w:r>
        <w:t xml:space="preserve">joiners and leavers</w:t>
      </w:r>
    </w:p>
    <w:p>
      <w:pPr>
        <w:pStyle w:val="ListParagraph"/>
        <w:numPr>
          <w:ilvl w:val="1"/>
          <w:numId w:val="2"/>
        </w:numPr>
        <w:spacing w:after="60"/>
      </w:pPr>
      <w:r>
        <w:t xml:space="preserve">paid days, loss of pay, overtime and shift allowances</w:t>
      </w:r>
    </w:p>
    <w:p>
      <w:pPr>
        <w:pStyle w:val="ListParagraph"/>
        <w:numPr>
          <w:ilvl w:val="1"/>
          <w:numId w:val="2"/>
        </w:numPr>
        <w:spacing w:after="60"/>
      </w:pPr>
      <w:r>
        <w:t xml:space="preserve">leave encashment</w:t>
      </w:r>
    </w:p>
    <w:p>
      <w:pPr>
        <w:pStyle w:val="ListParagraph"/>
        <w:numPr>
          <w:ilvl w:val="1"/>
          <w:numId w:val="2"/>
        </w:numPr>
        <w:spacing w:after="60"/>
      </w:pPr>
      <w:r>
        <w:t xml:space="preserve">arrears from backdated actions</w:t>
      </w:r>
    </w:p>
    <w:p>
      <w:pPr>
        <w:pStyle w:val="ListParagraph"/>
        <w:numPr>
          <w:ilvl w:val="1"/>
          <w:numId w:val="2"/>
        </w:numPr>
        <w:spacing w:after="60"/>
      </w:pPr>
      <w:r>
        <w:t xml:space="preserve">variable pay</w:t>
      </w:r>
    </w:p>
    <w:p>
      <w:pPr>
        <w:pStyle w:val="ListParagraph"/>
        <w:numPr>
          <w:ilvl w:val="1"/>
          <w:numId w:val="2"/>
        </w:numPr>
        <w:spacing w:after="60"/>
      </w:pPr>
      <w:r>
        <w:t xml:space="preserve">recoveries</w:t>
      </w:r>
    </w:p>
    <w:p>
      <w:pPr>
        <w:pStyle w:val="ListParagraph"/>
        <w:numPr>
          <w:ilvl w:val="1"/>
          <w:numId w:val="2"/>
        </w:numPr>
        <w:spacing w:after="60"/>
      </w:pPr>
      <w:r>
        <w:t xml:space="preserve">statutory applicability (PF, ESIC, PT state, LWF)</w:t>
      </w:r>
    </w:p>
    <w:p>
      <w:pPr>
        <w:pStyle w:val="ListParagraph"/>
        <w:numPr>
          <w:ilvl w:val="1"/>
          <w:numId w:val="2"/>
        </w:numPr>
        <w:spacing w:after="60"/>
      </w:pPr>
      <w:r>
        <w:t xml:space="preserve">the compensation structure in effect</w:t>
      </w:r>
    </w:p>
    <w:p>
      <w:pPr>
        <w:pStyle w:val="ListParagraph"/>
        <w:numPr>
          <w:ilvl w:val="0"/>
          <w:numId w:val="2"/>
        </w:numPr>
        <w:spacing w:after="60"/>
      </w:pPr>
      <w:r>
        <w:t xml:space="preserve">Locked when the attendance period closes and </w:t>
      </w:r>
      <w:r>
        <w:rPr>
          <w:b/>
          <w:bCs/>
        </w:rPr>
        <w:t xml:space="preserve">versioned</w:t>
      </w:r>
      <w:r>
        <w:t xml:space="preserve">: corrections produce deltas, never silent changes. Exposed through the API and in vendor file formats; an internal payroll engine consumes the same contract later.</w:t>
      </w:r>
    </w:p>
    <w:p>
      <w:pPr>
        <w:pStyle w:val="Heading2"/>
      </w:pPr>
      <w:bookmarkStart w:id="8042" w:name="_Toc900042"/>
      <w:r>
        <w:t xml:space="preserve">11.4 Integration catalogue</w:t>
      </w:r>
      <w:bookmarkEnd w:id="804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434"/>
        <w:gridCol w:w="3855"/>
        <w:gridCol w:w="3349"/>
      </w:tblGrid>
      <w:tr>
        <w:trPr>
          <w:cantSplit/>
          <w:tblHeader/>
        </w:trPr>
        <w:tc>
          <w:tcPr>
            <w:tcW w:type="dxa" w:w="243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Integration (§34)</w:t>
            </w:r>
          </w:p>
        </w:tc>
        <w:tc>
          <w:tcPr>
            <w:tcW w:type="dxa" w:w="385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Pattern</w:t>
            </w:r>
          </w:p>
        </w:tc>
        <w:tc>
          <w:tcPr>
            <w:tcW w:type="dxa" w:w="334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Tools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Attendance devices</w:t>
            </w:r>
          </w:p>
        </w:tc>
        <w:tc>
          <w:tcPr>
            <w:tcW w:type="dxa" w:w="3855"/>
            <w:tcMar>
              <w:top w:type="dxa" w:w="70"/>
              <w:left w:type="dxa" w:w="100"/>
              <w:bottom w:type="dxa" w:w="70"/>
              <w:right w:type="dxa" w:w="100"/>
            </w:tcMar>
            <w:vAlign w:val="top"/>
          </w:tcPr>
          <w:p>
            <w:pPr>
              <w:spacing w:after="0" w:line="252" w:lineRule="auto"/>
            </w:pPr>
            <w:r>
              <w:rPr>
                <w:sz w:val="18"/>
                <w:szCs w:val="18"/>
              </w:rPr>
              <w:t xml:space="preserve">Site agent; hardened device edge; CSV fallback</w:t>
            </w:r>
          </w:p>
        </w:tc>
        <w:tc>
          <w:tcPr>
            <w:tcW w:type="dxa" w:w="3349"/>
            <w:tcMar>
              <w:top w:type="dxa" w:w="70"/>
              <w:left w:type="dxa" w:w="100"/>
              <w:bottom w:type="dxa" w:w="70"/>
              <w:right w:type="dxa" w:w="100"/>
            </w:tcMar>
            <w:vAlign w:val="top"/>
          </w:tcPr>
          <w:p>
            <w:pPr>
              <w:spacing w:after="0" w:line="252" w:lineRule="auto"/>
            </w:pPr>
            <w:r>
              <w:rPr>
                <w:sz w:val="18"/>
                <w:szCs w:val="18"/>
              </w:rPr>
              <w:t xml:space="preserve">Go agent; ingestion workers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Payroll</w:t>
            </w:r>
          </w:p>
        </w:tc>
        <w:tc>
          <w:tcPr>
            <w:tcW w:type="dxa" w:w="3855"/>
            <w:tcMar>
              <w:top w:type="dxa" w:w="70"/>
              <w:left w:type="dxa" w:w="100"/>
              <w:bottom w:type="dxa" w:w="70"/>
              <w:right w:type="dxa" w:w="100"/>
            </w:tcMar>
            <w:vAlign w:val="top"/>
          </w:tcPr>
          <w:p>
            <w:pPr>
              <w:spacing w:after="0" w:line="252" w:lineRule="auto"/>
            </w:pPr>
            <w:r>
              <w:rPr>
                <w:sz w:val="18"/>
                <w:szCs w:val="18"/>
              </w:rPr>
              <w:t xml:space="preserve">Versioned payroll input snapshots via API and files</w:t>
            </w:r>
          </w:p>
        </w:tc>
        <w:tc>
          <w:tcPr>
            <w:tcW w:type="dxa" w:w="3349"/>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/v1/payroll-periods/{id}/inputs</w:t>
            </w:r>
            <w:r>
              <w:rPr>
                <w:sz w:val="18"/>
                <w:szCs w:val="18"/>
              </w:rPr>
              <w:t xml:space="preserve">; vendor mappings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Accounting and ERP</w:t>
            </w:r>
          </w:p>
        </w:tc>
        <w:tc>
          <w:tcPr>
            <w:tcW w:type="dxa" w:w="3855"/>
            <w:tcMar>
              <w:top w:type="dxa" w:w="70"/>
              <w:left w:type="dxa" w:w="100"/>
              <w:bottom w:type="dxa" w:w="70"/>
              <w:right w:type="dxa" w:w="100"/>
            </w:tcMar>
            <w:vAlign w:val="top"/>
          </w:tcPr>
          <w:p>
            <w:pPr>
              <w:spacing w:after="0" w:line="252" w:lineRule="auto"/>
            </w:pPr>
            <w:r>
              <w:rPr>
                <w:sz w:val="18"/>
                <w:szCs w:val="18"/>
              </w:rPr>
              <w:t xml:space="preserve">Journal and voucher exports for F&amp;F and recoveries</w:t>
            </w:r>
          </w:p>
        </w:tc>
        <w:tc>
          <w:tcPr>
            <w:tcW w:type="dxa" w:w="3349"/>
            <w:tcMar>
              <w:top w:type="dxa" w:w="70"/>
              <w:left w:type="dxa" w:w="100"/>
              <w:bottom w:type="dxa" w:w="70"/>
              <w:right w:type="dxa" w:w="100"/>
            </w:tcMar>
            <w:vAlign w:val="top"/>
          </w:tcPr>
          <w:p>
            <w:pPr>
              <w:spacing w:after="0" w:line="252" w:lineRule="auto"/>
            </w:pPr>
            <w:r>
              <w:rPr>
                <w:sz w:val="18"/>
                <w:szCs w:val="18"/>
              </w:rPr>
              <w:t xml:space="preserve">Connectors (Tally XML, SAP APIs)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HR master in another system</w:t>
            </w:r>
          </w:p>
        </w:tc>
        <w:tc>
          <w:tcPr>
            <w:tcW w:type="dxa" w:w="3855"/>
            <w:tcMar>
              <w:top w:type="dxa" w:w="70"/>
              <w:left w:type="dxa" w:w="100"/>
              <w:bottom w:type="dxa" w:w="70"/>
              <w:right w:type="dxa" w:w="100"/>
            </w:tcMar>
            <w:vAlign w:val="top"/>
          </w:tcPr>
          <w:p>
            <w:pPr>
              <w:spacing w:after="0" w:line="252" w:lineRule="auto"/>
            </w:pPr>
            <w:r>
              <w:rPr>
                <w:sz w:val="18"/>
                <w:szCs w:val="18"/>
              </w:rPr>
              <w:t xml:space="preserve">Integration mode with bulk personnel actions</w:t>
            </w:r>
          </w:p>
        </w:tc>
        <w:tc>
          <w:tcPr>
            <w:tcW w:type="dxa" w:w="3349"/>
            <w:tcMar>
              <w:top w:type="dxa" w:w="70"/>
              <w:left w:type="dxa" w:w="100"/>
              <w:bottom w:type="dxa" w:w="70"/>
              <w:right w:type="dxa" w:w="100"/>
            </w:tcMar>
            <w:vAlign w:val="top"/>
          </w:tcPr>
          <w:p>
            <w:pPr>
              <w:spacing w:after="0" w:line="252" w:lineRule="auto"/>
            </w:pPr>
            <w:r>
              <w:rPr>
                <w:sz w:val="18"/>
                <w:szCs w:val="18"/>
              </w:rPr>
              <w:t xml:space="preserve">Section 8</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Legacy file exchange</w:t>
            </w:r>
          </w:p>
        </w:tc>
        <w:tc>
          <w:tcPr>
            <w:tcW w:type="dxa" w:w="3855"/>
            <w:tcMar>
              <w:top w:type="dxa" w:w="70"/>
              <w:left w:type="dxa" w:w="100"/>
              <w:bottom w:type="dxa" w:w="70"/>
              <w:right w:type="dxa" w:w="100"/>
            </w:tcMar>
            <w:vAlign w:val="top"/>
          </w:tcPr>
          <w:p>
            <w:pPr>
              <w:spacing w:after="0" w:line="252" w:lineRule="auto"/>
            </w:pPr>
            <w:r>
              <w:rPr>
                <w:sz w:val="18"/>
                <w:szCs w:val="18"/>
              </w:rPr>
              <w:t xml:space="preserve">Scheduled SFTP both ways, optional PGP</w:t>
            </w:r>
          </w:p>
        </w:tc>
        <w:tc>
          <w:tcPr>
            <w:tcW w:type="dxa" w:w="3349"/>
            <w:tcMar>
              <w:top w:type="dxa" w:w="70"/>
              <w:left w:type="dxa" w:w="100"/>
              <w:bottom w:type="dxa" w:w="70"/>
              <w:right w:type="dxa" w:w="100"/>
            </w:tcMar>
            <w:vAlign w:val="top"/>
          </w:tcPr>
          <w:p>
            <w:pPr>
              <w:spacing w:after="0" w:line="252" w:lineRule="auto"/>
            </w:pPr>
            <w:r>
              <w:rPr>
                <w:sz w:val="18"/>
                <w:szCs w:val="18"/>
              </w:rPr>
              <w:t xml:space="preserve">AWS Transfer Family</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Identity and directory</w:t>
            </w:r>
          </w:p>
        </w:tc>
        <w:tc>
          <w:tcPr>
            <w:tcW w:type="dxa" w:w="3855"/>
            <w:tcMar>
              <w:top w:type="dxa" w:w="70"/>
              <w:left w:type="dxa" w:w="100"/>
              <w:bottom w:type="dxa" w:w="70"/>
              <w:right w:type="dxa" w:w="100"/>
            </w:tcMar>
            <w:vAlign w:val="top"/>
          </w:tcPr>
          <w:p>
            <w:pPr>
              <w:spacing w:after="0" w:line="252" w:lineRule="auto"/>
            </w:pPr>
            <w:r>
              <w:rPr>
                <w:sz w:val="18"/>
                <w:szCs w:val="18"/>
              </w:rPr>
              <w:t xml:space="preserve">SAML/OIDC; SCIM in; push connectors out</w:t>
            </w:r>
          </w:p>
        </w:tc>
        <w:tc>
          <w:tcPr>
            <w:tcW w:type="dxa" w:w="3349"/>
            <w:tcMar>
              <w:top w:type="dxa" w:w="70"/>
              <w:left w:type="dxa" w:w="100"/>
              <w:bottom w:type="dxa" w:w="70"/>
              <w:right w:type="dxa" w:w="100"/>
            </w:tcMar>
            <w:vAlign w:val="top"/>
          </w:tcPr>
          <w:p>
            <w:pPr>
              <w:spacing w:after="0" w:line="252" w:lineRule="auto"/>
            </w:pPr>
            <w:r>
              <w:rPr>
                <w:sz w:val="18"/>
                <w:szCs w:val="18"/>
              </w:rPr>
              <w:t xml:space="preserve">Keycloak; platform identity service</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Email and calendar</w:t>
            </w:r>
          </w:p>
        </w:tc>
        <w:tc>
          <w:tcPr>
            <w:tcW w:type="dxa" w:w="3855"/>
            <w:tcMar>
              <w:top w:type="dxa" w:w="70"/>
              <w:left w:type="dxa" w:w="100"/>
              <w:bottom w:type="dxa" w:w="70"/>
              <w:right w:type="dxa" w:w="100"/>
            </w:tcMar>
            <w:vAlign w:val="top"/>
          </w:tcPr>
          <w:p>
            <w:pPr>
              <w:spacing w:after="0" w:line="252" w:lineRule="auto"/>
            </w:pPr>
            <w:r>
              <w:rPr>
                <w:sz w:val="18"/>
                <w:szCs w:val="18"/>
              </w:rPr>
              <w:t xml:space="preserve">Notifications; interview and training invites</w:t>
            </w:r>
          </w:p>
        </w:tc>
        <w:tc>
          <w:tcPr>
            <w:tcW w:type="dxa" w:w="3349"/>
            <w:tcMar>
              <w:top w:type="dxa" w:w="70"/>
              <w:left w:type="dxa" w:w="100"/>
              <w:bottom w:type="dxa" w:w="70"/>
              <w:right w:type="dxa" w:w="100"/>
            </w:tcMar>
            <w:vAlign w:val="top"/>
          </w:tcPr>
          <w:p>
            <w:pPr>
              <w:spacing w:after="0" w:line="252" w:lineRule="auto"/>
            </w:pPr>
            <w:r>
              <w:rPr>
                <w:sz w:val="18"/>
                <w:szCs w:val="18"/>
              </w:rPr>
              <w:t xml:space="preserve">Amazon SES; Microsoft Graph; Google Calendar</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Messaging</w:t>
            </w:r>
          </w:p>
        </w:tc>
        <w:tc>
          <w:tcPr>
            <w:tcW w:type="dxa" w:w="3855"/>
            <w:tcMar>
              <w:top w:type="dxa" w:w="70"/>
              <w:left w:type="dxa" w:w="100"/>
              <w:bottom w:type="dxa" w:w="70"/>
              <w:right w:type="dxa" w:w="100"/>
            </w:tcMar>
            <w:vAlign w:val="top"/>
          </w:tcPr>
          <w:p>
            <w:pPr>
              <w:spacing w:after="0" w:line="252" w:lineRule="auto"/>
            </w:pPr>
            <w:r>
              <w:rPr>
                <w:sz w:val="18"/>
                <w:szCs w:val="18"/>
              </w:rPr>
              <w:t xml:space="preserve">SMS with DLT templates, WhatsApp templates, push</w:t>
            </w:r>
          </w:p>
        </w:tc>
        <w:tc>
          <w:tcPr>
            <w:tcW w:type="dxa" w:w="3349"/>
            <w:tcMar>
              <w:top w:type="dxa" w:w="70"/>
              <w:left w:type="dxa" w:w="100"/>
              <w:bottom w:type="dxa" w:w="70"/>
              <w:right w:type="dxa" w:w="100"/>
            </w:tcMar>
            <w:vAlign w:val="top"/>
          </w:tcPr>
          <w:p>
            <w:pPr>
              <w:spacing w:after="0" w:line="252" w:lineRule="auto"/>
            </w:pPr>
            <w:r>
              <w:rPr>
                <w:sz w:val="18"/>
                <w:szCs w:val="18"/>
              </w:rPr>
              <w:t xml:space="preserve">MSG91 or Gupshup; Meta Cloud API; FCM/APNs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Recruitment, verification, e-sign</w:t>
            </w:r>
          </w:p>
        </w:tc>
        <w:tc>
          <w:tcPr>
            <w:tcW w:type="dxa" w:w="3855"/>
            <w:tcMar>
              <w:top w:type="dxa" w:w="70"/>
              <w:left w:type="dxa" w:w="100"/>
              <w:bottom w:type="dxa" w:w="70"/>
              <w:right w:type="dxa" w:w="100"/>
            </w:tcMar>
            <w:vAlign w:val="top"/>
          </w:tcPr>
          <w:p>
            <w:pPr>
              <w:spacing w:after="0" w:line="252" w:lineRule="auto"/>
            </w:pPr>
            <w:r>
              <w:rPr>
                <w:sz w:val="18"/>
                <w:szCs w:val="18"/>
              </w:rPr>
              <w:t xml:space="preserve">Connectors with consent capture</w:t>
            </w:r>
          </w:p>
        </w:tc>
        <w:tc>
          <w:tcPr>
            <w:tcW w:type="dxa" w:w="3349"/>
            <w:tcMar>
              <w:top w:type="dxa" w:w="70"/>
              <w:left w:type="dxa" w:w="100"/>
              <w:bottom w:type="dxa" w:w="70"/>
              <w:right w:type="dxa" w:w="100"/>
            </w:tcMar>
            <w:vAlign w:val="top"/>
          </w:tcPr>
          <w:p>
            <w:pPr>
              <w:spacing w:after="0" w:line="252" w:lineRule="auto"/>
            </w:pPr>
            <w:r>
              <w:rPr>
                <w:sz w:val="18"/>
                <w:szCs w:val="18"/>
              </w:rPr>
              <w:t xml:space="preserve">Job boards, BGV vendors, Leegality / Digio / eMudhra</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Customer iPaaS and SIEM</w:t>
            </w:r>
          </w:p>
        </w:tc>
        <w:tc>
          <w:tcPr>
            <w:tcW w:type="dxa" w:w="3855"/>
            <w:tcMar>
              <w:top w:type="dxa" w:w="70"/>
              <w:left w:type="dxa" w:w="100"/>
              <w:bottom w:type="dxa" w:w="70"/>
              <w:right w:type="dxa" w:w="100"/>
            </w:tcMar>
            <w:vAlign w:val="top"/>
          </w:tcPr>
          <w:p>
            <w:pPr>
              <w:spacing w:after="0" w:line="252" w:lineRule="auto"/>
            </w:pPr>
            <w:r>
              <w:rPr>
                <w:sz w:val="18"/>
                <w:szCs w:val="18"/>
              </w:rPr>
              <w:t xml:space="preserve">Webhooks, change feed, audit stream</w:t>
            </w:r>
          </w:p>
        </w:tc>
        <w:tc>
          <w:tcPr>
            <w:tcW w:type="dxa" w:w="3349"/>
            <w:tcMar>
              <w:top w:type="dxa" w:w="70"/>
              <w:left w:type="dxa" w:w="100"/>
              <w:bottom w:type="dxa" w:w="70"/>
              <w:right w:type="dxa" w:w="100"/>
            </w:tcMar>
            <w:vAlign w:val="top"/>
          </w:tcPr>
          <w:p>
            <w:pPr>
              <w:spacing w:after="0" w:line="252" w:lineRule="auto"/>
            </w:pPr>
            <w:r>
              <w:rPr>
                <w:sz w:val="18"/>
                <w:szCs w:val="18"/>
              </w:rPr>
              <w:t xml:space="preserve">Section 12</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Government portals</w:t>
            </w:r>
          </w:p>
        </w:tc>
        <w:tc>
          <w:tcPr>
            <w:tcW w:type="dxa" w:w="3855"/>
            <w:tcMar>
              <w:top w:type="dxa" w:w="70"/>
              <w:left w:type="dxa" w:w="100"/>
              <w:bottom w:type="dxa" w:w="70"/>
              <w:right w:type="dxa" w:w="100"/>
            </w:tcMar>
            <w:vAlign w:val="top"/>
          </w:tcPr>
          <w:p>
            <w:pPr>
              <w:spacing w:after="0" w:line="252" w:lineRule="auto"/>
            </w:pPr>
            <w:r>
              <w:rPr>
                <w:sz w:val="18"/>
                <w:szCs w:val="18"/>
              </w:rPr>
              <w:t xml:space="preserve">Links and evidence; file generation later (PF ECR, ESIC)</w:t>
            </w:r>
          </w:p>
        </w:tc>
        <w:tc>
          <w:tcPr>
            <w:tcW w:type="dxa" w:w="3349"/>
            <w:tcMar>
              <w:top w:type="dxa" w:w="70"/>
              <w:left w:type="dxa" w:w="100"/>
              <w:bottom w:type="dxa" w:w="70"/>
              <w:right w:type="dxa" w:w="100"/>
            </w:tcMar>
            <w:vAlign w:val="top"/>
          </w:tcPr>
          <w:p>
            <w:pPr>
              <w:spacing w:after="0" w:line="252" w:lineRule="auto"/>
            </w:pPr>
            <w:r>
              <w:rPr>
                <w:sz w:val="18"/>
                <w:szCs w:val="18"/>
              </w:rPr>
              <w:t xml:space="preserve">Country pack outputs</w:t>
            </w:r>
          </w:p>
        </w:tc>
      </w:tr>
    </w:tbl>
    <w:p>
      <w:pPr>
        <w:spacing w:after="160"/>
      </w:pPr>
    </w:p>
    <w:p>
      <w:r>
        <w:t xml:space="preserve">Connectors run as jobs with per-tenant configuration and credentials encrypted with the tenant data key, mappings, schedules, retries, a dead-letter queue, run history and alerts to the tenant admin.</w:t>
      </w:r>
    </w:p>
    <w:p>
      <w:pPr>
        <w:sectPr>
          <w:headerReference w:type="default" r:id="rId17"/>
          <w:footerReference w:type="default" r:id="rId18"/>
          <w:pgSz w:w="11906" w:h="16838" w:orient="portrait"/>
          <w:pgMar w:top="1134" w:right="1134" w:bottom="1134" w:left="1134" w:header="567" w:footer="567" w:gutter="0"/>
          <w:pgNumType/>
          <w:docGrid w:linePitch="360"/>
        </w:sectPr>
      </w:pPr>
    </w:p>
    <w:p>
      <w:pPr>
        <w:pStyle w:val="Heading1"/>
      </w:pPr>
      <w:bookmarkStart w:id="8043" w:name="_Toc900043"/>
      <w:r>
        <w:t xml:space="preserve">12. The API product</w:t>
      </w:r>
      <w:bookmarkEnd w:id="8043"/>
    </w:p>
    <w:p>
      <w:pPr>
        <w:pStyle w:val="Heading2"/>
      </w:pPr>
      <w:bookmarkStart w:id="8044" w:name="_Toc900044"/>
      <w:r>
        <w:t xml:space="preserve">12.1 Buyers and packaging</w:t>
      </w:r>
      <w:bookmarkEnd w:id="8044"/>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231"/>
        <w:gridCol w:w="4058"/>
        <w:gridCol w:w="3349"/>
      </w:tblGrid>
      <w:tr>
        <w:trPr>
          <w:cantSplit/>
          <w:tblHeader/>
        </w:trPr>
        <w:tc>
          <w:tcPr>
            <w:tcW w:type="dxa" w:w="223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Buyer</w:t>
            </w:r>
          </w:p>
        </w:tc>
        <w:tc>
          <w:tcPr>
            <w:tcW w:type="dxa" w:w="405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Builds</w:t>
            </w:r>
          </w:p>
        </w:tc>
        <w:tc>
          <w:tcPr>
            <w:tcW w:type="dxa" w:w="334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Needs most</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Customer IT</w:t>
            </w:r>
          </w:p>
        </w:tc>
        <w:tc>
          <w:tcPr>
            <w:tcW w:type="dxa" w:w="4058"/>
            <w:tcMar>
              <w:top w:type="dxa" w:w="70"/>
              <w:left w:type="dxa" w:w="100"/>
              <w:bottom w:type="dxa" w:w="70"/>
              <w:right w:type="dxa" w:w="100"/>
            </w:tcMar>
            <w:vAlign w:val="top"/>
          </w:tcPr>
          <w:p>
            <w:pPr>
              <w:spacing w:after="0" w:line="252" w:lineRule="auto"/>
            </w:pPr>
            <w:r>
              <w:rPr>
                <w:sz w:val="18"/>
                <w:szCs w:val="18"/>
              </w:rPr>
              <w:t xml:space="preserve">Sync with ERP, payroll, directory, BI; approvals in Teams or Slack</w:t>
            </w:r>
          </w:p>
        </w:tc>
        <w:tc>
          <w:tcPr>
            <w:tcW w:type="dxa" w:w="3349"/>
            <w:tcMar>
              <w:top w:type="dxa" w:w="70"/>
              <w:left w:type="dxa" w:w="100"/>
              <w:bottom w:type="dxa" w:w="70"/>
              <w:right w:type="dxa" w:w="100"/>
            </w:tcMar>
            <w:vAlign w:val="top"/>
          </w:tcPr>
          <w:p>
            <w:pPr>
              <w:spacing w:after="0" w:line="252" w:lineRule="auto"/>
            </w:pPr>
            <w:r>
              <w:rPr>
                <w:sz w:val="18"/>
                <w:szCs w:val="18"/>
              </w:rPr>
              <w:t xml:space="preserve">Stable contracts, bulk APIs, change feed, webhooks</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ISVs and partners</w:t>
            </w:r>
          </w:p>
        </w:tc>
        <w:tc>
          <w:tcPr>
            <w:tcW w:type="dxa" w:w="4058"/>
            <w:tcMar>
              <w:top w:type="dxa" w:w="70"/>
              <w:left w:type="dxa" w:w="100"/>
              <w:bottom w:type="dxa" w:w="70"/>
              <w:right w:type="dxa" w:w="100"/>
            </w:tcMar>
            <w:vAlign w:val="top"/>
          </w:tcPr>
          <w:p>
            <w:pPr>
              <w:spacing w:after="0" w:line="252" w:lineRule="auto"/>
            </w:pPr>
            <w:r>
              <w:rPr>
                <w:sz w:val="18"/>
                <w:szCs w:val="18"/>
              </w:rPr>
              <w:t xml:space="preserve">Apps sold to many tenants (payroll, benefits, BGV, LMS)</w:t>
            </w:r>
          </w:p>
        </w:tc>
        <w:tc>
          <w:tcPr>
            <w:tcW w:type="dxa" w:w="3349"/>
            <w:tcMar>
              <w:top w:type="dxa" w:w="70"/>
              <w:left w:type="dxa" w:w="100"/>
              <w:bottom w:type="dxa" w:w="70"/>
              <w:right w:type="dxa" w:w="100"/>
            </w:tcMar>
            <w:vAlign w:val="top"/>
          </w:tcPr>
          <w:p>
            <w:pPr>
              <w:spacing w:after="0" w:line="252" w:lineRule="auto"/>
            </w:pPr>
            <w:r>
              <w:rPr>
                <w:sz w:val="18"/>
                <w:szCs w:val="18"/>
              </w:rPr>
              <w:t xml:space="preserve">Multi-tenant OAuth apps, sandbox, listing</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iPaaS vendors and consultants</w:t>
            </w:r>
          </w:p>
        </w:tc>
        <w:tc>
          <w:tcPr>
            <w:tcW w:type="dxa" w:w="4058"/>
            <w:tcMar>
              <w:top w:type="dxa" w:w="70"/>
              <w:left w:type="dxa" w:w="100"/>
              <w:bottom w:type="dxa" w:w="70"/>
              <w:right w:type="dxa" w:w="100"/>
            </w:tcMar>
            <w:vAlign w:val="top"/>
          </w:tcPr>
          <w:p>
            <w:pPr>
              <w:spacing w:after="0" w:line="252" w:lineRule="auto"/>
            </w:pPr>
            <w:r>
              <w:rPr>
                <w:sz w:val="18"/>
                <w:szCs w:val="18"/>
              </w:rPr>
              <w:t xml:space="preserve">Connectors in MuleSoft, Boomi, Workato, Zapier</w:t>
            </w:r>
          </w:p>
        </w:tc>
        <w:tc>
          <w:tcPr>
            <w:tcW w:type="dxa" w:w="3349"/>
            <w:tcMar>
              <w:top w:type="dxa" w:w="70"/>
              <w:left w:type="dxa" w:w="100"/>
              <w:bottom w:type="dxa" w:w="70"/>
              <w:right w:type="dxa" w:w="100"/>
            </w:tcMar>
            <w:vAlign w:val="top"/>
          </w:tcPr>
          <w:p>
            <w:pPr>
              <w:spacing w:after="0" w:line="252" w:lineRule="auto"/>
            </w:pPr>
            <w:r>
              <w:rPr>
                <w:sz w:val="18"/>
                <w:szCs w:val="18"/>
              </w:rPr>
              <w:t xml:space="preserve">Consistent patterns, OpenAPI, webhooks</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HR outsourcing partners</w:t>
            </w:r>
          </w:p>
        </w:tc>
        <w:tc>
          <w:tcPr>
            <w:tcW w:type="dxa" w:w="4058"/>
            <w:tcMar>
              <w:top w:type="dxa" w:w="70"/>
              <w:left w:type="dxa" w:w="100"/>
              <w:bottom w:type="dxa" w:w="70"/>
              <w:right w:type="dxa" w:w="100"/>
            </w:tcMar>
            <w:vAlign w:val="top"/>
          </w:tcPr>
          <w:p>
            <w:pPr>
              <w:spacing w:after="0" w:line="252" w:lineRule="auto"/>
            </w:pPr>
            <w:r>
              <w:rPr>
                <w:sz w:val="18"/>
                <w:szCs w:val="18"/>
              </w:rPr>
              <w:t xml:space="preserve">Operate many client tenants</w:t>
            </w:r>
          </w:p>
        </w:tc>
        <w:tc>
          <w:tcPr>
            <w:tcW w:type="dxa" w:w="3349"/>
            <w:tcMar>
              <w:top w:type="dxa" w:w="70"/>
              <w:left w:type="dxa" w:w="100"/>
              <w:bottom w:type="dxa" w:w="70"/>
              <w:right w:type="dxa" w:w="100"/>
            </w:tcMar>
            <w:vAlign w:val="top"/>
          </w:tcPr>
          <w:p>
            <w:pPr>
              <w:spacing w:after="0" w:line="252" w:lineRule="auto"/>
            </w:pPr>
            <w:r>
              <w:rPr>
                <w:sz w:val="18"/>
                <w:szCs w:val="18"/>
              </w:rPr>
              <w:t xml:space="preserve">Partner API with delegated access</w:t>
            </w:r>
          </w:p>
        </w:tc>
      </w:tr>
    </w:tbl>
    <w:p>
      <w:pPr>
        <w:spacing w:after="160"/>
      </w:pPr>
    </w:p>
    <w:p>
      <w:pPr>
        <w:keepNext/>
        <w:spacing w:after="80" w:before="120"/>
      </w:pPr>
      <w:r>
        <w:rPr>
          <w:b/>
          <w:bCs/>
          <w:color w:val="4F5E67"/>
          <w:sz w:val="18"/>
          <w:szCs w:val="18"/>
        </w:rPr>
        <w:t xml:space="preserve">Table 12. Suggested plans (validate with design partners, decision D17)</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029"/>
        <w:gridCol w:w="2536"/>
        <w:gridCol w:w="2536"/>
        <w:gridCol w:w="2537"/>
      </w:tblGrid>
      <w:tr>
        <w:trPr>
          <w:cantSplit/>
          <w:tblHeader/>
        </w:trPr>
        <w:tc>
          <w:tcPr>
            <w:tcW w:type="dxa" w:w="2029"/>
            <w:shd w:fill="DDEAEA" w:color="auto" w:val="clear"/>
            <w:tcMar>
              <w:top w:type="dxa" w:w="70"/>
              <w:left w:type="dxa" w:w="100"/>
              <w:bottom w:type="dxa" w:w="70"/>
              <w:right w:type="dxa" w:w="100"/>
            </w:tcMar>
            <w:vAlign w:val="top"/>
          </w:tcPr>
          <w:p>
            <w:pPr>
              <w:spacing w:after="0" w:line="252" w:lineRule="auto"/>
            </w:pPr>
          </w:p>
        </w:tc>
        <w:tc>
          <w:tcPr>
            <w:tcW w:type="dxa" w:w="253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Starter</w:t>
            </w:r>
          </w:p>
        </w:tc>
        <w:tc>
          <w:tcPr>
            <w:tcW w:type="dxa" w:w="253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Growth</w:t>
            </w:r>
          </w:p>
        </w:tc>
        <w:tc>
          <w:tcPr>
            <w:tcW w:type="dxa" w:w="253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Enterprise</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API families</w:t>
            </w:r>
          </w:p>
        </w:tc>
        <w:tc>
          <w:tcPr>
            <w:tcW w:type="dxa" w:w="2536"/>
            <w:tcMar>
              <w:top w:type="dxa" w:w="70"/>
              <w:left w:type="dxa" w:w="100"/>
              <w:bottom w:type="dxa" w:w="70"/>
              <w:right w:type="dxa" w:w="100"/>
            </w:tcMar>
            <w:vAlign w:val="top"/>
          </w:tcPr>
          <w:p>
            <w:pPr>
              <w:spacing w:after="0" w:line="252" w:lineRule="auto"/>
            </w:pPr>
            <w:r>
              <w:rPr>
                <w:sz w:val="18"/>
                <w:szCs w:val="18"/>
              </w:rPr>
              <w:t xml:space="preserve">Read: organisation, worker directory, leave balances; webhooks; change feed; SCIM</w:t>
            </w:r>
          </w:p>
        </w:tc>
        <w:tc>
          <w:tcPr>
            <w:tcW w:type="dxa" w:w="2536"/>
            <w:tcMar>
              <w:top w:type="dxa" w:w="70"/>
              <w:left w:type="dxa" w:w="100"/>
              <w:bottom w:type="dxa" w:w="70"/>
              <w:right w:type="dxa" w:w="100"/>
            </w:tcMar>
            <w:vAlign w:val="top"/>
          </w:tcPr>
          <w:p>
            <w:pPr>
              <w:spacing w:after="0" w:line="252" w:lineRule="auto"/>
            </w:pPr>
            <w:r>
              <w:rPr>
                <w:sz w:val="18"/>
                <w:szCs w:val="18"/>
              </w:rPr>
              <w:t xml:space="preserve">Plus all module APIs, personnel actions, time, payroll inputs, bulk</w:t>
            </w:r>
          </w:p>
        </w:tc>
        <w:tc>
          <w:tcPr>
            <w:tcW w:type="dxa" w:w="2537"/>
            <w:tcMar>
              <w:top w:type="dxa" w:w="70"/>
              <w:left w:type="dxa" w:w="100"/>
              <w:bottom w:type="dxa" w:w="70"/>
              <w:right w:type="dxa" w:w="100"/>
            </w:tcMar>
            <w:vAlign w:val="top"/>
          </w:tcPr>
          <w:p>
            <w:pPr>
              <w:spacing w:after="0" w:line="252" w:lineRule="auto"/>
            </w:pPr>
            <w:r>
              <w:rPr>
                <w:sz w:val="18"/>
                <w:szCs w:val="18"/>
              </w:rPr>
              <w:t xml:space="preserve">Plus analytics, admin APIs, event streaming</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Rate limit per tenant</w:t>
            </w:r>
          </w:p>
        </w:tc>
        <w:tc>
          <w:tcPr>
            <w:tcW w:type="dxa" w:w="2536"/>
            <w:tcMar>
              <w:top w:type="dxa" w:w="70"/>
              <w:left w:type="dxa" w:w="100"/>
              <w:bottom w:type="dxa" w:w="70"/>
              <w:right w:type="dxa" w:w="100"/>
            </w:tcMar>
            <w:vAlign w:val="top"/>
          </w:tcPr>
          <w:p>
            <w:pPr>
              <w:spacing w:after="0" w:line="252" w:lineRule="auto"/>
            </w:pPr>
            <w:r>
              <w:rPr>
                <w:sz w:val="18"/>
                <w:szCs w:val="18"/>
              </w:rPr>
              <w:t xml:space="preserve">60 req/min; 10,000/day</w:t>
            </w:r>
          </w:p>
        </w:tc>
        <w:tc>
          <w:tcPr>
            <w:tcW w:type="dxa" w:w="2536"/>
            <w:tcMar>
              <w:top w:type="dxa" w:w="70"/>
              <w:left w:type="dxa" w:w="100"/>
              <w:bottom w:type="dxa" w:w="70"/>
              <w:right w:type="dxa" w:w="100"/>
            </w:tcMar>
            <w:vAlign w:val="top"/>
          </w:tcPr>
          <w:p>
            <w:pPr>
              <w:spacing w:after="0" w:line="252" w:lineRule="auto"/>
            </w:pPr>
            <w:r>
              <w:rPr>
                <w:sz w:val="18"/>
                <w:szCs w:val="18"/>
              </w:rPr>
              <w:t xml:space="preserve">600 req/min; 250,000/day</w:t>
            </w:r>
          </w:p>
        </w:tc>
        <w:tc>
          <w:tcPr>
            <w:tcW w:type="dxa" w:w="2537"/>
            <w:tcMar>
              <w:top w:type="dxa" w:w="70"/>
              <w:left w:type="dxa" w:w="100"/>
              <w:bottom w:type="dxa" w:w="70"/>
              <w:right w:type="dxa" w:w="100"/>
            </w:tcMar>
            <w:vAlign w:val="top"/>
          </w:tcPr>
          <w:p>
            <w:pPr>
              <w:spacing w:after="0" w:line="252" w:lineRule="auto"/>
            </w:pPr>
            <w:r>
              <w:rPr>
                <w:sz w:val="18"/>
                <w:szCs w:val="18"/>
              </w:rPr>
              <w:t xml:space="preserve">From 3,000 req/min; custom</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Webhook endpoints</w:t>
            </w:r>
          </w:p>
        </w:tc>
        <w:tc>
          <w:tcPr>
            <w:tcW w:type="dxa" w:w="2536"/>
            <w:tcMar>
              <w:top w:type="dxa" w:w="70"/>
              <w:left w:type="dxa" w:w="100"/>
              <w:bottom w:type="dxa" w:w="70"/>
              <w:right w:type="dxa" w:w="100"/>
            </w:tcMar>
            <w:vAlign w:val="top"/>
          </w:tcPr>
          <w:p>
            <w:pPr>
              <w:spacing w:after="0" w:line="252" w:lineRule="auto"/>
            </w:pPr>
            <w:r>
              <w:rPr>
                <w:sz w:val="18"/>
                <w:szCs w:val="18"/>
              </w:rPr>
              <w:t xml:space="preserve">2</w:t>
            </w:r>
          </w:p>
        </w:tc>
        <w:tc>
          <w:tcPr>
            <w:tcW w:type="dxa" w:w="2536"/>
            <w:tcMar>
              <w:top w:type="dxa" w:w="70"/>
              <w:left w:type="dxa" w:w="100"/>
              <w:bottom w:type="dxa" w:w="70"/>
              <w:right w:type="dxa" w:w="100"/>
            </w:tcMar>
            <w:vAlign w:val="top"/>
          </w:tcPr>
          <w:p>
            <w:pPr>
              <w:spacing w:after="0" w:line="252" w:lineRule="auto"/>
            </w:pPr>
            <w:r>
              <w:rPr>
                <w:sz w:val="18"/>
                <w:szCs w:val="18"/>
              </w:rPr>
              <w:t xml:space="preserve">10</w:t>
            </w:r>
          </w:p>
        </w:tc>
        <w:tc>
          <w:tcPr>
            <w:tcW w:type="dxa" w:w="2537"/>
            <w:tcMar>
              <w:top w:type="dxa" w:w="70"/>
              <w:left w:type="dxa" w:w="100"/>
              <w:bottom w:type="dxa" w:w="70"/>
              <w:right w:type="dxa" w:w="100"/>
            </w:tcMar>
            <w:vAlign w:val="top"/>
          </w:tcPr>
          <w:p>
            <w:pPr>
              <w:spacing w:after="0" w:line="252" w:lineRule="auto"/>
            </w:pPr>
            <w:r>
              <w:rPr>
                <w:sz w:val="18"/>
                <w:szCs w:val="18"/>
              </w:rPr>
              <w:t xml:space="preserve">50</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Sandboxes</w:t>
            </w:r>
          </w:p>
        </w:tc>
        <w:tc>
          <w:tcPr>
            <w:tcW w:type="dxa" w:w="2536"/>
            <w:tcMar>
              <w:top w:type="dxa" w:w="70"/>
              <w:left w:type="dxa" w:w="100"/>
              <w:bottom w:type="dxa" w:w="70"/>
              <w:right w:type="dxa" w:w="100"/>
            </w:tcMar>
            <w:vAlign w:val="top"/>
          </w:tcPr>
          <w:p>
            <w:pPr>
              <w:spacing w:after="0" w:line="252" w:lineRule="auto"/>
            </w:pPr>
            <w:r>
              <w:rPr>
                <w:sz w:val="18"/>
                <w:szCs w:val="18"/>
              </w:rPr>
              <w:t xml:space="preserve">1 shared</w:t>
            </w:r>
          </w:p>
        </w:tc>
        <w:tc>
          <w:tcPr>
            <w:tcW w:type="dxa" w:w="2536"/>
            <w:tcMar>
              <w:top w:type="dxa" w:w="70"/>
              <w:left w:type="dxa" w:w="100"/>
              <w:bottom w:type="dxa" w:w="70"/>
              <w:right w:type="dxa" w:w="100"/>
            </w:tcMar>
            <w:vAlign w:val="top"/>
          </w:tcPr>
          <w:p>
            <w:pPr>
              <w:spacing w:after="0" w:line="252" w:lineRule="auto"/>
            </w:pPr>
            <w:r>
              <w:rPr>
                <w:sz w:val="18"/>
                <w:szCs w:val="18"/>
              </w:rPr>
              <w:t xml:space="preserve">1 dedicated</w:t>
            </w:r>
          </w:p>
        </w:tc>
        <w:tc>
          <w:tcPr>
            <w:tcW w:type="dxa" w:w="2537"/>
            <w:tcMar>
              <w:top w:type="dxa" w:w="70"/>
              <w:left w:type="dxa" w:w="100"/>
              <w:bottom w:type="dxa" w:w="70"/>
              <w:right w:type="dxa" w:w="100"/>
            </w:tcMar>
            <w:vAlign w:val="top"/>
          </w:tcPr>
          <w:p>
            <w:pPr>
              <w:spacing w:after="0" w:line="252" w:lineRule="auto"/>
            </w:pPr>
            <w:r>
              <w:rPr>
                <w:sz w:val="18"/>
                <w:szCs w:val="18"/>
              </w:rPr>
              <w:t xml:space="preserve">3, plus a masked production copy</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Connectivity</w:t>
            </w:r>
          </w:p>
        </w:tc>
        <w:tc>
          <w:tcPr>
            <w:tcW w:type="dxa" w:w="2536"/>
            <w:tcMar>
              <w:top w:type="dxa" w:w="70"/>
              <w:left w:type="dxa" w:w="100"/>
              <w:bottom w:type="dxa" w:w="70"/>
              <w:right w:type="dxa" w:w="100"/>
            </w:tcMar>
            <w:vAlign w:val="top"/>
          </w:tcPr>
          <w:p>
            <w:pPr>
              <w:spacing w:after="0" w:line="252" w:lineRule="auto"/>
            </w:pPr>
            <w:r>
              <w:rPr>
                <w:sz w:val="18"/>
                <w:szCs w:val="18"/>
              </w:rPr>
              <w:t xml:space="preserve">Public TLS</w:t>
            </w:r>
          </w:p>
        </w:tc>
        <w:tc>
          <w:tcPr>
            <w:tcW w:type="dxa" w:w="2536"/>
            <w:tcMar>
              <w:top w:type="dxa" w:w="70"/>
              <w:left w:type="dxa" w:w="100"/>
              <w:bottom w:type="dxa" w:w="70"/>
              <w:right w:type="dxa" w:w="100"/>
            </w:tcMar>
            <w:vAlign w:val="top"/>
          </w:tcPr>
          <w:p>
            <w:pPr>
              <w:spacing w:after="0" w:line="252" w:lineRule="auto"/>
            </w:pPr>
            <w:r>
              <w:rPr>
                <w:sz w:val="18"/>
                <w:szCs w:val="18"/>
              </w:rPr>
              <w:t xml:space="preserve">+ IP allowlist</w:t>
            </w:r>
          </w:p>
        </w:tc>
        <w:tc>
          <w:tcPr>
            <w:tcW w:type="dxa" w:w="2537"/>
            <w:tcMar>
              <w:top w:type="dxa" w:w="70"/>
              <w:left w:type="dxa" w:w="100"/>
              <w:bottom w:type="dxa" w:w="70"/>
              <w:right w:type="dxa" w:w="100"/>
            </w:tcMar>
            <w:vAlign w:val="top"/>
          </w:tcPr>
          <w:p>
            <w:pPr>
              <w:spacing w:after="0" w:line="252" w:lineRule="auto"/>
            </w:pPr>
            <w:r>
              <w:rPr>
                <w:sz w:val="18"/>
                <w:szCs w:val="18"/>
              </w:rPr>
              <w:t xml:space="preserve">+ mTLS, AWS PrivateLink</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API SLA</w:t>
            </w:r>
          </w:p>
        </w:tc>
        <w:tc>
          <w:tcPr>
            <w:tcW w:type="dxa" w:w="2536"/>
            <w:tcMar>
              <w:top w:type="dxa" w:w="70"/>
              <w:left w:type="dxa" w:w="100"/>
              <w:bottom w:type="dxa" w:w="70"/>
              <w:right w:type="dxa" w:w="100"/>
            </w:tcMar>
            <w:vAlign w:val="top"/>
          </w:tcPr>
          <w:p>
            <w:pPr>
              <w:spacing w:after="0" w:line="252" w:lineRule="auto"/>
            </w:pPr>
            <w:r>
              <w:rPr>
                <w:sz w:val="18"/>
                <w:szCs w:val="18"/>
              </w:rPr>
              <w:t xml:space="preserve">Best effort</w:t>
            </w:r>
          </w:p>
        </w:tc>
        <w:tc>
          <w:tcPr>
            <w:tcW w:type="dxa" w:w="2536"/>
            <w:tcMar>
              <w:top w:type="dxa" w:w="70"/>
              <w:left w:type="dxa" w:w="100"/>
              <w:bottom w:type="dxa" w:w="70"/>
              <w:right w:type="dxa" w:w="100"/>
            </w:tcMar>
            <w:vAlign w:val="top"/>
          </w:tcPr>
          <w:p>
            <w:pPr>
              <w:spacing w:after="0" w:line="252" w:lineRule="auto"/>
            </w:pPr>
            <w:r>
              <w:rPr>
                <w:sz w:val="18"/>
                <w:szCs w:val="18"/>
              </w:rPr>
              <w:t xml:space="preserve">99.9%</w:t>
            </w:r>
          </w:p>
        </w:tc>
        <w:tc>
          <w:tcPr>
            <w:tcW w:type="dxa" w:w="2537"/>
            <w:tcMar>
              <w:top w:type="dxa" w:w="70"/>
              <w:left w:type="dxa" w:w="100"/>
              <w:bottom w:type="dxa" w:w="70"/>
              <w:right w:type="dxa" w:w="100"/>
            </w:tcMar>
            <w:vAlign w:val="top"/>
          </w:tcPr>
          <w:p>
            <w:pPr>
              <w:spacing w:after="0" w:line="252" w:lineRule="auto"/>
            </w:pPr>
            <w:r>
              <w:rPr>
                <w:sz w:val="18"/>
                <w:szCs w:val="18"/>
              </w:rPr>
              <w:t xml:space="preserve">99.95% with credits</w:t>
            </w:r>
          </w:p>
        </w:tc>
      </w:tr>
    </w:tbl>
    <w:p>
      <w:pPr>
        <w:spacing w:after="160"/>
      </w:pPr>
    </w:p>
    <w:p>
      <w:r>
        <w:rPr>
          <w:b/>
          <w:bCs/>
        </w:rPr>
        <w:t xml:space="preserve">First-party traffic</w:t>
      </w:r>
      <w:r>
        <w:t xml:space="preserve"> (our web BFF and mobile app) uses its own client class and limits, and never consumes a customer's API quota.</w:t>
      </w:r>
    </w:p>
    <w:p>
      <w:pPr>
        <w:sectPr>
          <w:headerReference w:type="default" r:id="rId19"/>
          <w:footerReference w:type="default" r:id="rId20"/>
          <w:pgSz w:w="11906" w:h="16838" w:orient="portrait"/>
          <w:pgMar w:top="1134" w:right="1134" w:bottom="1134" w:left="1134" w:header="567" w:footer="567" w:gutter="0"/>
          <w:pgNumType/>
          <w:docGrid w:linePitch="360"/>
        </w:sectPr>
      </w:pPr>
    </w:p>
    <w:p>
      <w:pPr>
        <w:pStyle w:val="Heading2"/>
      </w:pPr>
      <w:bookmarkStart w:id="8045" w:name="_Toc900045"/>
      <w:r>
        <w:t xml:space="preserve">12.2 API platform</w:t>
      </w:r>
      <w:bookmarkEnd w:id="8045"/>
    </w:p>
    <w:p>
      <w:pPr>
        <w:keepNext/>
        <w:spacing w:after="60" w:before="120" w:line="240" w:lineRule="auto"/>
        <w:jc w:val="center"/>
      </w:pPr>
      <w:r>
        <w:drawing>
          <wp:inline distT="0" distB="0" distL="0" distR="0">
            <wp:extent cx="8134350" cy="4667250"/>
            <wp:effectExtent t="0" r="0" b="0" l="0"/>
            <wp:docPr id="1" name="l02-api" descr="Developers register apps; identity issues tenant-bound tokens; the gateway enforces client class, quotas and routing; cells emit events to the webhook dispatcher and the change feed; gateway logs feed metering and billing." title="Developers register apps; identity issues tenant-bound tokens; the gateway enforces client class, quotas and routing; cells emit events to the webhook dispatcher and the change feed; gateway logs feed metering and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134350" cy="4667250"/>
                    </a:xfrm>
                    <a:prstGeom prst="rect">
                      <a:avLst/>
                    </a:prstGeom>
                  </pic:spPr>
                </pic:pic>
              </a:graphicData>
            </a:graphic>
          </wp:inline>
        </w:drawing>
      </w:r>
    </w:p>
    <w:p>
      <w:pPr>
        <w:pStyle w:val="Caption"/>
        <w:jc w:val="left"/>
      </w:pPr>
      <w:r>
        <w:rPr>
          <w:b/>
          <w:bCs/>
        </w:rPr>
        <w:t xml:space="preserve">Figure 14. </w:t>
      </w:r>
      <w:r>
        <w:t xml:space="preserve">Developers register apps; identity issues tenant-bound tokens; the gateway enforces client class, quotas and routing; cells emit events to the webhook dispatcher and the change feed; gateway logs feed metering and billing.</w:t>
      </w:r>
    </w:p>
    <w:p>
      <w:pPr>
        <w:sectPr>
          <w:headerReference w:type="default" r:id="rId21"/>
          <w:footerReference w:type="default" r:id="rId22"/>
          <w:pgSz w:w="16838" w:h="11906" w:orient="landscape"/>
          <w:pgMar w:top="1134" w:right="1134" w:bottom="1134" w:left="1134" w:header="567" w:footer="567" w:gutter="0"/>
          <w:pgNumType/>
          <w:docGrid w:linePitch="360"/>
        </w:sectPr>
      </w:pPr>
    </w:p>
    <w:p>
      <w:pPr>
        <w:pStyle w:val="Heading2"/>
      </w:pPr>
      <w:bookmarkStart w:id="8046" w:name="_Toc900046"/>
      <w:r>
        <w:t xml:space="preserve">12.3 One API call</w:t>
      </w:r>
      <w:bookmarkEnd w:id="8046"/>
    </w:p>
    <w:p>
      <w:pPr>
        <w:keepNext/>
        <w:spacing w:after="60" w:before="120" w:line="240" w:lineRule="auto"/>
        <w:jc w:val="center"/>
      </w:pPr>
      <w:r>
        <w:drawing>
          <wp:inline distT="0" distB="0" distL="0" distR="0">
            <wp:extent cx="6096000" cy="4152900"/>
            <wp:effectExtent t="0" r="0" b="0" l="0"/>
            <wp:docPr id="1" name="p10-seq-api" descr="An API call from token to response, with usage recorded for metering." title="An API call from token to response, with usage recorded for me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4152900"/>
                    </a:xfrm>
                    <a:prstGeom prst="rect">
                      <a:avLst/>
                    </a:prstGeom>
                  </pic:spPr>
                </pic:pic>
              </a:graphicData>
            </a:graphic>
          </wp:inline>
        </w:drawing>
      </w:r>
    </w:p>
    <w:p>
      <w:pPr>
        <w:pStyle w:val="Caption"/>
        <w:jc w:val="left"/>
      </w:pPr>
      <w:r>
        <w:rPr>
          <w:b/>
          <w:bCs/>
        </w:rPr>
        <w:t xml:space="preserve">Figure 15. </w:t>
      </w:r>
      <w:r>
        <w:t xml:space="preserve">An API call from token to response, with usage recorded for metering.</w:t>
      </w:r>
    </w:p>
    <w:p>
      <w:pPr>
        <w:pStyle w:val="Heading2"/>
      </w:pPr>
      <w:bookmarkStart w:id="8047" w:name="_Toc900047"/>
      <w:r>
        <w:t xml:space="preserve">12.4 Design standards</w:t>
      </w:r>
      <w:bookmarkEnd w:id="8047"/>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231"/>
        <w:gridCol w:w="7407"/>
      </w:tblGrid>
      <w:tr>
        <w:trPr>
          <w:cantSplit/>
          <w:tblHeader/>
        </w:trPr>
        <w:tc>
          <w:tcPr>
            <w:tcW w:type="dxa" w:w="223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Topic</w:t>
            </w:r>
          </w:p>
        </w:tc>
        <w:tc>
          <w:tcPr>
            <w:tcW w:type="dxa" w:w="740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Standard</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Style</w:t>
            </w:r>
          </w:p>
        </w:tc>
        <w:tc>
          <w:tcPr>
            <w:tcW w:type="dxa" w:w="7407"/>
            <w:tcMar>
              <w:top w:type="dxa" w:w="70"/>
              <w:left w:type="dxa" w:w="100"/>
              <w:bottom w:type="dxa" w:w="70"/>
              <w:right w:type="dxa" w:w="100"/>
            </w:tcMar>
            <w:vAlign w:val="top"/>
          </w:tcPr>
          <w:p>
            <w:pPr>
              <w:spacing w:after="0" w:line="252" w:lineRule="auto"/>
            </w:pPr>
            <w:r>
              <w:rPr>
                <w:sz w:val="18"/>
                <w:szCs w:val="18"/>
              </w:rPr>
              <w:t xml:space="preserve">REST over HTTPS, JSON (UTF-8), camelCase fields, kebab-case plural paths; commands as </w:t>
            </w:r>
            <w:r>
              <w:rPr>
                <w:rFonts w:ascii="Consolas" w:cs="Consolas" w:eastAsia="Consolas" w:hAnsi="Consolas"/>
                <w:color w:val="0B4F4F"/>
                <w:sz w:val="17"/>
                <w:szCs w:val="17"/>
              </w:rPr>
              <w:t xml:space="preserve">:verb</w:t>
            </w:r>
            <w:r>
              <w:rPr>
                <w:sz w:val="18"/>
                <w:szCs w:val="18"/>
              </w:rPr>
              <w:t xml:space="preserve"> (</w:t>
            </w:r>
            <w:r>
              <w:rPr>
                <w:rFonts w:ascii="Consolas" w:cs="Consolas" w:eastAsia="Consolas" w:hAnsi="Consolas"/>
                <w:color w:val="0B4F4F"/>
                <w:sz w:val="17"/>
                <w:szCs w:val="17"/>
              </w:rPr>
              <w:t xml:space="preserve">:approve</w:t>
            </w:r>
            <w:r>
              <w:rPr>
                <w:sz w:val="18"/>
                <w:szCs w:val="18"/>
              </w:rPr>
              <w:t xml:space="preserve">, </w:t>
            </w:r>
            <w:r>
              <w:rPr>
                <w:rFonts w:ascii="Consolas" w:cs="Consolas" w:eastAsia="Consolas" w:hAnsi="Consolas"/>
                <w:color w:val="0B4F4F"/>
                <w:sz w:val="17"/>
                <w:szCs w:val="17"/>
              </w:rPr>
              <w:t xml:space="preserve">:cancel</w:t>
            </w:r>
            <w:r>
              <w:rPr>
                <w:sz w:val="18"/>
                <w:szCs w:val="18"/>
              </w:rPr>
              <w:t xml:space="preserve">, </w:t>
            </w:r>
            <w:r>
              <w:rPr>
                <w:rFonts w:ascii="Consolas" w:cs="Consolas" w:eastAsia="Consolas" w:hAnsi="Consolas"/>
                <w:color w:val="0B4F4F"/>
                <w:sz w:val="17"/>
                <w:szCs w:val="17"/>
              </w:rPr>
              <w:t xml:space="preserve">:bulk</w:t>
            </w:r>
            <w:r>
              <w:rPr>
                <w:sz w:val="18"/>
                <w:szCs w:val="18"/>
              </w:rPr>
              <w:t xml:space="preserve">)</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Identity</w:t>
            </w:r>
          </w:p>
        </w:tc>
        <w:tc>
          <w:tcPr>
            <w:tcW w:type="dxa" w:w="740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wrk_</w:t>
            </w:r>
            <w:r>
              <w:rPr>
                <w:sz w:val="18"/>
                <w:szCs w:val="18"/>
              </w:rPr>
              <w:t xml:space="preserve"> worker IDs are stable for life in a tenant; </w:t>
            </w:r>
            <w:r>
              <w:rPr>
                <w:rFonts w:ascii="Consolas" w:cs="Consolas" w:eastAsia="Consolas" w:hAnsi="Consolas"/>
                <w:color w:val="0B4F4F"/>
                <w:sz w:val="17"/>
                <w:szCs w:val="17"/>
              </w:rPr>
              <w:t xml:space="preserve">emp_</w:t>
            </w:r>
            <w:r>
              <w:rPr>
                <w:sz w:val="18"/>
                <w:szCs w:val="18"/>
              </w:rPr>
              <w:t xml:space="preserve"> employment IDs change on rehire and inter-company transfer; every event carries both</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Dates and money</w:t>
            </w:r>
          </w:p>
        </w:tc>
        <w:tc>
          <w:tcPr>
            <w:tcW w:type="dxa" w:w="7407"/>
            <w:tcMar>
              <w:top w:type="dxa" w:w="70"/>
              <w:left w:type="dxa" w:w="100"/>
              <w:bottom w:type="dxa" w:w="70"/>
              <w:right w:type="dxa" w:w="100"/>
            </w:tcMar>
            <w:vAlign w:val="top"/>
          </w:tcPr>
          <w:p>
            <w:pPr>
              <w:spacing w:after="0" w:line="252" w:lineRule="auto"/>
            </w:pPr>
            <w:r>
              <w:rPr>
                <w:sz w:val="18"/>
                <w:szCs w:val="18"/>
              </w:rPr>
              <w:t xml:space="preserve">Business dates </w:t>
            </w:r>
            <w:r>
              <w:rPr>
                <w:rFonts w:ascii="Consolas" w:cs="Consolas" w:eastAsia="Consolas" w:hAnsi="Consolas"/>
                <w:color w:val="0B4F4F"/>
                <w:sz w:val="17"/>
                <w:szCs w:val="17"/>
              </w:rPr>
              <w:t xml:space="preserve">YYYY-MM-DD</w:t>
            </w:r>
            <w:r>
              <w:rPr>
                <w:sz w:val="18"/>
                <w:szCs w:val="18"/>
              </w:rPr>
              <w:t xml:space="preserve">; instants RFC 3339 UTC; money </w:t>
            </w:r>
            <w:r>
              <w:rPr>
                <w:rFonts w:ascii="Consolas" w:cs="Consolas" w:eastAsia="Consolas" w:hAnsi="Consolas"/>
                <w:color w:val="0B4F4F"/>
                <w:sz w:val="17"/>
                <w:szCs w:val="17"/>
              </w:rPr>
              <w:t xml:space="preserve">{ "amount": "1250000.00", "currency": "INR" }</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Temporal reads</w:t>
            </w:r>
          </w:p>
        </w:tc>
        <w:tc>
          <w:tcPr>
            <w:tcW w:type="dxa" w:w="740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asOf=YYYY-MM-DD</w:t>
            </w:r>
            <w:r>
              <w:rPr>
                <w:sz w:val="18"/>
                <w:szCs w:val="18"/>
              </w:rPr>
              <w:t xml:space="preserve"> on any effective-dated resource; timelines at </w:t>
            </w:r>
            <w:r>
              <w:rPr>
                <w:rFonts w:ascii="Consolas" w:cs="Consolas" w:eastAsia="Consolas" w:hAnsi="Consolas"/>
                <w:color w:val="0B4F4F"/>
                <w:sz w:val="17"/>
                <w:szCs w:val="17"/>
              </w:rPr>
              <w:t xml:space="preserve">/v1/employments/{id}/assignments</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Changes to employment</w:t>
            </w:r>
          </w:p>
        </w:tc>
        <w:tc>
          <w:tcPr>
            <w:tcW w:type="dxa" w:w="740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POST /v1/personnel-actions</w:t>
            </w:r>
            <w:r>
              <w:rPr>
                <w:sz w:val="18"/>
                <w:szCs w:val="18"/>
              </w:rPr>
              <w:t xml:space="preserve"> (type, effective date, reason, changes) returns 202 with PENDING_APPROVAL, SCHEDULED or APPLIED; </w:t>
            </w:r>
            <w:r>
              <w:rPr>
                <w:rFonts w:ascii="Consolas" w:cs="Consolas" w:eastAsia="Consolas" w:hAnsi="Consolas"/>
                <w:color w:val="0B4F4F"/>
                <w:sz w:val="17"/>
                <w:szCs w:val="17"/>
              </w:rPr>
              <w:t xml:space="preserve">:bulk</w:t>
            </w:r>
            <w:r>
              <w:rPr>
                <w:sz w:val="18"/>
                <w:szCs w:val="18"/>
              </w:rPr>
              <w:t xml:space="preserve"> in integration mode</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Pagination and filters</w:t>
            </w:r>
          </w:p>
        </w:tc>
        <w:tc>
          <w:tcPr>
            <w:tcW w:type="dxa" w:w="7407"/>
            <w:tcMar>
              <w:top w:type="dxa" w:w="70"/>
              <w:left w:type="dxa" w:w="100"/>
              <w:bottom w:type="dxa" w:w="70"/>
              <w:right w:type="dxa" w:w="100"/>
            </w:tcMar>
            <w:vAlign w:val="top"/>
          </w:tcPr>
          <w:p>
            <w:pPr>
              <w:spacing w:after="0" w:line="252" w:lineRule="auto"/>
            </w:pPr>
            <w:r>
              <w:rPr>
                <w:sz w:val="18"/>
                <w:szCs w:val="18"/>
              </w:rPr>
              <w:t xml:space="preserve">Cursor pagination (</w:t>
            </w:r>
            <w:r>
              <w:rPr>
                <w:rFonts w:ascii="Consolas" w:cs="Consolas" w:eastAsia="Consolas" w:hAnsi="Consolas"/>
                <w:color w:val="0B4F4F"/>
                <w:sz w:val="17"/>
                <w:szCs w:val="17"/>
              </w:rPr>
              <w:t xml:space="preserve">limit</w:t>
            </w:r>
            <w:r>
              <w:rPr>
                <w:sz w:val="18"/>
                <w:szCs w:val="18"/>
              </w:rPr>
              <w:t xml:space="preserve"> ≤ 200); </w:t>
            </w:r>
            <w:r>
              <w:rPr>
                <w:rFonts w:ascii="Consolas" w:cs="Consolas" w:eastAsia="Consolas" w:hAnsi="Consolas"/>
                <w:color w:val="0B4F4F"/>
                <w:sz w:val="17"/>
                <w:szCs w:val="17"/>
              </w:rPr>
              <w:t xml:space="preserve">filter[...]</w:t>
            </w:r>
            <w:r>
              <w:rPr>
                <w:sz w:val="18"/>
                <w:szCs w:val="18"/>
              </w:rPr>
              <w:t xml:space="preserve">; </w:t>
            </w:r>
            <w:r>
              <w:rPr>
                <w:rFonts w:ascii="Consolas" w:cs="Consolas" w:eastAsia="Consolas" w:hAnsi="Consolas"/>
                <w:color w:val="0B4F4F"/>
                <w:sz w:val="17"/>
                <w:szCs w:val="17"/>
              </w:rPr>
              <w:t xml:space="preserve">fields=</w:t>
            </w:r>
            <w:r>
              <w:rPr>
                <w:sz w:val="18"/>
                <w:szCs w:val="18"/>
              </w:rPr>
              <w:t xml:space="preserve">; capped </w:t>
            </w:r>
            <w:r>
              <w:rPr>
                <w:rFonts w:ascii="Consolas" w:cs="Consolas" w:eastAsia="Consolas" w:hAnsi="Consolas"/>
                <w:color w:val="0B4F4F"/>
                <w:sz w:val="17"/>
                <w:szCs w:val="17"/>
              </w:rPr>
              <w:t xml:space="preserve">expand=</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Idempotency and concurrency</w:t>
            </w:r>
          </w:p>
        </w:tc>
        <w:tc>
          <w:tcPr>
            <w:tcW w:type="dxa" w:w="740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Idempotency-Key</w:t>
            </w:r>
            <w:r>
              <w:rPr>
                <w:sz w:val="18"/>
                <w:szCs w:val="18"/>
              </w:rPr>
              <w:t xml:space="preserve"> on every POST (kept 24 h); ETag with </w:t>
            </w:r>
            <w:r>
              <w:rPr>
                <w:rFonts w:ascii="Consolas" w:cs="Consolas" w:eastAsia="Consolas" w:hAnsi="Consolas"/>
                <w:color w:val="0B4F4F"/>
                <w:sz w:val="17"/>
                <w:szCs w:val="17"/>
              </w:rPr>
              <w:t xml:space="preserve">If-Match</w:t>
            </w:r>
            <w:r>
              <w:rPr>
                <w:sz w:val="18"/>
                <w:szCs w:val="18"/>
              </w:rPr>
              <w:t xml:space="preserve"> on updates</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Errors</w:t>
            </w:r>
          </w:p>
        </w:tc>
        <w:tc>
          <w:tcPr>
            <w:tcW w:type="dxa" w:w="7407"/>
            <w:tcMar>
              <w:top w:type="dxa" w:w="70"/>
              <w:left w:type="dxa" w:w="100"/>
              <w:bottom w:type="dxa" w:w="70"/>
              <w:right w:type="dxa" w:w="100"/>
            </w:tcMar>
            <w:vAlign w:val="top"/>
          </w:tcPr>
          <w:p>
            <w:pPr>
              <w:spacing w:after="0" w:line="252" w:lineRule="auto"/>
            </w:pPr>
            <w:r>
              <w:rPr>
                <w:sz w:val="18"/>
                <w:szCs w:val="18"/>
              </w:rPr>
              <w:t xml:space="preserve">RFC 9457 Problem Details plus a stable </w:t>
            </w:r>
            <w:r>
              <w:rPr>
                <w:rFonts w:ascii="Consolas" w:cs="Consolas" w:eastAsia="Consolas" w:hAnsi="Consolas"/>
                <w:color w:val="0B4F4F"/>
                <w:sz w:val="17"/>
                <w:szCs w:val="17"/>
              </w:rPr>
              <w:t xml:space="preserve">code</w:t>
            </w:r>
            <w:r>
              <w:rPr>
                <w:sz w:val="18"/>
                <w:szCs w:val="18"/>
              </w:rPr>
              <w:t xml:space="preserve"> and </w:t>
            </w:r>
            <w:r>
              <w:rPr>
                <w:rFonts w:ascii="Consolas" w:cs="Consolas" w:eastAsia="Consolas" w:hAnsi="Consolas"/>
                <w:color w:val="0B4F4F"/>
                <w:sz w:val="17"/>
                <w:szCs w:val="17"/>
              </w:rPr>
              <w:t xml:space="preserve">requestId</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Rate limits</w:t>
            </w:r>
          </w:p>
        </w:tc>
        <w:tc>
          <w:tcPr>
            <w:tcW w:type="dxa" w:w="7407"/>
            <w:tcMar>
              <w:top w:type="dxa" w:w="70"/>
              <w:left w:type="dxa" w:w="100"/>
              <w:bottom w:type="dxa" w:w="70"/>
              <w:right w:type="dxa" w:w="100"/>
            </w:tcMar>
            <w:vAlign w:val="top"/>
          </w:tcPr>
          <w:p>
            <w:pPr>
              <w:spacing w:after="0" w:line="252" w:lineRule="auto"/>
            </w:pPr>
            <w:r>
              <w:rPr>
                <w:sz w:val="18"/>
                <w:szCs w:val="18"/>
              </w:rPr>
              <w:t xml:space="preserve">429 with </w:t>
            </w:r>
            <w:r>
              <w:rPr>
                <w:rFonts w:ascii="Consolas" w:cs="Consolas" w:eastAsia="Consolas" w:hAnsi="Consolas"/>
                <w:color w:val="0B4F4F"/>
                <w:sz w:val="17"/>
                <w:szCs w:val="17"/>
              </w:rPr>
              <w:t xml:space="preserve">Retry-After</w:t>
            </w:r>
            <w:r>
              <w:rPr>
                <w:sz w:val="18"/>
                <w:szCs w:val="18"/>
              </w:rPr>
              <w:t xml:space="preserve">; </w:t>
            </w:r>
            <w:r>
              <w:rPr>
                <w:rFonts w:ascii="Consolas" w:cs="Consolas" w:eastAsia="Consolas" w:hAnsi="Consolas"/>
                <w:color w:val="0B4F4F"/>
                <w:sz w:val="17"/>
                <w:szCs w:val="17"/>
              </w:rPr>
              <w:t xml:space="preserve">RateLimit-Policy</w:t>
            </w:r>
            <w:r>
              <w:rPr>
                <w:sz w:val="18"/>
                <w:szCs w:val="18"/>
              </w:rPr>
              <w:t xml:space="preserve"> and </w:t>
            </w:r>
            <w:r>
              <w:rPr>
                <w:rFonts w:ascii="Consolas" w:cs="Consolas" w:eastAsia="Consolas" w:hAnsi="Consolas"/>
                <w:color w:val="0B4F4F"/>
                <w:sz w:val="17"/>
                <w:szCs w:val="17"/>
              </w:rPr>
              <w:t xml:space="preserve">RateLimit</w:t>
            </w:r>
            <w:r>
              <w:rPr>
                <w:sz w:val="18"/>
                <w:szCs w:val="18"/>
              </w:rPr>
              <w:t xml:space="preserve"> headers</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Long work and files</w:t>
            </w:r>
          </w:p>
        </w:tc>
        <w:tc>
          <w:tcPr>
            <w:tcW w:type="dxa" w:w="7407"/>
            <w:tcMar>
              <w:top w:type="dxa" w:w="70"/>
              <w:left w:type="dxa" w:w="100"/>
              <w:bottom w:type="dxa" w:w="70"/>
              <w:right w:type="dxa" w:w="100"/>
            </w:tcMar>
            <w:vAlign w:val="top"/>
          </w:tcPr>
          <w:p>
            <w:pPr>
              <w:spacing w:after="0" w:line="252" w:lineRule="auto"/>
            </w:pPr>
            <w:r>
              <w:rPr>
                <w:sz w:val="18"/>
                <w:szCs w:val="18"/>
              </w:rPr>
              <w:t xml:space="preserve">202 with a job resource; files through short-lived pre-signed URLs</w:t>
            </w:r>
          </w:p>
        </w:tc>
      </w:tr>
      <w:tr>
        <w:trPr>
          <w:cantSplit/>
          <w:tblHeader w:val="false"/>
        </w:trPr>
        <w:tc>
          <w:tcPr>
            <w:tcW w:type="dxa" w:w="2231"/>
            <w:tcMar>
              <w:top w:type="dxa" w:w="70"/>
              <w:left w:type="dxa" w:w="100"/>
              <w:bottom w:type="dxa" w:w="70"/>
              <w:right w:type="dxa" w:w="100"/>
            </w:tcMar>
            <w:vAlign w:val="top"/>
          </w:tcPr>
          <w:p>
            <w:pPr>
              <w:spacing w:after="0" w:line="252" w:lineRule="auto"/>
            </w:pPr>
            <w:r>
              <w:rPr>
                <w:b/>
                <w:bCs/>
                <w:color w:val="16222A"/>
                <w:sz w:val="18"/>
                <w:szCs w:val="18"/>
              </w:rPr>
              <w:t xml:space="preserve">Deprecation</w:t>
            </w:r>
          </w:p>
        </w:tc>
        <w:tc>
          <w:tcPr>
            <w:tcW w:type="dxa" w:w="7407"/>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Deprecation</w:t>
            </w:r>
            <w:r>
              <w:rPr>
                <w:sz w:val="18"/>
                <w:szCs w:val="18"/>
              </w:rPr>
              <w:t xml:space="preserve"> and </w:t>
            </w:r>
            <w:r>
              <w:rPr>
                <w:rFonts w:ascii="Consolas" w:cs="Consolas" w:eastAsia="Consolas" w:hAnsi="Consolas"/>
                <w:color w:val="0B4F4F"/>
                <w:sz w:val="17"/>
                <w:szCs w:val="17"/>
              </w:rPr>
              <w:t xml:space="preserve">Sunset</w:t>
            </w:r>
            <w:r>
              <w:rPr>
                <w:sz w:val="18"/>
                <w:szCs w:val="18"/>
              </w:rPr>
              <w:t xml:space="preserve"> headers; changelog; direct outreach to calling apps</w:t>
            </w:r>
          </w:p>
        </w:tc>
      </w:tr>
    </w:tbl>
    <w:p>
      <w:pPr>
        <w:spacing w:after="160"/>
      </w:pPr>
    </w:p>
    <w:p>
      <w:pPr>
        <w:pStyle w:val="Heading2"/>
      </w:pPr>
      <w:bookmarkStart w:id="8048" w:name="_Toc900048"/>
      <w:r>
        <w:t xml:space="preserve">12.5 Contract-first lifecycle and versioning</w:t>
      </w:r>
      <w:bookmarkEnd w:id="8048"/>
    </w:p>
    <w:p>
      <w:pPr>
        <w:pStyle w:val="ListParagraph"/>
        <w:numPr>
          <w:ilvl w:val="0"/>
          <w:numId w:val="2"/>
        </w:numPr>
        <w:spacing w:after="60"/>
      </w:pPr>
      <w:r>
        <w:t xml:space="preserve">Every change starts as an OpenAPI 3.1 pull request reviewed by the API review group.</w:t>
      </w:r>
    </w:p>
    <w:p>
      <w:pPr>
        <w:pStyle w:val="ListParagraph"/>
        <w:numPr>
          <w:ilvl w:val="0"/>
          <w:numId w:val="2"/>
        </w:numPr>
        <w:spacing w:after="60"/>
      </w:pPr>
      <w:r>
        <w:rPr>
          <w:b/>
          <w:bCs/>
        </w:rPr>
        <w:t xml:space="preserve">Spectral</w:t>
      </w:r>
      <w:r>
        <w:t xml:space="preserve"> enforces the style guide; </w:t>
      </w:r>
      <w:r>
        <w:rPr>
          <w:b/>
          <w:bCs/>
        </w:rPr>
        <w:t xml:space="preserve">oasdiff</w:t>
      </w:r>
      <w:r>
        <w:t xml:space="preserve"> blocks breaking changes to a published major version.</w:t>
      </w:r>
    </w:p>
    <w:p>
      <w:pPr>
        <w:pStyle w:val="ListParagraph"/>
        <w:numPr>
          <w:ilvl w:val="0"/>
          <w:numId w:val="2"/>
        </w:numPr>
        <w:spacing w:after="60"/>
      </w:pPr>
      <w:r>
        <w:t xml:space="preserve">Server interfaces, validators, TypeScript types and SDKs are generated from the same file.</w:t>
      </w:r>
    </w:p>
    <w:p>
      <w:pPr>
        <w:pStyle w:val="ListParagraph"/>
        <w:numPr>
          <w:ilvl w:val="0"/>
          <w:numId w:val="2"/>
        </w:numPr>
        <w:spacing w:after="60"/>
      </w:pPr>
      <w:r>
        <w:t xml:space="preserve">Contract tests and </w:t>
      </w:r>
      <w:r>
        <w:rPr>
          <w:b/>
          <w:bCs/>
        </w:rPr>
        <w:t xml:space="preserve">Schemathesis</w:t>
      </w:r>
      <w:r>
        <w:t xml:space="preserve"> fuzzing run on every build, plus the tenant leakage suite on every route.</w:t>
      </w:r>
    </w:p>
    <w:p>
      <w:pPr>
        <w:pStyle w:val="ListParagraph"/>
        <w:numPr>
          <w:ilvl w:val="0"/>
          <w:numId w:val="2"/>
        </w:numPr>
        <w:spacing w:after="60"/>
      </w:pPr>
      <w:r>
        <w:t xml:space="preserve">The major version is in the path (</w:t>
      </w:r>
      <w:r>
        <w:rPr>
          <w:rFonts w:ascii="Consolas" w:cs="Consolas" w:eastAsia="Consolas" w:hAnsi="Consolas"/>
          <w:color w:val="0B4F4F"/>
          <w:sz w:val="18"/>
          <w:szCs w:val="18"/>
        </w:rPr>
        <w:t xml:space="preserve">/v1</w:t>
      </w:r>
      <w:r>
        <w:t xml:space="preserve">). Additive changes ship without a new version, and clients must ignore unknown fields. </w:t>
      </w:r>
      <w:r>
        <w:rPr>
          <w:b/>
          <w:bCs/>
        </w:rPr>
        <w:t xml:space="preserve">Generated SDKs tolerate unknown enum values.</w:t>
      </w:r>
    </w:p>
    <w:p>
      <w:pPr>
        <w:pStyle w:val="ListParagraph"/>
        <w:numPr>
          <w:ilvl w:val="0"/>
          <w:numId w:val="2"/>
        </w:numPr>
        <w:spacing w:after="60"/>
      </w:pPr>
      <w:r>
        <w:t xml:space="preserve">A breaking change means a new major version with at least 12 months of overlap.</w:t>
      </w:r>
    </w:p>
    <w:p>
      <w:pPr>
        <w:pStyle w:val="Heading2"/>
      </w:pPr>
      <w:bookmarkStart w:id="8049" w:name="_Toc900049"/>
      <w:r>
        <w:t xml:space="preserve">12.6 API security</w:t>
      </w:r>
      <w:bookmarkEnd w:id="8049"/>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434"/>
        <w:gridCol w:w="3043"/>
        <w:gridCol w:w="4161"/>
      </w:tblGrid>
      <w:tr>
        <w:trPr>
          <w:cantSplit/>
          <w:tblHeader/>
        </w:trPr>
        <w:tc>
          <w:tcPr>
            <w:tcW w:type="dxa" w:w="243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Flow</w:t>
            </w:r>
          </w:p>
        </w:tc>
        <w:tc>
          <w:tcPr>
            <w:tcW w:type="dxa" w:w="304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Used for</w:t>
            </w:r>
          </w:p>
        </w:tc>
        <w:tc>
          <w:tcPr>
            <w:tcW w:type="dxa" w:w="416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Details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OAuth 2.0 client credentials</w:t>
            </w:r>
          </w:p>
        </w:tc>
        <w:tc>
          <w:tcPr>
            <w:tcW w:type="dxa" w:w="3043"/>
            <w:tcMar>
              <w:top w:type="dxa" w:w="70"/>
              <w:left w:type="dxa" w:w="100"/>
              <w:bottom w:type="dxa" w:w="70"/>
              <w:right w:type="dxa" w:w="100"/>
            </w:tcMar>
            <w:vAlign w:val="top"/>
          </w:tcPr>
          <w:p>
            <w:pPr>
              <w:spacing w:after="0" w:line="252" w:lineRule="auto"/>
            </w:pPr>
            <w:r>
              <w:rPr>
                <w:sz w:val="18"/>
                <w:szCs w:val="18"/>
              </w:rPr>
              <w:t xml:space="preserve">A tenant's own server integrations</w:t>
            </w:r>
          </w:p>
        </w:tc>
        <w:tc>
          <w:tcPr>
            <w:tcW w:type="dxa" w:w="4161"/>
            <w:tcMar>
              <w:top w:type="dxa" w:w="70"/>
              <w:left w:type="dxa" w:w="100"/>
              <w:bottom w:type="dxa" w:w="70"/>
              <w:right w:type="dxa" w:w="100"/>
            </w:tcMar>
            <w:vAlign w:val="top"/>
          </w:tcPr>
          <w:p>
            <w:pPr>
              <w:spacing w:after="0" w:line="252" w:lineRule="auto"/>
            </w:pPr>
            <w:r>
              <w:rPr>
                <w:sz w:val="18"/>
                <w:szCs w:val="18"/>
              </w:rPr>
              <w:t xml:space="preserve">Client bound to one tenant (tenant claim); secret rotation; </w:t>
            </w:r>
            <w:r>
              <w:rPr>
                <w:rFonts w:ascii="Consolas" w:cs="Consolas" w:eastAsia="Consolas" w:hAnsi="Consolas"/>
                <w:color w:val="0B4F4F"/>
                <w:sz w:val="17"/>
                <w:szCs w:val="17"/>
              </w:rPr>
              <w:t xml:space="preserve">private_key_jwt</w:t>
            </w:r>
            <w:r>
              <w:rPr>
                <w:sz w:val="18"/>
                <w:szCs w:val="18"/>
              </w:rPr>
              <w:t xml:space="preserve"> or mTLS on Enterprise</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Authorization code + PKCE</w:t>
            </w:r>
          </w:p>
        </w:tc>
        <w:tc>
          <w:tcPr>
            <w:tcW w:type="dxa" w:w="3043"/>
            <w:tcMar>
              <w:top w:type="dxa" w:w="70"/>
              <w:left w:type="dxa" w:w="100"/>
              <w:bottom w:type="dxa" w:w="70"/>
              <w:right w:type="dxa" w:w="100"/>
            </w:tcMar>
            <w:vAlign w:val="top"/>
          </w:tcPr>
          <w:p>
            <w:pPr>
              <w:spacing w:after="0" w:line="252" w:lineRule="auto"/>
            </w:pPr>
            <w:r>
              <w:rPr>
                <w:sz w:val="18"/>
                <w:szCs w:val="18"/>
              </w:rPr>
              <w:t xml:space="preserve">Partner apps installed by many tenants; user-delegated actions</w:t>
            </w:r>
          </w:p>
        </w:tc>
        <w:tc>
          <w:tcPr>
            <w:tcW w:type="dxa" w:w="4161"/>
            <w:tcMar>
              <w:top w:type="dxa" w:w="70"/>
              <w:left w:type="dxa" w:w="100"/>
              <w:bottom w:type="dxa" w:w="70"/>
              <w:right w:type="dxa" w:w="100"/>
            </w:tcMar>
            <w:vAlign w:val="top"/>
          </w:tcPr>
          <w:p>
            <w:pPr>
              <w:spacing w:after="0" w:line="252" w:lineRule="auto"/>
            </w:pPr>
            <w:r>
              <w:rPr>
                <w:sz w:val="18"/>
                <w:szCs w:val="18"/>
              </w:rPr>
              <w:t xml:space="preserve">Installation service with admin consent, data scope and revocation</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SCIM bearer token</w:t>
            </w:r>
          </w:p>
        </w:tc>
        <w:tc>
          <w:tcPr>
            <w:tcW w:type="dxa" w:w="3043"/>
            <w:tcMar>
              <w:top w:type="dxa" w:w="70"/>
              <w:left w:type="dxa" w:w="100"/>
              <w:bottom w:type="dxa" w:w="70"/>
              <w:right w:type="dxa" w:w="100"/>
            </w:tcMar>
            <w:vAlign w:val="top"/>
          </w:tcPr>
          <w:p>
            <w:pPr>
              <w:spacing w:after="0" w:line="252" w:lineRule="auto"/>
            </w:pPr>
            <w:r>
              <w:rPr>
                <w:sz w:val="18"/>
                <w:szCs w:val="18"/>
              </w:rPr>
              <w:t xml:space="preserve">Directory tools</w:t>
            </w:r>
          </w:p>
        </w:tc>
        <w:tc>
          <w:tcPr>
            <w:tcW w:type="dxa" w:w="4161"/>
            <w:tcMar>
              <w:top w:type="dxa" w:w="70"/>
              <w:left w:type="dxa" w:w="100"/>
              <w:bottom w:type="dxa" w:w="70"/>
              <w:right w:type="dxa" w:w="100"/>
            </w:tcMar>
            <w:vAlign w:val="top"/>
          </w:tcPr>
          <w:p>
            <w:pPr>
              <w:spacing w:after="0" w:line="252" w:lineRule="auto"/>
            </w:pPr>
            <w:r>
              <w:rPr>
                <w:sz w:val="18"/>
                <w:szCs w:val="18"/>
              </w:rPr>
              <w:t xml:space="preserve">SCIM endpoints only; rotated</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Partner token</w:t>
            </w:r>
          </w:p>
        </w:tc>
        <w:tc>
          <w:tcPr>
            <w:tcW w:type="dxa" w:w="3043"/>
            <w:tcMar>
              <w:top w:type="dxa" w:w="70"/>
              <w:left w:type="dxa" w:w="100"/>
              <w:bottom w:type="dxa" w:w="70"/>
              <w:right w:type="dxa" w:w="100"/>
            </w:tcMar>
            <w:vAlign w:val="top"/>
          </w:tcPr>
          <w:p>
            <w:pPr>
              <w:spacing w:after="0" w:line="252" w:lineRule="auto"/>
            </w:pPr>
            <w:r>
              <w:rPr>
                <w:sz w:val="18"/>
                <w:szCs w:val="18"/>
              </w:rPr>
              <w:t xml:space="preserve">HR outsourcing partners</w:t>
            </w:r>
          </w:p>
        </w:tc>
        <w:tc>
          <w:tcPr>
            <w:tcW w:type="dxa" w:w="4161"/>
            <w:tcMar>
              <w:top w:type="dxa" w:w="70"/>
              <w:left w:type="dxa" w:w="100"/>
              <w:bottom w:type="dxa" w:w="70"/>
              <w:right w:type="dxa" w:w="100"/>
            </w:tcMar>
            <w:vAlign w:val="top"/>
          </w:tcPr>
          <w:p>
            <w:pPr>
              <w:spacing w:after="0" w:line="252" w:lineRule="auto"/>
            </w:pPr>
            <w:r>
              <w:rPr>
                <w:sz w:val="18"/>
                <w:szCs w:val="18"/>
              </w:rPr>
              <w:t xml:space="preserve">Delegated, time-boxed grants per client tenant, logged in both audit logs</w:t>
            </w:r>
          </w:p>
        </w:tc>
      </w:tr>
    </w:tbl>
    <w:p>
      <w:pPr>
        <w:spacing w:after="160"/>
      </w:pPr>
    </w:p>
    <w:p>
      <w:r>
        <w:rPr>
          <w:b/>
          <w:bCs/>
        </w:rPr>
        <w:t xml:space="preserve">Scopes</w:t>
      </w:r>
      <w:r>
        <w:t xml:space="preserve"> follow </w:t>
      </w:r>
      <w:r>
        <w:rPr>
          <w:rFonts w:ascii="Consolas" w:cs="Consolas" w:eastAsia="Consolas" w:hAnsi="Consolas"/>
          <w:color w:val="0B4F4F"/>
          <w:sz w:val="18"/>
          <w:szCs w:val="18"/>
        </w:rPr>
        <w:t xml:space="preserve">resource:action</w:t>
      </w:r>
      <w:r>
        <w:t xml:space="preserve">:</w:t>
      </w:r>
    </w:p>
    <w:p>
      <w:pPr>
        <w:pStyle w:val="ListParagraph"/>
        <w:numPr>
          <w:ilvl w:val="0"/>
          <w:numId w:val="2"/>
        </w:numPr>
        <w:spacing w:after="60"/>
      </w:pPr>
      <w:r>
        <w:rPr>
          <w:b/>
          <w:bCs/>
        </w:rPr>
        <w:t xml:space="preserve">Standard:</w:t>
      </w:r>
      <w:r>
        <w:t xml:space="preserve"> </w:t>
      </w:r>
      <w:r>
        <w:rPr>
          <w:rFonts w:ascii="Consolas" w:cs="Consolas" w:eastAsia="Consolas" w:hAnsi="Consolas"/>
          <w:color w:val="0B4F4F"/>
          <w:sz w:val="18"/>
          <w:szCs w:val="18"/>
        </w:rPr>
        <w:t xml:space="preserve">org:read</w:t>
      </w:r>
      <w:r>
        <w:t xml:space="preserve">, </w:t>
      </w:r>
      <w:r>
        <w:rPr>
          <w:rFonts w:ascii="Consolas" w:cs="Consolas" w:eastAsia="Consolas" w:hAnsi="Consolas"/>
          <w:color w:val="0B4F4F"/>
          <w:sz w:val="18"/>
          <w:szCs w:val="18"/>
        </w:rPr>
        <w:t xml:space="preserve">workers:read</w:t>
      </w:r>
      <w:r>
        <w:t xml:space="preserve">, </w:t>
      </w:r>
      <w:r>
        <w:rPr>
          <w:rFonts w:ascii="Consolas" w:cs="Consolas" w:eastAsia="Consolas" w:hAnsi="Consolas"/>
          <w:color w:val="0B4F4F"/>
          <w:sz w:val="18"/>
          <w:szCs w:val="18"/>
        </w:rPr>
        <w:t xml:space="preserve">actions:write</w:t>
      </w:r>
      <w:r>
        <w:t xml:space="preserve">, </w:t>
      </w:r>
      <w:r>
        <w:rPr>
          <w:rFonts w:ascii="Consolas" w:cs="Consolas" w:eastAsia="Consolas" w:hAnsi="Consolas"/>
          <w:color w:val="0B4F4F"/>
          <w:sz w:val="18"/>
          <w:szCs w:val="18"/>
        </w:rPr>
        <w:t xml:space="preserve">time:read</w:t>
      </w:r>
      <w:r>
        <w:t xml:space="preserve">, </w:t>
      </w:r>
      <w:r>
        <w:rPr>
          <w:rFonts w:ascii="Consolas" w:cs="Consolas" w:eastAsia="Consolas" w:hAnsi="Consolas"/>
          <w:color w:val="0B4F4F"/>
          <w:sz w:val="18"/>
          <w:szCs w:val="18"/>
        </w:rPr>
        <w:t xml:space="preserve">time.punches:write</w:t>
      </w:r>
      <w:r>
        <w:t xml:space="preserve">, </w:t>
      </w:r>
      <w:r>
        <w:rPr>
          <w:rFonts w:ascii="Consolas" w:cs="Consolas" w:eastAsia="Consolas" w:hAnsi="Consolas"/>
          <w:color w:val="0B4F4F"/>
          <w:sz w:val="18"/>
          <w:szCs w:val="18"/>
        </w:rPr>
        <w:t xml:space="preserve">leave:write</w:t>
      </w:r>
      <w:r>
        <w:t xml:space="preserve">, </w:t>
      </w:r>
      <w:r>
        <w:rPr>
          <w:rFonts w:ascii="Consolas" w:cs="Consolas" w:eastAsia="Consolas" w:hAnsi="Consolas"/>
          <w:color w:val="0B4F4F"/>
          <w:sz w:val="18"/>
          <w:szCs w:val="18"/>
        </w:rPr>
        <w:t xml:space="preserve">changes:read</w:t>
      </w:r>
      <w:r>
        <w:t xml:space="preserve">, </w:t>
      </w:r>
      <w:r>
        <w:rPr>
          <w:rFonts w:ascii="Consolas" w:cs="Consolas" w:eastAsia="Consolas" w:hAnsi="Consolas"/>
          <w:color w:val="0B4F4F"/>
          <w:sz w:val="18"/>
          <w:szCs w:val="18"/>
        </w:rPr>
        <w:t xml:space="preserve">webhooks:manage</w:t>
      </w:r>
      <w:r>
        <w:t xml:space="preserve">, </w:t>
      </w:r>
      <w:r>
        <w:rPr>
          <w:rFonts w:ascii="Consolas" w:cs="Consolas" w:eastAsia="Consolas" w:hAnsi="Consolas"/>
          <w:color w:val="0B4F4F"/>
          <w:sz w:val="18"/>
          <w:szCs w:val="18"/>
        </w:rPr>
        <w:t xml:space="preserve">bulk:write</w:t>
      </w:r>
      <w:r>
        <w:t xml:space="preserve">.</w:t>
      </w:r>
    </w:p>
    <w:p>
      <w:pPr>
        <w:pStyle w:val="ListParagraph"/>
        <w:numPr>
          <w:ilvl w:val="0"/>
          <w:numId w:val="2"/>
        </w:numPr>
        <w:spacing w:after="60"/>
      </w:pPr>
      <w:r>
        <w:rPr>
          <w:b/>
          <w:bCs/>
        </w:rPr>
        <w:t xml:space="preserve">Restricted:</w:t>
      </w:r>
      <w:r>
        <w:t xml:space="preserve"> </w:t>
      </w:r>
      <w:r>
        <w:rPr>
          <w:rFonts w:ascii="Consolas" w:cs="Consolas" w:eastAsia="Consolas" w:hAnsi="Consolas"/>
          <w:color w:val="0B4F4F"/>
          <w:sz w:val="18"/>
          <w:szCs w:val="18"/>
        </w:rPr>
        <w:t xml:space="preserve">workers.personal:read</w:t>
      </w:r>
      <w:r>
        <w:t xml:space="preserve">, </w:t>
      </w:r>
      <w:r>
        <w:rPr>
          <w:rFonts w:ascii="Consolas" w:cs="Consolas" w:eastAsia="Consolas" w:hAnsi="Consolas"/>
          <w:color w:val="0B4F4F"/>
          <w:sz w:val="18"/>
          <w:szCs w:val="18"/>
        </w:rPr>
        <w:t xml:space="preserve">workers.identity:read</w:t>
      </w:r>
      <w:r>
        <w:t xml:space="preserve">, </w:t>
      </w:r>
      <w:r>
        <w:rPr>
          <w:rFonts w:ascii="Consolas" w:cs="Consolas" w:eastAsia="Consolas" w:hAnsi="Consolas"/>
          <w:color w:val="0B4F4F"/>
          <w:sz w:val="18"/>
          <w:szCs w:val="18"/>
        </w:rPr>
        <w:t xml:space="preserve">workers.financial:read</w:t>
      </w:r>
      <w:r>
        <w:t xml:space="preserve">, </w:t>
      </w:r>
      <w:r>
        <w:rPr>
          <w:rFonts w:ascii="Consolas" w:cs="Consolas" w:eastAsia="Consolas" w:hAnsi="Consolas"/>
          <w:color w:val="0B4F4F"/>
          <w:sz w:val="18"/>
          <w:szCs w:val="18"/>
        </w:rPr>
        <w:t xml:space="preserve">payroll:read</w:t>
      </w:r>
      <w:r>
        <w:t xml:space="preserve">, </w:t>
      </w:r>
      <w:r>
        <w:rPr>
          <w:rFonts w:ascii="Consolas" w:cs="Consolas" w:eastAsia="Consolas" w:hAnsi="Consolas"/>
          <w:color w:val="0B4F4F"/>
          <w:sz w:val="18"/>
          <w:szCs w:val="18"/>
        </w:rPr>
        <w:t xml:space="preserve">cases:read</w:t>
      </w:r>
      <w:r>
        <w:t xml:space="preserve">. These need a confidential client, tenant admin approval with a stated purpose, periodic re-approval, and logging of every use.</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840"/>
        <w:gridCol w:w="6798"/>
      </w:tblGrid>
      <w:tr>
        <w:trPr>
          <w:cantSplit/>
          <w:tblHeader/>
        </w:trPr>
        <w:tc>
          <w:tcPr>
            <w:tcW w:type="dxa" w:w="284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OWASP API risk (2023)</w:t>
            </w:r>
          </w:p>
        </w:tc>
        <w:tc>
          <w:tcPr>
            <w:tcW w:type="dxa" w:w="679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Control</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API1 Object-level authorization</w:t>
            </w:r>
          </w:p>
        </w:tc>
        <w:tc>
          <w:tcPr>
            <w:tcW w:type="dxa" w:w="6798"/>
            <w:tcMar>
              <w:top w:type="dxa" w:w="70"/>
              <w:left w:type="dxa" w:w="100"/>
              <w:bottom w:type="dxa" w:w="70"/>
              <w:right w:type="dxa" w:w="100"/>
            </w:tcMar>
            <w:vAlign w:val="top"/>
          </w:tcPr>
          <w:p>
            <w:pPr>
              <w:spacing w:after="0" w:line="252" w:lineRule="auto"/>
            </w:pPr>
            <w:r>
              <w:rPr>
                <w:sz w:val="18"/>
                <w:szCs w:val="18"/>
              </w:rPr>
              <w:t xml:space="preserve">Tenant from token only; RLS; compiled data scopes; leakage suite on every route</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API2 Authentication</w:t>
            </w:r>
          </w:p>
        </w:tc>
        <w:tc>
          <w:tcPr>
            <w:tcW w:type="dxa" w:w="6798"/>
            <w:tcMar>
              <w:top w:type="dxa" w:w="70"/>
              <w:left w:type="dxa" w:w="100"/>
              <w:bottom w:type="dxa" w:w="70"/>
              <w:right w:type="dxa" w:w="100"/>
            </w:tcMar>
            <w:vAlign w:val="top"/>
          </w:tcPr>
          <w:p>
            <w:pPr>
              <w:spacing w:after="0" w:line="252" w:lineRule="auto"/>
            </w:pPr>
            <w:r>
              <w:rPr>
                <w:sz w:val="18"/>
                <w:szCs w:val="18"/>
              </w:rPr>
              <w:t xml:space="preserve">OAuth only; 10-minute tokens; mTLS or </w:t>
            </w:r>
            <w:r>
              <w:rPr>
                <w:rFonts w:ascii="Consolas" w:cs="Consolas" w:eastAsia="Consolas" w:hAnsi="Consolas"/>
                <w:color w:val="0B4F4F"/>
                <w:sz w:val="17"/>
                <w:szCs w:val="17"/>
              </w:rPr>
              <w:t xml:space="preserve">private_key_jwt</w:t>
            </w:r>
            <w:r>
              <w:rPr>
                <w:sz w:val="18"/>
                <w:szCs w:val="18"/>
              </w:rPr>
              <w:t xml:space="preserve"> on Enterprise</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API3 Property-level authorization</w:t>
            </w:r>
          </w:p>
        </w:tc>
        <w:tc>
          <w:tcPr>
            <w:tcW w:type="dxa" w:w="6798"/>
            <w:tcMar>
              <w:top w:type="dxa" w:w="70"/>
              <w:left w:type="dxa" w:w="100"/>
              <w:bottom w:type="dxa" w:w="70"/>
              <w:right w:type="dxa" w:w="100"/>
            </w:tcMar>
            <w:vAlign w:val="top"/>
          </w:tcPr>
          <w:p>
            <w:pPr>
              <w:spacing w:after="0" w:line="252" w:lineRule="auto"/>
            </w:pPr>
            <w:r>
              <w:rPr>
                <w:sz w:val="18"/>
                <w:szCs w:val="18"/>
              </w:rPr>
              <w:t xml:space="preserve">Data-class scopes; serialiser trimming; write allowlists (no mass assignment)</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API4 Resource consumption</w:t>
            </w:r>
          </w:p>
        </w:tc>
        <w:tc>
          <w:tcPr>
            <w:tcW w:type="dxa" w:w="6798"/>
            <w:tcMar>
              <w:top w:type="dxa" w:w="70"/>
              <w:left w:type="dxa" w:w="100"/>
              <w:bottom w:type="dxa" w:w="70"/>
              <w:right w:type="dxa" w:w="100"/>
            </w:tcMar>
            <w:vAlign w:val="top"/>
          </w:tcPr>
          <w:p>
            <w:pPr>
              <w:spacing w:after="0" w:line="252" w:lineRule="auto"/>
            </w:pPr>
            <w:r>
              <w:rPr>
                <w:sz w:val="18"/>
                <w:szCs w:val="18"/>
              </w:rPr>
              <w:t xml:space="preserve">Quotas, page caps, request size limits, </w:t>
            </w:r>
            <w:r>
              <w:rPr>
                <w:rFonts w:ascii="Consolas" w:cs="Consolas" w:eastAsia="Consolas" w:hAnsi="Consolas"/>
                <w:color w:val="0B4F4F"/>
                <w:sz w:val="17"/>
                <w:szCs w:val="17"/>
              </w:rPr>
              <w:t xml:space="preserve">expand</w:t>
            </w:r>
            <w:r>
              <w:rPr>
                <w:sz w:val="18"/>
                <w:szCs w:val="18"/>
              </w:rPr>
              <w:t xml:space="preserve"> depth cap, async bulk</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API5 Function-level authorization</w:t>
            </w:r>
          </w:p>
        </w:tc>
        <w:tc>
          <w:tcPr>
            <w:tcW w:type="dxa" w:w="6798"/>
            <w:tcMar>
              <w:top w:type="dxa" w:w="70"/>
              <w:left w:type="dxa" w:w="100"/>
              <w:bottom w:type="dxa" w:w="70"/>
              <w:right w:type="dxa" w:w="100"/>
            </w:tcMar>
            <w:vAlign w:val="top"/>
          </w:tcPr>
          <w:p>
            <w:pPr>
              <w:spacing w:after="0" w:line="252" w:lineRule="auto"/>
            </w:pPr>
            <w:r>
              <w:rPr>
                <w:sz w:val="18"/>
                <w:szCs w:val="18"/>
              </w:rPr>
              <w:t xml:space="preserve">One scope per operation from OpenAPI; admin APIs separate</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API6 Sensitive business flows</w:t>
            </w:r>
          </w:p>
        </w:tc>
        <w:tc>
          <w:tcPr>
            <w:tcW w:type="dxa" w:w="6798"/>
            <w:tcMar>
              <w:top w:type="dxa" w:w="70"/>
              <w:left w:type="dxa" w:w="100"/>
              <w:bottom w:type="dxa" w:w="70"/>
              <w:right w:type="dxa" w:w="100"/>
            </w:tcMar>
            <w:vAlign w:val="top"/>
          </w:tcPr>
          <w:p>
            <w:pPr>
              <w:spacing w:after="0" w:line="252" w:lineRule="auto"/>
            </w:pPr>
            <w:r>
              <w:rPr>
                <w:sz w:val="18"/>
                <w:szCs w:val="18"/>
              </w:rPr>
              <w:t xml:space="preserve">OTP and export limits per user and IP; large exports need approval and are watermarked</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API7 SSRF</w:t>
            </w:r>
          </w:p>
        </w:tc>
        <w:tc>
          <w:tcPr>
            <w:tcW w:type="dxa" w:w="6798"/>
            <w:tcMar>
              <w:top w:type="dxa" w:w="70"/>
              <w:left w:type="dxa" w:w="100"/>
              <w:bottom w:type="dxa" w:w="70"/>
              <w:right w:type="dxa" w:w="100"/>
            </w:tcMar>
            <w:vAlign w:val="top"/>
          </w:tcPr>
          <w:p>
            <w:pPr>
              <w:spacing w:after="0" w:line="252" w:lineRule="auto"/>
            </w:pPr>
            <w:r>
              <w:rPr>
                <w:sz w:val="18"/>
                <w:szCs w:val="18"/>
              </w:rPr>
              <w:t xml:space="preserve">Webhook URLs HTTPS only, private ranges blocked, re-resolved per delivery, egress proxy</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API8 Misconfiguration</w:t>
            </w:r>
          </w:p>
        </w:tc>
        <w:tc>
          <w:tcPr>
            <w:tcW w:type="dxa" w:w="6798"/>
            <w:tcMar>
              <w:top w:type="dxa" w:w="70"/>
              <w:left w:type="dxa" w:w="100"/>
              <w:bottom w:type="dxa" w:w="70"/>
              <w:right w:type="dxa" w:w="100"/>
            </w:tcMar>
            <w:vAlign w:val="top"/>
          </w:tcPr>
          <w:p>
            <w:pPr>
              <w:spacing w:after="0" w:line="252" w:lineRule="auto"/>
            </w:pPr>
            <w:r>
              <w:rPr>
                <w:sz w:val="18"/>
                <w:szCs w:val="18"/>
              </w:rPr>
              <w:t xml:space="preserve">Gateway and headers as code; TLS 1.2+; CORS allowlists</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API9 Inventory</w:t>
            </w:r>
          </w:p>
        </w:tc>
        <w:tc>
          <w:tcPr>
            <w:tcW w:type="dxa" w:w="6798"/>
            <w:tcMar>
              <w:top w:type="dxa" w:w="70"/>
              <w:left w:type="dxa" w:w="100"/>
              <w:bottom w:type="dxa" w:w="70"/>
              <w:right w:type="dxa" w:w="100"/>
            </w:tcMar>
            <w:vAlign w:val="top"/>
          </w:tcPr>
          <w:p>
            <w:pPr>
              <w:spacing w:after="0" w:line="252" w:lineRule="auto"/>
            </w:pPr>
            <w:r>
              <w:rPr>
                <w:sz w:val="18"/>
                <w:szCs w:val="18"/>
              </w:rPr>
              <w:t xml:space="preserve">OpenAPI is the inventory; undocumented routes unreachable</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API10 Unsafe consumption</w:t>
            </w:r>
          </w:p>
        </w:tc>
        <w:tc>
          <w:tcPr>
            <w:tcW w:type="dxa" w:w="6798"/>
            <w:tcMar>
              <w:top w:type="dxa" w:w="70"/>
              <w:left w:type="dxa" w:w="100"/>
              <w:bottom w:type="dxa" w:w="70"/>
              <w:right w:type="dxa" w:w="100"/>
            </w:tcMar>
            <w:vAlign w:val="top"/>
          </w:tcPr>
          <w:p>
            <w:pPr>
              <w:spacing w:after="0" w:line="252" w:lineRule="auto"/>
            </w:pPr>
            <w:r>
              <w:rPr>
                <w:sz w:val="18"/>
                <w:szCs w:val="18"/>
              </w:rPr>
              <w:t xml:space="preserve">Third-party responses schema-validated, time-limited</w:t>
            </w:r>
          </w:p>
        </w:tc>
      </w:tr>
    </w:tbl>
    <w:p>
      <w:pPr>
        <w:spacing w:after="160"/>
      </w:pPr>
    </w:p>
    <w:p>
      <w:pPr>
        <w:pStyle w:val="Heading2"/>
      </w:pPr>
      <w:bookmarkStart w:id="8050" w:name="_Toc900050"/>
      <w:r>
        <w:t xml:space="preserve">12.7 API catalogue</w:t>
      </w:r>
      <w:bookmarkEnd w:id="8050"/>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029"/>
        <w:gridCol w:w="5884"/>
        <w:gridCol w:w="1725"/>
      </w:tblGrid>
      <w:tr>
        <w:trPr>
          <w:cantSplit/>
          <w:tblHeader/>
        </w:trPr>
        <w:tc>
          <w:tcPr>
            <w:tcW w:type="dxa" w:w="202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Family</w:t>
            </w:r>
          </w:p>
        </w:tc>
        <w:tc>
          <w:tcPr>
            <w:tcW w:type="dxa" w:w="588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Main resources</w:t>
            </w:r>
          </w:p>
        </w:tc>
        <w:tc>
          <w:tcPr>
            <w:tcW w:type="dxa" w:w="172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Plan</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Organisation</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/v1/legal-entities</w:t>
            </w:r>
            <w:r>
              <w:rPr>
                <w:sz w:val="18"/>
                <w:szCs w:val="18"/>
              </w:rPr>
              <w:t xml:space="preserve">, </w:t>
            </w:r>
            <w:r>
              <w:rPr>
                <w:rFonts w:ascii="Consolas" w:cs="Consolas" w:eastAsia="Consolas" w:hAnsi="Consolas"/>
                <w:color w:val="0B4F4F"/>
                <w:sz w:val="17"/>
                <w:szCs w:val="17"/>
              </w:rPr>
              <w:t xml:space="preserve">/v1/locations</w:t>
            </w:r>
            <w:r>
              <w:rPr>
                <w:sz w:val="18"/>
                <w:szCs w:val="18"/>
              </w:rPr>
              <w:t xml:space="preserve">, </w:t>
            </w:r>
            <w:r>
              <w:rPr>
                <w:rFonts w:ascii="Consolas" w:cs="Consolas" w:eastAsia="Consolas" w:hAnsi="Consolas"/>
                <w:color w:val="0B4F4F"/>
                <w:sz w:val="17"/>
                <w:szCs w:val="17"/>
              </w:rPr>
              <w:t xml:space="preserve">/v1/org-units</w:t>
            </w:r>
            <w:r>
              <w:rPr>
                <w:sz w:val="18"/>
                <w:szCs w:val="18"/>
              </w:rPr>
              <w:t xml:space="preserve"> (</w:t>
            </w:r>
            <w:r>
              <w:rPr>
                <w:rFonts w:ascii="Consolas" w:cs="Consolas" w:eastAsia="Consolas" w:hAnsi="Consolas"/>
                <w:color w:val="0B4F4F"/>
                <w:sz w:val="17"/>
                <w:szCs w:val="17"/>
              </w:rPr>
              <w:t xml:space="preserve">:move</w:t>
            </w:r>
            <w:r>
              <w:rPr>
                <w:sz w:val="18"/>
                <w:szCs w:val="18"/>
              </w:rPr>
              <w:t xml:space="preserve">), </w:t>
            </w:r>
            <w:r>
              <w:rPr>
                <w:rFonts w:ascii="Consolas" w:cs="Consolas" w:eastAsia="Consolas" w:hAnsi="Consolas"/>
                <w:color w:val="0B4F4F"/>
                <w:sz w:val="17"/>
                <w:szCs w:val="17"/>
              </w:rPr>
              <w:t xml:space="preserve">/v1/jobs</w:t>
            </w:r>
            <w:r>
              <w:rPr>
                <w:sz w:val="18"/>
                <w:szCs w:val="18"/>
              </w:rPr>
              <w:t xml:space="preserve">, </w:t>
            </w:r>
            <w:r>
              <w:rPr>
                <w:rFonts w:ascii="Consolas" w:cs="Consolas" w:eastAsia="Consolas" w:hAnsi="Consolas"/>
                <w:color w:val="0B4F4F"/>
                <w:sz w:val="17"/>
                <w:szCs w:val="17"/>
              </w:rPr>
              <w:t xml:space="preserve">/v1/grades</w:t>
            </w:r>
            <w:r>
              <w:rPr>
                <w:sz w:val="18"/>
                <w:szCs w:val="18"/>
              </w:rPr>
              <w:t xml:space="preserve">, </w:t>
            </w:r>
            <w:r>
              <w:rPr>
                <w:rFonts w:ascii="Consolas" w:cs="Consolas" w:eastAsia="Consolas" w:hAnsi="Consolas"/>
                <w:color w:val="0B4F4F"/>
                <w:sz w:val="17"/>
                <w:szCs w:val="17"/>
              </w:rPr>
              <w:t xml:space="preserve">/v1/positions</w:t>
            </w:r>
            <w:r>
              <w:rPr>
                <w:sz w:val="18"/>
                <w:szCs w:val="18"/>
              </w:rPr>
              <w:t xml:space="preserve">, </w:t>
            </w:r>
            <w:r>
              <w:rPr>
                <w:rFonts w:ascii="Consolas" w:cs="Consolas" w:eastAsia="Consolas" w:hAnsi="Consolas"/>
                <w:color w:val="0B4F4F"/>
                <w:sz w:val="17"/>
                <w:szCs w:val="17"/>
              </w:rPr>
              <w:t xml:space="preserve">/v1/cost-centres</w:t>
            </w:r>
            <w:r>
              <w:rPr>
                <w:sz w:val="18"/>
                <w:szCs w:val="18"/>
              </w:rPr>
              <w:t xml:space="preserve">, </w:t>
            </w:r>
            <w:r>
              <w:rPr>
                <w:rFonts w:ascii="Consolas" w:cs="Consolas" w:eastAsia="Consolas" w:hAnsi="Consolas"/>
                <w:color w:val="0B4F4F"/>
                <w:sz w:val="17"/>
                <w:szCs w:val="17"/>
              </w:rPr>
              <w:t xml:space="preserve">/v1/dimensions</w:t>
            </w:r>
          </w:p>
        </w:tc>
        <w:tc>
          <w:tcPr>
            <w:tcW w:type="dxa" w:w="1725"/>
            <w:tcMar>
              <w:top w:type="dxa" w:w="70"/>
              <w:left w:type="dxa" w:w="100"/>
              <w:bottom w:type="dxa" w:w="70"/>
              <w:right w:type="dxa" w:w="100"/>
            </w:tcMar>
            <w:vAlign w:val="top"/>
          </w:tcPr>
          <w:p>
            <w:pPr>
              <w:spacing w:after="0" w:line="252" w:lineRule="auto"/>
            </w:pPr>
            <w:r>
              <w:rPr>
                <w:sz w:val="18"/>
                <w:szCs w:val="18"/>
              </w:rPr>
              <w:t xml:space="preserve">Read: all; write: 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Workers and employment</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/v1/workers</w:t>
            </w:r>
            <w:r>
              <w:rPr>
                <w:sz w:val="18"/>
                <w:szCs w:val="18"/>
              </w:rPr>
              <w:t xml:space="preserve"> (search, </w:t>
            </w:r>
            <w:r>
              <w:rPr>
                <w:rFonts w:ascii="Consolas" w:cs="Consolas" w:eastAsia="Consolas" w:hAnsi="Consolas"/>
                <w:color w:val="0B4F4F"/>
                <w:sz w:val="17"/>
                <w:szCs w:val="17"/>
              </w:rPr>
              <w:t xml:space="preserve">asOf</w:t>
            </w:r>
            <w:r>
              <w:rPr>
                <w:sz w:val="18"/>
                <w:szCs w:val="18"/>
              </w:rPr>
              <w:t xml:space="preserve">), </w:t>
            </w:r>
            <w:r>
              <w:rPr>
                <w:rFonts w:ascii="Consolas" w:cs="Consolas" w:eastAsia="Consolas" w:hAnsi="Consolas"/>
                <w:color w:val="0B4F4F"/>
                <w:sz w:val="17"/>
                <w:szCs w:val="17"/>
              </w:rPr>
              <w:t xml:space="preserve">/v1/workers/{id}/employments</w:t>
            </w:r>
            <w:r>
              <w:rPr>
                <w:sz w:val="18"/>
                <w:szCs w:val="18"/>
              </w:rPr>
              <w:t xml:space="preserve">, </w:t>
            </w:r>
            <w:r>
              <w:rPr>
                <w:rFonts w:ascii="Consolas" w:cs="Consolas" w:eastAsia="Consolas" w:hAnsi="Consolas"/>
                <w:color w:val="0B4F4F"/>
                <w:sz w:val="17"/>
                <w:szCs w:val="17"/>
              </w:rPr>
              <w:t xml:space="preserve">/v1/employments/{id}/assignments</w:t>
            </w:r>
            <w:r>
              <w:rPr>
                <w:sz w:val="18"/>
                <w:szCs w:val="18"/>
              </w:rPr>
              <w:t xml:space="preserve">, contacts</w:t>
            </w:r>
          </w:p>
        </w:tc>
        <w:tc>
          <w:tcPr>
            <w:tcW w:type="dxa" w:w="1725"/>
            <w:tcMar>
              <w:top w:type="dxa" w:w="70"/>
              <w:left w:type="dxa" w:w="100"/>
              <w:bottom w:type="dxa" w:w="70"/>
              <w:right w:type="dxa" w:w="100"/>
            </w:tcMar>
            <w:vAlign w:val="top"/>
          </w:tcPr>
          <w:p>
            <w:pPr>
              <w:spacing w:after="0" w:line="252" w:lineRule="auto"/>
            </w:pPr>
            <w:r>
              <w:rPr>
                <w:sz w:val="18"/>
                <w:szCs w:val="18"/>
              </w:rPr>
              <w:t xml:space="preserve">All</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Personnel actions</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/v1/personnel-actions</w:t>
            </w:r>
            <w:r>
              <w:rPr>
                <w:sz w:val="18"/>
                <w:szCs w:val="18"/>
              </w:rPr>
              <w:t xml:space="preserve">, </w:t>
            </w:r>
            <w:r>
              <w:rPr>
                <w:rFonts w:ascii="Consolas" w:cs="Consolas" w:eastAsia="Consolas" w:hAnsi="Consolas"/>
                <w:color w:val="0B4F4F"/>
                <w:sz w:val="17"/>
                <w:szCs w:val="17"/>
              </w:rPr>
              <w:t xml:space="preserve">:bulk</w:t>
            </w:r>
            <w:r>
              <w:rPr>
                <w:sz w:val="18"/>
                <w:szCs w:val="18"/>
              </w:rPr>
              <w:t xml:space="preserve"> (integration mode), </w:t>
            </w:r>
            <w:r>
              <w:rPr>
                <w:rFonts w:ascii="Consolas" w:cs="Consolas" w:eastAsia="Consolas" w:hAnsi="Consolas"/>
                <w:color w:val="0B4F4F"/>
                <w:sz w:val="17"/>
                <w:szCs w:val="17"/>
              </w:rPr>
              <w:t xml:space="preserve">:cancel</w:t>
            </w:r>
          </w:p>
        </w:tc>
        <w:tc>
          <w:tcPr>
            <w:tcW w:type="dxa" w:w="1725"/>
            <w:tcMar>
              <w:top w:type="dxa" w:w="70"/>
              <w:left w:type="dxa" w:w="100"/>
              <w:bottom w:type="dxa" w:w="70"/>
              <w:right w:type="dxa" w:w="100"/>
            </w:tcMar>
            <w:vAlign w:val="top"/>
          </w:tcPr>
          <w:p>
            <w:pPr>
              <w:spacing w:after="0" w:line="252" w:lineRule="auto"/>
            </w:pPr>
            <w:r>
              <w:rPr>
                <w:sz w:val="18"/>
                <w:szCs w:val="18"/>
              </w:rPr>
              <w:t xml:space="preserve">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Talent</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/v1/requisitions</w:t>
            </w:r>
            <w:r>
              <w:rPr>
                <w:sz w:val="18"/>
                <w:szCs w:val="18"/>
              </w:rPr>
              <w:t xml:space="preserve">, </w:t>
            </w:r>
            <w:r>
              <w:rPr>
                <w:rFonts w:ascii="Consolas" w:cs="Consolas" w:eastAsia="Consolas" w:hAnsi="Consolas"/>
                <w:color w:val="0B4F4F"/>
                <w:sz w:val="17"/>
                <w:szCs w:val="17"/>
              </w:rPr>
              <w:t xml:space="preserve">/v1/vacancies</w:t>
            </w:r>
            <w:r>
              <w:rPr>
                <w:sz w:val="18"/>
                <w:szCs w:val="18"/>
              </w:rPr>
              <w:t xml:space="preserve">, </w:t>
            </w:r>
            <w:r>
              <w:rPr>
                <w:rFonts w:ascii="Consolas" w:cs="Consolas" w:eastAsia="Consolas" w:hAnsi="Consolas"/>
                <w:color w:val="0B4F4F"/>
                <w:sz w:val="17"/>
                <w:szCs w:val="17"/>
              </w:rPr>
              <w:t xml:space="preserve">/v1/candidates</w:t>
            </w:r>
            <w:r>
              <w:rPr>
                <w:sz w:val="18"/>
                <w:szCs w:val="18"/>
              </w:rPr>
              <w:t xml:space="preserve"> (</w:t>
            </w:r>
            <w:r>
              <w:rPr>
                <w:rFonts w:ascii="Consolas" w:cs="Consolas" w:eastAsia="Consolas" w:hAnsi="Consolas"/>
                <w:color w:val="0B4F4F"/>
                <w:sz w:val="17"/>
                <w:szCs w:val="17"/>
              </w:rPr>
              <w:t xml:space="preserve">:convert</w:t>
            </w:r>
            <w:r>
              <w:rPr>
                <w:sz w:val="18"/>
                <w:szCs w:val="18"/>
              </w:rPr>
              <w:t xml:space="preserve">), </w:t>
            </w:r>
            <w:r>
              <w:rPr>
                <w:rFonts w:ascii="Consolas" w:cs="Consolas" w:eastAsia="Consolas" w:hAnsi="Consolas"/>
                <w:color w:val="0B4F4F"/>
                <w:sz w:val="17"/>
                <w:szCs w:val="17"/>
              </w:rPr>
              <w:t xml:space="preserve">/v1/applications</w:t>
            </w:r>
            <w:r>
              <w:rPr>
                <w:sz w:val="18"/>
                <w:szCs w:val="18"/>
              </w:rPr>
              <w:t xml:space="preserve">, </w:t>
            </w:r>
            <w:r>
              <w:rPr>
                <w:rFonts w:ascii="Consolas" w:cs="Consolas" w:eastAsia="Consolas" w:hAnsi="Consolas"/>
                <w:color w:val="0B4F4F"/>
                <w:sz w:val="17"/>
                <w:szCs w:val="17"/>
              </w:rPr>
              <w:t xml:space="preserve">/v1/offers</w:t>
            </w:r>
            <w:r>
              <w:rPr>
                <w:sz w:val="18"/>
                <w:szCs w:val="18"/>
              </w:rPr>
              <w:t xml:space="preserve">, </w:t>
            </w:r>
            <w:r>
              <w:rPr>
                <w:rFonts w:ascii="Consolas" w:cs="Consolas" w:eastAsia="Consolas" w:hAnsi="Consolas"/>
                <w:color w:val="0B4F4F"/>
                <w:sz w:val="17"/>
                <w:szCs w:val="17"/>
              </w:rPr>
              <w:t xml:space="preserve">/v1/onboarding-cases</w:t>
            </w:r>
          </w:p>
        </w:tc>
        <w:tc>
          <w:tcPr>
            <w:tcW w:type="dxa" w:w="1725"/>
            <w:tcMar>
              <w:top w:type="dxa" w:w="70"/>
              <w:left w:type="dxa" w:w="100"/>
              <w:bottom w:type="dxa" w:w="70"/>
              <w:right w:type="dxa" w:w="100"/>
            </w:tcMar>
            <w:vAlign w:val="top"/>
          </w:tcPr>
          <w:p>
            <w:pPr>
              <w:spacing w:after="0" w:line="252" w:lineRule="auto"/>
            </w:pPr>
            <w:r>
              <w:rPr>
                <w:sz w:val="18"/>
                <w:szCs w:val="18"/>
              </w:rPr>
              <w:t xml:space="preserve">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Time</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/v1/punches:batch</w:t>
            </w:r>
            <w:r>
              <w:rPr>
                <w:sz w:val="18"/>
                <w:szCs w:val="18"/>
              </w:rPr>
              <w:t xml:space="preserve">, </w:t>
            </w:r>
            <w:r>
              <w:rPr>
                <w:rFonts w:ascii="Consolas" w:cs="Consolas" w:eastAsia="Consolas" w:hAnsi="Consolas"/>
                <w:color w:val="0B4F4F"/>
                <w:sz w:val="17"/>
                <w:szCs w:val="17"/>
              </w:rPr>
              <w:t xml:space="preserve">/v1/attendance-days</w:t>
            </w:r>
            <w:r>
              <w:rPr>
                <w:sz w:val="18"/>
                <w:szCs w:val="18"/>
              </w:rPr>
              <w:t xml:space="preserve">, </w:t>
            </w:r>
            <w:r>
              <w:rPr>
                <w:rFonts w:ascii="Consolas" w:cs="Consolas" w:eastAsia="Consolas" w:hAnsi="Consolas"/>
                <w:color w:val="0B4F4F"/>
                <w:sz w:val="17"/>
                <w:szCs w:val="17"/>
              </w:rPr>
              <w:t xml:space="preserve">/v1/attendance-corrections</w:t>
            </w:r>
            <w:r>
              <w:rPr>
                <w:sz w:val="18"/>
                <w:szCs w:val="18"/>
              </w:rPr>
              <w:t xml:space="preserve">, </w:t>
            </w:r>
            <w:r>
              <w:rPr>
                <w:rFonts w:ascii="Consolas" w:cs="Consolas" w:eastAsia="Consolas" w:hAnsi="Consolas"/>
                <w:color w:val="0B4F4F"/>
                <w:sz w:val="17"/>
                <w:szCs w:val="17"/>
              </w:rPr>
              <w:t xml:space="preserve">/v1/rosters</w:t>
            </w:r>
            <w:r>
              <w:rPr>
                <w:sz w:val="18"/>
                <w:szCs w:val="18"/>
              </w:rPr>
              <w:t xml:space="preserve">, </w:t>
            </w:r>
            <w:r>
              <w:rPr>
                <w:rFonts w:ascii="Consolas" w:cs="Consolas" w:eastAsia="Consolas" w:hAnsi="Consolas"/>
                <w:color w:val="0B4F4F"/>
                <w:sz w:val="17"/>
                <w:szCs w:val="17"/>
              </w:rPr>
              <w:t xml:space="preserve">/v1/shifts</w:t>
            </w:r>
            <w:r>
              <w:rPr>
                <w:sz w:val="18"/>
                <w:szCs w:val="18"/>
              </w:rPr>
              <w:t xml:space="preserve">, </w:t>
            </w:r>
            <w:r>
              <w:rPr>
                <w:rFonts w:ascii="Consolas" w:cs="Consolas" w:eastAsia="Consolas" w:hAnsi="Consolas"/>
                <w:color w:val="0B4F4F"/>
                <w:sz w:val="17"/>
                <w:szCs w:val="17"/>
              </w:rPr>
              <w:t xml:space="preserve">/v1/attendance-periods</w:t>
            </w:r>
          </w:p>
        </w:tc>
        <w:tc>
          <w:tcPr>
            <w:tcW w:type="dxa" w:w="1725"/>
            <w:tcMar>
              <w:top w:type="dxa" w:w="70"/>
              <w:left w:type="dxa" w:w="100"/>
              <w:bottom w:type="dxa" w:w="70"/>
              <w:right w:type="dxa" w:w="100"/>
            </w:tcMar>
            <w:vAlign w:val="top"/>
          </w:tcPr>
          <w:p>
            <w:pPr>
              <w:spacing w:after="0" w:line="252" w:lineRule="auto"/>
            </w:pPr>
            <w:r>
              <w:rPr>
                <w:sz w:val="18"/>
                <w:szCs w:val="18"/>
              </w:rPr>
              <w:t xml:space="preserve">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Leave</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/v1/leave-types</w:t>
            </w:r>
            <w:r>
              <w:rPr>
                <w:sz w:val="18"/>
                <w:szCs w:val="18"/>
              </w:rPr>
              <w:t xml:space="preserve">, </w:t>
            </w:r>
            <w:r>
              <w:rPr>
                <w:rFonts w:ascii="Consolas" w:cs="Consolas" w:eastAsia="Consolas" w:hAnsi="Consolas"/>
                <w:color w:val="0B4F4F"/>
                <w:sz w:val="17"/>
                <w:szCs w:val="17"/>
              </w:rPr>
              <w:t xml:space="preserve">/v1/leave-balances</w:t>
            </w:r>
            <w:r>
              <w:rPr>
                <w:sz w:val="18"/>
                <w:szCs w:val="18"/>
              </w:rPr>
              <w:t xml:space="preserve"> (</w:t>
            </w:r>
            <w:r>
              <w:rPr>
                <w:rFonts w:ascii="Consolas" w:cs="Consolas" w:eastAsia="Consolas" w:hAnsi="Consolas"/>
                <w:color w:val="0B4F4F"/>
                <w:sz w:val="17"/>
                <w:szCs w:val="17"/>
              </w:rPr>
              <w:t xml:space="preserve">asOf</w:t>
            </w:r>
            <w:r>
              <w:rPr>
                <w:sz w:val="18"/>
                <w:szCs w:val="18"/>
              </w:rPr>
              <w:t xml:space="preserve">), </w:t>
            </w:r>
            <w:r>
              <w:rPr>
                <w:rFonts w:ascii="Consolas" w:cs="Consolas" w:eastAsia="Consolas" w:hAnsi="Consolas"/>
                <w:color w:val="0B4F4F"/>
                <w:sz w:val="17"/>
                <w:szCs w:val="17"/>
              </w:rPr>
              <w:t xml:space="preserve">/v1/leave-requests</w:t>
            </w:r>
            <w:r>
              <w:rPr>
                <w:sz w:val="18"/>
                <w:szCs w:val="18"/>
              </w:rPr>
              <w:t xml:space="preserve"> (</w:t>
            </w:r>
            <w:r>
              <w:rPr>
                <w:rFonts w:ascii="Consolas" w:cs="Consolas" w:eastAsia="Consolas" w:hAnsi="Consolas"/>
                <w:color w:val="0B4F4F"/>
                <w:sz w:val="17"/>
                <w:szCs w:val="17"/>
              </w:rPr>
              <w:t xml:space="preserve">:cancel</w:t>
            </w:r>
            <w:r>
              <w:rPr>
                <w:sz w:val="18"/>
                <w:szCs w:val="18"/>
              </w:rPr>
              <w:t xml:space="preserve">), </w:t>
            </w:r>
            <w:r>
              <w:rPr>
                <w:rFonts w:ascii="Consolas" w:cs="Consolas" w:eastAsia="Consolas" w:hAnsi="Consolas"/>
                <w:color w:val="0B4F4F"/>
                <w:sz w:val="17"/>
                <w:szCs w:val="17"/>
              </w:rPr>
              <w:t xml:space="preserve">/v1/holiday-calendars</w:t>
            </w:r>
          </w:p>
        </w:tc>
        <w:tc>
          <w:tcPr>
            <w:tcW w:type="dxa" w:w="1725"/>
            <w:tcMar>
              <w:top w:type="dxa" w:w="70"/>
              <w:left w:type="dxa" w:w="100"/>
              <w:bottom w:type="dxa" w:w="70"/>
              <w:right w:type="dxa" w:w="100"/>
            </w:tcMar>
            <w:vAlign w:val="top"/>
          </w:tcPr>
          <w:p>
            <w:pPr>
              <w:spacing w:after="0" w:line="252" w:lineRule="auto"/>
            </w:pPr>
            <w:r>
              <w:rPr>
                <w:sz w:val="18"/>
                <w:szCs w:val="18"/>
              </w:rPr>
              <w:t xml:space="preserve">Read: all; write: 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Payroll inputs</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/v1/pay-groups</w:t>
            </w:r>
            <w:r>
              <w:rPr>
                <w:sz w:val="18"/>
                <w:szCs w:val="18"/>
              </w:rPr>
              <w:t xml:space="preserve">, </w:t>
            </w:r>
            <w:r>
              <w:rPr>
                <w:rFonts w:ascii="Consolas" w:cs="Consolas" w:eastAsia="Consolas" w:hAnsi="Consolas"/>
                <w:color w:val="0B4F4F"/>
                <w:sz w:val="17"/>
                <w:szCs w:val="17"/>
              </w:rPr>
              <w:t xml:space="preserve">/v1/payroll-periods</w:t>
            </w:r>
            <w:r>
              <w:rPr>
                <w:sz w:val="18"/>
                <w:szCs w:val="18"/>
              </w:rPr>
              <w:t xml:space="preserve">, </w:t>
            </w:r>
            <w:r>
              <w:rPr>
                <w:rFonts w:ascii="Consolas" w:cs="Consolas" w:eastAsia="Consolas" w:hAnsi="Consolas"/>
                <w:color w:val="0B4F4F"/>
                <w:sz w:val="17"/>
                <w:szCs w:val="17"/>
              </w:rPr>
              <w:t xml:space="preserve">/v1/payroll-periods/{id}/inputs</w:t>
            </w:r>
            <w:r>
              <w:rPr>
                <w:sz w:val="18"/>
                <w:szCs w:val="18"/>
              </w:rPr>
              <w:t xml:space="preserve"> (</w:t>
            </w:r>
            <w:r>
              <w:rPr>
                <w:rFonts w:ascii="Consolas" w:cs="Consolas" w:eastAsia="Consolas" w:hAnsi="Consolas"/>
                <w:color w:val="0B4F4F"/>
                <w:sz w:val="17"/>
                <w:szCs w:val="17"/>
              </w:rPr>
              <w:t xml:space="preserve">version</w:t>
            </w:r>
            <w:r>
              <w:rPr>
                <w:sz w:val="18"/>
                <w:szCs w:val="18"/>
              </w:rPr>
              <w:t xml:space="preserve">, </w:t>
            </w:r>
            <w:r>
              <w:rPr>
                <w:rFonts w:ascii="Consolas" w:cs="Consolas" w:eastAsia="Consolas" w:hAnsi="Consolas"/>
                <w:color w:val="0B4F4F"/>
                <w:sz w:val="17"/>
                <w:szCs w:val="17"/>
              </w:rPr>
              <w:t xml:space="preserve">deltaFrom</w:t>
            </w:r>
            <w:r>
              <w:rPr>
                <w:sz w:val="18"/>
                <w:szCs w:val="18"/>
              </w:rPr>
              <w:t xml:space="preserve">)</w:t>
            </w:r>
          </w:p>
        </w:tc>
        <w:tc>
          <w:tcPr>
            <w:tcW w:type="dxa" w:w="1725"/>
            <w:tcMar>
              <w:top w:type="dxa" w:w="70"/>
              <w:left w:type="dxa" w:w="100"/>
              <w:bottom w:type="dxa" w:w="70"/>
              <w:right w:type="dxa" w:w="100"/>
            </w:tcMar>
            <w:vAlign w:val="top"/>
          </w:tcPr>
          <w:p>
            <w:pPr>
              <w:spacing w:after="0" w:line="252" w:lineRule="auto"/>
            </w:pPr>
            <w:r>
              <w:rPr>
                <w:sz w:val="18"/>
                <w:szCs w:val="18"/>
              </w:rPr>
              <w:t xml:space="preserve">Growth (restricted)</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Separation and others</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/v1/separations</w:t>
            </w:r>
            <w:r>
              <w:rPr>
                <w:sz w:val="18"/>
                <w:szCs w:val="18"/>
              </w:rPr>
              <w:t xml:space="preserve">, </w:t>
            </w:r>
            <w:r>
              <w:rPr>
                <w:rFonts w:ascii="Consolas" w:cs="Consolas" w:eastAsia="Consolas" w:hAnsi="Consolas"/>
                <w:color w:val="0B4F4F"/>
                <w:sz w:val="17"/>
                <w:szCs w:val="17"/>
              </w:rPr>
              <w:t xml:space="preserve">/v1/assets</w:t>
            </w:r>
            <w:r>
              <w:rPr>
                <w:sz w:val="18"/>
                <w:szCs w:val="18"/>
              </w:rPr>
              <w:t xml:space="preserve">, </w:t>
            </w:r>
            <w:r>
              <w:rPr>
                <w:rFonts w:ascii="Consolas" w:cs="Consolas" w:eastAsia="Consolas" w:hAnsi="Consolas"/>
                <w:color w:val="0B4F4F"/>
                <w:sz w:val="17"/>
                <w:szCs w:val="17"/>
              </w:rPr>
              <w:t xml:space="preserve">/v1/learning-sessions</w:t>
            </w:r>
            <w:r>
              <w:rPr>
                <w:sz w:val="18"/>
                <w:szCs w:val="18"/>
              </w:rPr>
              <w:t xml:space="preserve">, </w:t>
            </w:r>
            <w:r>
              <w:rPr>
                <w:rFonts w:ascii="Consolas" w:cs="Consolas" w:eastAsia="Consolas" w:hAnsi="Consolas"/>
                <w:color w:val="0B4F4F"/>
                <w:sz w:val="17"/>
                <w:szCs w:val="17"/>
              </w:rPr>
              <w:t xml:space="preserve">/v1/hr-requests</w:t>
            </w:r>
            <w:r>
              <w:rPr>
                <w:sz w:val="18"/>
                <w:szCs w:val="18"/>
              </w:rPr>
              <w:t xml:space="preserve">, </w:t>
            </w:r>
            <w:r>
              <w:rPr>
                <w:rFonts w:ascii="Consolas" w:cs="Consolas" w:eastAsia="Consolas" w:hAnsi="Consolas"/>
                <w:color w:val="0B4F4F"/>
                <w:sz w:val="17"/>
                <w:szCs w:val="17"/>
              </w:rPr>
              <w:t xml:space="preserve">/v1/policies</w:t>
            </w:r>
          </w:p>
        </w:tc>
        <w:tc>
          <w:tcPr>
            <w:tcW w:type="dxa" w:w="1725"/>
            <w:tcMar>
              <w:top w:type="dxa" w:w="70"/>
              <w:left w:type="dxa" w:w="100"/>
              <w:bottom w:type="dxa" w:w="70"/>
              <w:right w:type="dxa" w:w="100"/>
            </w:tcMar>
            <w:vAlign w:val="top"/>
          </w:tcPr>
          <w:p>
            <w:pPr>
              <w:spacing w:after="0" w:line="252" w:lineRule="auto"/>
            </w:pPr>
            <w:r>
              <w:rPr>
                <w:sz w:val="18"/>
                <w:szCs w:val="18"/>
              </w:rPr>
              <w:t xml:space="preserve">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Compliance</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/v1/compliance-obligations</w:t>
            </w:r>
            <w:r>
              <w:rPr>
                <w:sz w:val="18"/>
                <w:szCs w:val="18"/>
              </w:rPr>
              <w:t xml:space="preserve">, </w:t>
            </w:r>
            <w:r>
              <w:rPr>
                <w:rFonts w:ascii="Consolas" w:cs="Consolas" w:eastAsia="Consolas" w:hAnsi="Consolas"/>
                <w:color w:val="0B4F4F"/>
                <w:sz w:val="17"/>
                <w:szCs w:val="17"/>
              </w:rPr>
              <w:t xml:space="preserve">/v1/compliance-evidence</w:t>
            </w:r>
            <w:r>
              <w:rPr>
                <w:sz w:val="18"/>
                <w:szCs w:val="18"/>
              </w:rPr>
              <w:t xml:space="preserve">, </w:t>
            </w:r>
            <w:r>
              <w:rPr>
                <w:rFonts w:ascii="Consolas" w:cs="Consolas" w:eastAsia="Consolas" w:hAnsi="Consolas"/>
                <w:color w:val="0B4F4F"/>
                <w:sz w:val="17"/>
                <w:szCs w:val="17"/>
              </w:rPr>
              <w:t xml:space="preserve">/v1/statutory-profiles</w:t>
            </w:r>
            <w:r>
              <w:rPr>
                <w:sz w:val="18"/>
                <w:szCs w:val="18"/>
              </w:rPr>
              <w:t xml:space="preserve"> (restricted)</w:t>
            </w:r>
          </w:p>
        </w:tc>
        <w:tc>
          <w:tcPr>
            <w:tcW w:type="dxa" w:w="1725"/>
            <w:tcMar>
              <w:top w:type="dxa" w:w="70"/>
              <w:left w:type="dxa" w:w="100"/>
              <w:bottom w:type="dxa" w:w="70"/>
              <w:right w:type="dxa" w:w="100"/>
            </w:tcMar>
            <w:vAlign w:val="top"/>
          </w:tcPr>
          <w:p>
            <w:pPr>
              <w:spacing w:after="0" w:line="252" w:lineRule="auto"/>
            </w:pPr>
            <w:r>
              <w:rPr>
                <w:sz w:val="18"/>
                <w:szCs w:val="18"/>
              </w:rPr>
              <w:t xml:space="preserve">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Documents and tasks</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/v1/documents</w:t>
            </w:r>
            <w:r>
              <w:rPr>
                <w:sz w:val="18"/>
                <w:szCs w:val="18"/>
              </w:rPr>
              <w:t xml:space="preserve"> (pre-signed upload), </w:t>
            </w:r>
            <w:r>
              <w:rPr>
                <w:rFonts w:ascii="Consolas" w:cs="Consolas" w:eastAsia="Consolas" w:hAnsi="Consolas"/>
                <w:color w:val="0B4F4F"/>
                <w:sz w:val="17"/>
                <w:szCs w:val="17"/>
              </w:rPr>
              <w:t xml:space="preserve">/v1/letters:generate</w:t>
            </w:r>
            <w:r>
              <w:rPr>
                <w:sz w:val="18"/>
                <w:szCs w:val="18"/>
              </w:rPr>
              <w:t xml:space="preserve">, </w:t>
            </w:r>
            <w:r>
              <w:rPr>
                <w:rFonts w:ascii="Consolas" w:cs="Consolas" w:eastAsia="Consolas" w:hAnsi="Consolas"/>
                <w:color w:val="0B4F4F"/>
                <w:sz w:val="17"/>
                <w:szCs w:val="17"/>
              </w:rPr>
              <w:t xml:space="preserve">/v1/tasks</w:t>
            </w:r>
            <w:r>
              <w:rPr>
                <w:sz w:val="18"/>
                <w:szCs w:val="18"/>
              </w:rPr>
              <w:t xml:space="preserve"> (</w:t>
            </w:r>
            <w:r>
              <w:rPr>
                <w:rFonts w:ascii="Consolas" w:cs="Consolas" w:eastAsia="Consolas" w:hAnsi="Consolas"/>
                <w:color w:val="0B4F4F"/>
                <w:sz w:val="17"/>
                <w:szCs w:val="17"/>
              </w:rPr>
              <w:t xml:space="preserve">:approve</w:t>
            </w:r>
            <w:r>
              <w:rPr>
                <w:sz w:val="18"/>
                <w:szCs w:val="18"/>
              </w:rPr>
              <w:t xml:space="preserve">, </w:t>
            </w:r>
            <w:r>
              <w:rPr>
                <w:rFonts w:ascii="Consolas" w:cs="Consolas" w:eastAsia="Consolas" w:hAnsi="Consolas"/>
                <w:color w:val="0B4F4F"/>
                <w:sz w:val="17"/>
                <w:szCs w:val="17"/>
              </w:rPr>
              <w:t xml:space="preserve">:reject</w:t>
            </w:r>
            <w:r>
              <w:rPr>
                <w:sz w:val="18"/>
                <w:szCs w:val="18"/>
              </w:rPr>
              <w:t xml:space="preserve">, user tokens only)</w:t>
            </w:r>
          </w:p>
        </w:tc>
        <w:tc>
          <w:tcPr>
            <w:tcW w:type="dxa" w:w="1725"/>
            <w:tcMar>
              <w:top w:type="dxa" w:w="70"/>
              <w:left w:type="dxa" w:w="100"/>
              <w:bottom w:type="dxa" w:w="70"/>
              <w:right w:type="dxa" w:w="100"/>
            </w:tcMar>
            <w:vAlign w:val="top"/>
          </w:tcPr>
          <w:p>
            <w:pPr>
              <w:spacing w:after="0" w:line="252" w:lineRule="auto"/>
            </w:pPr>
            <w:r>
              <w:rPr>
                <w:sz w:val="18"/>
                <w:szCs w:val="18"/>
              </w:rPr>
              <w:t xml:space="preserve">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Changes and events</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/v1/changes?since=&lt;cursor&gt;</w:t>
            </w:r>
            <w:r>
              <w:rPr>
                <w:sz w:val="18"/>
                <w:szCs w:val="18"/>
              </w:rPr>
              <w:t xml:space="preserve">, </w:t>
            </w:r>
            <w:r>
              <w:rPr>
                <w:rFonts w:ascii="Consolas" w:cs="Consolas" w:eastAsia="Consolas" w:hAnsi="Consolas"/>
                <w:color w:val="0B4F4F"/>
                <w:sz w:val="17"/>
                <w:szCs w:val="17"/>
              </w:rPr>
              <w:t xml:space="preserve">/v1/events</w:t>
            </w:r>
            <w:r>
              <w:rPr>
                <w:sz w:val="18"/>
                <w:szCs w:val="18"/>
              </w:rPr>
              <w:t xml:space="preserve"> (30-day replay), </w:t>
            </w:r>
            <w:r>
              <w:rPr>
                <w:rFonts w:ascii="Consolas" w:cs="Consolas" w:eastAsia="Consolas" w:hAnsi="Consolas"/>
                <w:color w:val="0B4F4F"/>
                <w:sz w:val="17"/>
                <w:szCs w:val="17"/>
              </w:rPr>
              <w:t xml:space="preserve">/v1/webhook-endpoints</w:t>
            </w:r>
          </w:p>
        </w:tc>
        <w:tc>
          <w:tcPr>
            <w:tcW w:type="dxa" w:w="1725"/>
            <w:tcMar>
              <w:top w:type="dxa" w:w="70"/>
              <w:left w:type="dxa" w:w="100"/>
              <w:bottom w:type="dxa" w:w="70"/>
              <w:right w:type="dxa" w:w="100"/>
            </w:tcMar>
            <w:vAlign w:val="top"/>
          </w:tcPr>
          <w:p>
            <w:pPr>
              <w:spacing w:after="0" w:line="252" w:lineRule="auto"/>
            </w:pPr>
            <w:r>
              <w:rPr>
                <w:sz w:val="18"/>
                <w:szCs w:val="18"/>
              </w:rPr>
              <w:t xml:space="preserve">All</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Bulk</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/v1/bulk-imports</w:t>
            </w:r>
            <w:r>
              <w:rPr>
                <w:sz w:val="18"/>
                <w:szCs w:val="18"/>
              </w:rPr>
              <w:t xml:space="preserve">, </w:t>
            </w:r>
            <w:r>
              <w:rPr>
                <w:rFonts w:ascii="Consolas" w:cs="Consolas" w:eastAsia="Consolas" w:hAnsi="Consolas"/>
                <w:color w:val="0B4F4F"/>
                <w:sz w:val="17"/>
                <w:szCs w:val="17"/>
              </w:rPr>
              <w:t xml:space="preserve">/v1/bulk-exports</w:t>
            </w:r>
            <w:r>
              <w:rPr>
                <w:sz w:val="18"/>
                <w:szCs w:val="18"/>
              </w:rPr>
              <w:t xml:space="preserve">, </w:t>
            </w:r>
            <w:r>
              <w:rPr>
                <w:rFonts w:ascii="Consolas" w:cs="Consolas" w:eastAsia="Consolas" w:hAnsi="Consolas"/>
                <w:color w:val="0B4F4F"/>
                <w:sz w:val="17"/>
                <w:szCs w:val="17"/>
              </w:rPr>
              <w:t xml:space="preserve">/v1/bulk-jobs/{id}</w:t>
            </w:r>
          </w:p>
        </w:tc>
        <w:tc>
          <w:tcPr>
            <w:tcW w:type="dxa" w:w="1725"/>
            <w:tcMar>
              <w:top w:type="dxa" w:w="70"/>
              <w:left w:type="dxa" w:w="100"/>
              <w:bottom w:type="dxa" w:w="70"/>
              <w:right w:type="dxa" w:w="100"/>
            </w:tcMar>
            <w:vAlign w:val="top"/>
          </w:tcPr>
          <w:p>
            <w:pPr>
              <w:spacing w:after="0" w:line="252" w:lineRule="auto"/>
            </w:pPr>
            <w:r>
              <w:rPr>
                <w:sz w:val="18"/>
                <w:szCs w:val="18"/>
              </w:rPr>
              <w:t xml:space="preserve">Growth</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Analytics and admin</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/v1/metrics</w:t>
            </w:r>
            <w:r>
              <w:rPr>
                <w:sz w:val="18"/>
                <w:szCs w:val="18"/>
              </w:rPr>
              <w:t xml:space="preserve">, </w:t>
            </w:r>
            <w:r>
              <w:rPr>
                <w:rFonts w:ascii="Consolas" w:cs="Consolas" w:eastAsia="Consolas" w:hAnsi="Consolas"/>
                <w:color w:val="0B4F4F"/>
                <w:sz w:val="17"/>
                <w:szCs w:val="17"/>
              </w:rPr>
              <w:t xml:space="preserve">/v1/analytics:query</w:t>
            </w:r>
            <w:r>
              <w:rPr>
                <w:sz w:val="18"/>
                <w:szCs w:val="18"/>
              </w:rPr>
              <w:t xml:space="preserve">; </w:t>
            </w:r>
            <w:r>
              <w:rPr>
                <w:rFonts w:ascii="Consolas" w:cs="Consolas" w:eastAsia="Consolas" w:hAnsi="Consolas"/>
                <w:color w:val="0B4F4F"/>
                <w:sz w:val="17"/>
                <w:szCs w:val="17"/>
              </w:rPr>
              <w:t xml:space="preserve">/v1/admin/...</w:t>
            </w:r>
            <w:r>
              <w:rPr>
                <w:sz w:val="18"/>
                <w:szCs w:val="18"/>
              </w:rPr>
              <w:t xml:space="preserve"> (users, roles, config bundles, audit events)</w:t>
            </w:r>
          </w:p>
        </w:tc>
        <w:tc>
          <w:tcPr>
            <w:tcW w:type="dxa" w:w="1725"/>
            <w:tcMar>
              <w:top w:type="dxa" w:w="70"/>
              <w:left w:type="dxa" w:w="100"/>
              <w:bottom w:type="dxa" w:w="70"/>
              <w:right w:type="dxa" w:w="100"/>
            </w:tcMar>
            <w:vAlign w:val="top"/>
          </w:tcPr>
          <w:p>
            <w:pPr>
              <w:spacing w:after="0" w:line="252" w:lineRule="auto"/>
            </w:pPr>
            <w:r>
              <w:rPr>
                <w:sz w:val="18"/>
                <w:szCs w:val="18"/>
              </w:rPr>
              <w:t xml:space="preserve">Enterprise</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Directory and partner</w:t>
            </w:r>
          </w:p>
        </w:tc>
        <w:tc>
          <w:tcPr>
            <w:tcW w:type="dxa" w:w="5884"/>
            <w:tcMar>
              <w:top w:type="dxa" w:w="70"/>
              <w:left w:type="dxa" w:w="100"/>
              <w:bottom w:type="dxa" w:w="70"/>
              <w:right w:type="dxa" w:w="100"/>
            </w:tcMar>
            <w:vAlign w:val="top"/>
          </w:tcPr>
          <w:p>
            <w:pPr>
              <w:spacing w:after="0" w:line="252" w:lineRule="auto"/>
            </w:pPr>
            <w:r>
              <w:rPr>
                <w:rFonts w:ascii="Consolas" w:cs="Consolas" w:eastAsia="Consolas" w:hAnsi="Consolas"/>
                <w:color w:val="0B4F4F"/>
                <w:sz w:val="17"/>
                <w:szCs w:val="17"/>
              </w:rPr>
              <w:t xml:space="preserve">/scim/v2/Users</w:t>
            </w:r>
            <w:r>
              <w:rPr>
                <w:sz w:val="18"/>
                <w:szCs w:val="18"/>
              </w:rPr>
              <w:t xml:space="preserve">, </w:t>
            </w:r>
            <w:r>
              <w:rPr>
                <w:rFonts w:ascii="Consolas" w:cs="Consolas" w:eastAsia="Consolas" w:hAnsi="Consolas"/>
                <w:color w:val="0B4F4F"/>
                <w:sz w:val="17"/>
                <w:szCs w:val="17"/>
              </w:rPr>
              <w:t xml:space="preserve">/scim/v2/Groups</w:t>
            </w:r>
            <w:r>
              <w:rPr>
                <w:sz w:val="18"/>
                <w:szCs w:val="18"/>
              </w:rPr>
              <w:t xml:space="preserve">; </w:t>
            </w:r>
            <w:r>
              <w:rPr>
                <w:rFonts w:ascii="Consolas" w:cs="Consolas" w:eastAsia="Consolas" w:hAnsi="Consolas"/>
                <w:color w:val="0B4F4F"/>
                <w:sz w:val="17"/>
                <w:szCs w:val="17"/>
              </w:rPr>
              <w:t xml:space="preserve">/partner/v1/...</w:t>
            </w:r>
          </w:p>
        </w:tc>
        <w:tc>
          <w:tcPr>
            <w:tcW w:type="dxa" w:w="1725"/>
            <w:tcMar>
              <w:top w:type="dxa" w:w="70"/>
              <w:left w:type="dxa" w:w="100"/>
              <w:bottom w:type="dxa" w:w="70"/>
              <w:right w:type="dxa" w:w="100"/>
            </w:tcMar>
            <w:vAlign w:val="top"/>
          </w:tcPr>
          <w:p>
            <w:pPr>
              <w:spacing w:after="0" w:line="252" w:lineRule="auto"/>
            </w:pPr>
            <w:r>
              <w:rPr>
                <w:sz w:val="18"/>
                <w:szCs w:val="18"/>
              </w:rPr>
              <w:t xml:space="preserve">All; partner program</w:t>
            </w:r>
          </w:p>
        </w:tc>
      </w:tr>
    </w:tbl>
    <w:p>
      <w:pPr>
        <w:spacing w:after="160"/>
      </w:pPr>
    </w:p>
    <w:p>
      <w:pPr>
        <w:pStyle w:val="Heading2"/>
      </w:pPr>
      <w:bookmarkStart w:id="8051" w:name="_Toc900051"/>
      <w:r>
        <w:t xml:space="preserve">12.8 Webhooks and the change feed</w:t>
      </w:r>
      <w:bookmarkEnd w:id="8051"/>
    </w:p>
    <w:p>
      <w:pPr>
        <w:keepNext/>
        <w:spacing w:after="60" w:before="120" w:line="240" w:lineRule="auto"/>
        <w:jc w:val="center"/>
      </w:pPr>
      <w:r>
        <w:drawing>
          <wp:inline distT="0" distB="0" distL="0" distR="0">
            <wp:extent cx="6096000" cy="3600450"/>
            <wp:effectExtent t="0" r="0" b="0" l="0"/>
            <wp:docPr id="1" name="p11-seq-webhook" descr="Webhook delivery is at-least-once and signed; receivers de-duplicate and fetch details through the API with their own scopes." title="Webhook delivery is at-least-once and signed; receivers de-duplicate and fetch details through the API with their own sc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600450"/>
                    </a:xfrm>
                    <a:prstGeom prst="rect">
                      <a:avLst/>
                    </a:prstGeom>
                  </pic:spPr>
                </pic:pic>
              </a:graphicData>
            </a:graphic>
          </wp:inline>
        </w:drawing>
      </w:r>
    </w:p>
    <w:p>
      <w:pPr>
        <w:pStyle w:val="Caption"/>
        <w:jc w:val="left"/>
      </w:pPr>
      <w:r>
        <w:rPr>
          <w:b/>
          <w:bCs/>
        </w:rPr>
        <w:t xml:space="preserve">Figure 16. </w:t>
      </w:r>
      <w:r>
        <w:t xml:space="preserve">Webhook delivery is at-least-once and signed; receivers de-duplicate and fetch details through the API with their own scopes.</w:t>
      </w:r>
    </w:p>
    <w:p>
      <w:pPr>
        <w:pStyle w:val="ListParagraph"/>
        <w:numPr>
          <w:ilvl w:val="0"/>
          <w:numId w:val="2"/>
        </w:numPr>
        <w:spacing w:after="60"/>
      </w:pPr>
      <w:r>
        <w:t xml:space="preserve">Standard Webhooks signing with secret rotation; a 15-second timeout, then exponential backoff for up to 24 hours; failing endpoints are disabled and the tenant admin is alerted.</w:t>
      </w:r>
    </w:p>
    <w:p>
      <w:pPr>
        <w:pStyle w:val="ListParagraph"/>
        <w:numPr>
          <w:ilvl w:val="0"/>
          <w:numId w:val="2"/>
        </w:numPr>
        <w:spacing w:after="60"/>
      </w:pPr>
      <w:r>
        <w:t xml:space="preserve">Deliveries leave from </w:t>
      </w:r>
      <w:r>
        <w:rPr>
          <w:b/>
          <w:bCs/>
        </w:rPr>
        <w:t xml:space="preserve">static egress IPs</w:t>
      </w:r>
      <w:r>
        <w:t xml:space="preserve">; events can be replayed for 30 days.</w:t>
      </w:r>
    </w:p>
    <w:p>
      <w:pPr>
        <w:pStyle w:val="ListParagraph"/>
        <w:numPr>
          <w:ilvl w:val="0"/>
          <w:numId w:val="2"/>
        </w:numPr>
        <w:spacing w:after="60"/>
      </w:pPr>
      <w:r>
        <w:rPr>
          <w:b/>
          <w:bCs/>
        </w:rPr>
        <w:t xml:space="preserve">Change feed</w:t>
      </w:r>
      <w:r>
        <w:t xml:space="preserve"> </w:t>
      </w:r>
      <w:r>
        <w:rPr>
          <w:rFonts w:ascii="Consolas" w:cs="Consolas" w:eastAsia="Consolas" w:hAnsi="Consolas"/>
          <w:color w:val="0B4F4F"/>
          <w:sz w:val="18"/>
          <w:szCs w:val="18"/>
        </w:rPr>
        <w:t xml:space="preserve">/v1/changes?since=&lt;cursor&gt;</w:t>
      </w:r>
      <w:r>
        <w:t xml:space="preserve"> per resource family, for integrators who prefer polling or need to catch up.</w:t>
      </w:r>
    </w:p>
    <w:p>
      <w:pPr>
        <w:pStyle w:val="ListParagraph"/>
        <w:numPr>
          <w:ilvl w:val="0"/>
          <w:numId w:val="2"/>
        </w:numPr>
        <w:spacing w:after="60"/>
      </w:pPr>
      <w:r>
        <w:rPr>
          <w:rFonts w:ascii="Consolas" w:cs="Consolas" w:eastAsia="Consolas" w:hAnsi="Consolas"/>
          <w:color w:val="0B4F4F"/>
          <w:sz w:val="18"/>
          <w:szCs w:val="18"/>
        </w:rPr>
        <w:t xml:space="preserve">worker.erased</w:t>
      </w:r>
      <w:r>
        <w:t xml:space="preserve"> propagates DPDP erasures to connected systems.</w:t>
      </w:r>
    </w:p>
    <w:p>
      <w:pPr>
        <w:pStyle w:val="Heading2"/>
      </w:pPr>
      <w:bookmarkStart w:id="8052" w:name="_Toc900052"/>
      <w:r>
        <w:t xml:space="preserve">12.9 Developer experience</w:t>
      </w:r>
      <w:bookmarkEnd w:id="8052"/>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029"/>
        <w:gridCol w:w="7609"/>
      </w:tblGrid>
      <w:tr>
        <w:trPr>
          <w:cantSplit/>
          <w:tblHeader/>
        </w:trPr>
        <w:tc>
          <w:tcPr>
            <w:tcW w:type="dxa" w:w="202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Element</w:t>
            </w:r>
          </w:p>
        </w:tc>
        <w:tc>
          <w:tcPr>
            <w:tcW w:type="dxa" w:w="760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Design</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Docs</w:t>
            </w:r>
          </w:p>
        </w:tc>
        <w:tc>
          <w:tcPr>
            <w:tcW w:type="dxa" w:w="7609"/>
            <w:tcMar>
              <w:top w:type="dxa" w:w="70"/>
              <w:left w:type="dxa" w:w="100"/>
              <w:bottom w:type="dxa" w:w="70"/>
              <w:right w:type="dxa" w:w="100"/>
            </w:tcMar>
            <w:vAlign w:val="top"/>
          </w:tcPr>
          <w:p>
            <w:pPr>
              <w:spacing w:after="0" w:line="252" w:lineRule="auto"/>
            </w:pPr>
            <w:r>
              <w:rPr>
                <w:sz w:val="18"/>
                <w:szCs w:val="18"/>
              </w:rPr>
              <w:t xml:space="preserve">Guides by task (sync workers, push punches, read payroll inputs), full reference, error catalogue, changelog; docs-as-code with Redocly</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Developer console</w:t>
            </w:r>
          </w:p>
        </w:tc>
        <w:tc>
          <w:tcPr>
            <w:tcW w:type="dxa" w:w="7609"/>
            <w:tcMar>
              <w:top w:type="dxa" w:w="70"/>
              <w:left w:type="dxa" w:w="100"/>
              <w:bottom w:type="dxa" w:w="70"/>
              <w:right w:type="dxa" w:w="100"/>
            </w:tcMar>
            <w:vAlign w:val="top"/>
          </w:tcPr>
          <w:p>
            <w:pPr>
              <w:spacing w:after="0" w:line="252" w:lineRule="auto"/>
            </w:pPr>
            <w:r>
              <w:rPr>
                <w:sz w:val="18"/>
                <w:szCs w:val="18"/>
              </w:rPr>
              <w:t xml:space="preserve">Sandbox signup, app registration, OAuth clients and secrets, installations, webhook endpoints, usage charts, 7-day request log (bodies redacted)</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Sandbox</w:t>
            </w:r>
          </w:p>
        </w:tc>
        <w:tc>
          <w:tcPr>
            <w:tcW w:type="dxa" w:w="7609"/>
            <w:tcMar>
              <w:top w:type="dxa" w:w="70"/>
              <w:left w:type="dxa" w:w="100"/>
              <w:bottom w:type="dxa" w:w="70"/>
              <w:right w:type="dxa" w:w="100"/>
            </w:tcMar>
            <w:vAlign w:val="top"/>
          </w:tcPr>
          <w:p>
            <w:pPr>
              <w:spacing w:after="0" w:line="252" w:lineRule="auto"/>
            </w:pPr>
            <w:r>
              <w:rPr>
                <w:sz w:val="18"/>
                <w:szCs w:val="18"/>
              </w:rPr>
              <w:t xml:space="preserve">A separate cell with synthetic Indian organisation data, reset nightly, same API and limits</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SDKs</w:t>
            </w:r>
          </w:p>
        </w:tc>
        <w:tc>
          <w:tcPr>
            <w:tcW w:type="dxa" w:w="7609"/>
            <w:tcMar>
              <w:top w:type="dxa" w:w="70"/>
              <w:left w:type="dxa" w:w="100"/>
              <w:bottom w:type="dxa" w:w="70"/>
              <w:right w:type="dxa" w:w="100"/>
            </w:tcMar>
            <w:vAlign w:val="top"/>
          </w:tcPr>
          <w:p>
            <w:pPr>
              <w:spacing w:after="0" w:line="252" w:lineRule="auto"/>
            </w:pPr>
            <w:r>
              <w:rPr>
                <w:sz w:val="18"/>
                <w:szCs w:val="18"/>
              </w:rPr>
              <w:t xml:space="preserve">TypeScript and Python first (generated, typed, with retries, pagination and webhook verification); Java and C# when demand is proven</w:t>
            </w:r>
          </w:p>
        </w:tc>
      </w:tr>
      <w:tr>
        <w:trPr>
          <w:cantSplit/>
          <w:tblHeader w:val="false"/>
        </w:trPr>
        <w:tc>
          <w:tcPr>
            <w:tcW w:type="dxa" w:w="2029"/>
            <w:tcMar>
              <w:top w:type="dxa" w:w="70"/>
              <w:left w:type="dxa" w:w="100"/>
              <w:bottom w:type="dxa" w:w="70"/>
              <w:right w:type="dxa" w:w="100"/>
            </w:tcMar>
            <w:vAlign w:val="top"/>
          </w:tcPr>
          <w:p>
            <w:pPr>
              <w:spacing w:after="0" w:line="252" w:lineRule="auto"/>
            </w:pPr>
            <w:r>
              <w:rPr>
                <w:b/>
                <w:bCs/>
                <w:color w:val="16222A"/>
                <w:sz w:val="18"/>
                <w:szCs w:val="18"/>
              </w:rPr>
              <w:t xml:space="preserve">Trust</w:t>
            </w:r>
          </w:p>
        </w:tc>
        <w:tc>
          <w:tcPr>
            <w:tcW w:type="dxa" w:w="7609"/>
            <w:tcMar>
              <w:top w:type="dxa" w:w="70"/>
              <w:left w:type="dxa" w:w="100"/>
              <w:bottom w:type="dxa" w:w="70"/>
              <w:right w:type="dxa" w:w="100"/>
            </w:tcMar>
            <w:vAlign w:val="top"/>
          </w:tcPr>
          <w:p>
            <w:pPr>
              <w:spacing w:after="0" w:line="252" w:lineRule="auto"/>
            </w:pPr>
            <w:r>
              <w:rPr>
                <w:sz w:val="18"/>
                <w:szCs w:val="18"/>
              </w:rPr>
              <w:t xml:space="preserve">Public status page per region and API; security page; subprocessor register; audit reports under NDA</w:t>
            </w:r>
          </w:p>
        </w:tc>
      </w:tr>
    </w:tbl>
    <w:p>
      <w:pPr>
        <w:spacing w:after="160"/>
      </w:pPr>
    </w:p>
    <w:p>
      <w:pPr>
        <w:pStyle w:val="Heading2"/>
      </w:pPr>
      <w:bookmarkStart w:id="8053" w:name="_Toc900053"/>
      <w:r>
        <w:t xml:space="preserve">12.10 Metering, limits and billing</w:t>
      </w:r>
      <w:bookmarkEnd w:id="8053"/>
    </w:p>
    <w:p>
      <w:pPr>
        <w:pStyle w:val="ListParagraph"/>
        <w:numPr>
          <w:ilvl w:val="0"/>
          <w:numId w:val="2"/>
        </w:numPr>
        <w:spacing w:after="60"/>
      </w:pPr>
      <w:r>
        <w:rPr>
          <w:b/>
          <w:bCs/>
        </w:rPr>
        <w:t xml:space="preserve">Metered:</w:t>
      </w:r>
      <w:r>
        <w:t xml:space="preserve"> active employees per tenant per day (sent by cells as aggregates); API calls by tenant, app and route family (from gateway logs); webhook deliveries; bulk rows; SMS and WhatsApp messages (passed through).</w:t>
      </w:r>
    </w:p>
    <w:p>
      <w:pPr>
        <w:pStyle w:val="ListParagraph"/>
        <w:numPr>
          <w:ilvl w:val="0"/>
          <w:numId w:val="2"/>
        </w:numPr>
        <w:spacing w:after="60"/>
      </w:pPr>
      <w:r>
        <w:t xml:space="preserve">Usage is aggregated idempotently, pushed daily to Chargebee and invoiced with GST. Razorpay collects payments; enterprise customers can pay by invoice.</w:t>
      </w:r>
    </w:p>
    <w:p>
      <w:pPr>
        <w:pStyle w:val="ListParagraph"/>
        <w:numPr>
          <w:ilvl w:val="0"/>
          <w:numId w:val="2"/>
        </w:numPr>
        <w:spacing w:after="60"/>
      </w:pPr>
      <w:r>
        <w:t xml:space="preserve">The gateway enforces rate limits per tenant, app and client class. Daily quotas are soft (alerts at 80% and 100%, overage on Growth) except on Starter and sandbox.</w:t>
      </w:r>
    </w:p>
    <w:p>
      <w:pPr>
        <w:sectPr>
          <w:headerReference w:type="default" r:id="rId23"/>
          <w:footerReference w:type="default" r:id="rId24"/>
          <w:pgSz w:w="11906" w:h="16838" w:orient="portrait"/>
          <w:pgMar w:top="1134" w:right="1134" w:bottom="1134" w:left="1134" w:header="567" w:footer="567" w:gutter="0"/>
          <w:pgNumType/>
          <w:docGrid w:linePitch="360"/>
        </w:sectPr>
      </w:pPr>
    </w:p>
    <w:p>
      <w:pPr>
        <w:pStyle w:val="Heading1"/>
      </w:pPr>
      <w:bookmarkStart w:id="8054" w:name="_Toc900054"/>
      <w:r>
        <w:t xml:space="preserve">13. Infrastructure and operations</w:t>
      </w:r>
      <w:bookmarkEnd w:id="8054"/>
    </w:p>
    <w:p>
      <w:pPr>
        <w:pStyle w:val="Heading2"/>
      </w:pPr>
      <w:bookmarkStart w:id="8055" w:name="_Toc900055"/>
      <w:r>
        <w:t xml:space="preserve">13.1 AWS deployment</w:t>
      </w:r>
      <w:bookmarkEnd w:id="8055"/>
    </w:p>
    <w:p>
      <w:pPr>
        <w:keepNext/>
        <w:spacing w:after="60" w:before="120" w:line="240" w:lineRule="auto"/>
        <w:jc w:val="center"/>
      </w:pPr>
      <w:r>
        <w:drawing>
          <wp:inline distT="0" distB="0" distL="0" distR="0">
            <wp:extent cx="7458075" cy="4667250"/>
            <wp:effectExtent t="0" r="0" b="0" l="0"/>
            <wp:docPr id="1" name="l03-aws" descr="Launch deployment: a global layer, a Mumbai regional tier and cell across three availability zones, and a Hyderabad DR region fed by Aurora Global Database and S3 replication." title="Launch deployment: a global layer, a Mumbai regional tier and cell across three availability zones, and a Hyderabad DR region fed by Aurora Global Database and S3 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7458075" cy="4667250"/>
                    </a:xfrm>
                    <a:prstGeom prst="rect">
                      <a:avLst/>
                    </a:prstGeom>
                  </pic:spPr>
                </pic:pic>
              </a:graphicData>
            </a:graphic>
          </wp:inline>
        </w:drawing>
      </w:r>
    </w:p>
    <w:p>
      <w:pPr>
        <w:pStyle w:val="Caption"/>
        <w:jc w:val="left"/>
      </w:pPr>
      <w:r>
        <w:rPr>
          <w:b/>
          <w:bCs/>
        </w:rPr>
        <w:t xml:space="preserve">Figure 17. </w:t>
      </w:r>
      <w:r>
        <w:t xml:space="preserve">Launch deployment: a global layer, a Mumbai regional tier and cell across three availability zones, and a Hyderabad DR region fed by Aurora Global Database and S3 replication.</w:t>
      </w:r>
    </w:p>
    <w:p>
      <w:pPr>
        <w:sectPr>
          <w:headerReference w:type="default" r:id="rId25"/>
          <w:footerReference w:type="default" r:id="rId26"/>
          <w:pgSz w:w="16838" w:h="11906" w:orient="landscape"/>
          <w:pgMar w:top="1134" w:right="1134" w:bottom="1134" w:left="1134" w:header="567" w:footer="567" w:gutter="0"/>
          <w:pgNumType/>
          <w:docGrid w:linePitch="360"/>
        </w:sectPr>
      </w:pPr>
    </w:p>
    <w:p>
      <w:pPr>
        <w:pStyle w:val="Heading2"/>
      </w:pPr>
      <w:bookmarkStart w:id="8056" w:name="_Toc900056"/>
      <w:r>
        <w:t xml:space="preserve">13.2 Accounts and network</w:t>
      </w:r>
      <w:bookmarkEnd w:id="8056"/>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3043"/>
        <w:gridCol w:w="6595"/>
      </w:tblGrid>
      <w:tr>
        <w:trPr>
          <w:cantSplit/>
          <w:tblHeader/>
        </w:trPr>
        <w:tc>
          <w:tcPr>
            <w:tcW w:type="dxa" w:w="304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Account (AWS Control Tower)</w:t>
            </w:r>
          </w:p>
        </w:tc>
        <w:tc>
          <w:tcPr>
            <w:tcW w:type="dxa" w:w="659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Purpose</w:t>
            </w:r>
          </w:p>
        </w:tc>
      </w:tr>
      <w:tr>
        <w:trPr>
          <w:cantSplit/>
          <w:tblHeader w:val="false"/>
        </w:trPr>
        <w:tc>
          <w:tcPr>
            <w:tcW w:type="dxa" w:w="3043"/>
            <w:tcMar>
              <w:top w:type="dxa" w:w="70"/>
              <w:left w:type="dxa" w:w="100"/>
              <w:bottom w:type="dxa" w:w="70"/>
              <w:right w:type="dxa" w:w="100"/>
            </w:tcMar>
            <w:vAlign w:val="top"/>
          </w:tcPr>
          <w:p>
            <w:pPr>
              <w:spacing w:after="0" w:line="252" w:lineRule="auto"/>
            </w:pPr>
            <w:r>
              <w:rPr>
                <w:b/>
                <w:bCs/>
                <w:color w:val="16222A"/>
                <w:sz w:val="18"/>
                <w:szCs w:val="18"/>
              </w:rPr>
              <w:t xml:space="preserve">Management</w:t>
            </w:r>
          </w:p>
        </w:tc>
        <w:tc>
          <w:tcPr>
            <w:tcW w:type="dxa" w:w="6595"/>
            <w:tcMar>
              <w:top w:type="dxa" w:w="70"/>
              <w:left w:type="dxa" w:w="100"/>
              <w:bottom w:type="dxa" w:w="70"/>
              <w:right w:type="dxa" w:w="100"/>
            </w:tcMar>
            <w:vAlign w:val="top"/>
          </w:tcPr>
          <w:p>
            <w:pPr>
              <w:spacing w:after="0" w:line="252" w:lineRule="auto"/>
            </w:pPr>
            <w:r>
              <w:rPr>
                <w:sz w:val="18"/>
                <w:szCs w:val="18"/>
              </w:rPr>
              <w:t xml:space="preserve">Organisation, SCPs, billing only</w:t>
            </w:r>
          </w:p>
        </w:tc>
      </w:tr>
      <w:tr>
        <w:trPr>
          <w:cantSplit/>
          <w:tblHeader w:val="false"/>
        </w:trPr>
        <w:tc>
          <w:tcPr>
            <w:tcW w:type="dxa" w:w="3043"/>
            <w:tcMar>
              <w:top w:type="dxa" w:w="70"/>
              <w:left w:type="dxa" w:w="100"/>
              <w:bottom w:type="dxa" w:w="70"/>
              <w:right w:type="dxa" w:w="100"/>
            </w:tcMar>
            <w:vAlign w:val="top"/>
          </w:tcPr>
          <w:p>
            <w:pPr>
              <w:spacing w:after="0" w:line="252" w:lineRule="auto"/>
            </w:pPr>
            <w:r>
              <w:rPr>
                <w:b/>
                <w:bCs/>
                <w:color w:val="16222A"/>
                <w:sz w:val="18"/>
                <w:szCs w:val="18"/>
              </w:rPr>
              <w:t xml:space="preserve">Security tooling and log archive</w:t>
            </w:r>
          </w:p>
        </w:tc>
        <w:tc>
          <w:tcPr>
            <w:tcW w:type="dxa" w:w="6595"/>
            <w:tcMar>
              <w:top w:type="dxa" w:w="70"/>
              <w:left w:type="dxa" w:w="100"/>
              <w:bottom w:type="dxa" w:w="70"/>
              <w:right w:type="dxa" w:w="100"/>
            </w:tcMar>
            <w:vAlign w:val="top"/>
          </w:tcPr>
          <w:p>
            <w:pPr>
              <w:spacing w:after="0" w:line="252" w:lineRule="auto"/>
            </w:pPr>
            <w:r>
              <w:rPr>
                <w:sz w:val="18"/>
                <w:szCs w:val="18"/>
              </w:rPr>
              <w:t xml:space="preserve">GuardDuty, Security Hub, Inspector, IAM Identity Center; organisation CloudTrail; audit archive with Object Lock</w:t>
            </w:r>
          </w:p>
        </w:tc>
      </w:tr>
      <w:tr>
        <w:trPr>
          <w:cantSplit/>
          <w:tblHeader w:val="false"/>
        </w:trPr>
        <w:tc>
          <w:tcPr>
            <w:tcW w:type="dxa" w:w="3043"/>
            <w:tcMar>
              <w:top w:type="dxa" w:w="70"/>
              <w:left w:type="dxa" w:w="100"/>
              <w:bottom w:type="dxa" w:w="70"/>
              <w:right w:type="dxa" w:w="100"/>
            </w:tcMar>
            <w:vAlign w:val="top"/>
          </w:tcPr>
          <w:p>
            <w:pPr>
              <w:spacing w:after="0" w:line="252" w:lineRule="auto"/>
            </w:pPr>
            <w:r>
              <w:rPr>
                <w:b/>
                <w:bCs/>
                <w:color w:val="16222A"/>
                <w:sz w:val="18"/>
                <w:szCs w:val="18"/>
              </w:rPr>
              <w:t xml:space="preserve">Shared services</w:t>
            </w:r>
          </w:p>
        </w:tc>
        <w:tc>
          <w:tcPr>
            <w:tcW w:type="dxa" w:w="6595"/>
            <w:tcMar>
              <w:top w:type="dxa" w:w="70"/>
              <w:left w:type="dxa" w:w="100"/>
              <w:bottom w:type="dxa" w:w="70"/>
              <w:right w:type="dxa" w:w="100"/>
            </w:tcMar>
            <w:vAlign w:val="top"/>
          </w:tcPr>
          <w:p>
            <w:pPr>
              <w:spacing w:after="0" w:line="252" w:lineRule="auto"/>
            </w:pPr>
            <w:r>
              <w:rPr>
                <w:sz w:val="18"/>
                <w:szCs w:val="18"/>
              </w:rPr>
              <w:t xml:space="preserve">ECR, CI runners, artifacts</w:t>
            </w:r>
          </w:p>
        </w:tc>
      </w:tr>
      <w:tr>
        <w:trPr>
          <w:cantSplit/>
          <w:tblHeader w:val="false"/>
        </w:trPr>
        <w:tc>
          <w:tcPr>
            <w:tcW w:type="dxa" w:w="3043"/>
            <w:tcMar>
              <w:top w:type="dxa" w:w="70"/>
              <w:left w:type="dxa" w:w="100"/>
              <w:bottom w:type="dxa" w:w="70"/>
              <w:right w:type="dxa" w:w="100"/>
            </w:tcMar>
            <w:vAlign w:val="top"/>
          </w:tcPr>
          <w:p>
            <w:pPr>
              <w:spacing w:after="0" w:line="252" w:lineRule="auto"/>
            </w:pPr>
            <w:r>
              <w:rPr>
                <w:b/>
                <w:bCs/>
                <w:color w:val="16222A"/>
                <w:sz w:val="18"/>
                <w:szCs w:val="18"/>
              </w:rPr>
              <w:t xml:space="preserve">Platform (prod, staging)</w:t>
            </w:r>
          </w:p>
        </w:tc>
        <w:tc>
          <w:tcPr>
            <w:tcW w:type="dxa" w:w="6595"/>
            <w:tcMar>
              <w:top w:type="dxa" w:w="70"/>
              <w:left w:type="dxa" w:w="100"/>
              <w:bottom w:type="dxa" w:w="70"/>
              <w:right w:type="dxa" w:w="100"/>
            </w:tcMar>
            <w:vAlign w:val="top"/>
          </w:tcPr>
          <w:p>
            <w:pPr>
              <w:spacing w:after="0" w:line="252" w:lineRule="auto"/>
            </w:pPr>
            <w:r>
              <w:rPr>
                <w:sz w:val="18"/>
                <w:szCs w:val="18"/>
              </w:rPr>
              <w:t xml:space="preserve">Control plane and regional tier (Kong, Keycloak) at launch; split into separate accounts at scale</w:t>
            </w:r>
          </w:p>
        </w:tc>
      </w:tr>
      <w:tr>
        <w:trPr>
          <w:cantSplit/>
          <w:tblHeader w:val="false"/>
        </w:trPr>
        <w:tc>
          <w:tcPr>
            <w:tcW w:type="dxa" w:w="3043"/>
            <w:tcMar>
              <w:top w:type="dxa" w:w="70"/>
              <w:left w:type="dxa" w:w="100"/>
              <w:bottom w:type="dxa" w:w="70"/>
              <w:right w:type="dxa" w:w="100"/>
            </w:tcMar>
            <w:vAlign w:val="top"/>
          </w:tcPr>
          <w:p>
            <w:pPr>
              <w:spacing w:after="0" w:line="252" w:lineRule="auto"/>
            </w:pPr>
            <w:r>
              <w:rPr>
                <w:b/>
                <w:bCs/>
                <w:color w:val="16222A"/>
                <w:sz w:val="18"/>
                <w:szCs w:val="18"/>
              </w:rPr>
              <w:t xml:space="preserve">Cell accounts</w:t>
            </w:r>
          </w:p>
        </w:tc>
        <w:tc>
          <w:tcPr>
            <w:tcW w:type="dxa" w:w="6595"/>
            <w:tcMar>
              <w:top w:type="dxa" w:w="70"/>
              <w:left w:type="dxa" w:w="100"/>
              <w:bottom w:type="dxa" w:w="70"/>
              <w:right w:type="dxa" w:w="100"/>
            </w:tcMar>
            <w:vAlign w:val="top"/>
          </w:tcPr>
          <w:p>
            <w:pPr>
              <w:spacing w:after="0" w:line="252" w:lineRule="auto"/>
            </w:pPr>
            <w:r>
              <w:rPr>
                <w:sz w:val="18"/>
                <w:szCs w:val="18"/>
              </w:rPr>
              <w:t xml:space="preserve">One per cell; everything that holds tenant data</w:t>
            </w:r>
          </w:p>
        </w:tc>
      </w:tr>
      <w:tr>
        <w:trPr>
          <w:cantSplit/>
          <w:tblHeader w:val="false"/>
        </w:trPr>
        <w:tc>
          <w:tcPr>
            <w:tcW w:type="dxa" w:w="3043"/>
            <w:tcMar>
              <w:top w:type="dxa" w:w="70"/>
              <w:left w:type="dxa" w:w="100"/>
              <w:bottom w:type="dxa" w:w="70"/>
              <w:right w:type="dxa" w:w="100"/>
            </w:tcMar>
            <w:vAlign w:val="top"/>
          </w:tcPr>
          <w:p>
            <w:pPr>
              <w:spacing w:after="0" w:line="252" w:lineRule="auto"/>
            </w:pPr>
            <w:r>
              <w:rPr>
                <w:b/>
                <w:bCs/>
                <w:color w:val="16222A"/>
                <w:sz w:val="18"/>
                <w:szCs w:val="18"/>
              </w:rPr>
              <w:t xml:space="preserve">Sandbox, staging, development</w:t>
            </w:r>
          </w:p>
        </w:tc>
        <w:tc>
          <w:tcPr>
            <w:tcW w:type="dxa" w:w="6595"/>
            <w:tcMar>
              <w:top w:type="dxa" w:w="70"/>
              <w:left w:type="dxa" w:w="100"/>
              <w:bottom w:type="dxa" w:w="70"/>
              <w:right w:type="dxa" w:w="100"/>
            </w:tcMar>
            <w:vAlign w:val="top"/>
          </w:tcPr>
          <w:p>
            <w:pPr>
              <w:spacing w:after="0" w:line="252" w:lineRule="auto"/>
            </w:pPr>
            <w:r>
              <w:rPr>
                <w:sz w:val="18"/>
                <w:szCs w:val="18"/>
              </w:rPr>
              <w:t xml:space="preserve">Synthetic or masked data only</w:t>
            </w:r>
          </w:p>
        </w:tc>
      </w:tr>
    </w:tbl>
    <w:p>
      <w:pPr>
        <w:spacing w:after="160"/>
      </w:pPr>
    </w:p>
    <w:p>
      <w:pPr>
        <w:pStyle w:val="ListParagraph"/>
        <w:numPr>
          <w:ilvl w:val="0"/>
          <w:numId w:val="2"/>
        </w:numPr>
        <w:spacing w:after="60"/>
      </w:pPr>
      <w:r>
        <w:t xml:space="preserve">Each cell VPC spans three AZs: public subnets for load balancers and NAT only, private subnets for EKS, private data subnets for Aurora and Valkey.</w:t>
      </w:r>
    </w:p>
    <w:p>
      <w:pPr>
        <w:pStyle w:val="ListParagraph"/>
        <w:numPr>
          <w:ilvl w:val="0"/>
          <w:numId w:val="2"/>
        </w:numPr>
        <w:spacing w:after="60"/>
      </w:pPr>
      <w:r>
        <w:t xml:space="preserve">VPC endpoints for S3, KMS, STS, ECR, SQS and Secrets Manager.</w:t>
      </w:r>
    </w:p>
    <w:p>
      <w:pPr>
        <w:pStyle w:val="ListParagraph"/>
        <w:numPr>
          <w:ilvl w:val="0"/>
          <w:numId w:val="2"/>
        </w:numPr>
        <w:spacing w:after="60"/>
      </w:pPr>
      <w:r>
        <w:t xml:space="preserve">Webhooks and connectors leave through NAT with </w:t>
      </w:r>
      <w:r>
        <w:rPr>
          <w:b/>
          <w:bCs/>
        </w:rPr>
        <w:t xml:space="preserve">published static IPs</w:t>
      </w:r>
      <w:r>
        <w:t xml:space="preserve"> and an egress allowlist proxy. AWS Network Firewall is added by trigger.</w:t>
      </w:r>
    </w:p>
    <w:p>
      <w:pPr>
        <w:pStyle w:val="ListParagraph"/>
        <w:numPr>
          <w:ilvl w:val="0"/>
          <w:numId w:val="2"/>
        </w:numPr>
        <w:spacing w:after="60"/>
      </w:pPr>
      <w:r>
        <w:t xml:space="preserve">Enterprise API customers can connect over AWS PrivateLink (target).</w:t>
      </w:r>
    </w:p>
    <w:p>
      <w:pPr>
        <w:pStyle w:val="ListParagraph"/>
        <w:numPr>
          <w:ilvl w:val="0"/>
          <w:numId w:val="2"/>
        </w:numPr>
        <w:spacing w:after="60"/>
      </w:pPr>
      <w:r>
        <w:t xml:space="preserve">Custom domains: a shared wildcard domain for every tenant; opt-in custom domains through CloudFront's multi-tenant distribution features, with certificates automated.</w:t>
      </w:r>
    </w:p>
    <w:p>
      <w:pPr>
        <w:pStyle w:val="Heading2"/>
      </w:pPr>
      <w:bookmarkStart w:id="8057" w:name="_Toc900057"/>
      <w:r>
        <w:t xml:space="preserve">13.3 Environments and delivery</w:t>
      </w:r>
      <w:bookmarkEnd w:id="8057"/>
    </w:p>
    <w:p>
      <w:pPr>
        <w:keepNext/>
        <w:spacing w:after="60" w:before="120" w:line="240" w:lineRule="auto"/>
        <w:jc w:val="center"/>
      </w:pPr>
      <w:r>
        <w:drawing>
          <wp:inline distT="0" distB="0" distL="0" distR="0">
            <wp:extent cx="6096000" cy="2076450"/>
            <wp:effectExtent t="0" r="0" b="0" l="0"/>
            <wp:docPr id="1" name="p15-cicd" descr="From pull request to every cell. A failed automated analysis at any ring rolls back without a human." title="From pull request to every cell. A failed automated analysis at any ring rolls back without a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2076450"/>
                    </a:xfrm>
                    <a:prstGeom prst="rect">
                      <a:avLst/>
                    </a:prstGeom>
                  </pic:spPr>
                </pic:pic>
              </a:graphicData>
            </a:graphic>
          </wp:inline>
        </w:drawing>
      </w:r>
    </w:p>
    <w:p>
      <w:pPr>
        <w:pStyle w:val="Caption"/>
        <w:jc w:val="left"/>
      </w:pPr>
      <w:r>
        <w:rPr>
          <w:b/>
          <w:bCs/>
        </w:rPr>
        <w:t xml:space="preserve">Figure 18. </w:t>
      </w:r>
      <w:r>
        <w:t xml:space="preserve">From pull request to every cell. A failed automated analysis at any ring rolls back without a human.</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434"/>
        <w:gridCol w:w="2840"/>
        <w:gridCol w:w="4364"/>
      </w:tblGrid>
      <w:tr>
        <w:trPr>
          <w:cantSplit/>
          <w:tblHeader/>
        </w:trPr>
        <w:tc>
          <w:tcPr>
            <w:tcW w:type="dxa" w:w="243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Environment</w:t>
            </w:r>
          </w:p>
        </w:tc>
        <w:tc>
          <w:tcPr>
            <w:tcW w:type="dxa" w:w="284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Data</w:t>
            </w:r>
          </w:p>
        </w:tc>
        <w:tc>
          <w:tcPr>
            <w:tcW w:type="dxa" w:w="436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Purpose</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Development</w:t>
            </w:r>
          </w:p>
        </w:tc>
        <w:tc>
          <w:tcPr>
            <w:tcW w:type="dxa" w:w="2840"/>
            <w:tcMar>
              <w:top w:type="dxa" w:w="70"/>
              <w:left w:type="dxa" w:w="100"/>
              <w:bottom w:type="dxa" w:w="70"/>
              <w:right w:type="dxa" w:w="100"/>
            </w:tcMar>
            <w:vAlign w:val="top"/>
          </w:tcPr>
          <w:p>
            <w:pPr>
              <w:spacing w:after="0" w:line="252" w:lineRule="auto"/>
            </w:pPr>
            <w:r>
              <w:rPr>
                <w:sz w:val="18"/>
                <w:szCs w:val="18"/>
              </w:rPr>
              <w:t xml:space="preserve">Synthetic</w:t>
            </w:r>
          </w:p>
        </w:tc>
        <w:tc>
          <w:tcPr>
            <w:tcW w:type="dxa" w:w="4364"/>
            <w:tcMar>
              <w:top w:type="dxa" w:w="70"/>
              <w:left w:type="dxa" w:w="100"/>
              <w:bottom w:type="dxa" w:w="70"/>
              <w:right w:type="dxa" w:w="100"/>
            </w:tcMar>
            <w:vAlign w:val="top"/>
          </w:tcPr>
          <w:p>
            <w:pPr>
              <w:spacing w:after="0" w:line="252" w:lineRule="auto"/>
            </w:pPr>
            <w:r>
              <w:rPr>
                <w:sz w:val="18"/>
                <w:szCs w:val="18"/>
              </w:rPr>
              <w:t xml:space="preserve">Per-branch previews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Staging</w:t>
            </w:r>
          </w:p>
        </w:tc>
        <w:tc>
          <w:tcPr>
            <w:tcW w:type="dxa" w:w="2840"/>
            <w:tcMar>
              <w:top w:type="dxa" w:w="70"/>
              <w:left w:type="dxa" w:w="100"/>
              <w:bottom w:type="dxa" w:w="70"/>
              <w:right w:type="dxa" w:w="100"/>
            </w:tcMar>
            <w:vAlign w:val="top"/>
          </w:tcPr>
          <w:p>
            <w:pPr>
              <w:spacing w:after="0" w:line="252" w:lineRule="auto"/>
            </w:pPr>
            <w:r>
              <w:rPr>
                <w:sz w:val="18"/>
                <w:szCs w:val="18"/>
              </w:rPr>
              <w:t xml:space="preserve">Synthetic (masked by tenant opt-in)</w:t>
            </w:r>
          </w:p>
        </w:tc>
        <w:tc>
          <w:tcPr>
            <w:tcW w:type="dxa" w:w="4364"/>
            <w:tcMar>
              <w:top w:type="dxa" w:w="70"/>
              <w:left w:type="dxa" w:w="100"/>
              <w:bottom w:type="dxa" w:w="70"/>
              <w:right w:type="dxa" w:w="100"/>
            </w:tcMar>
            <w:vAlign w:val="top"/>
          </w:tcPr>
          <w:p>
            <w:pPr>
              <w:spacing w:after="0" w:line="252" w:lineRule="auto"/>
            </w:pPr>
            <w:r>
              <w:rPr>
                <w:sz w:val="18"/>
                <w:szCs w:val="18"/>
              </w:rPr>
              <w:t xml:space="preserve">E2E, isolation suite, performance smoke tests</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API sandbox</w:t>
            </w:r>
          </w:p>
        </w:tc>
        <w:tc>
          <w:tcPr>
            <w:tcW w:type="dxa" w:w="2840"/>
            <w:tcMar>
              <w:top w:type="dxa" w:w="70"/>
              <w:left w:type="dxa" w:w="100"/>
              <w:bottom w:type="dxa" w:w="70"/>
              <w:right w:type="dxa" w:w="100"/>
            </w:tcMar>
            <w:vAlign w:val="top"/>
          </w:tcPr>
          <w:p>
            <w:pPr>
              <w:spacing w:after="0" w:line="252" w:lineRule="auto"/>
            </w:pPr>
            <w:r>
              <w:rPr>
                <w:sz w:val="18"/>
                <w:szCs w:val="18"/>
              </w:rPr>
              <w:t xml:space="preserve">Synthetic tenants</w:t>
            </w:r>
          </w:p>
        </w:tc>
        <w:tc>
          <w:tcPr>
            <w:tcW w:type="dxa" w:w="4364"/>
            <w:tcMar>
              <w:top w:type="dxa" w:w="70"/>
              <w:left w:type="dxa" w:w="100"/>
              <w:bottom w:type="dxa" w:w="70"/>
              <w:right w:type="dxa" w:w="100"/>
            </w:tcMar>
            <w:vAlign w:val="top"/>
          </w:tcPr>
          <w:p>
            <w:pPr>
              <w:spacing w:after="0" w:line="252" w:lineRule="auto"/>
            </w:pPr>
            <w:r>
              <w:rPr>
                <w:sz w:val="18"/>
                <w:szCs w:val="18"/>
              </w:rPr>
              <w:t xml:space="preserve">Public developer sandbox on the current release</w:t>
            </w:r>
          </w:p>
        </w:tc>
      </w:tr>
      <w:tr>
        <w:trPr>
          <w:cantSplit/>
          <w:tblHeader w:val="false"/>
        </w:trPr>
        <w:tc>
          <w:tcPr>
            <w:tcW w:type="dxa" w:w="2434"/>
            <w:tcMar>
              <w:top w:type="dxa" w:w="70"/>
              <w:left w:type="dxa" w:w="100"/>
              <w:bottom w:type="dxa" w:w="70"/>
              <w:right w:type="dxa" w:w="100"/>
            </w:tcMar>
            <w:vAlign w:val="top"/>
          </w:tcPr>
          <w:p>
            <w:pPr>
              <w:spacing w:after="0" w:line="252" w:lineRule="auto"/>
            </w:pPr>
            <w:r>
              <w:rPr>
                <w:b/>
                <w:bCs/>
                <w:color w:val="16222A"/>
                <w:sz w:val="18"/>
                <w:szCs w:val="18"/>
              </w:rPr>
              <w:t xml:space="preserve">Production rings 0 → 1 → 2</w:t>
            </w:r>
          </w:p>
        </w:tc>
        <w:tc>
          <w:tcPr>
            <w:tcW w:type="dxa" w:w="2840"/>
            <w:tcMar>
              <w:top w:type="dxa" w:w="70"/>
              <w:left w:type="dxa" w:w="100"/>
              <w:bottom w:type="dxa" w:w="70"/>
              <w:right w:type="dxa" w:w="100"/>
            </w:tcMar>
            <w:vAlign w:val="top"/>
          </w:tcPr>
          <w:p>
            <w:pPr>
              <w:spacing w:after="0" w:line="252" w:lineRule="auto"/>
            </w:pPr>
            <w:r>
              <w:rPr>
                <w:sz w:val="18"/>
                <w:szCs w:val="18"/>
              </w:rPr>
              <w:t xml:space="preserve">Real</w:t>
            </w:r>
          </w:p>
        </w:tc>
        <w:tc>
          <w:tcPr>
            <w:tcW w:type="dxa" w:w="4364"/>
            <w:tcMar>
              <w:top w:type="dxa" w:w="70"/>
              <w:left w:type="dxa" w:w="100"/>
              <w:bottom w:type="dxa" w:w="70"/>
              <w:right w:type="dxa" w:w="100"/>
            </w:tcMar>
            <w:vAlign w:val="top"/>
          </w:tcPr>
          <w:p>
            <w:pPr>
              <w:spacing w:after="0" w:line="252" w:lineRule="auto"/>
            </w:pPr>
            <w:r>
              <w:rPr>
                <w:sz w:val="18"/>
                <w:szCs w:val="18"/>
              </w:rPr>
              <w:t xml:space="preserve">Internal tenant, then canary tenants per industry pack, then all cells</w:t>
            </w:r>
          </w:p>
        </w:tc>
      </w:tr>
    </w:tbl>
    <w:p>
      <w:pPr>
        <w:spacing w:after="160"/>
      </w:pPr>
    </w:p>
    <w:p>
      <w:r>
        <w:t xml:space="preserve">Infrastructure is Terraform (or OpenTofu) composed with Terragrunt per account and region; a new cell is a pull request. Kubernetes delivery is Helm, Argo CD and Argo Rollouts. Database changes follow expand, migrate, contract. Images are signed (cosign), carry SBOMs (Syft) and are admitted by Kyverno policy only if signed.</w:t>
      </w:r>
    </w:p>
    <w:p>
      <w:pPr>
        <w:pStyle w:val="Heading2"/>
      </w:pPr>
      <w:bookmarkStart w:id="8058" w:name="_Toc900058"/>
      <w:r>
        <w:t xml:space="preserve">13.4 Observability</w:t>
      </w:r>
      <w:bookmarkEnd w:id="8058"/>
    </w:p>
    <w:p>
      <w:pPr>
        <w:pStyle w:val="ListParagraph"/>
        <w:numPr>
          <w:ilvl w:val="0"/>
          <w:numId w:val="2"/>
        </w:numPr>
        <w:spacing w:after="60"/>
      </w:pPr>
      <w:r>
        <w:rPr>
          <w:b/>
          <w:bCs/>
        </w:rPr>
        <w:t xml:space="preserve">Launch:</w:t>
      </w:r>
      <w:r>
        <w:t xml:space="preserve"> OpenTelemetry (ADOT collector) → Amazon Managed Prometheus and Managed Grafana; logs in CloudWatch; traces in X-Ray; errors in Sentry with scrubbing. Everything stays in-region except scrubbed error events.</w:t>
      </w:r>
    </w:p>
    <w:p>
      <w:pPr>
        <w:pStyle w:val="ListParagraph"/>
        <w:numPr>
          <w:ilvl w:val="0"/>
          <w:numId w:val="2"/>
        </w:numPr>
        <w:spacing w:after="60"/>
      </w:pPr>
      <w:r>
        <w:rPr>
          <w:b/>
          <w:bCs/>
        </w:rPr>
        <w:t xml:space="preserve">Tenant ID goes in traces and logs, not metric labels.</w:t>
      </w:r>
      <w:r>
        <w:t xml:space="preserve"> Per-tenant SLO series are aggregated separately, and per-tenant metric detail is limited to the top tenants by traffic, keeping metric cardinality bounded.</w:t>
      </w:r>
    </w:p>
    <w:p>
      <w:pPr>
        <w:pStyle w:val="ListParagraph"/>
        <w:numPr>
          <w:ilvl w:val="0"/>
          <w:numId w:val="2"/>
        </w:numPr>
        <w:spacing w:after="60"/>
      </w:pPr>
      <w:r>
        <w:rPr>
          <w:b/>
          <w:bCs/>
        </w:rPr>
        <w:t xml:space="preserve">SLOs</w:t>
      </w:r>
      <w:r>
        <w:t xml:space="preserve"> per journey (sign-in, search, leave apply and approve, punch ingestion, API reads and writes, webhook delivery, month close) with burn-rate alerts.</w:t>
      </w:r>
    </w:p>
    <w:p>
      <w:pPr>
        <w:pStyle w:val="ListParagraph"/>
        <w:numPr>
          <w:ilvl w:val="0"/>
          <w:numId w:val="2"/>
        </w:numPr>
        <w:spacing w:after="60"/>
      </w:pPr>
      <w:r>
        <w:t xml:space="preserve">On-call and incidents through PagerDuty or incident.io, with a public status page per region and product.</w:t>
      </w:r>
    </w:p>
    <w:p>
      <w:pPr>
        <w:pStyle w:val="Heading2"/>
      </w:pPr>
      <w:bookmarkStart w:id="8059" w:name="_Toc900059"/>
      <w:r>
        <w:t xml:space="preserve">13.5 Disaster recovery</w:t>
      </w:r>
      <w:bookmarkEnd w:id="8059"/>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826"/>
        <w:gridCol w:w="2029"/>
        <w:gridCol w:w="913"/>
        <w:gridCol w:w="913"/>
        <w:gridCol w:w="3957"/>
      </w:tblGrid>
      <w:tr>
        <w:trPr>
          <w:cantSplit/>
          <w:tblHeader/>
        </w:trPr>
        <w:tc>
          <w:tcPr>
            <w:tcW w:type="dxa" w:w="182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Tier</w:t>
            </w:r>
          </w:p>
        </w:tc>
        <w:tc>
          <w:tcPr>
            <w:tcW w:type="dxa" w:w="202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Scope</w:t>
            </w:r>
          </w:p>
        </w:tc>
        <w:tc>
          <w:tcPr>
            <w:tcW w:type="dxa" w:w="91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RPO</w:t>
            </w:r>
          </w:p>
        </w:tc>
        <w:tc>
          <w:tcPr>
            <w:tcW w:type="dxa" w:w="91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RTO</w:t>
            </w:r>
          </w:p>
        </w:tc>
        <w:tc>
          <w:tcPr>
            <w:tcW w:type="dxa" w:w="395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How</w:t>
            </w:r>
          </w:p>
        </w:tc>
      </w:tr>
      <w:tr>
        <w:trPr>
          <w:cantSplit/>
          <w:tblHeader w:val="false"/>
        </w:trPr>
        <w:tc>
          <w:tcPr>
            <w:tcW w:type="dxa" w:w="1826"/>
            <w:tcMar>
              <w:top w:type="dxa" w:w="70"/>
              <w:left w:type="dxa" w:w="100"/>
              <w:bottom w:type="dxa" w:w="70"/>
              <w:right w:type="dxa" w:w="100"/>
            </w:tcMar>
            <w:vAlign w:val="top"/>
          </w:tcPr>
          <w:p>
            <w:pPr>
              <w:spacing w:after="0" w:line="252" w:lineRule="auto"/>
            </w:pPr>
            <w:r>
              <w:rPr>
                <w:b/>
                <w:bCs/>
                <w:color w:val="16222A"/>
                <w:sz w:val="18"/>
                <w:szCs w:val="18"/>
              </w:rPr>
              <w:t xml:space="preserve">Standard</w:t>
            </w:r>
          </w:p>
        </w:tc>
        <w:tc>
          <w:tcPr>
            <w:tcW w:type="dxa" w:w="2029"/>
            <w:tcMar>
              <w:top w:type="dxa" w:w="70"/>
              <w:left w:type="dxa" w:w="100"/>
              <w:bottom w:type="dxa" w:w="70"/>
              <w:right w:type="dxa" w:w="100"/>
            </w:tcMar>
            <w:vAlign w:val="top"/>
          </w:tcPr>
          <w:p>
            <w:pPr>
              <w:spacing w:after="0" w:line="252" w:lineRule="auto"/>
            </w:pPr>
            <w:r>
              <w:rPr>
                <w:sz w:val="18"/>
                <w:szCs w:val="18"/>
              </w:rPr>
              <w:t xml:space="preserve">Pooled cells</w:t>
            </w:r>
          </w:p>
        </w:tc>
        <w:tc>
          <w:tcPr>
            <w:tcW w:type="dxa" w:w="913"/>
            <w:tcMar>
              <w:top w:type="dxa" w:w="70"/>
              <w:left w:type="dxa" w:w="100"/>
              <w:bottom w:type="dxa" w:w="70"/>
              <w:right w:type="dxa" w:w="100"/>
            </w:tcMar>
            <w:vAlign w:val="top"/>
          </w:tcPr>
          <w:p>
            <w:pPr>
              <w:spacing w:after="0" w:line="252" w:lineRule="auto"/>
            </w:pPr>
            <w:r>
              <w:rPr>
                <w:sz w:val="18"/>
                <w:szCs w:val="18"/>
              </w:rPr>
              <w:t xml:space="preserve">≤ 5 min</w:t>
            </w:r>
          </w:p>
        </w:tc>
        <w:tc>
          <w:tcPr>
            <w:tcW w:type="dxa" w:w="913"/>
            <w:tcMar>
              <w:top w:type="dxa" w:w="70"/>
              <w:left w:type="dxa" w:w="100"/>
              <w:bottom w:type="dxa" w:w="70"/>
              <w:right w:type="dxa" w:w="100"/>
            </w:tcMar>
            <w:vAlign w:val="top"/>
          </w:tcPr>
          <w:p>
            <w:pPr>
              <w:spacing w:after="0" w:line="252" w:lineRule="auto"/>
            </w:pPr>
            <w:r>
              <w:rPr>
                <w:sz w:val="18"/>
                <w:szCs w:val="18"/>
              </w:rPr>
              <w:t xml:space="preserve">≤ 4 h</w:t>
            </w:r>
          </w:p>
        </w:tc>
        <w:tc>
          <w:tcPr>
            <w:tcW w:type="dxa" w:w="3957"/>
            <w:tcMar>
              <w:top w:type="dxa" w:w="70"/>
              <w:left w:type="dxa" w:w="100"/>
              <w:bottom w:type="dxa" w:w="70"/>
              <w:right w:type="dxa" w:w="100"/>
            </w:tcMar>
            <w:vAlign w:val="top"/>
          </w:tcPr>
          <w:p>
            <w:pPr>
              <w:spacing w:after="0" w:line="252" w:lineRule="auto"/>
            </w:pPr>
            <w:r>
              <w:rPr>
                <w:sz w:val="18"/>
                <w:szCs w:val="18"/>
              </w:rPr>
              <w:t xml:space="preserve">Aurora Global headless secondary; S3 replication; EKS pilot light; runbook rebuild by IaC</w:t>
            </w:r>
          </w:p>
        </w:tc>
      </w:tr>
      <w:tr>
        <w:trPr>
          <w:cantSplit/>
          <w:tblHeader w:val="false"/>
        </w:trPr>
        <w:tc>
          <w:tcPr>
            <w:tcW w:type="dxa" w:w="1826"/>
            <w:tcMar>
              <w:top w:type="dxa" w:w="70"/>
              <w:left w:type="dxa" w:w="100"/>
              <w:bottom w:type="dxa" w:w="70"/>
              <w:right w:type="dxa" w:w="100"/>
            </w:tcMar>
            <w:vAlign w:val="top"/>
          </w:tcPr>
          <w:p>
            <w:pPr>
              <w:spacing w:after="0" w:line="252" w:lineRule="auto"/>
            </w:pPr>
            <w:r>
              <w:rPr>
                <w:b/>
                <w:bCs/>
                <w:color w:val="16222A"/>
                <w:sz w:val="18"/>
                <w:szCs w:val="18"/>
              </w:rPr>
              <w:t xml:space="preserve">Regional tier</w:t>
            </w:r>
          </w:p>
        </w:tc>
        <w:tc>
          <w:tcPr>
            <w:tcW w:type="dxa" w:w="2029"/>
            <w:tcMar>
              <w:top w:type="dxa" w:w="70"/>
              <w:left w:type="dxa" w:w="100"/>
              <w:bottom w:type="dxa" w:w="70"/>
              <w:right w:type="dxa" w:w="100"/>
            </w:tcMar>
            <w:vAlign w:val="top"/>
          </w:tcPr>
          <w:p>
            <w:pPr>
              <w:spacing w:after="0" w:line="252" w:lineRule="auto"/>
            </w:pPr>
            <w:r>
              <w:rPr>
                <w:sz w:val="18"/>
                <w:szCs w:val="18"/>
              </w:rPr>
              <w:t xml:space="preserve">Control plane, identity, gateway</w:t>
            </w:r>
          </w:p>
        </w:tc>
        <w:tc>
          <w:tcPr>
            <w:tcW w:type="dxa" w:w="913"/>
            <w:tcMar>
              <w:top w:type="dxa" w:w="70"/>
              <w:left w:type="dxa" w:w="100"/>
              <w:bottom w:type="dxa" w:w="70"/>
              <w:right w:type="dxa" w:w="100"/>
            </w:tcMar>
            <w:vAlign w:val="top"/>
          </w:tcPr>
          <w:p>
            <w:pPr>
              <w:spacing w:after="0" w:line="252" w:lineRule="auto"/>
            </w:pPr>
            <w:r>
              <w:rPr>
                <w:sz w:val="18"/>
                <w:szCs w:val="18"/>
              </w:rPr>
              <w:t xml:space="preserve">≤ 1 min</w:t>
            </w:r>
          </w:p>
        </w:tc>
        <w:tc>
          <w:tcPr>
            <w:tcW w:type="dxa" w:w="913"/>
            <w:tcMar>
              <w:top w:type="dxa" w:w="70"/>
              <w:left w:type="dxa" w:w="100"/>
              <w:bottom w:type="dxa" w:w="70"/>
              <w:right w:type="dxa" w:w="100"/>
            </w:tcMar>
            <w:vAlign w:val="top"/>
          </w:tcPr>
          <w:p>
            <w:pPr>
              <w:spacing w:after="0" w:line="252" w:lineRule="auto"/>
            </w:pPr>
            <w:r>
              <w:rPr>
                <w:sz w:val="18"/>
                <w:szCs w:val="18"/>
              </w:rPr>
              <w:t xml:space="preserve">≤ 30 min</w:t>
            </w:r>
          </w:p>
        </w:tc>
        <w:tc>
          <w:tcPr>
            <w:tcW w:type="dxa" w:w="3957"/>
            <w:tcMar>
              <w:top w:type="dxa" w:w="70"/>
              <w:left w:type="dxa" w:w="100"/>
              <w:bottom w:type="dxa" w:w="70"/>
              <w:right w:type="dxa" w:w="100"/>
            </w:tcMar>
            <w:vAlign w:val="top"/>
          </w:tcPr>
          <w:p>
            <w:pPr>
              <w:spacing w:after="0" w:line="252" w:lineRule="auto"/>
            </w:pPr>
            <w:r>
              <w:rPr>
                <w:sz w:val="18"/>
                <w:szCs w:val="18"/>
              </w:rPr>
              <w:t xml:space="preserve">Warm standby in Hyderabad from API GA (Phase 2)</w:t>
            </w:r>
          </w:p>
        </w:tc>
      </w:tr>
      <w:tr>
        <w:trPr>
          <w:cantSplit/>
          <w:tblHeader w:val="false"/>
        </w:trPr>
        <w:tc>
          <w:tcPr>
            <w:tcW w:type="dxa" w:w="1826"/>
            <w:tcMar>
              <w:top w:type="dxa" w:w="70"/>
              <w:left w:type="dxa" w:w="100"/>
              <w:bottom w:type="dxa" w:w="70"/>
              <w:right w:type="dxa" w:w="100"/>
            </w:tcMar>
            <w:vAlign w:val="top"/>
          </w:tcPr>
          <w:p>
            <w:pPr>
              <w:spacing w:after="0" w:line="252" w:lineRule="auto"/>
            </w:pPr>
            <w:r>
              <w:rPr>
                <w:b/>
                <w:bCs/>
                <w:color w:val="16222A"/>
                <w:sz w:val="18"/>
                <w:szCs w:val="18"/>
              </w:rPr>
              <w:t xml:space="preserve">Enterprise (optional, priced)</w:t>
            </w:r>
          </w:p>
        </w:tc>
        <w:tc>
          <w:tcPr>
            <w:tcW w:type="dxa" w:w="2029"/>
            <w:tcMar>
              <w:top w:type="dxa" w:w="70"/>
              <w:left w:type="dxa" w:w="100"/>
              <w:bottom w:type="dxa" w:w="70"/>
              <w:right w:type="dxa" w:w="100"/>
            </w:tcMar>
            <w:vAlign w:val="top"/>
          </w:tcPr>
          <w:p>
            <w:pPr>
              <w:spacing w:after="0" w:line="252" w:lineRule="auto"/>
            </w:pPr>
            <w:r>
              <w:rPr>
                <w:sz w:val="18"/>
                <w:szCs w:val="18"/>
              </w:rPr>
              <w:t xml:space="preserve">Dedicated cells</w:t>
            </w:r>
          </w:p>
        </w:tc>
        <w:tc>
          <w:tcPr>
            <w:tcW w:type="dxa" w:w="913"/>
            <w:tcMar>
              <w:top w:type="dxa" w:w="70"/>
              <w:left w:type="dxa" w:w="100"/>
              <w:bottom w:type="dxa" w:w="70"/>
              <w:right w:type="dxa" w:w="100"/>
            </w:tcMar>
            <w:vAlign w:val="top"/>
          </w:tcPr>
          <w:p>
            <w:pPr>
              <w:spacing w:after="0" w:line="252" w:lineRule="auto"/>
            </w:pPr>
            <w:r>
              <w:rPr>
                <w:sz w:val="18"/>
                <w:szCs w:val="18"/>
              </w:rPr>
              <w:t xml:space="preserve">≤ 1 min</w:t>
            </w:r>
          </w:p>
        </w:tc>
        <w:tc>
          <w:tcPr>
            <w:tcW w:type="dxa" w:w="913"/>
            <w:tcMar>
              <w:top w:type="dxa" w:w="70"/>
              <w:left w:type="dxa" w:w="100"/>
              <w:bottom w:type="dxa" w:w="70"/>
              <w:right w:type="dxa" w:w="100"/>
            </w:tcMar>
            <w:vAlign w:val="top"/>
          </w:tcPr>
          <w:p>
            <w:pPr>
              <w:spacing w:after="0" w:line="252" w:lineRule="auto"/>
            </w:pPr>
            <w:r>
              <w:rPr>
                <w:sz w:val="18"/>
                <w:szCs w:val="18"/>
              </w:rPr>
              <w:t xml:space="preserve">≤ 1 h</w:t>
            </w:r>
          </w:p>
        </w:tc>
        <w:tc>
          <w:tcPr>
            <w:tcW w:type="dxa" w:w="3957"/>
            <w:tcMar>
              <w:top w:type="dxa" w:w="70"/>
              <w:left w:type="dxa" w:w="100"/>
              <w:bottom w:type="dxa" w:w="70"/>
              <w:right w:type="dxa" w:w="100"/>
            </w:tcMar>
            <w:vAlign w:val="top"/>
          </w:tcPr>
          <w:p>
            <w:pPr>
              <w:spacing w:after="0" w:line="252" w:lineRule="auto"/>
            </w:pPr>
            <w:r>
              <w:rPr>
                <w:sz w:val="18"/>
                <w:szCs w:val="18"/>
              </w:rPr>
              <w:t xml:space="preserve">Warm standby cell</w:t>
            </w:r>
          </w:p>
        </w:tc>
      </w:tr>
      <w:tr>
        <w:trPr>
          <w:cantSplit/>
          <w:tblHeader w:val="false"/>
        </w:trPr>
        <w:tc>
          <w:tcPr>
            <w:tcW w:type="dxa" w:w="1826"/>
            <w:tcMar>
              <w:top w:type="dxa" w:w="70"/>
              <w:left w:type="dxa" w:w="100"/>
              <w:bottom w:type="dxa" w:w="70"/>
              <w:right w:type="dxa" w:w="100"/>
            </w:tcMar>
            <w:vAlign w:val="top"/>
          </w:tcPr>
          <w:p>
            <w:pPr>
              <w:spacing w:after="0" w:line="252" w:lineRule="auto"/>
            </w:pPr>
            <w:r>
              <w:rPr>
                <w:b/>
                <w:bCs/>
                <w:color w:val="16222A"/>
                <w:sz w:val="18"/>
                <w:szCs w:val="18"/>
              </w:rPr>
              <w:t xml:space="preserve">Derived stores</w:t>
            </w:r>
          </w:p>
        </w:tc>
        <w:tc>
          <w:tcPr>
            <w:tcW w:type="dxa" w:w="2029"/>
            <w:tcMar>
              <w:top w:type="dxa" w:w="70"/>
              <w:left w:type="dxa" w:w="100"/>
              <w:bottom w:type="dxa" w:w="70"/>
              <w:right w:type="dxa" w:w="100"/>
            </w:tcMar>
            <w:vAlign w:val="top"/>
          </w:tcPr>
          <w:p>
            <w:pPr>
              <w:spacing w:after="0" w:line="252" w:lineRule="auto"/>
            </w:pPr>
            <w:r>
              <w:rPr>
                <w:sz w:val="18"/>
                <w:szCs w:val="18"/>
              </w:rPr>
              <w:t xml:space="preserve">Search, analytics</w:t>
            </w:r>
          </w:p>
        </w:tc>
        <w:tc>
          <w:tcPr>
            <w:tcW w:type="dxa" w:w="913"/>
            <w:tcMar>
              <w:top w:type="dxa" w:w="70"/>
              <w:left w:type="dxa" w:w="100"/>
              <w:bottom w:type="dxa" w:w="70"/>
              <w:right w:type="dxa" w:w="100"/>
            </w:tcMar>
            <w:vAlign w:val="top"/>
          </w:tcPr>
          <w:p>
            <w:pPr>
              <w:spacing w:after="0" w:line="252" w:lineRule="auto"/>
            </w:pPr>
            <w:r>
              <w:rPr>
                <w:sz w:val="18"/>
                <w:szCs w:val="18"/>
              </w:rPr>
              <w:t xml:space="preserve">n/a</w:t>
            </w:r>
          </w:p>
        </w:tc>
        <w:tc>
          <w:tcPr>
            <w:tcW w:type="dxa" w:w="913"/>
            <w:tcMar>
              <w:top w:type="dxa" w:w="70"/>
              <w:left w:type="dxa" w:w="100"/>
              <w:bottom w:type="dxa" w:w="70"/>
              <w:right w:type="dxa" w:w="100"/>
            </w:tcMar>
            <w:vAlign w:val="top"/>
          </w:tcPr>
          <w:p>
            <w:pPr>
              <w:spacing w:after="0" w:line="252" w:lineRule="auto"/>
            </w:pPr>
            <w:r>
              <w:rPr>
                <w:sz w:val="18"/>
                <w:szCs w:val="18"/>
              </w:rPr>
              <w:t xml:space="preserve">≤ 24 h</w:t>
            </w:r>
          </w:p>
        </w:tc>
        <w:tc>
          <w:tcPr>
            <w:tcW w:type="dxa" w:w="3957"/>
            <w:tcMar>
              <w:top w:type="dxa" w:w="70"/>
              <w:left w:type="dxa" w:w="100"/>
              <w:bottom w:type="dxa" w:w="70"/>
              <w:right w:type="dxa" w:w="100"/>
            </w:tcMar>
            <w:vAlign w:val="top"/>
          </w:tcPr>
          <w:p>
            <w:pPr>
              <w:spacing w:after="0" w:line="252" w:lineRule="auto"/>
            </w:pPr>
            <w:r>
              <w:rPr>
                <w:sz w:val="18"/>
                <w:szCs w:val="18"/>
              </w:rPr>
              <w:t xml:space="preserve">Rebuilt from PostgreSQL; degraded service meanwhile</w:t>
            </w:r>
          </w:p>
        </w:tc>
      </w:tr>
    </w:tbl>
    <w:p>
      <w:pPr>
        <w:spacing w:after="160"/>
      </w:pPr>
    </w:p>
    <w:p>
      <w:pPr>
        <w:pBdr>
          <w:top w:val="single" w:color="D9B25F" w:sz="6" w:space="6"/>
          <w:bottom w:val="single" w:color="D9B25F" w:sz="6" w:space="6"/>
        </w:pBdr>
        <w:shd w:fill="FDF3DC" w:color="auto" w:val="clear"/>
        <w:spacing w:after="200" w:before="120"/>
      </w:pPr>
      <w:r>
        <w:rPr>
          <w:b/>
          <w:bCs/>
          <w:color w:val="7A4800"/>
        </w:rPr>
        <w:t xml:space="preserve">Rule.  </w:t>
      </w:r>
      <w:r>
        <w:t xml:space="preserve">No RTO is written into a customer contract until a full regional failover has been rehearsed. Game days: AZ loss every quarter, one tenant restore every quarter, and a regional failover once a year.</w:t>
      </w:r>
    </w:p>
    <w:p>
      <w:pPr>
        <w:pStyle w:val="Heading2"/>
      </w:pPr>
      <w:bookmarkStart w:id="8060" w:name="_Toc900060"/>
      <w:r>
        <w:t xml:space="preserve">13.6 Security and compliance</w:t>
      </w:r>
      <w:bookmarkEnd w:id="8060"/>
    </w:p>
    <w:p>
      <w:pPr>
        <w:keepNext/>
        <w:spacing w:after="80" w:before="120"/>
      </w:pPr>
      <w:r>
        <w:rPr>
          <w:b/>
          <w:bCs/>
          <w:color w:val="4F5E67"/>
          <w:sz w:val="18"/>
          <w:szCs w:val="18"/>
        </w:rPr>
        <w:t xml:space="preserve">Table 13. Threat model summary</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840"/>
        <w:gridCol w:w="6798"/>
      </w:tblGrid>
      <w:tr>
        <w:trPr>
          <w:cantSplit/>
          <w:tblHeader/>
        </w:trPr>
        <w:tc>
          <w:tcPr>
            <w:tcW w:type="dxa" w:w="284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Threat</w:t>
            </w:r>
          </w:p>
        </w:tc>
        <w:tc>
          <w:tcPr>
            <w:tcW w:type="dxa" w:w="679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Controls</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Tenant spoofing or cross-tenant reads</w:t>
            </w:r>
          </w:p>
        </w:tc>
        <w:tc>
          <w:tcPr>
            <w:tcW w:type="dxa" w:w="6798"/>
            <w:tcMar>
              <w:top w:type="dxa" w:w="70"/>
              <w:left w:type="dxa" w:w="100"/>
              <w:bottom w:type="dxa" w:w="70"/>
              <w:right w:type="dxa" w:w="100"/>
            </w:tcMar>
            <w:vAlign w:val="top"/>
          </w:tcPr>
          <w:p>
            <w:pPr>
              <w:spacing w:after="0" w:line="252" w:lineRule="auto"/>
            </w:pPr>
            <w:r>
              <w:rPr>
                <w:sz w:val="18"/>
                <w:szCs w:val="18"/>
              </w:rPr>
              <w:t xml:space="preserve">Tenant from verified token and host; RLS failing loudly; composite keys; leakage suite; isolation-focused penetration tests</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Stolen API credentials</w:t>
            </w:r>
          </w:p>
        </w:tc>
        <w:tc>
          <w:tcPr>
            <w:tcW w:type="dxa" w:w="6798"/>
            <w:tcMar>
              <w:top w:type="dxa" w:w="70"/>
              <w:left w:type="dxa" w:w="100"/>
              <w:bottom w:type="dxa" w:w="70"/>
              <w:right w:type="dxa" w:w="100"/>
            </w:tcMar>
            <w:vAlign w:val="top"/>
          </w:tcPr>
          <w:p>
            <w:pPr>
              <w:spacing w:after="0" w:line="252" w:lineRule="auto"/>
            </w:pPr>
            <w:r>
              <w:rPr>
                <w:sz w:val="18"/>
                <w:szCs w:val="18"/>
              </w:rPr>
              <w:t xml:space="preserve">Short tokens, rotation, IP allowlists, mTLS or </w:t>
            </w:r>
            <w:r>
              <w:rPr>
                <w:rFonts w:ascii="Consolas" w:cs="Consolas" w:eastAsia="Consolas" w:hAnsi="Consolas"/>
                <w:color w:val="0B4F4F"/>
                <w:sz w:val="17"/>
                <w:szCs w:val="17"/>
              </w:rPr>
              <w:t xml:space="preserve">private_key_jwt</w:t>
            </w:r>
            <w:r>
              <w:rPr>
                <w:sz w:val="18"/>
                <w:szCs w:val="18"/>
              </w:rPr>
              <w:t xml:space="preserve">, anomaly alerts per app</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Over-privileged partner apps</w:t>
            </w:r>
          </w:p>
        </w:tc>
        <w:tc>
          <w:tcPr>
            <w:tcW w:type="dxa" w:w="6798"/>
            <w:tcMar>
              <w:top w:type="dxa" w:w="70"/>
              <w:left w:type="dxa" w:w="100"/>
              <w:bottom w:type="dxa" w:w="70"/>
              <w:right w:type="dxa" w:w="100"/>
            </w:tcMar>
            <w:vAlign w:val="top"/>
          </w:tcPr>
          <w:p>
            <w:pPr>
              <w:spacing w:after="0" w:line="252" w:lineRule="auto"/>
            </w:pPr>
            <w:r>
              <w:rPr>
                <w:sz w:val="18"/>
                <w:szCs w:val="18"/>
              </w:rPr>
              <w:t xml:space="preserve">Restricted scopes with admin approval and purpose; installation data scopes; app review; instant revocation</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OTP abuse, proxy punching</w:t>
            </w:r>
          </w:p>
        </w:tc>
        <w:tc>
          <w:tcPr>
            <w:tcW w:type="dxa" w:w="6798"/>
            <w:tcMar>
              <w:top w:type="dxa" w:w="70"/>
              <w:left w:type="dxa" w:w="100"/>
              <w:bottom w:type="dxa" w:w="70"/>
              <w:right w:type="dxa" w:w="100"/>
            </w:tcMar>
            <w:vAlign w:val="top"/>
          </w:tcPr>
          <w:p>
            <w:pPr>
              <w:spacing w:after="0" w:line="252" w:lineRule="auto"/>
            </w:pPr>
            <w:r>
              <w:rPr>
                <w:sz w:val="18"/>
                <w:szCs w:val="18"/>
              </w:rPr>
              <w:t xml:space="preserve">Rate limits, device binding, attestation, geo-fence, selfie option, anomaly reports</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Audit tampering</w:t>
            </w:r>
          </w:p>
        </w:tc>
        <w:tc>
          <w:tcPr>
            <w:tcW w:type="dxa" w:w="6798"/>
            <w:tcMar>
              <w:top w:type="dxa" w:w="70"/>
              <w:left w:type="dxa" w:w="100"/>
              <w:bottom w:type="dxa" w:w="70"/>
              <w:right w:type="dxa" w:w="100"/>
            </w:tcMar>
            <w:vAlign w:val="top"/>
          </w:tcPr>
          <w:p>
            <w:pPr>
              <w:spacing w:after="0" w:line="252" w:lineRule="auto"/>
            </w:pPr>
            <w:r>
              <w:rPr>
                <w:sz w:val="18"/>
                <w:szCs w:val="18"/>
              </w:rPr>
              <w:t xml:space="preserve">Merkle sealing per minute anchored in S3 Object Lock</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Privilege escalation by a tenant admin</w:t>
            </w:r>
          </w:p>
        </w:tc>
        <w:tc>
          <w:tcPr>
            <w:tcW w:type="dxa" w:w="6798"/>
            <w:tcMar>
              <w:top w:type="dxa" w:w="70"/>
              <w:left w:type="dxa" w:w="100"/>
              <w:bottom w:type="dxa" w:w="70"/>
              <w:right w:type="dxa" w:w="100"/>
            </w:tcMar>
            <w:vAlign w:val="top"/>
          </w:tcPr>
          <w:p>
            <w:pPr>
              <w:spacing w:after="0" w:line="252" w:lineRule="auto"/>
            </w:pPr>
            <w:r>
              <w:rPr>
                <w:sz w:val="18"/>
                <w:szCs w:val="18"/>
              </w:rPr>
              <w:t xml:space="preserve">Role changes are approvable actions (maker-checker); alerts; quarterly access reviews</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SSRF, injection, malicious uploads</w:t>
            </w:r>
          </w:p>
        </w:tc>
        <w:tc>
          <w:tcPr>
            <w:tcW w:type="dxa" w:w="6798"/>
            <w:tcMar>
              <w:top w:type="dxa" w:w="70"/>
              <w:left w:type="dxa" w:w="100"/>
              <w:bottom w:type="dxa" w:w="70"/>
              <w:right w:type="dxa" w:w="100"/>
            </w:tcMar>
            <w:vAlign w:val="top"/>
          </w:tcPr>
          <w:p>
            <w:pPr>
              <w:spacing w:after="0" w:line="252" w:lineRule="auto"/>
            </w:pPr>
            <w:r>
              <w:rPr>
                <w:sz w:val="18"/>
                <w:szCs w:val="18"/>
              </w:rPr>
              <w:t xml:space="preserve">Webhook URL controls and egress proxy; logic-less templates; CEL sandbox; quarantine and malware scan</w:t>
            </w:r>
          </w:p>
        </w:tc>
      </w:tr>
      <w:tr>
        <w:trPr>
          <w:cantSplit/>
          <w:tblHeader w:val="false"/>
        </w:trPr>
        <w:tc>
          <w:tcPr>
            <w:tcW w:type="dxa" w:w="2840"/>
            <w:tcMar>
              <w:top w:type="dxa" w:w="70"/>
              <w:left w:type="dxa" w:w="100"/>
              <w:bottom w:type="dxa" w:w="70"/>
              <w:right w:type="dxa" w:w="100"/>
            </w:tcMar>
            <w:vAlign w:val="top"/>
          </w:tcPr>
          <w:p>
            <w:pPr>
              <w:spacing w:after="0" w:line="252" w:lineRule="auto"/>
            </w:pPr>
            <w:r>
              <w:rPr>
                <w:b/>
                <w:bCs/>
                <w:color w:val="16222A"/>
                <w:sz w:val="18"/>
                <w:szCs w:val="18"/>
              </w:rPr>
              <w:t xml:space="preserve">Insider access by our staff</w:t>
            </w:r>
          </w:p>
        </w:tc>
        <w:tc>
          <w:tcPr>
            <w:tcW w:type="dxa" w:w="6798"/>
            <w:tcMar>
              <w:top w:type="dxa" w:w="70"/>
              <w:left w:type="dxa" w:w="100"/>
              <w:bottom w:type="dxa" w:w="70"/>
              <w:right w:type="dxa" w:w="100"/>
            </w:tcMar>
            <w:vAlign w:val="top"/>
          </w:tcPr>
          <w:p>
            <w:pPr>
              <w:spacing w:after="0" w:line="252" w:lineRule="auto"/>
            </w:pPr>
            <w:r>
              <w:rPr>
                <w:sz w:val="18"/>
                <w:szCs w:val="18"/>
              </w:rPr>
              <w:t xml:space="preserve">No standing access; just-in-time, tenant-approved and recorded. </w:t>
            </w:r>
            <w:r>
              <w:rPr>
                <w:b/>
                <w:bCs/>
                <w:sz w:val="18"/>
                <w:szCs w:val="18"/>
              </w:rPr>
              <w:t xml:space="preserve">Break-glass</w:t>
            </w:r>
            <w:r>
              <w:rPr>
                <w:sz w:val="18"/>
                <w:szCs w:val="18"/>
              </w:rPr>
              <w:t xml:space="preserve"> for incidents: two-person approval, automatic tenant notification, post-incident review</w:t>
            </w:r>
          </w:p>
        </w:tc>
      </w:tr>
    </w:tbl>
    <w:p>
      <w:pPr>
        <w:spacing w:after="160"/>
      </w:pPr>
    </w:p>
    <w:p>
      <w:pPr>
        <w:pStyle w:val="ListParagraph"/>
        <w:numPr>
          <w:ilvl w:val="0"/>
          <w:numId w:val="2"/>
        </w:numPr>
        <w:spacing w:after="60"/>
      </w:pPr>
      <w:r>
        <w:rPr>
          <w:b/>
          <w:bCs/>
        </w:rPr>
        <w:t xml:space="preserve">Compliance programme from Phase 1:</w:t>
      </w:r>
      <w:r>
        <w:t xml:space="preserve"> ISO/IEC 27001 with 27701, then SOC 2 Type II. Evidence is collected continuously through Vanta or Drata.</w:t>
      </w:r>
    </w:p>
    <w:p>
      <w:pPr>
        <w:pStyle w:val="ListParagraph"/>
        <w:numPr>
          <w:ilvl w:val="0"/>
          <w:numId w:val="2"/>
        </w:numPr>
        <w:spacing w:after="60"/>
      </w:pPr>
      <w:r>
        <w:rPr>
          <w:b/>
          <w:bCs/>
        </w:rPr>
        <w:t xml:space="preserve">Privacy:</w:t>
      </w:r>
      <w:r>
        <w:t xml:space="preserve"> India's DPDP Act 2023 and Rules. The tenant is the Data Fiduciary and the platform is the Processor. We provide processing records, a DPA template, a breach runbook and data-principal request tooling.</w:t>
      </w:r>
    </w:p>
    <w:p>
      <w:pPr>
        <w:pStyle w:val="ListParagraph"/>
        <w:numPr>
          <w:ilvl w:val="0"/>
          <w:numId w:val="2"/>
        </w:numPr>
        <w:spacing w:after="60"/>
      </w:pPr>
      <w:r>
        <w:rPr>
          <w:b/>
          <w:bCs/>
        </w:rPr>
        <w:t xml:space="preserve">Subprocessor register:</w:t>
      </w:r>
      <w:r>
        <w:t xml:space="preserve"> in-region processing is the default; any service outside India is listed, and self-hosted where a customer contract promises in-country processing.</w:t>
      </w:r>
    </w:p>
    <w:p>
      <w:pPr>
        <w:pStyle w:val="ListParagraph"/>
        <w:numPr>
          <w:ilvl w:val="0"/>
          <w:numId w:val="2"/>
        </w:numPr>
        <w:spacing w:after="60"/>
      </w:pPr>
      <w:r>
        <w:rPr>
          <w:b/>
          <w:bCs/>
        </w:rPr>
        <w:t xml:space="preserve">Testing:</w:t>
      </w:r>
      <w:r>
        <w:t xml:space="preserve"> a penetration test before GA, yearly, and before each major API version; bug bounty after GA.</w:t>
      </w:r>
    </w:p>
    <w:p>
      <w:pPr>
        <w:pStyle w:val="Heading2"/>
      </w:pPr>
      <w:bookmarkStart w:id="8061" w:name="_Toc900061"/>
      <w:r>
        <w:t xml:space="preserve">13.7 Capacity and cost</w:t>
      </w:r>
      <w:bookmarkEnd w:id="8061"/>
    </w:p>
    <w:p>
      <w:pPr>
        <w:pStyle w:val="ListParagraph"/>
        <w:numPr>
          <w:ilvl w:val="0"/>
          <w:numId w:val="2"/>
        </w:numPr>
        <w:spacing w:after="60"/>
      </w:pPr>
      <w:r>
        <w:rPr>
          <w:b/>
          <w:bCs/>
        </w:rPr>
        <w:t xml:space="preserve">The cell is the unit of scale.</w:t>
      </w:r>
      <w:r>
        <w:t xml:space="preserve"> At 70% of its design point, new tenants go to a new cell; large tenants move to dedicated tiers with the mobility tooling.</w:t>
      </w:r>
    </w:p>
    <w:p>
      <w:pPr>
        <w:pStyle w:val="ListParagraph"/>
        <w:numPr>
          <w:ilvl w:val="0"/>
          <w:numId w:val="2"/>
        </w:numPr>
        <w:spacing w:after="60"/>
      </w:pPr>
      <w:r>
        <w:rPr>
          <w:b/>
          <w:bCs/>
        </w:rPr>
        <w:t xml:space="preserve">Watch first:</w:t>
      </w:r>
    </w:p>
    <w:p>
      <w:pPr>
        <w:pStyle w:val="ListParagraph"/>
        <w:numPr>
          <w:ilvl w:val="1"/>
          <w:numId w:val="2"/>
        </w:numPr>
        <w:spacing w:after="60"/>
      </w:pPr>
      <w:r>
        <w:t xml:space="preserve">scoped queries missing composite indexes</w:t>
      </w:r>
    </w:p>
    <w:p>
      <w:pPr>
        <w:pStyle w:val="ListParagraph"/>
        <w:numPr>
          <w:ilvl w:val="1"/>
          <w:numId w:val="2"/>
        </w:numPr>
        <w:spacing w:after="60"/>
      </w:pPr>
      <w:r>
        <w:t xml:space="preserve">recompute storms after bulk corrections</w:t>
      </w:r>
    </w:p>
    <w:p>
      <w:pPr>
        <w:pStyle w:val="ListParagraph"/>
        <w:numPr>
          <w:ilvl w:val="1"/>
          <w:numId w:val="2"/>
        </w:numPr>
        <w:spacing w:after="60"/>
      </w:pPr>
      <w:r>
        <w:t xml:space="preserve">Aurora writer IOPS at month end (use I/O-Optimized for busy cells)</w:t>
      </w:r>
    </w:p>
    <w:p>
      <w:pPr>
        <w:pStyle w:val="ListParagraph"/>
        <w:numPr>
          <w:ilvl w:val="1"/>
          <w:numId w:val="2"/>
        </w:numPr>
        <w:spacing w:after="60"/>
      </w:pPr>
      <w:r>
        <w:t xml:space="preserve">slow webhook receivers (one queue per endpoint)</w:t>
      </w:r>
    </w:p>
    <w:p>
      <w:pPr>
        <w:pStyle w:val="ListParagraph"/>
        <w:numPr>
          <w:ilvl w:val="0"/>
          <w:numId w:val="2"/>
        </w:numPr>
        <w:spacing w:after="60"/>
      </w:pPr>
      <w:r>
        <w:rPr>
          <w:b/>
          <w:bCs/>
        </w:rPr>
        <w:t xml:space="preserve">Cost levers:</w:t>
      </w:r>
      <w:r>
        <w:t xml:space="preserve"> Graviton instances, Savings Plans once base load is known, S3 lifecycle and Intelligent-Tiering, triggers instead of always-on services, and development environments shut down out of hours.</w:t>
      </w:r>
    </w:p>
    <w:p>
      <w:pPr>
        <w:pStyle w:val="ListParagraph"/>
        <w:numPr>
          <w:ilvl w:val="0"/>
          <w:numId w:val="2"/>
        </w:numPr>
        <w:spacing w:after="60"/>
      </w:pPr>
      <w:r>
        <w:t xml:space="preserve">A costed bill of materials needs the sizing numbers in D15. Build it per cell size with AWS Pricing Calculator, then derive unit economics per active employee.</w:t>
      </w:r>
    </w:p>
    <w:p>
      <w:pPr>
        <w:sectPr>
          <w:headerReference w:type="default" r:id="rId27"/>
          <w:footerReference w:type="default" r:id="rId28"/>
          <w:pgSz w:w="11906" w:h="16838" w:orient="portrait"/>
          <w:pgMar w:top="1134" w:right="1134" w:bottom="1134" w:left="1134" w:header="567" w:footer="567" w:gutter="0"/>
          <w:pgNumType/>
          <w:docGrid w:linePitch="360"/>
        </w:sectPr>
      </w:pPr>
    </w:p>
    <w:p>
      <w:pPr>
        <w:pStyle w:val="Heading1"/>
      </w:pPr>
      <w:bookmarkStart w:id="8062" w:name="_Toc900062"/>
      <w:r>
        <w:t xml:space="preserve">14. Technology stack</w:t>
      </w:r>
      <w:bookmarkEnd w:id="8062"/>
    </w:p>
    <w:p>
      <w:r>
        <w:t xml:space="preserve">The stack to use. </w:t>
      </w:r>
      <w:r>
        <w:rPr>
          <w:b/>
          <w:bCs/>
        </w:rPr>
        <w:t xml:space="preserve">Launch</w:t>
      </w:r>
      <w:r>
        <w:t xml:space="preserve"> means from Phase 0; </w:t>
      </w:r>
      <w:r>
        <w:rPr>
          <w:b/>
          <w:bCs/>
        </w:rPr>
        <w:t xml:space="preserve">Trigger</w:t>
      </w:r>
      <w:r>
        <w:t xml:space="preserve"> means added only when the trigger in section 4.3 is met. Types: OSS = open source we run; Managed = AWS or SaaS service; Licence = paid product.</w:t>
      </w:r>
    </w:p>
    <w:p>
      <w:pPr>
        <w:keepNext/>
        <w:spacing w:after="80" w:before="120"/>
      </w:pPr>
      <w:r>
        <w:rPr>
          <w:b/>
          <w:bCs/>
          <w:color w:val="4F5E67"/>
          <w:sz w:val="18"/>
          <w:szCs w:val="18"/>
        </w:rPr>
        <w:t xml:space="preserve">Table 14. Technology stack</w:t>
      </w:r>
    </w:p>
    <w:tbl>
      <w:tblPr>
        <w:tblW w:type="dxa" w:w="14570"/>
        <w:tblBorders>
          <w:top w:val="single" w:color="C9D3D8" w:sz="4"/>
          <w:left w:val="single" w:color="C9D3D8" w:sz="4"/>
          <w:bottom w:val="single" w:color="C9D3D8" w:sz="4"/>
          <w:right w:val="single" w:color="C9D3D8" w:sz="4"/>
          <w:insideH w:val="single" w:color="C9D3D8" w:sz="4"/>
          <w:insideV w:val="single" w:color="C9D3D8" w:sz="4"/>
        </w:tblBorders>
      </w:tblPr>
      <w:tblGrid>
        <w:gridCol w:w="1942"/>
        <w:gridCol w:w="4006"/>
        <w:gridCol w:w="1335"/>
        <w:gridCol w:w="2549"/>
        <w:gridCol w:w="3521"/>
        <w:gridCol w:w="1217"/>
      </w:tblGrid>
      <w:tr>
        <w:trPr>
          <w:cantSplit/>
          <w:tblHeader/>
        </w:trPr>
        <w:tc>
          <w:tcPr>
            <w:tcW w:type="dxa" w:w="1942"/>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Layer</w:t>
            </w:r>
          </w:p>
        </w:tc>
        <w:tc>
          <w:tcPr>
            <w:tcW w:type="dxa" w:w="400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Use</w:t>
            </w:r>
          </w:p>
        </w:tc>
        <w:tc>
          <w:tcPr>
            <w:tcW w:type="dxa" w:w="133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When</w:t>
            </w:r>
          </w:p>
        </w:tc>
        <w:tc>
          <w:tcPr>
            <w:tcW w:type="dxa" w:w="254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Alternatives considered</w:t>
            </w:r>
          </w:p>
        </w:tc>
        <w:tc>
          <w:tcPr>
            <w:tcW w:type="dxa" w:w="352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Why this choice</w:t>
            </w:r>
          </w:p>
        </w:tc>
        <w:tc>
          <w:tcPr>
            <w:tcW w:type="dxa" w:w="121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Type</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Cloud and regions</w:t>
            </w:r>
          </w:p>
        </w:tc>
        <w:tc>
          <w:tcPr>
            <w:tcW w:type="dxa" w:w="4006"/>
            <w:tcMar>
              <w:top w:type="dxa" w:w="70"/>
              <w:left w:type="dxa" w:w="100"/>
              <w:bottom w:type="dxa" w:w="70"/>
              <w:right w:type="dxa" w:w="100"/>
            </w:tcMar>
            <w:vAlign w:val="top"/>
          </w:tcPr>
          <w:p>
            <w:pPr>
              <w:spacing w:after="0" w:line="252" w:lineRule="auto"/>
            </w:pPr>
            <w:r>
              <w:rPr>
                <w:sz w:val="18"/>
                <w:szCs w:val="18"/>
              </w:rPr>
              <w:t xml:space="preserve">AWS ap-south-1 Mumbai; DR ap-south-2 Hyderabad</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Azure (Pune, Chennai), GCP (Mumbai, Delhi)</w:t>
            </w:r>
          </w:p>
        </w:tc>
        <w:tc>
          <w:tcPr>
            <w:tcW w:type="dxa" w:w="3521"/>
            <w:tcMar>
              <w:top w:type="dxa" w:w="70"/>
              <w:left w:type="dxa" w:w="100"/>
              <w:bottom w:type="dxa" w:w="70"/>
              <w:right w:type="dxa" w:w="100"/>
            </w:tcMar>
            <w:vAlign w:val="top"/>
          </w:tcPr>
          <w:p>
            <w:pPr>
              <w:spacing w:after="0" w:line="252" w:lineRule="auto"/>
            </w:pPr>
            <w:r>
              <w:rPr>
                <w:sz w:val="18"/>
                <w:szCs w:val="18"/>
              </w:rPr>
              <w:t xml:space="preserve">Two Indian regions; broadest managed services; Marketplace</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Containers</w:t>
            </w:r>
          </w:p>
        </w:tc>
        <w:tc>
          <w:tcPr>
            <w:tcW w:type="dxa" w:w="4006"/>
            <w:tcMar>
              <w:top w:type="dxa" w:w="70"/>
              <w:left w:type="dxa" w:w="100"/>
              <w:bottom w:type="dxa" w:w="70"/>
              <w:right w:type="dxa" w:w="100"/>
            </w:tcMar>
            <w:vAlign w:val="top"/>
          </w:tcPr>
          <w:p>
            <w:pPr>
              <w:spacing w:after="0" w:line="252" w:lineRule="auto"/>
            </w:pPr>
            <w:r>
              <w:rPr>
                <w:sz w:val="18"/>
                <w:szCs w:val="18"/>
              </w:rPr>
              <w:t xml:space="preserve">Amazon EKS + Karpenter on Graviton</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ECS Fargate, AKS, GKE</w:t>
            </w:r>
          </w:p>
        </w:tc>
        <w:tc>
          <w:tcPr>
            <w:tcW w:type="dxa" w:w="3521"/>
            <w:tcMar>
              <w:top w:type="dxa" w:w="70"/>
              <w:left w:type="dxa" w:w="100"/>
              <w:bottom w:type="dxa" w:w="70"/>
              <w:right w:type="dxa" w:w="100"/>
            </w:tcMar>
            <w:vAlign w:val="top"/>
          </w:tcPr>
          <w:p>
            <w:pPr>
              <w:spacing w:after="0" w:line="252" w:lineRule="auto"/>
            </w:pPr>
            <w:r>
              <w:rPr>
                <w:sz w:val="18"/>
                <w:szCs w:val="18"/>
              </w:rPr>
              <w:t xml:space="preserve">Kubernetes keeps dedicated and private cells portable</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Backend</w:t>
            </w:r>
          </w:p>
        </w:tc>
        <w:tc>
          <w:tcPr>
            <w:tcW w:type="dxa" w:w="4006"/>
            <w:tcMar>
              <w:top w:type="dxa" w:w="70"/>
              <w:left w:type="dxa" w:w="100"/>
              <w:bottom w:type="dxa" w:w="70"/>
              <w:right w:type="dxa" w:w="100"/>
            </w:tcMar>
            <w:vAlign w:val="top"/>
          </w:tcPr>
          <w:p>
            <w:pPr>
              <w:spacing w:after="0" w:line="252" w:lineRule="auto"/>
            </w:pPr>
            <w:r>
              <w:rPr>
                <w:sz w:val="18"/>
                <w:szCs w:val="18"/>
              </w:rPr>
              <w:t xml:space="preserve">Java 21 LTS, Spring Boot (current line), Spring Modulith</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Kotlin; .NET with ABP; TypeScript/NestJS</w:t>
            </w:r>
          </w:p>
        </w:tc>
        <w:tc>
          <w:tcPr>
            <w:tcW w:type="dxa" w:w="3521"/>
            <w:tcMar>
              <w:top w:type="dxa" w:w="70"/>
              <w:left w:type="dxa" w:w="100"/>
              <w:bottom w:type="dxa" w:w="70"/>
              <w:right w:type="dxa" w:w="100"/>
            </w:tcMar>
            <w:vAlign w:val="top"/>
          </w:tcPr>
          <w:p>
            <w:pPr>
              <w:spacing w:after="0" w:line="252" w:lineRule="auto"/>
            </w:pPr>
            <w:r>
              <w:rPr>
                <w:sz w:val="18"/>
                <w:szCs w:val="18"/>
              </w:rPr>
              <w:t xml:space="preserve">Complex domain, verified module boundaries, mature libraries, hiring pool in India</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Persistence</w:t>
            </w:r>
          </w:p>
        </w:tc>
        <w:tc>
          <w:tcPr>
            <w:tcW w:type="dxa" w:w="4006"/>
            <w:tcMar>
              <w:top w:type="dxa" w:w="70"/>
              <w:left w:type="dxa" w:w="100"/>
              <w:bottom w:type="dxa" w:w="70"/>
              <w:right w:type="dxa" w:w="100"/>
            </w:tcMar>
            <w:vAlign w:val="top"/>
          </w:tcPr>
          <w:p>
            <w:pPr>
              <w:spacing w:after="0" w:line="252" w:lineRule="auto"/>
            </w:pPr>
            <w:r>
              <w:rPr>
                <w:sz w:val="18"/>
                <w:szCs w:val="18"/>
              </w:rPr>
              <w:t xml:space="preserve">Spring Data JPA (Hibernate 6), jOOQ, Flyway</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MyBatis, Liquibase</w:t>
            </w:r>
          </w:p>
        </w:tc>
        <w:tc>
          <w:tcPr>
            <w:tcW w:type="dxa" w:w="3521"/>
            <w:tcMar>
              <w:top w:type="dxa" w:w="70"/>
              <w:left w:type="dxa" w:w="100"/>
              <w:bottom w:type="dxa" w:w="70"/>
              <w:right w:type="dxa" w:w="100"/>
            </w:tcMar>
            <w:vAlign w:val="top"/>
          </w:tcPr>
          <w:p>
            <w:pPr>
              <w:spacing w:after="0" w:line="252" w:lineRule="auto"/>
            </w:pPr>
            <w:r>
              <w:rPr>
                <w:sz w:val="18"/>
                <w:szCs w:val="18"/>
              </w:rPr>
              <w:t xml:space="preserve">Aggregates in JPA; temporal and reporting SQL in jOOQ</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Database</w:t>
            </w:r>
          </w:p>
        </w:tc>
        <w:tc>
          <w:tcPr>
            <w:tcW w:type="dxa" w:w="4006"/>
            <w:tcMar>
              <w:top w:type="dxa" w:w="70"/>
              <w:left w:type="dxa" w:w="100"/>
              <w:bottom w:type="dxa" w:w="70"/>
              <w:right w:type="dxa" w:w="100"/>
            </w:tcMar>
            <w:vAlign w:val="top"/>
          </w:tcPr>
          <w:p>
            <w:pPr>
              <w:spacing w:after="0" w:line="252" w:lineRule="auto"/>
            </w:pPr>
            <w:r>
              <w:rPr>
                <w:sz w:val="18"/>
                <w:szCs w:val="18"/>
              </w:rPr>
              <w:t xml:space="preserve">Aurora PostgreSQL 16+ (Multi-AZ), RLS; PgBouncer (transaction mode)</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RDS PostgreSQL, AlloyDB</w:t>
            </w:r>
          </w:p>
        </w:tc>
        <w:tc>
          <w:tcPr>
            <w:tcW w:type="dxa" w:w="3521"/>
            <w:tcMar>
              <w:top w:type="dxa" w:w="70"/>
              <w:left w:type="dxa" w:w="100"/>
              <w:bottom w:type="dxa" w:w="70"/>
              <w:right w:type="dxa" w:w="100"/>
            </w:tcMar>
            <w:vAlign w:val="top"/>
          </w:tcPr>
          <w:p>
            <w:pPr>
              <w:spacing w:after="0" w:line="252" w:lineRule="auto"/>
            </w:pPr>
            <w:r>
              <w:rPr>
                <w:sz w:val="18"/>
                <w:szCs w:val="18"/>
              </w:rPr>
              <w:t xml:space="preserve">RLS, exclusion constraints, JSONB, Global Database</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Cache</w:t>
            </w:r>
          </w:p>
        </w:tc>
        <w:tc>
          <w:tcPr>
            <w:tcW w:type="dxa" w:w="4006"/>
            <w:tcMar>
              <w:top w:type="dxa" w:w="70"/>
              <w:left w:type="dxa" w:w="100"/>
              <w:bottom w:type="dxa" w:w="70"/>
              <w:right w:type="dxa" w:w="100"/>
            </w:tcMar>
            <w:vAlign w:val="top"/>
          </w:tcPr>
          <w:p>
            <w:pPr>
              <w:spacing w:after="0" w:line="252" w:lineRule="auto"/>
            </w:pPr>
            <w:r>
              <w:rPr>
                <w:sz w:val="18"/>
                <w:szCs w:val="18"/>
              </w:rPr>
              <w:t xml:space="preserve">Amazon ElastiCache for Valkey</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Redis Cloud</w:t>
            </w:r>
          </w:p>
        </w:tc>
        <w:tc>
          <w:tcPr>
            <w:tcW w:type="dxa" w:w="3521"/>
            <w:tcMar>
              <w:top w:type="dxa" w:w="70"/>
              <w:left w:type="dxa" w:w="100"/>
              <w:bottom w:type="dxa" w:w="70"/>
              <w:right w:type="dxa" w:w="100"/>
            </w:tcMar>
            <w:vAlign w:val="top"/>
          </w:tcPr>
          <w:p>
            <w:pPr>
              <w:spacing w:after="0" w:line="252" w:lineRule="auto"/>
            </w:pPr>
            <w:r>
              <w:rPr>
                <w:sz w:val="18"/>
                <w:szCs w:val="18"/>
              </w:rPr>
              <w:t xml:space="preserve">Sessions, rate limits, reference data</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Async messaging</w:t>
            </w:r>
          </w:p>
        </w:tc>
        <w:tc>
          <w:tcPr>
            <w:tcW w:type="dxa" w:w="4006"/>
            <w:tcMar>
              <w:top w:type="dxa" w:w="70"/>
              <w:left w:type="dxa" w:w="100"/>
              <w:bottom w:type="dxa" w:w="70"/>
              <w:right w:type="dxa" w:w="100"/>
            </w:tcMar>
            <w:vAlign w:val="top"/>
          </w:tcPr>
          <w:p>
            <w:pPr>
              <w:spacing w:after="0" w:line="252" w:lineRule="auto"/>
            </w:pPr>
            <w:r>
              <w:rPr>
                <w:sz w:val="18"/>
                <w:szCs w:val="18"/>
              </w:rPr>
              <w:t xml:space="preserve">Transactional outbox → Amazon SQS</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SNS + SQS, RabbitMQ</w:t>
            </w:r>
          </w:p>
        </w:tc>
        <w:tc>
          <w:tcPr>
            <w:tcW w:type="dxa" w:w="3521"/>
            <w:tcMar>
              <w:top w:type="dxa" w:w="70"/>
              <w:left w:type="dxa" w:w="100"/>
              <w:bottom w:type="dxa" w:w="70"/>
              <w:right w:type="dxa" w:w="100"/>
            </w:tcMar>
            <w:vAlign w:val="top"/>
          </w:tcPr>
          <w:p>
            <w:pPr>
              <w:spacing w:after="0" w:line="252" w:lineRule="auto"/>
            </w:pPr>
            <w:r>
              <w:rPr>
                <w:sz w:val="18"/>
                <w:szCs w:val="18"/>
              </w:rPr>
              <w:t xml:space="preserve">Zero-ops, reliable, cheap at launch volume</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Event streaming</w:t>
            </w:r>
          </w:p>
        </w:tc>
        <w:tc>
          <w:tcPr>
            <w:tcW w:type="dxa" w:w="4006"/>
            <w:tcMar>
              <w:top w:type="dxa" w:w="70"/>
              <w:left w:type="dxa" w:w="100"/>
              <w:bottom w:type="dxa" w:w="70"/>
              <w:right w:type="dxa" w:w="100"/>
            </w:tcMar>
            <w:vAlign w:val="top"/>
          </w:tcPr>
          <w:p>
            <w:pPr>
              <w:spacing w:after="0" w:line="252" w:lineRule="auto"/>
            </w:pPr>
            <w:r>
              <w:rPr>
                <w:sz w:val="18"/>
                <w:szCs w:val="18"/>
              </w:rPr>
              <w:t xml:space="preserve">Amazon MSK (Kafka) + Debezium on MSK Connect</w:t>
            </w:r>
          </w:p>
        </w:tc>
        <w:tc>
          <w:tcPr>
            <w:tcW w:type="dxa" w:w="1335"/>
            <w:tcMar>
              <w:top w:type="dxa" w:w="70"/>
              <w:left w:type="dxa" w:w="100"/>
              <w:bottom w:type="dxa" w:w="70"/>
              <w:right w:type="dxa" w:w="100"/>
            </w:tcMar>
            <w:vAlign w:val="top"/>
          </w:tcPr>
          <w:p>
            <w:pPr>
              <w:spacing w:after="0" w:line="252" w:lineRule="auto"/>
            </w:pPr>
            <w:r>
              <w:rPr>
                <w:sz w:val="18"/>
                <w:szCs w:val="18"/>
              </w:rPr>
              <w:t xml:space="preserve">Trigger</w:t>
            </w:r>
          </w:p>
        </w:tc>
        <w:tc>
          <w:tcPr>
            <w:tcW w:type="dxa" w:w="2549"/>
            <w:tcMar>
              <w:top w:type="dxa" w:w="70"/>
              <w:left w:type="dxa" w:w="100"/>
              <w:bottom w:type="dxa" w:w="70"/>
              <w:right w:type="dxa" w:w="100"/>
            </w:tcMar>
            <w:vAlign w:val="top"/>
          </w:tcPr>
          <w:p>
            <w:pPr>
              <w:spacing w:after="0" w:line="252" w:lineRule="auto"/>
            </w:pPr>
            <w:r>
              <w:rPr>
                <w:sz w:val="18"/>
                <w:szCs w:val="18"/>
              </w:rPr>
              <w:t xml:space="preserve">Confluent Cloud, Redpanda</w:t>
            </w:r>
          </w:p>
        </w:tc>
        <w:tc>
          <w:tcPr>
            <w:tcW w:type="dxa" w:w="3521"/>
            <w:tcMar>
              <w:top w:type="dxa" w:w="70"/>
              <w:left w:type="dxa" w:w="100"/>
              <w:bottom w:type="dxa" w:w="70"/>
              <w:right w:type="dxa" w:w="100"/>
            </w:tcMar>
            <w:vAlign w:val="top"/>
          </w:tcPr>
          <w:p>
            <w:pPr>
              <w:spacing w:after="0" w:line="252" w:lineRule="auto"/>
            </w:pPr>
            <w:r>
              <w:rPr>
                <w:sz w:val="18"/>
                <w:szCs w:val="18"/>
              </w:rPr>
              <w:t xml:space="preserve">Replay, CDC, high fan-out</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 + 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Jobs and timers</w:t>
            </w:r>
          </w:p>
        </w:tc>
        <w:tc>
          <w:tcPr>
            <w:tcW w:type="dxa" w:w="4006"/>
            <w:tcMar>
              <w:top w:type="dxa" w:w="70"/>
              <w:left w:type="dxa" w:w="100"/>
              <w:bottom w:type="dxa" w:w="70"/>
              <w:right w:type="dxa" w:w="100"/>
            </w:tcMar>
            <w:vAlign w:val="top"/>
          </w:tcPr>
          <w:p>
            <w:pPr>
              <w:spacing w:after="0" w:line="252" w:lineRule="auto"/>
            </w:pPr>
            <w:r>
              <w:rPr>
                <w:sz w:val="18"/>
                <w:szCs w:val="18"/>
              </w:rPr>
              <w:t xml:space="preserve">db-scheduler (PostgreSQL-backed)</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JobRunr, Quartz</w:t>
            </w:r>
          </w:p>
        </w:tc>
        <w:tc>
          <w:tcPr>
            <w:tcW w:type="dxa" w:w="3521"/>
            <w:tcMar>
              <w:top w:type="dxa" w:w="70"/>
              <w:left w:type="dxa" w:w="100"/>
              <w:bottom w:type="dxa" w:w="70"/>
              <w:right w:type="dxa" w:w="100"/>
            </w:tcMar>
            <w:vAlign w:val="top"/>
          </w:tcPr>
          <w:p>
            <w:pPr>
              <w:spacing w:after="0" w:line="252" w:lineRule="auto"/>
            </w:pPr>
            <w:r>
              <w:rPr>
                <w:sz w:val="18"/>
                <w:szCs w:val="18"/>
              </w:rPr>
              <w:t xml:space="preserve">No extra infrastructure; transactional with business data</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Workflows</w:t>
            </w:r>
          </w:p>
        </w:tc>
        <w:tc>
          <w:tcPr>
            <w:tcW w:type="dxa" w:w="4006"/>
            <w:tcMar>
              <w:top w:type="dxa" w:w="70"/>
              <w:left w:type="dxa" w:w="100"/>
              <w:bottom w:type="dxa" w:w="70"/>
              <w:right w:type="dxa" w:w="100"/>
            </w:tcMar>
            <w:vAlign w:val="top"/>
          </w:tcPr>
          <w:p>
            <w:pPr>
              <w:spacing w:after="0" w:line="252" w:lineRule="auto"/>
            </w:pPr>
            <w:r>
              <w:rPr>
                <w:sz w:val="18"/>
                <w:szCs w:val="18"/>
              </w:rPr>
              <w:t xml:space="preserve">In-house approval engine; Temporal later</w:t>
            </w:r>
          </w:p>
        </w:tc>
        <w:tc>
          <w:tcPr>
            <w:tcW w:type="dxa" w:w="1335"/>
            <w:tcMar>
              <w:top w:type="dxa" w:w="70"/>
              <w:left w:type="dxa" w:w="100"/>
              <w:bottom w:type="dxa" w:w="70"/>
              <w:right w:type="dxa" w:w="100"/>
            </w:tcMar>
            <w:vAlign w:val="top"/>
          </w:tcPr>
          <w:p>
            <w:pPr>
              <w:spacing w:after="0" w:line="252" w:lineRule="auto"/>
            </w:pPr>
            <w:r>
              <w:rPr>
                <w:sz w:val="18"/>
                <w:szCs w:val="18"/>
              </w:rPr>
              <w:t xml:space="preserve">Launch / Trigger</w:t>
            </w:r>
          </w:p>
        </w:tc>
        <w:tc>
          <w:tcPr>
            <w:tcW w:type="dxa" w:w="2549"/>
            <w:tcMar>
              <w:top w:type="dxa" w:w="70"/>
              <w:left w:type="dxa" w:w="100"/>
              <w:bottom w:type="dxa" w:w="70"/>
              <w:right w:type="dxa" w:w="100"/>
            </w:tcMar>
            <w:vAlign w:val="top"/>
          </w:tcPr>
          <w:p>
            <w:pPr>
              <w:spacing w:after="0" w:line="252" w:lineRule="auto"/>
            </w:pPr>
            <w:r>
              <w:rPr>
                <w:sz w:val="18"/>
                <w:szCs w:val="18"/>
              </w:rPr>
              <w:t xml:space="preserve">Camunda 8, Step Functions</w:t>
            </w:r>
          </w:p>
        </w:tc>
        <w:tc>
          <w:tcPr>
            <w:tcW w:type="dxa" w:w="3521"/>
            <w:tcMar>
              <w:top w:type="dxa" w:w="70"/>
              <w:left w:type="dxa" w:w="100"/>
              <w:bottom w:type="dxa" w:w="70"/>
              <w:right w:type="dxa" w:w="100"/>
            </w:tcMar>
            <w:vAlign w:val="top"/>
          </w:tcPr>
          <w:p>
            <w:pPr>
              <w:spacing w:after="0" w:line="252" w:lineRule="auto"/>
            </w:pPr>
            <w:r>
              <w:rPr>
                <w:sz w:val="18"/>
                <w:szCs w:val="18"/>
              </w:rPr>
              <w:t xml:space="preserve">HR-editable definitions; durable orchestration only when needed</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Rules</w:t>
            </w:r>
          </w:p>
        </w:tc>
        <w:tc>
          <w:tcPr>
            <w:tcW w:type="dxa" w:w="4006"/>
            <w:tcMar>
              <w:top w:type="dxa" w:w="70"/>
              <w:left w:type="dxa" w:w="100"/>
              <w:bottom w:type="dxa" w:w="70"/>
              <w:right w:type="dxa" w:w="100"/>
            </w:tcMar>
            <w:vAlign w:val="top"/>
          </w:tcPr>
          <w:p>
            <w:pPr>
              <w:spacing w:after="0" w:line="252" w:lineRule="auto"/>
            </w:pPr>
            <w:r>
              <w:rPr>
                <w:sz w:val="18"/>
                <w:szCs w:val="18"/>
              </w:rPr>
              <w:t xml:space="preserve">CEL (cel-java)</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Drools, JSONLogic</w:t>
            </w:r>
          </w:p>
        </w:tc>
        <w:tc>
          <w:tcPr>
            <w:tcW w:type="dxa" w:w="3521"/>
            <w:tcMar>
              <w:top w:type="dxa" w:w="70"/>
              <w:left w:type="dxa" w:w="100"/>
              <w:bottom w:type="dxa" w:w="70"/>
              <w:right w:type="dxa" w:w="100"/>
            </w:tcMar>
            <w:vAlign w:val="top"/>
          </w:tcPr>
          <w:p>
            <w:pPr>
              <w:spacing w:after="0" w:line="252" w:lineRule="auto"/>
            </w:pPr>
            <w:r>
              <w:rPr>
                <w:sz w:val="18"/>
                <w:szCs w:val="18"/>
              </w:rPr>
              <w:t xml:space="preserve">Sandboxed, typed, fast</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Search</w:t>
            </w:r>
          </w:p>
        </w:tc>
        <w:tc>
          <w:tcPr>
            <w:tcW w:type="dxa" w:w="4006"/>
            <w:tcMar>
              <w:top w:type="dxa" w:w="70"/>
              <w:left w:type="dxa" w:w="100"/>
              <w:bottom w:type="dxa" w:w="70"/>
              <w:right w:type="dxa" w:w="100"/>
            </w:tcMar>
            <w:vAlign w:val="top"/>
          </w:tcPr>
          <w:p>
            <w:pPr>
              <w:spacing w:after="0" w:line="252" w:lineRule="auto"/>
            </w:pPr>
            <w:r>
              <w:rPr>
                <w:sz w:val="18"/>
                <w:szCs w:val="18"/>
              </w:rPr>
              <w:t xml:space="preserve">PostgreSQL full text + pg_trgm; later Amazon OpenSearch Service</w:t>
            </w:r>
          </w:p>
        </w:tc>
        <w:tc>
          <w:tcPr>
            <w:tcW w:type="dxa" w:w="1335"/>
            <w:tcMar>
              <w:top w:type="dxa" w:w="70"/>
              <w:left w:type="dxa" w:w="100"/>
              <w:bottom w:type="dxa" w:w="70"/>
              <w:right w:type="dxa" w:w="100"/>
            </w:tcMar>
            <w:vAlign w:val="top"/>
          </w:tcPr>
          <w:p>
            <w:pPr>
              <w:spacing w:after="0" w:line="252" w:lineRule="auto"/>
            </w:pPr>
            <w:r>
              <w:rPr>
                <w:sz w:val="18"/>
                <w:szCs w:val="18"/>
              </w:rPr>
              <w:t xml:space="preserve">Launch / Trigger</w:t>
            </w:r>
          </w:p>
        </w:tc>
        <w:tc>
          <w:tcPr>
            <w:tcW w:type="dxa" w:w="2549"/>
            <w:tcMar>
              <w:top w:type="dxa" w:w="70"/>
              <w:left w:type="dxa" w:w="100"/>
              <w:bottom w:type="dxa" w:w="70"/>
              <w:right w:type="dxa" w:w="100"/>
            </w:tcMar>
            <w:vAlign w:val="top"/>
          </w:tcPr>
          <w:p>
            <w:pPr>
              <w:spacing w:after="0" w:line="252" w:lineRule="auto"/>
            </w:pPr>
            <w:r>
              <w:rPr>
                <w:sz w:val="18"/>
                <w:szCs w:val="18"/>
              </w:rPr>
              <w:t xml:space="preserve">Elastic Cloud</w:t>
            </w:r>
          </w:p>
        </w:tc>
        <w:tc>
          <w:tcPr>
            <w:tcW w:type="dxa" w:w="3521"/>
            <w:tcMar>
              <w:top w:type="dxa" w:w="70"/>
              <w:left w:type="dxa" w:w="100"/>
              <w:bottom w:type="dxa" w:w="70"/>
              <w:right w:type="dxa" w:w="100"/>
            </w:tcMar>
            <w:vAlign w:val="top"/>
          </w:tcPr>
          <w:p>
            <w:pPr>
              <w:spacing w:after="0" w:line="252" w:lineRule="auto"/>
            </w:pPr>
            <w:r>
              <w:rPr>
                <w:sz w:val="18"/>
                <w:szCs w:val="18"/>
              </w:rPr>
              <w:t xml:space="preserve">Start without extra infrastructure</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Files and malware</w:t>
            </w:r>
          </w:p>
        </w:tc>
        <w:tc>
          <w:tcPr>
            <w:tcW w:type="dxa" w:w="4006"/>
            <w:tcMar>
              <w:top w:type="dxa" w:w="70"/>
              <w:left w:type="dxa" w:w="100"/>
              <w:bottom w:type="dxa" w:w="70"/>
              <w:right w:type="dxa" w:w="100"/>
            </w:tcMar>
            <w:vAlign w:val="top"/>
          </w:tcPr>
          <w:p>
            <w:pPr>
              <w:spacing w:after="0" w:line="252" w:lineRule="auto"/>
            </w:pPr>
            <w:r>
              <w:rPr>
                <w:sz w:val="18"/>
                <w:szCs w:val="18"/>
              </w:rPr>
              <w:t xml:space="preserve">Amazon S3, GuardDuty Malware Protection for S3, KMS</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ClamAV</w:t>
            </w:r>
          </w:p>
        </w:tc>
        <w:tc>
          <w:tcPr>
            <w:tcW w:type="dxa" w:w="3521"/>
            <w:tcMar>
              <w:top w:type="dxa" w:w="70"/>
              <w:left w:type="dxa" w:w="100"/>
              <w:bottom w:type="dxa" w:w="70"/>
              <w:right w:type="dxa" w:w="100"/>
            </w:tcMar>
            <w:vAlign w:val="top"/>
          </w:tcPr>
          <w:p>
            <w:pPr>
              <w:spacing w:after="0" w:line="252" w:lineRule="auto"/>
            </w:pPr>
            <w:r>
              <w:rPr>
                <w:sz w:val="18"/>
                <w:szCs w:val="18"/>
              </w:rPr>
              <w:t xml:space="preserve">Durable, scanned, per-tenant keys</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Letters</w:t>
            </w:r>
          </w:p>
        </w:tc>
        <w:tc>
          <w:tcPr>
            <w:tcW w:type="dxa" w:w="4006"/>
            <w:tcMar>
              <w:top w:type="dxa" w:w="70"/>
              <w:left w:type="dxa" w:w="100"/>
              <w:bottom w:type="dxa" w:w="70"/>
              <w:right w:type="dxa" w:w="100"/>
            </w:tcMar>
            <w:vAlign w:val="top"/>
          </w:tcPr>
          <w:p>
            <w:pPr>
              <w:spacing w:after="0" w:line="252" w:lineRule="auto"/>
            </w:pPr>
            <w:r>
              <w:rPr>
                <w:sz w:val="18"/>
                <w:szCs w:val="18"/>
              </w:rPr>
              <w:t xml:space="preserve">Carbone (or docxtemplater) + Gotenberg</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JasperReports</w:t>
            </w:r>
          </w:p>
        </w:tc>
        <w:tc>
          <w:tcPr>
            <w:tcW w:type="dxa" w:w="3521"/>
            <w:tcMar>
              <w:top w:type="dxa" w:w="70"/>
              <w:left w:type="dxa" w:w="100"/>
              <w:bottom w:type="dxa" w:w="70"/>
              <w:right w:type="dxa" w:w="100"/>
            </w:tcMar>
            <w:vAlign w:val="top"/>
          </w:tcPr>
          <w:p>
            <w:pPr>
              <w:spacing w:after="0" w:line="252" w:lineRule="auto"/>
            </w:pPr>
            <w:r>
              <w:rPr>
                <w:sz w:val="18"/>
                <w:szCs w:val="18"/>
              </w:rPr>
              <w:t xml:space="preserve">HR edits Word templates</w:t>
            </w:r>
          </w:p>
        </w:tc>
        <w:tc>
          <w:tcPr>
            <w:tcW w:type="dxa" w:w="1217"/>
            <w:tcMar>
              <w:top w:type="dxa" w:w="70"/>
              <w:left w:type="dxa" w:w="100"/>
              <w:bottom w:type="dxa" w:w="70"/>
              <w:right w:type="dxa" w:w="100"/>
            </w:tcMar>
            <w:vAlign w:val="top"/>
          </w:tcPr>
          <w:p>
            <w:pPr>
              <w:spacing w:after="0" w:line="252" w:lineRule="auto"/>
            </w:pPr>
            <w:r>
              <w:rPr>
                <w:sz w:val="18"/>
                <w:szCs w:val="18"/>
              </w:rPr>
              <w:t xml:space="preserve">OSS / Licence</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E-signature</w:t>
            </w:r>
          </w:p>
        </w:tc>
        <w:tc>
          <w:tcPr>
            <w:tcW w:type="dxa" w:w="4006"/>
            <w:tcMar>
              <w:top w:type="dxa" w:w="70"/>
              <w:left w:type="dxa" w:w="100"/>
              <w:bottom w:type="dxa" w:w="70"/>
              <w:right w:type="dxa" w:w="100"/>
            </w:tcMar>
            <w:vAlign w:val="top"/>
          </w:tcPr>
          <w:p>
            <w:pPr>
              <w:spacing w:after="0" w:line="252" w:lineRule="auto"/>
            </w:pPr>
            <w:r>
              <w:rPr>
                <w:sz w:val="18"/>
                <w:szCs w:val="18"/>
              </w:rPr>
              <w:t xml:space="preserve">Leegality, Digio or eMudhra; DocuSign abroad</w:t>
            </w:r>
          </w:p>
        </w:tc>
        <w:tc>
          <w:tcPr>
            <w:tcW w:type="dxa" w:w="1335"/>
            <w:tcMar>
              <w:top w:type="dxa" w:w="70"/>
              <w:left w:type="dxa" w:w="100"/>
              <w:bottom w:type="dxa" w:w="70"/>
              <w:right w:type="dxa" w:w="100"/>
            </w:tcMar>
            <w:vAlign w:val="top"/>
          </w:tcPr>
          <w:p>
            <w:pPr>
              <w:spacing w:after="0" w:line="252" w:lineRule="auto"/>
            </w:pPr>
            <w:r>
              <w:rPr>
                <w:sz w:val="18"/>
                <w:szCs w:val="18"/>
              </w:rPr>
              <w:t xml:space="preserve">Phase 1–2</w:t>
            </w:r>
          </w:p>
        </w:tc>
        <w:tc>
          <w:tcPr>
            <w:tcW w:type="dxa" w:w="2549"/>
            <w:tcMar>
              <w:top w:type="dxa" w:w="70"/>
              <w:left w:type="dxa" w:w="100"/>
              <w:bottom w:type="dxa" w:w="70"/>
              <w:right w:type="dxa" w:w="100"/>
            </w:tcMar>
            <w:vAlign w:val="top"/>
          </w:tcPr>
          <w:p>
            <w:pPr>
              <w:spacing w:after="0" w:line="252" w:lineRule="auto"/>
            </w:pPr>
            <w:r>
              <w:rPr>
                <w:sz w:val="18"/>
                <w:szCs w:val="18"/>
              </w:rPr>
              <w:t xml:space="preserve">SignDesk, Adobe Sign</w:t>
            </w:r>
          </w:p>
        </w:tc>
        <w:tc>
          <w:tcPr>
            <w:tcW w:type="dxa" w:w="3521"/>
            <w:tcMar>
              <w:top w:type="dxa" w:w="70"/>
              <w:left w:type="dxa" w:w="100"/>
              <w:bottom w:type="dxa" w:w="70"/>
              <w:right w:type="dxa" w:w="100"/>
            </w:tcMar>
            <w:vAlign w:val="top"/>
          </w:tcPr>
          <w:p>
            <w:pPr>
              <w:spacing w:after="0" w:line="252" w:lineRule="auto"/>
            </w:pPr>
            <w:r>
              <w:rPr>
                <w:sz w:val="18"/>
                <w:szCs w:val="18"/>
              </w:rPr>
              <w:t xml:space="preserve">Aadhaar eSign and DSC in India</w:t>
            </w:r>
          </w:p>
        </w:tc>
        <w:tc>
          <w:tcPr>
            <w:tcW w:type="dxa" w:w="1217"/>
            <w:tcMar>
              <w:top w:type="dxa" w:w="70"/>
              <w:left w:type="dxa" w:w="100"/>
              <w:bottom w:type="dxa" w:w="70"/>
              <w:right w:type="dxa" w:w="100"/>
            </w:tcMar>
            <w:vAlign w:val="top"/>
          </w:tcPr>
          <w:p>
            <w:pPr>
              <w:spacing w:after="0" w:line="252" w:lineRule="auto"/>
            </w:pPr>
            <w:r>
              <w:rPr>
                <w:sz w:val="18"/>
                <w:szCs w:val="18"/>
              </w:rPr>
              <w:t xml:space="preserve">Licence</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Identity</w:t>
            </w:r>
          </w:p>
        </w:tc>
        <w:tc>
          <w:tcPr>
            <w:tcW w:type="dxa" w:w="4006"/>
            <w:tcMar>
              <w:top w:type="dxa" w:w="70"/>
              <w:left w:type="dxa" w:w="100"/>
              <w:bottom w:type="dxa" w:w="70"/>
              <w:right w:type="dxa" w:w="100"/>
            </w:tcMar>
            <w:vAlign w:val="top"/>
          </w:tcPr>
          <w:p>
            <w:pPr>
              <w:spacing w:after="0" w:line="252" w:lineRule="auto"/>
            </w:pPr>
            <w:r>
              <w:rPr>
                <w:sz w:val="18"/>
                <w:szCs w:val="18"/>
              </w:rPr>
              <w:t xml:space="preserve">Keycloak 26+ (Organizations) + our installation service</w:t>
            </w:r>
          </w:p>
        </w:tc>
        <w:tc>
          <w:tcPr>
            <w:tcW w:type="dxa" w:w="1335"/>
            <w:tcMar>
              <w:top w:type="dxa" w:w="70"/>
              <w:left w:type="dxa" w:w="100"/>
              <w:bottom w:type="dxa" w:w="70"/>
              <w:right w:type="dxa" w:w="100"/>
            </w:tcMar>
            <w:vAlign w:val="top"/>
          </w:tcPr>
          <w:p>
            <w:pPr>
              <w:spacing w:after="0" w:line="252" w:lineRule="auto"/>
            </w:pPr>
            <w:r>
              <w:rPr>
                <w:sz w:val="18"/>
                <w:szCs w:val="18"/>
              </w:rPr>
              <w:t xml:space="preserve">Launch (after PoC)</w:t>
            </w:r>
          </w:p>
        </w:tc>
        <w:tc>
          <w:tcPr>
            <w:tcW w:type="dxa" w:w="2549"/>
            <w:tcMar>
              <w:top w:type="dxa" w:w="70"/>
              <w:left w:type="dxa" w:w="100"/>
              <w:bottom w:type="dxa" w:w="70"/>
              <w:right w:type="dxa" w:w="100"/>
            </w:tcMar>
            <w:vAlign w:val="top"/>
          </w:tcPr>
          <w:p>
            <w:pPr>
              <w:spacing w:after="0" w:line="252" w:lineRule="auto"/>
            </w:pPr>
            <w:r>
              <w:rPr>
                <w:sz w:val="18"/>
                <w:szCs w:val="18"/>
              </w:rPr>
              <w:t xml:space="preserve">Zitadel, managed CIAM</w:t>
            </w:r>
          </w:p>
        </w:tc>
        <w:tc>
          <w:tcPr>
            <w:tcW w:type="dxa" w:w="3521"/>
            <w:tcMar>
              <w:top w:type="dxa" w:w="70"/>
              <w:left w:type="dxa" w:w="100"/>
              <w:bottom w:type="dxa" w:w="70"/>
              <w:right w:type="dxa" w:w="100"/>
            </w:tcMar>
            <w:vAlign w:val="top"/>
          </w:tcPr>
          <w:p>
            <w:pPr>
              <w:spacing w:after="0" w:line="252" w:lineRule="auto"/>
            </w:pPr>
            <w:r>
              <w:rPr>
                <w:sz w:val="18"/>
                <w:szCs w:val="18"/>
              </w:rPr>
              <w:t xml:space="preserve">Per-tenant SSO in-region; predictable cost</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Authorization</w:t>
            </w:r>
          </w:p>
        </w:tc>
        <w:tc>
          <w:tcPr>
            <w:tcW w:type="dxa" w:w="4006"/>
            <w:tcMar>
              <w:top w:type="dxa" w:w="70"/>
              <w:left w:type="dxa" w:w="100"/>
              <w:bottom w:type="dxa" w:w="70"/>
              <w:right w:type="dxa" w:w="100"/>
            </w:tcMar>
            <w:vAlign w:val="top"/>
          </w:tcPr>
          <w:p>
            <w:pPr>
              <w:spacing w:after="0" w:line="252" w:lineRule="auto"/>
            </w:pPr>
            <w:r>
              <w:rPr>
                <w:sz w:val="18"/>
                <w:szCs w:val="18"/>
              </w:rPr>
              <w:t xml:space="preserve">In-house model compiled to SQL; Cedar for conditions (optional)</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OpenFGA, SpiceDB, OPA</w:t>
            </w:r>
          </w:p>
        </w:tc>
        <w:tc>
          <w:tcPr>
            <w:tcW w:type="dxa" w:w="3521"/>
            <w:tcMar>
              <w:top w:type="dxa" w:w="70"/>
              <w:left w:type="dxa" w:w="100"/>
              <w:bottom w:type="dxa" w:w="70"/>
              <w:right w:type="dxa" w:w="100"/>
            </w:tcMar>
            <w:vAlign w:val="top"/>
          </w:tcPr>
          <w:p>
            <w:pPr>
              <w:spacing w:after="0" w:line="252" w:lineRule="auto"/>
            </w:pPr>
            <w:r>
              <w:rPr>
                <w:sz w:val="18"/>
                <w:szCs w:val="18"/>
              </w:rPr>
              <w:t xml:space="preserve">List queries need SQL predicates</w:t>
            </w:r>
          </w:p>
        </w:tc>
        <w:tc>
          <w:tcPr>
            <w:tcW w:type="dxa" w:w="1217"/>
            <w:tcMar>
              <w:top w:type="dxa" w:w="70"/>
              <w:left w:type="dxa" w:w="100"/>
              <w:bottom w:type="dxa" w:w="70"/>
              <w:right w:type="dxa" w:w="100"/>
            </w:tcMar>
            <w:vAlign w:val="top"/>
          </w:tcPr>
          <w:p>
            <w:pPr>
              <w:spacing w:after="0" w:line="252" w:lineRule="auto"/>
            </w:pPr>
            <w:r>
              <w:rPr>
                <w:sz w:val="18"/>
                <w:szCs w:val="18"/>
              </w:rPr>
              <w:t xml:space="preserve">Build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API gateway</w:t>
            </w:r>
          </w:p>
        </w:tc>
        <w:tc>
          <w:tcPr>
            <w:tcW w:type="dxa" w:w="4006"/>
            <w:tcMar>
              <w:top w:type="dxa" w:w="70"/>
              <w:left w:type="dxa" w:w="100"/>
              <w:bottom w:type="dxa" w:w="70"/>
              <w:right w:type="dxa" w:w="100"/>
            </w:tcMar>
            <w:vAlign w:val="top"/>
          </w:tcPr>
          <w:p>
            <w:pPr>
              <w:spacing w:after="0" w:line="252" w:lineRule="auto"/>
            </w:pPr>
            <w:r>
              <w:rPr>
                <w:sz w:val="18"/>
                <w:szCs w:val="18"/>
              </w:rPr>
              <w:t xml:space="preserve">Kong Gateway OSS + our tenant plugin; Enterprise/Konnect if triggered</w:t>
            </w:r>
          </w:p>
        </w:tc>
        <w:tc>
          <w:tcPr>
            <w:tcW w:type="dxa" w:w="1335"/>
            <w:tcMar>
              <w:top w:type="dxa" w:w="70"/>
              <w:left w:type="dxa" w:w="100"/>
              <w:bottom w:type="dxa" w:w="70"/>
              <w:right w:type="dxa" w:w="100"/>
            </w:tcMar>
            <w:vAlign w:val="top"/>
          </w:tcPr>
          <w:p>
            <w:pPr>
              <w:spacing w:after="0" w:line="252" w:lineRule="auto"/>
            </w:pPr>
            <w:r>
              <w:rPr>
                <w:sz w:val="18"/>
                <w:szCs w:val="18"/>
              </w:rPr>
              <w:t xml:space="preserve">Launch (after PoC)</w:t>
            </w:r>
          </w:p>
        </w:tc>
        <w:tc>
          <w:tcPr>
            <w:tcW w:type="dxa" w:w="2549"/>
            <w:tcMar>
              <w:top w:type="dxa" w:w="70"/>
              <w:left w:type="dxa" w:w="100"/>
              <w:bottom w:type="dxa" w:w="70"/>
              <w:right w:type="dxa" w:w="100"/>
            </w:tcMar>
            <w:vAlign w:val="top"/>
          </w:tcPr>
          <w:p>
            <w:pPr>
              <w:spacing w:after="0" w:line="252" w:lineRule="auto"/>
            </w:pPr>
            <w:r>
              <w:rPr>
                <w:sz w:val="18"/>
                <w:szCs w:val="18"/>
              </w:rPr>
              <w:t xml:space="preserve">Envoy, Apigee, Azure APIM, WSO2</w:t>
            </w:r>
          </w:p>
        </w:tc>
        <w:tc>
          <w:tcPr>
            <w:tcW w:type="dxa" w:w="3521"/>
            <w:tcMar>
              <w:top w:type="dxa" w:w="70"/>
              <w:left w:type="dxa" w:w="100"/>
              <w:bottom w:type="dxa" w:w="70"/>
              <w:right w:type="dxa" w:w="100"/>
            </w:tcMar>
            <w:vAlign w:val="top"/>
          </w:tcPr>
          <w:p>
            <w:pPr>
              <w:spacing w:after="0" w:line="252" w:lineRule="auto"/>
            </w:pPr>
            <w:r>
              <w:rPr>
                <w:sz w:val="18"/>
                <w:szCs w:val="18"/>
              </w:rPr>
              <w:t xml:space="preserve">JWT, rate limits, routing; self-hosted per region</w:t>
            </w:r>
          </w:p>
        </w:tc>
        <w:tc>
          <w:tcPr>
            <w:tcW w:type="dxa" w:w="1217"/>
            <w:tcMar>
              <w:top w:type="dxa" w:w="70"/>
              <w:left w:type="dxa" w:w="100"/>
              <w:bottom w:type="dxa" w:w="70"/>
              <w:right w:type="dxa" w:w="100"/>
            </w:tcMar>
            <w:vAlign w:val="top"/>
          </w:tcPr>
          <w:p>
            <w:pPr>
              <w:spacing w:after="0" w:line="252" w:lineRule="auto"/>
            </w:pPr>
            <w:r>
              <w:rPr>
                <w:sz w:val="18"/>
                <w:szCs w:val="18"/>
              </w:rPr>
              <w:t xml:space="preserve">OSS / Licence</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API docs, quality, SDKs</w:t>
            </w:r>
          </w:p>
        </w:tc>
        <w:tc>
          <w:tcPr>
            <w:tcW w:type="dxa" w:w="4006"/>
            <w:tcMar>
              <w:top w:type="dxa" w:w="70"/>
              <w:left w:type="dxa" w:w="100"/>
              <w:bottom w:type="dxa" w:w="70"/>
              <w:right w:type="dxa" w:w="100"/>
            </w:tcMar>
            <w:vAlign w:val="top"/>
          </w:tcPr>
          <w:p>
            <w:pPr>
              <w:spacing w:after="0" w:line="252" w:lineRule="auto"/>
            </w:pPr>
            <w:r>
              <w:rPr>
                <w:sz w:val="18"/>
                <w:szCs w:val="18"/>
              </w:rPr>
              <w:t xml:space="preserve">Redocly; Spectral, oasdiff, Schemathesis; OpenAPI Generator (Speakeasy or Stainless later)</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Mintlify, ReadMe</w:t>
            </w:r>
          </w:p>
        </w:tc>
        <w:tc>
          <w:tcPr>
            <w:tcW w:type="dxa" w:w="3521"/>
            <w:tcMar>
              <w:top w:type="dxa" w:w="70"/>
              <w:left w:type="dxa" w:w="100"/>
              <w:bottom w:type="dxa" w:w="70"/>
              <w:right w:type="dxa" w:w="100"/>
            </w:tcMar>
            <w:vAlign w:val="top"/>
          </w:tcPr>
          <w:p>
            <w:pPr>
              <w:spacing w:after="0" w:line="252" w:lineRule="auto"/>
            </w:pPr>
            <w:r>
              <w:rPr>
                <w:sz w:val="18"/>
                <w:szCs w:val="18"/>
              </w:rPr>
              <w:t xml:space="preserve">Docs-as-code; breaking-change gate</w:t>
            </w:r>
          </w:p>
        </w:tc>
        <w:tc>
          <w:tcPr>
            <w:tcW w:type="dxa" w:w="1217"/>
            <w:tcMar>
              <w:top w:type="dxa" w:w="70"/>
              <w:left w:type="dxa" w:w="100"/>
              <w:bottom w:type="dxa" w:w="70"/>
              <w:right w:type="dxa" w:w="100"/>
            </w:tcMar>
            <w:vAlign w:val="top"/>
          </w:tcPr>
          <w:p>
            <w:pPr>
              <w:spacing w:after="0" w:line="252" w:lineRule="auto"/>
            </w:pPr>
            <w:r>
              <w:rPr>
                <w:sz w:val="18"/>
                <w:szCs w:val="18"/>
              </w:rPr>
              <w:t xml:space="preserve">Licence / 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Webhooks</w:t>
            </w:r>
          </w:p>
        </w:tc>
        <w:tc>
          <w:tcPr>
            <w:tcW w:type="dxa" w:w="4006"/>
            <w:tcMar>
              <w:top w:type="dxa" w:w="70"/>
              <w:left w:type="dxa" w:w="100"/>
              <w:bottom w:type="dxa" w:w="70"/>
              <w:right w:type="dxa" w:w="100"/>
            </w:tcMar>
            <w:vAlign w:val="top"/>
          </w:tcPr>
          <w:p>
            <w:pPr>
              <w:spacing w:after="0" w:line="252" w:lineRule="auto"/>
            </w:pPr>
            <w:r>
              <w:rPr>
                <w:sz w:val="18"/>
                <w:szCs w:val="18"/>
              </w:rPr>
              <w:t xml:space="preserve">In-house dispatcher (Standard Webhooks); Svix if triggered</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Hookdeck</w:t>
            </w:r>
          </w:p>
        </w:tc>
        <w:tc>
          <w:tcPr>
            <w:tcW w:type="dxa" w:w="3521"/>
            <w:tcMar>
              <w:top w:type="dxa" w:w="70"/>
              <w:left w:type="dxa" w:w="100"/>
              <w:bottom w:type="dxa" w:w="70"/>
              <w:right w:type="dxa" w:w="100"/>
            </w:tcMar>
            <w:vAlign w:val="top"/>
          </w:tcPr>
          <w:p>
            <w:pPr>
              <w:spacing w:after="0" w:line="252" w:lineRule="auto"/>
            </w:pPr>
            <w:r>
              <w:rPr>
                <w:sz w:val="18"/>
                <w:szCs w:val="18"/>
              </w:rPr>
              <w:t xml:space="preserve">Simple at launch volume</w:t>
            </w:r>
          </w:p>
        </w:tc>
        <w:tc>
          <w:tcPr>
            <w:tcW w:type="dxa" w:w="1217"/>
            <w:tcMar>
              <w:top w:type="dxa" w:w="70"/>
              <w:left w:type="dxa" w:w="100"/>
              <w:bottom w:type="dxa" w:w="70"/>
              <w:right w:type="dxa" w:w="100"/>
            </w:tcMar>
            <w:vAlign w:val="top"/>
          </w:tcPr>
          <w:p>
            <w:pPr>
              <w:spacing w:after="0" w:line="252" w:lineRule="auto"/>
            </w:pPr>
            <w:r>
              <w:rPr>
                <w:sz w:val="18"/>
                <w:szCs w:val="18"/>
              </w:rPr>
              <w:t xml:space="preserve">Build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Web</w:t>
            </w:r>
          </w:p>
        </w:tc>
        <w:tc>
          <w:tcPr>
            <w:tcW w:type="dxa" w:w="4006"/>
            <w:tcMar>
              <w:top w:type="dxa" w:w="70"/>
              <w:left w:type="dxa" w:w="100"/>
              <w:bottom w:type="dxa" w:w="70"/>
              <w:right w:type="dxa" w:w="100"/>
            </w:tcMar>
            <w:vAlign w:val="top"/>
          </w:tcPr>
          <w:p>
            <w:pPr>
              <w:spacing w:after="0" w:line="252" w:lineRule="auto"/>
            </w:pPr>
            <w:r>
              <w:rPr>
                <w:sz w:val="18"/>
                <w:szCs w:val="18"/>
              </w:rPr>
              <w:t xml:space="preserve">React + TypeScript + Vite; TanStack Router, Query, Table; React Hook Form + Zod; FormatJS; design-system tokens</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Angular, Next.js</w:t>
            </w:r>
          </w:p>
        </w:tc>
        <w:tc>
          <w:tcPr>
            <w:tcW w:type="dxa" w:w="3521"/>
            <w:tcMar>
              <w:top w:type="dxa" w:w="70"/>
              <w:left w:type="dxa" w:w="100"/>
              <w:bottom w:type="dxa" w:w="70"/>
              <w:right w:type="dxa" w:w="100"/>
            </w:tcMar>
            <w:vAlign w:val="top"/>
          </w:tcPr>
          <w:p>
            <w:pPr>
              <w:spacing w:after="0" w:line="252" w:lineRule="auto"/>
            </w:pPr>
            <w:r>
              <w:rPr>
                <w:sz w:val="18"/>
                <w:szCs w:val="18"/>
              </w:rPr>
              <w:t xml:space="preserve">Authenticated SPA behind a BFF</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Mobile</w:t>
            </w:r>
          </w:p>
        </w:tc>
        <w:tc>
          <w:tcPr>
            <w:tcW w:type="dxa" w:w="4006"/>
            <w:tcMar>
              <w:top w:type="dxa" w:w="70"/>
              <w:left w:type="dxa" w:w="100"/>
              <w:bottom w:type="dxa" w:w="70"/>
              <w:right w:type="dxa" w:w="100"/>
            </w:tcMar>
            <w:vAlign w:val="top"/>
          </w:tcPr>
          <w:p>
            <w:pPr>
              <w:spacing w:after="0" w:line="252" w:lineRule="auto"/>
            </w:pPr>
            <w:r>
              <w:rPr>
                <w:sz w:val="18"/>
                <w:szCs w:val="18"/>
              </w:rPr>
              <w:t xml:space="preserve">React Native (Expo); SQLite offline; FCM/APNs</w:t>
            </w:r>
          </w:p>
        </w:tc>
        <w:tc>
          <w:tcPr>
            <w:tcW w:type="dxa" w:w="1335"/>
            <w:tcMar>
              <w:top w:type="dxa" w:w="70"/>
              <w:left w:type="dxa" w:w="100"/>
              <w:bottom w:type="dxa" w:w="70"/>
              <w:right w:type="dxa" w:w="100"/>
            </w:tcMar>
            <w:vAlign w:val="top"/>
          </w:tcPr>
          <w:p>
            <w:pPr>
              <w:spacing w:after="0" w:line="252" w:lineRule="auto"/>
            </w:pPr>
            <w:r>
              <w:rPr>
                <w:sz w:val="18"/>
                <w:szCs w:val="18"/>
              </w:rPr>
              <w:t xml:space="preserve">Phase 2</w:t>
            </w:r>
          </w:p>
        </w:tc>
        <w:tc>
          <w:tcPr>
            <w:tcW w:type="dxa" w:w="2549"/>
            <w:tcMar>
              <w:top w:type="dxa" w:w="70"/>
              <w:left w:type="dxa" w:w="100"/>
              <w:bottom w:type="dxa" w:w="70"/>
              <w:right w:type="dxa" w:w="100"/>
            </w:tcMar>
            <w:vAlign w:val="top"/>
          </w:tcPr>
          <w:p>
            <w:pPr>
              <w:spacing w:after="0" w:line="252" w:lineRule="auto"/>
            </w:pPr>
            <w:r>
              <w:rPr>
                <w:sz w:val="18"/>
                <w:szCs w:val="18"/>
              </w:rPr>
              <w:t xml:space="preserve">Flutter, native</w:t>
            </w:r>
          </w:p>
        </w:tc>
        <w:tc>
          <w:tcPr>
            <w:tcW w:type="dxa" w:w="3521"/>
            <w:tcMar>
              <w:top w:type="dxa" w:w="70"/>
              <w:left w:type="dxa" w:w="100"/>
              <w:bottom w:type="dxa" w:w="70"/>
              <w:right w:type="dxa" w:w="100"/>
            </w:tcMar>
            <w:vAlign w:val="top"/>
          </w:tcPr>
          <w:p>
            <w:pPr>
              <w:spacing w:after="0" w:line="252" w:lineRule="auto"/>
            </w:pPr>
            <w:r>
              <w:rPr>
                <w:sz w:val="18"/>
                <w:szCs w:val="18"/>
              </w:rPr>
              <w:t xml:space="preserve">Shared TypeScript types and skills</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Site agent</w:t>
            </w:r>
          </w:p>
        </w:tc>
        <w:tc>
          <w:tcPr>
            <w:tcW w:type="dxa" w:w="4006"/>
            <w:tcMar>
              <w:top w:type="dxa" w:w="70"/>
              <w:left w:type="dxa" w:w="100"/>
              <w:bottom w:type="dxa" w:w="70"/>
              <w:right w:type="dxa" w:w="100"/>
            </w:tcMar>
            <w:vAlign w:val="top"/>
          </w:tcPr>
          <w:p>
            <w:pPr>
              <w:spacing w:after="0" w:line="252" w:lineRule="auto"/>
            </w:pPr>
            <w:r>
              <w:rPr>
                <w:sz w:val="18"/>
                <w:szCs w:val="18"/>
              </w:rPr>
              <w:t xml:space="preserve">Go single binary (Windows service or Linux)</w:t>
            </w:r>
          </w:p>
        </w:tc>
        <w:tc>
          <w:tcPr>
            <w:tcW w:type="dxa" w:w="1335"/>
            <w:tcMar>
              <w:top w:type="dxa" w:w="70"/>
              <w:left w:type="dxa" w:w="100"/>
              <w:bottom w:type="dxa" w:w="70"/>
              <w:right w:type="dxa" w:w="100"/>
            </w:tcMar>
            <w:vAlign w:val="top"/>
          </w:tcPr>
          <w:p>
            <w:pPr>
              <w:spacing w:after="0" w:line="252" w:lineRule="auto"/>
            </w:pPr>
            <w:r>
              <w:rPr>
                <w:sz w:val="18"/>
                <w:szCs w:val="18"/>
              </w:rPr>
              <w:t xml:space="preserve">Phase 2</w:t>
            </w:r>
          </w:p>
        </w:tc>
        <w:tc>
          <w:tcPr>
            <w:tcW w:type="dxa" w:w="2549"/>
            <w:tcMar>
              <w:top w:type="dxa" w:w="70"/>
              <w:left w:type="dxa" w:w="100"/>
              <w:bottom w:type="dxa" w:w="70"/>
              <w:right w:type="dxa" w:w="100"/>
            </w:tcMar>
            <w:vAlign w:val="top"/>
          </w:tcPr>
          <w:p>
            <w:pPr>
              <w:spacing w:after="0" w:line="252" w:lineRule="auto"/>
            </w:pPr>
            <w:r>
              <w:rPr>
                <w:sz w:val="18"/>
                <w:szCs w:val="18"/>
              </w:rPr>
              <w:t xml:space="preserve">.NET worker</w:t>
            </w:r>
          </w:p>
        </w:tc>
        <w:tc>
          <w:tcPr>
            <w:tcW w:type="dxa" w:w="3521"/>
            <w:tcMar>
              <w:top w:type="dxa" w:w="70"/>
              <w:left w:type="dxa" w:w="100"/>
              <w:bottom w:type="dxa" w:w="70"/>
              <w:right w:type="dxa" w:w="100"/>
            </w:tcMar>
            <w:vAlign w:val="top"/>
          </w:tcPr>
          <w:p>
            <w:pPr>
              <w:spacing w:after="0" w:line="252" w:lineRule="auto"/>
            </w:pPr>
            <w:r>
              <w:rPr>
                <w:sz w:val="18"/>
                <w:szCs w:val="18"/>
              </w:rPr>
              <w:t xml:space="preserve">Small footprint; signed updates</w:t>
            </w:r>
          </w:p>
        </w:tc>
        <w:tc>
          <w:tcPr>
            <w:tcW w:type="dxa" w:w="1217"/>
            <w:tcMar>
              <w:top w:type="dxa" w:w="70"/>
              <w:left w:type="dxa" w:w="100"/>
              <w:bottom w:type="dxa" w:w="70"/>
              <w:right w:type="dxa" w:w="100"/>
            </w:tcMar>
            <w:vAlign w:val="top"/>
          </w:tcPr>
          <w:p>
            <w:pPr>
              <w:spacing w:after="0" w:line="252" w:lineRule="auto"/>
            </w:pPr>
            <w:r>
              <w:rPr>
                <w:sz w:val="18"/>
                <w:szCs w:val="18"/>
              </w:rPr>
              <w:t xml:space="preserve">Build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Notifications</w:t>
            </w:r>
          </w:p>
        </w:tc>
        <w:tc>
          <w:tcPr>
            <w:tcW w:type="dxa" w:w="4006"/>
            <w:tcMar>
              <w:top w:type="dxa" w:w="70"/>
              <w:left w:type="dxa" w:w="100"/>
              <w:bottom w:type="dxa" w:w="70"/>
              <w:right w:type="dxa" w:w="100"/>
            </w:tcMar>
            <w:vAlign w:val="top"/>
          </w:tcPr>
          <w:p>
            <w:pPr>
              <w:spacing w:after="0" w:line="252" w:lineRule="auto"/>
            </w:pPr>
            <w:r>
              <w:rPr>
                <w:sz w:val="18"/>
                <w:szCs w:val="18"/>
              </w:rPr>
              <w:t xml:space="preserve">Amazon SES; MSG91 or Gupshup (SMS, DLT); Meta Cloud API or Gupshup (WhatsApp); FCM/APNs</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SendGrid, Twilio</w:t>
            </w:r>
          </w:p>
        </w:tc>
        <w:tc>
          <w:tcPr>
            <w:tcW w:type="dxa" w:w="3521"/>
            <w:tcMar>
              <w:top w:type="dxa" w:w="70"/>
              <w:left w:type="dxa" w:w="100"/>
              <w:bottom w:type="dxa" w:w="70"/>
              <w:right w:type="dxa" w:w="100"/>
            </w:tcMar>
            <w:vAlign w:val="top"/>
          </w:tcPr>
          <w:p>
            <w:pPr>
              <w:spacing w:after="0" w:line="252" w:lineRule="auto"/>
            </w:pPr>
            <w:r>
              <w:rPr>
                <w:sz w:val="18"/>
                <w:szCs w:val="18"/>
              </w:rPr>
              <w:t xml:space="preserve">Indian SMS and WhatsApp compliance</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Analytics</w:t>
            </w:r>
          </w:p>
        </w:tc>
        <w:tc>
          <w:tcPr>
            <w:tcW w:type="dxa" w:w="4006"/>
            <w:tcMar>
              <w:top w:type="dxa" w:w="70"/>
              <w:left w:type="dxa" w:w="100"/>
              <w:bottom w:type="dxa" w:w="70"/>
              <w:right w:type="dxa" w:w="100"/>
            </w:tcMar>
            <w:vAlign w:val="top"/>
          </w:tcPr>
          <w:p>
            <w:pPr>
              <w:spacing w:after="0" w:line="252" w:lineRule="auto"/>
            </w:pPr>
            <w:r>
              <w:rPr>
                <w:sz w:val="18"/>
                <w:szCs w:val="18"/>
              </w:rPr>
              <w:t xml:space="preserve">Read replica + materialized views + snapshots; ClickHouse + Cube later</w:t>
            </w:r>
          </w:p>
        </w:tc>
        <w:tc>
          <w:tcPr>
            <w:tcW w:type="dxa" w:w="1335"/>
            <w:tcMar>
              <w:top w:type="dxa" w:w="70"/>
              <w:left w:type="dxa" w:w="100"/>
              <w:bottom w:type="dxa" w:w="70"/>
              <w:right w:type="dxa" w:w="100"/>
            </w:tcMar>
            <w:vAlign w:val="top"/>
          </w:tcPr>
          <w:p>
            <w:pPr>
              <w:spacing w:after="0" w:line="252" w:lineRule="auto"/>
            </w:pPr>
            <w:r>
              <w:rPr>
                <w:sz w:val="18"/>
                <w:szCs w:val="18"/>
              </w:rPr>
              <w:t xml:space="preserve">Launch / Trigger</w:t>
            </w:r>
          </w:p>
        </w:tc>
        <w:tc>
          <w:tcPr>
            <w:tcW w:type="dxa" w:w="2549"/>
            <w:tcMar>
              <w:top w:type="dxa" w:w="70"/>
              <w:left w:type="dxa" w:w="100"/>
              <w:bottom w:type="dxa" w:w="70"/>
              <w:right w:type="dxa" w:w="100"/>
            </w:tcMar>
            <w:vAlign w:val="top"/>
          </w:tcPr>
          <w:p>
            <w:pPr>
              <w:spacing w:after="0" w:line="252" w:lineRule="auto"/>
            </w:pPr>
            <w:r>
              <w:rPr>
                <w:sz w:val="18"/>
                <w:szCs w:val="18"/>
              </w:rPr>
              <w:t xml:space="preserve">Redshift, Snowflake</w:t>
            </w:r>
          </w:p>
        </w:tc>
        <w:tc>
          <w:tcPr>
            <w:tcW w:type="dxa" w:w="3521"/>
            <w:tcMar>
              <w:top w:type="dxa" w:w="70"/>
              <w:left w:type="dxa" w:w="100"/>
              <w:bottom w:type="dxa" w:w="70"/>
              <w:right w:type="dxa" w:w="100"/>
            </w:tcMar>
            <w:vAlign w:val="top"/>
          </w:tcPr>
          <w:p>
            <w:pPr>
              <w:spacing w:after="0" w:line="252" w:lineRule="auto"/>
            </w:pPr>
            <w:r>
              <w:rPr>
                <w:sz w:val="18"/>
                <w:szCs w:val="18"/>
              </w:rPr>
              <w:t xml:space="preserve">One metric definition set for dashboards, reports and API</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 / 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Observability</w:t>
            </w:r>
          </w:p>
        </w:tc>
        <w:tc>
          <w:tcPr>
            <w:tcW w:type="dxa" w:w="4006"/>
            <w:tcMar>
              <w:top w:type="dxa" w:w="70"/>
              <w:left w:type="dxa" w:w="100"/>
              <w:bottom w:type="dxa" w:w="70"/>
              <w:right w:type="dxa" w:w="100"/>
            </w:tcMar>
            <w:vAlign w:val="top"/>
          </w:tcPr>
          <w:p>
            <w:pPr>
              <w:spacing w:after="0" w:line="252" w:lineRule="auto"/>
            </w:pPr>
            <w:r>
              <w:rPr>
                <w:sz w:val="18"/>
                <w:szCs w:val="18"/>
              </w:rPr>
              <w:t xml:space="preserve">OpenTelemetry (ADOT) → Amazon Managed Prometheus + Grafana; CloudWatch; X-Ray; Sentry</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Datadog, New Relic</w:t>
            </w:r>
          </w:p>
        </w:tc>
        <w:tc>
          <w:tcPr>
            <w:tcW w:type="dxa" w:w="3521"/>
            <w:tcMar>
              <w:top w:type="dxa" w:w="70"/>
              <w:left w:type="dxa" w:w="100"/>
              <w:bottom w:type="dxa" w:w="70"/>
              <w:right w:type="dxa" w:w="100"/>
            </w:tcMar>
            <w:vAlign w:val="top"/>
          </w:tcPr>
          <w:p>
            <w:pPr>
              <w:spacing w:after="0" w:line="252" w:lineRule="auto"/>
            </w:pPr>
            <w:r>
              <w:rPr>
                <w:sz w:val="18"/>
                <w:szCs w:val="18"/>
              </w:rPr>
              <w:t xml:space="preserve">In-region, managed, open standard</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Security</w:t>
            </w:r>
          </w:p>
        </w:tc>
        <w:tc>
          <w:tcPr>
            <w:tcW w:type="dxa" w:w="4006"/>
            <w:tcMar>
              <w:top w:type="dxa" w:w="70"/>
              <w:left w:type="dxa" w:w="100"/>
              <w:bottom w:type="dxa" w:w="70"/>
              <w:right w:type="dxa" w:w="100"/>
            </w:tcMar>
            <w:vAlign w:val="top"/>
          </w:tcPr>
          <w:p>
            <w:pPr>
              <w:spacing w:after="0" w:line="252" w:lineRule="auto"/>
            </w:pPr>
            <w:r>
              <w:rPr>
                <w:sz w:val="18"/>
                <w:szCs w:val="18"/>
              </w:rPr>
              <w:t xml:space="preserve">AWS WAF, Shield Standard, GuardDuty, Security Hub, Inspector, KMS, Secrets Manager, IAM Identity Center</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Third-party WAF</w:t>
            </w:r>
          </w:p>
        </w:tc>
        <w:tc>
          <w:tcPr>
            <w:tcW w:type="dxa" w:w="3521"/>
            <w:tcMar>
              <w:top w:type="dxa" w:w="70"/>
              <w:left w:type="dxa" w:w="100"/>
              <w:bottom w:type="dxa" w:w="70"/>
              <w:right w:type="dxa" w:w="100"/>
            </w:tcMar>
            <w:vAlign w:val="top"/>
          </w:tcPr>
          <w:p>
            <w:pPr>
              <w:spacing w:after="0" w:line="252" w:lineRule="auto"/>
            </w:pPr>
            <w:r>
              <w:rPr>
                <w:sz w:val="18"/>
                <w:szCs w:val="18"/>
              </w:rPr>
              <w:t xml:space="preserve">Native and auditable; Shield Advanced by trigger</w:t>
            </w:r>
          </w:p>
        </w:tc>
        <w:tc>
          <w:tcPr>
            <w:tcW w:type="dxa" w:w="1217"/>
            <w:tcMar>
              <w:top w:type="dxa" w:w="70"/>
              <w:left w:type="dxa" w:w="100"/>
              <w:bottom w:type="dxa" w:w="70"/>
              <w:right w:type="dxa" w:w="100"/>
            </w:tcMar>
            <w:vAlign w:val="top"/>
          </w:tcPr>
          <w:p>
            <w:pPr>
              <w:spacing w:after="0" w:line="252" w:lineRule="auto"/>
            </w:pPr>
            <w:r>
              <w:rPr>
                <w:sz w:val="18"/>
                <w:szCs w:val="18"/>
              </w:rPr>
              <w:t xml:space="preserve">Managed</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AppSec</w:t>
            </w:r>
          </w:p>
        </w:tc>
        <w:tc>
          <w:tcPr>
            <w:tcW w:type="dxa" w:w="4006"/>
            <w:tcMar>
              <w:top w:type="dxa" w:w="70"/>
              <w:left w:type="dxa" w:w="100"/>
              <w:bottom w:type="dxa" w:w="70"/>
              <w:right w:type="dxa" w:w="100"/>
            </w:tcMar>
            <w:vAlign w:val="top"/>
          </w:tcPr>
          <w:p>
            <w:pPr>
              <w:spacing w:after="0" w:line="252" w:lineRule="auto"/>
            </w:pPr>
            <w:r>
              <w:rPr>
                <w:sz w:val="18"/>
                <w:szCs w:val="18"/>
              </w:rPr>
              <w:t xml:space="preserve">GitHub Advanced Security, Semgrep, Renovate, Trivy, ZAP, Syft, cosign, Kyverno</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Snyk, Checkmarx</w:t>
            </w:r>
          </w:p>
        </w:tc>
        <w:tc>
          <w:tcPr>
            <w:tcW w:type="dxa" w:w="3521"/>
            <w:tcMar>
              <w:top w:type="dxa" w:w="70"/>
              <w:left w:type="dxa" w:w="100"/>
              <w:bottom w:type="dxa" w:w="70"/>
              <w:right w:type="dxa" w:w="100"/>
            </w:tcMar>
            <w:vAlign w:val="top"/>
          </w:tcPr>
          <w:p>
            <w:pPr>
              <w:spacing w:after="0" w:line="252" w:lineRule="auto"/>
            </w:pPr>
            <w:r>
              <w:rPr>
                <w:sz w:val="18"/>
                <w:szCs w:val="18"/>
              </w:rPr>
              <w:t xml:space="preserve">Gates on every pull request</w:t>
            </w:r>
          </w:p>
        </w:tc>
        <w:tc>
          <w:tcPr>
            <w:tcW w:type="dxa" w:w="1217"/>
            <w:tcMar>
              <w:top w:type="dxa" w:w="70"/>
              <w:left w:type="dxa" w:w="100"/>
              <w:bottom w:type="dxa" w:w="70"/>
              <w:right w:type="dxa" w:w="100"/>
            </w:tcMar>
            <w:vAlign w:val="top"/>
          </w:tcPr>
          <w:p>
            <w:pPr>
              <w:spacing w:after="0" w:line="252" w:lineRule="auto"/>
            </w:pPr>
            <w:r>
              <w:rPr>
                <w:sz w:val="18"/>
                <w:szCs w:val="18"/>
              </w:rPr>
              <w:t xml:space="preserve">Licence / 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CI/CD and IaC</w:t>
            </w:r>
          </w:p>
        </w:tc>
        <w:tc>
          <w:tcPr>
            <w:tcW w:type="dxa" w:w="4006"/>
            <w:tcMar>
              <w:top w:type="dxa" w:w="70"/>
              <w:left w:type="dxa" w:w="100"/>
              <w:bottom w:type="dxa" w:w="70"/>
              <w:right w:type="dxa" w:w="100"/>
            </w:tcMar>
            <w:vAlign w:val="top"/>
          </w:tcPr>
          <w:p>
            <w:pPr>
              <w:spacing w:after="0" w:line="252" w:lineRule="auto"/>
            </w:pPr>
            <w:r>
              <w:rPr>
                <w:sz w:val="18"/>
                <w:szCs w:val="18"/>
              </w:rPr>
              <w:t xml:space="preserve">GitHub Actions, Argo CD, Argo Rollouts, ECR; Terraform or OpenTofu + Terragrunt; Helm</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GitLab CI, Flux, Pulumi</w:t>
            </w:r>
          </w:p>
        </w:tc>
        <w:tc>
          <w:tcPr>
            <w:tcW w:type="dxa" w:w="3521"/>
            <w:tcMar>
              <w:top w:type="dxa" w:w="70"/>
              <w:left w:type="dxa" w:w="100"/>
              <w:bottom w:type="dxa" w:w="70"/>
              <w:right w:type="dxa" w:w="100"/>
            </w:tcMar>
            <w:vAlign w:val="top"/>
          </w:tcPr>
          <w:p>
            <w:pPr>
              <w:spacing w:after="0" w:line="252" w:lineRule="auto"/>
            </w:pPr>
            <w:r>
              <w:rPr>
                <w:sz w:val="18"/>
                <w:szCs w:val="18"/>
              </w:rPr>
              <w:t xml:space="preserve">GitOps per cell; a cell is a module</w:t>
            </w:r>
          </w:p>
        </w:tc>
        <w:tc>
          <w:tcPr>
            <w:tcW w:type="dxa" w:w="1217"/>
            <w:tcMar>
              <w:top w:type="dxa" w:w="70"/>
              <w:left w:type="dxa" w:w="100"/>
              <w:bottom w:type="dxa" w:w="70"/>
              <w:right w:type="dxa" w:w="100"/>
            </w:tcMar>
            <w:vAlign w:val="top"/>
          </w:tcPr>
          <w:p>
            <w:pPr>
              <w:spacing w:after="0" w:line="252" w:lineRule="auto"/>
            </w:pPr>
            <w:r>
              <w:rPr>
                <w:sz w:val="18"/>
                <w:szCs w:val="18"/>
              </w:rPr>
              <w:t xml:space="preserve">OSS / Licence</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Feature flags</w:t>
            </w:r>
          </w:p>
        </w:tc>
        <w:tc>
          <w:tcPr>
            <w:tcW w:type="dxa" w:w="4006"/>
            <w:tcMar>
              <w:top w:type="dxa" w:w="70"/>
              <w:left w:type="dxa" w:w="100"/>
              <w:bottom w:type="dxa" w:w="70"/>
              <w:right w:type="dxa" w:w="100"/>
            </w:tcMar>
            <w:vAlign w:val="top"/>
          </w:tcPr>
          <w:p>
            <w:pPr>
              <w:spacing w:after="0" w:line="252" w:lineRule="auto"/>
            </w:pPr>
            <w:r>
              <w:rPr>
                <w:sz w:val="18"/>
                <w:szCs w:val="18"/>
              </w:rPr>
              <w:t xml:space="preserve">OpenFeature + Unleash (self-hosted)</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LaunchDarkly</w:t>
            </w:r>
          </w:p>
        </w:tc>
        <w:tc>
          <w:tcPr>
            <w:tcW w:type="dxa" w:w="3521"/>
            <w:tcMar>
              <w:top w:type="dxa" w:w="70"/>
              <w:left w:type="dxa" w:w="100"/>
              <w:bottom w:type="dxa" w:w="70"/>
              <w:right w:type="dxa" w:w="100"/>
            </w:tcMar>
            <w:vAlign w:val="top"/>
          </w:tcPr>
          <w:p>
            <w:pPr>
              <w:spacing w:after="0" w:line="252" w:lineRule="auto"/>
            </w:pPr>
            <w:r>
              <w:rPr>
                <w:sz w:val="18"/>
                <w:szCs w:val="18"/>
              </w:rPr>
              <w:t xml:space="preserve">Per-tenant flags in-region</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Billing</w:t>
            </w:r>
          </w:p>
        </w:tc>
        <w:tc>
          <w:tcPr>
            <w:tcW w:type="dxa" w:w="4006"/>
            <w:tcMar>
              <w:top w:type="dxa" w:w="70"/>
              <w:left w:type="dxa" w:w="100"/>
              <w:bottom w:type="dxa" w:w="70"/>
              <w:right w:type="dxa" w:w="100"/>
            </w:tcMar>
            <w:vAlign w:val="top"/>
          </w:tcPr>
          <w:p>
            <w:pPr>
              <w:spacing w:after="0" w:line="252" w:lineRule="auto"/>
            </w:pPr>
            <w:r>
              <w:rPr>
                <w:sz w:val="18"/>
                <w:szCs w:val="18"/>
              </w:rPr>
              <w:t xml:space="preserve">Chargebee + Razorpay</w:t>
            </w:r>
          </w:p>
        </w:tc>
        <w:tc>
          <w:tcPr>
            <w:tcW w:type="dxa" w:w="1335"/>
            <w:tcMar>
              <w:top w:type="dxa" w:w="70"/>
              <w:left w:type="dxa" w:w="100"/>
              <w:bottom w:type="dxa" w:w="70"/>
              <w:right w:type="dxa" w:w="100"/>
            </w:tcMar>
            <w:vAlign w:val="top"/>
          </w:tcPr>
          <w:p>
            <w:pPr>
              <w:spacing w:after="0" w:line="252" w:lineRule="auto"/>
            </w:pPr>
            <w:r>
              <w:rPr>
                <w:sz w:val="18"/>
                <w:szCs w:val="18"/>
              </w:rPr>
              <w:t xml:space="preserve">Phase 2</w:t>
            </w:r>
          </w:p>
        </w:tc>
        <w:tc>
          <w:tcPr>
            <w:tcW w:type="dxa" w:w="2549"/>
            <w:tcMar>
              <w:top w:type="dxa" w:w="70"/>
              <w:left w:type="dxa" w:w="100"/>
              <w:bottom w:type="dxa" w:w="70"/>
              <w:right w:type="dxa" w:w="100"/>
            </w:tcMar>
            <w:vAlign w:val="top"/>
          </w:tcPr>
          <w:p>
            <w:pPr>
              <w:spacing w:after="0" w:line="252" w:lineRule="auto"/>
            </w:pPr>
            <w:r>
              <w:rPr>
                <w:sz w:val="18"/>
                <w:szCs w:val="18"/>
              </w:rPr>
              <w:t xml:space="preserve">Stripe Billing, Zoho Billing</w:t>
            </w:r>
          </w:p>
        </w:tc>
        <w:tc>
          <w:tcPr>
            <w:tcW w:type="dxa" w:w="3521"/>
            <w:tcMar>
              <w:top w:type="dxa" w:w="70"/>
              <w:left w:type="dxa" w:w="100"/>
              <w:bottom w:type="dxa" w:w="70"/>
              <w:right w:type="dxa" w:w="100"/>
            </w:tcMar>
            <w:vAlign w:val="top"/>
          </w:tcPr>
          <w:p>
            <w:pPr>
              <w:spacing w:after="0" w:line="252" w:lineRule="auto"/>
            </w:pPr>
            <w:r>
              <w:rPr>
                <w:sz w:val="18"/>
                <w:szCs w:val="18"/>
              </w:rPr>
              <w:t xml:space="preserve">INR and GST invoicing</w:t>
            </w:r>
          </w:p>
        </w:tc>
        <w:tc>
          <w:tcPr>
            <w:tcW w:type="dxa" w:w="1217"/>
            <w:tcMar>
              <w:top w:type="dxa" w:w="70"/>
              <w:left w:type="dxa" w:w="100"/>
              <w:bottom w:type="dxa" w:w="70"/>
              <w:right w:type="dxa" w:w="100"/>
            </w:tcMar>
            <w:vAlign w:val="top"/>
          </w:tcPr>
          <w:p>
            <w:pPr>
              <w:spacing w:after="0" w:line="252" w:lineRule="auto"/>
            </w:pPr>
            <w:r>
              <w:rPr>
                <w:sz w:val="18"/>
                <w:szCs w:val="18"/>
              </w:rPr>
              <w:t xml:space="preserve">Licence</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Testing</w:t>
            </w:r>
          </w:p>
        </w:tc>
        <w:tc>
          <w:tcPr>
            <w:tcW w:type="dxa" w:w="4006"/>
            <w:tcMar>
              <w:top w:type="dxa" w:w="70"/>
              <w:left w:type="dxa" w:w="100"/>
              <w:bottom w:type="dxa" w:w="70"/>
              <w:right w:type="dxa" w:w="100"/>
            </w:tcMar>
            <w:vAlign w:val="top"/>
          </w:tcPr>
          <w:p>
            <w:pPr>
              <w:spacing w:after="0" w:line="252" w:lineRule="auto"/>
            </w:pPr>
            <w:r>
              <w:rPr>
                <w:sz w:val="18"/>
                <w:szCs w:val="18"/>
              </w:rPr>
              <w:t xml:space="preserve">JUnit 5, Testcontainers, ArchUnit, jqwik, Playwright, k6, axe, Maestro; AWS FIS</w:t>
            </w:r>
          </w:p>
        </w:tc>
        <w:tc>
          <w:tcPr>
            <w:tcW w:type="dxa" w:w="1335"/>
            <w:tcMar>
              <w:top w:type="dxa" w:w="70"/>
              <w:left w:type="dxa" w:w="100"/>
              <w:bottom w:type="dxa" w:w="70"/>
              <w:right w:type="dxa" w:w="100"/>
            </w:tcMar>
            <w:vAlign w:val="top"/>
          </w:tcPr>
          <w:p>
            <w:pPr>
              <w:spacing w:after="0" w:line="252" w:lineRule="auto"/>
            </w:pPr>
            <w:r>
              <w:rPr>
                <w:sz w:val="18"/>
                <w:szCs w:val="18"/>
              </w:rPr>
              <w:t xml:space="preserve">Launch</w:t>
            </w:r>
          </w:p>
        </w:tc>
        <w:tc>
          <w:tcPr>
            <w:tcW w:type="dxa" w:w="2549"/>
            <w:tcMar>
              <w:top w:type="dxa" w:w="70"/>
              <w:left w:type="dxa" w:w="100"/>
              <w:bottom w:type="dxa" w:w="70"/>
              <w:right w:type="dxa" w:w="100"/>
            </w:tcMar>
            <w:vAlign w:val="top"/>
          </w:tcPr>
          <w:p>
            <w:pPr>
              <w:spacing w:after="0" w:line="252" w:lineRule="auto"/>
            </w:pPr>
            <w:r>
              <w:rPr>
                <w:sz w:val="18"/>
                <w:szCs w:val="18"/>
              </w:rPr>
              <w:t xml:space="preserve">Gatling, Cypress</w:t>
            </w:r>
          </w:p>
        </w:tc>
        <w:tc>
          <w:tcPr>
            <w:tcW w:type="dxa" w:w="3521"/>
            <w:tcMar>
              <w:top w:type="dxa" w:w="70"/>
              <w:left w:type="dxa" w:w="100"/>
              <w:bottom w:type="dxa" w:w="70"/>
              <w:right w:type="dxa" w:w="100"/>
            </w:tcMar>
            <w:vAlign w:val="top"/>
          </w:tcPr>
          <w:p>
            <w:pPr>
              <w:spacing w:after="0" w:line="252" w:lineRule="auto"/>
            </w:pPr>
            <w:r>
              <w:rPr>
                <w:sz w:val="18"/>
                <w:szCs w:val="18"/>
              </w:rPr>
              <w:t xml:space="preserve">Section 15.4</w:t>
            </w:r>
          </w:p>
        </w:tc>
        <w:tc>
          <w:tcPr>
            <w:tcW w:type="dxa" w:w="1217"/>
            <w:tcMar>
              <w:top w:type="dxa" w:w="70"/>
              <w:left w:type="dxa" w:w="100"/>
              <w:bottom w:type="dxa" w:w="70"/>
              <w:right w:type="dxa" w:w="100"/>
            </w:tcMar>
            <w:vAlign w:val="top"/>
          </w:tcPr>
          <w:p>
            <w:pPr>
              <w:spacing w:after="0" w:line="252" w:lineRule="auto"/>
            </w:pPr>
            <w:r>
              <w:rPr>
                <w:sz w:val="18"/>
                <w:szCs w:val="18"/>
              </w:rPr>
              <w:t xml:space="preserve">OSS</w:t>
            </w:r>
          </w:p>
        </w:tc>
      </w:tr>
      <w:tr>
        <w:trPr>
          <w:cantSplit/>
          <w:tblHeader w:val="false"/>
        </w:trPr>
        <w:tc>
          <w:tcPr>
            <w:tcW w:type="dxa" w:w="1942"/>
            <w:tcMar>
              <w:top w:type="dxa" w:w="70"/>
              <w:left w:type="dxa" w:w="100"/>
              <w:bottom w:type="dxa" w:w="70"/>
              <w:right w:type="dxa" w:w="100"/>
            </w:tcMar>
            <w:vAlign w:val="top"/>
          </w:tcPr>
          <w:p>
            <w:pPr>
              <w:spacing w:after="0" w:line="252" w:lineRule="auto"/>
            </w:pPr>
            <w:r>
              <w:rPr>
                <w:b/>
                <w:bCs/>
                <w:color w:val="16222A"/>
                <w:sz w:val="18"/>
                <w:szCs w:val="18"/>
              </w:rPr>
              <w:t xml:space="preserve">Governance and support</w:t>
            </w:r>
          </w:p>
        </w:tc>
        <w:tc>
          <w:tcPr>
            <w:tcW w:type="dxa" w:w="4006"/>
            <w:tcMar>
              <w:top w:type="dxa" w:w="70"/>
              <w:left w:type="dxa" w:w="100"/>
              <w:bottom w:type="dxa" w:w="70"/>
              <w:right w:type="dxa" w:w="100"/>
            </w:tcMar>
            <w:vAlign w:val="top"/>
          </w:tcPr>
          <w:p>
            <w:pPr>
              <w:spacing w:after="0" w:line="252" w:lineRule="auto"/>
            </w:pPr>
            <w:r>
              <w:rPr>
                <w:sz w:val="18"/>
                <w:szCs w:val="18"/>
              </w:rPr>
              <w:t xml:space="preserve">Vanta or Drata; PagerDuty or incident.io; Instatus or Statuspage; Freshdesk or Zendesk</w:t>
            </w:r>
          </w:p>
        </w:tc>
        <w:tc>
          <w:tcPr>
            <w:tcW w:type="dxa" w:w="1335"/>
            <w:tcMar>
              <w:top w:type="dxa" w:w="70"/>
              <w:left w:type="dxa" w:w="100"/>
              <w:bottom w:type="dxa" w:w="70"/>
              <w:right w:type="dxa" w:w="100"/>
            </w:tcMar>
            <w:vAlign w:val="top"/>
          </w:tcPr>
          <w:p>
            <w:pPr>
              <w:spacing w:after="0" w:line="252" w:lineRule="auto"/>
            </w:pPr>
            <w:r>
              <w:rPr>
                <w:sz w:val="18"/>
                <w:szCs w:val="18"/>
              </w:rPr>
              <w:t xml:space="preserve">Phase 1–2</w:t>
            </w:r>
          </w:p>
        </w:tc>
        <w:tc>
          <w:tcPr>
            <w:tcW w:type="dxa" w:w="2549"/>
            <w:tcMar>
              <w:top w:type="dxa" w:w="70"/>
              <w:left w:type="dxa" w:w="100"/>
              <w:bottom w:type="dxa" w:w="70"/>
              <w:right w:type="dxa" w:w="100"/>
            </w:tcMar>
            <w:vAlign w:val="top"/>
          </w:tcPr>
          <w:p>
            <w:pPr>
              <w:spacing w:after="0" w:line="252" w:lineRule="auto"/>
            </w:pPr>
            <w:r>
              <w:rPr>
                <w:sz w:val="18"/>
                <w:szCs w:val="18"/>
              </w:rPr>
              <w:t xml:space="preserve">Jira Service Management</w:t>
            </w:r>
          </w:p>
        </w:tc>
        <w:tc>
          <w:tcPr>
            <w:tcW w:type="dxa" w:w="3521"/>
            <w:tcMar>
              <w:top w:type="dxa" w:w="70"/>
              <w:left w:type="dxa" w:w="100"/>
              <w:bottom w:type="dxa" w:w="70"/>
              <w:right w:type="dxa" w:w="100"/>
            </w:tcMar>
            <w:vAlign w:val="top"/>
          </w:tcPr>
          <w:p>
            <w:pPr>
              <w:spacing w:after="0" w:line="252" w:lineRule="auto"/>
            </w:pPr>
            <w:r>
              <w:rPr>
                <w:sz w:val="18"/>
                <w:szCs w:val="18"/>
              </w:rPr>
              <w:t xml:space="preserve">Evidence, paging, status, support</w:t>
            </w:r>
          </w:p>
        </w:tc>
        <w:tc>
          <w:tcPr>
            <w:tcW w:type="dxa" w:w="1217"/>
            <w:tcMar>
              <w:top w:type="dxa" w:w="70"/>
              <w:left w:type="dxa" w:w="100"/>
              <w:bottom w:type="dxa" w:w="70"/>
              <w:right w:type="dxa" w:w="100"/>
            </w:tcMar>
            <w:vAlign w:val="top"/>
          </w:tcPr>
          <w:p>
            <w:pPr>
              <w:spacing w:after="0" w:line="252" w:lineRule="auto"/>
            </w:pPr>
            <w:r>
              <w:rPr>
                <w:sz w:val="18"/>
                <w:szCs w:val="18"/>
              </w:rPr>
              <w:t xml:space="preserve">Licence</w:t>
            </w:r>
          </w:p>
        </w:tc>
      </w:tr>
    </w:tbl>
    <w:p>
      <w:pPr>
        <w:spacing w:after="160"/>
      </w:pPr>
    </w:p>
    <w:p>
      <w:pPr>
        <w:sectPr>
          <w:headerReference w:type="default" r:id="rId29"/>
          <w:footerReference w:type="default" r:id="rId30"/>
          <w:pgSz w:w="16838" w:h="11906" w:orient="landscape"/>
          <w:pgMar w:top="1134" w:right="1134" w:bottom="1134" w:left="1134" w:header="567" w:footer="567" w:gutter="0"/>
          <w:pgNumType/>
          <w:docGrid w:linePitch="360"/>
        </w:sectPr>
      </w:pPr>
    </w:p>
    <w:p>
      <w:pPr>
        <w:pStyle w:val="Heading2"/>
      </w:pPr>
      <w:bookmarkStart w:id="8063" w:name="_Toc900063"/>
      <w:r>
        <w:t xml:space="preserve">14.1 Paid services and licences</w:t>
      </w:r>
      <w:bookmarkEnd w:id="806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4261"/>
        <w:gridCol w:w="1826"/>
        <w:gridCol w:w="3551"/>
      </w:tblGrid>
      <w:tr>
        <w:trPr>
          <w:cantSplit/>
          <w:tblHeader/>
        </w:trPr>
        <w:tc>
          <w:tcPr>
            <w:tcW w:type="dxa" w:w="426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Item</w:t>
            </w:r>
          </w:p>
        </w:tc>
        <w:tc>
          <w:tcPr>
            <w:tcW w:type="dxa" w:w="182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Needed from</w:t>
            </w:r>
          </w:p>
        </w:tc>
        <w:tc>
          <w:tcPr>
            <w:tcW w:type="dxa" w:w="355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Pricing basis</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AWS (all managed services)</w:t>
            </w:r>
          </w:p>
        </w:tc>
        <w:tc>
          <w:tcPr>
            <w:tcW w:type="dxa" w:w="1826"/>
            <w:tcMar>
              <w:top w:type="dxa" w:w="70"/>
              <w:left w:type="dxa" w:w="100"/>
              <w:bottom w:type="dxa" w:w="70"/>
              <w:right w:type="dxa" w:w="100"/>
            </w:tcMar>
            <w:vAlign w:val="top"/>
          </w:tcPr>
          <w:p>
            <w:pPr>
              <w:spacing w:after="0" w:line="252" w:lineRule="auto"/>
            </w:pPr>
            <w:r>
              <w:rPr>
                <w:sz w:val="18"/>
                <w:szCs w:val="18"/>
              </w:rPr>
              <w:t xml:space="preserve">Phase 0</w:t>
            </w:r>
          </w:p>
        </w:tc>
        <w:tc>
          <w:tcPr>
            <w:tcW w:type="dxa" w:w="3551"/>
            <w:tcMar>
              <w:top w:type="dxa" w:w="70"/>
              <w:left w:type="dxa" w:w="100"/>
              <w:bottom w:type="dxa" w:w="70"/>
              <w:right w:type="dxa" w:w="100"/>
            </w:tcMar>
            <w:vAlign w:val="top"/>
          </w:tcPr>
          <w:p>
            <w:pPr>
              <w:spacing w:after="0" w:line="252" w:lineRule="auto"/>
            </w:pPr>
            <w:r>
              <w:rPr>
                <w:sz w:val="18"/>
                <w:szCs w:val="18"/>
              </w:rPr>
              <w:t xml:space="preserve">Usage; Savings Plans after base load is known</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GitHub (Team or Enterprise + Advanced Security)</w:t>
            </w:r>
          </w:p>
        </w:tc>
        <w:tc>
          <w:tcPr>
            <w:tcW w:type="dxa" w:w="1826"/>
            <w:tcMar>
              <w:top w:type="dxa" w:w="70"/>
              <w:left w:type="dxa" w:w="100"/>
              <w:bottom w:type="dxa" w:w="70"/>
              <w:right w:type="dxa" w:w="100"/>
            </w:tcMar>
            <w:vAlign w:val="top"/>
          </w:tcPr>
          <w:p>
            <w:pPr>
              <w:spacing w:after="0" w:line="252" w:lineRule="auto"/>
            </w:pPr>
            <w:r>
              <w:rPr>
                <w:sz w:val="18"/>
                <w:szCs w:val="18"/>
              </w:rPr>
              <w:t xml:space="preserve">Phase 0</w:t>
            </w:r>
          </w:p>
        </w:tc>
        <w:tc>
          <w:tcPr>
            <w:tcW w:type="dxa" w:w="3551"/>
            <w:tcMar>
              <w:top w:type="dxa" w:w="70"/>
              <w:left w:type="dxa" w:w="100"/>
              <w:bottom w:type="dxa" w:w="70"/>
              <w:right w:type="dxa" w:w="100"/>
            </w:tcMar>
            <w:vAlign w:val="top"/>
          </w:tcPr>
          <w:p>
            <w:pPr>
              <w:spacing w:after="0" w:line="252" w:lineRule="auto"/>
            </w:pPr>
            <w:r>
              <w:rPr>
                <w:sz w:val="18"/>
                <w:szCs w:val="18"/>
              </w:rPr>
              <w:t xml:space="preserve">Per user</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Redocly</w:t>
            </w:r>
          </w:p>
        </w:tc>
        <w:tc>
          <w:tcPr>
            <w:tcW w:type="dxa" w:w="1826"/>
            <w:tcMar>
              <w:top w:type="dxa" w:w="70"/>
              <w:left w:type="dxa" w:w="100"/>
              <w:bottom w:type="dxa" w:w="70"/>
              <w:right w:type="dxa" w:w="100"/>
            </w:tcMar>
            <w:vAlign w:val="top"/>
          </w:tcPr>
          <w:p>
            <w:pPr>
              <w:spacing w:after="0" w:line="252" w:lineRule="auto"/>
            </w:pPr>
            <w:r>
              <w:rPr>
                <w:sz w:val="18"/>
                <w:szCs w:val="18"/>
              </w:rPr>
              <w:t xml:space="preserve">Phase 1</w:t>
            </w:r>
          </w:p>
        </w:tc>
        <w:tc>
          <w:tcPr>
            <w:tcW w:type="dxa" w:w="3551"/>
            <w:tcMar>
              <w:top w:type="dxa" w:w="70"/>
              <w:left w:type="dxa" w:w="100"/>
              <w:bottom w:type="dxa" w:w="70"/>
              <w:right w:type="dxa" w:w="100"/>
            </w:tcMar>
            <w:vAlign w:val="top"/>
          </w:tcPr>
          <w:p>
            <w:pPr>
              <w:spacing w:after="0" w:line="252" w:lineRule="auto"/>
            </w:pPr>
            <w:r>
              <w:rPr>
                <w:sz w:val="18"/>
                <w:szCs w:val="18"/>
              </w:rPr>
              <w:t xml:space="preserve">Per seat or plan</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Sentry</w:t>
            </w:r>
          </w:p>
        </w:tc>
        <w:tc>
          <w:tcPr>
            <w:tcW w:type="dxa" w:w="1826"/>
            <w:tcMar>
              <w:top w:type="dxa" w:w="70"/>
              <w:left w:type="dxa" w:w="100"/>
              <w:bottom w:type="dxa" w:w="70"/>
              <w:right w:type="dxa" w:w="100"/>
            </w:tcMar>
            <w:vAlign w:val="top"/>
          </w:tcPr>
          <w:p>
            <w:pPr>
              <w:spacing w:after="0" w:line="252" w:lineRule="auto"/>
            </w:pPr>
            <w:r>
              <w:rPr>
                <w:sz w:val="18"/>
                <w:szCs w:val="18"/>
              </w:rPr>
              <w:t xml:space="preserve">Phase 0</w:t>
            </w:r>
          </w:p>
        </w:tc>
        <w:tc>
          <w:tcPr>
            <w:tcW w:type="dxa" w:w="3551"/>
            <w:tcMar>
              <w:top w:type="dxa" w:w="70"/>
              <w:left w:type="dxa" w:w="100"/>
              <w:bottom w:type="dxa" w:w="70"/>
              <w:right w:type="dxa" w:w="100"/>
            </w:tcMar>
            <w:vAlign w:val="top"/>
          </w:tcPr>
          <w:p>
            <w:pPr>
              <w:spacing w:after="0" w:line="252" w:lineRule="auto"/>
            </w:pPr>
            <w:r>
              <w:rPr>
                <w:sz w:val="18"/>
                <w:szCs w:val="18"/>
              </w:rPr>
              <w:t xml:space="preserve">Per event volume</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Vanta or Drata</w:t>
            </w:r>
          </w:p>
        </w:tc>
        <w:tc>
          <w:tcPr>
            <w:tcW w:type="dxa" w:w="1826"/>
            <w:tcMar>
              <w:top w:type="dxa" w:w="70"/>
              <w:left w:type="dxa" w:w="100"/>
              <w:bottom w:type="dxa" w:w="70"/>
              <w:right w:type="dxa" w:w="100"/>
            </w:tcMar>
            <w:vAlign w:val="top"/>
          </w:tcPr>
          <w:p>
            <w:pPr>
              <w:spacing w:after="0" w:line="252" w:lineRule="auto"/>
            </w:pPr>
            <w:r>
              <w:rPr>
                <w:sz w:val="18"/>
                <w:szCs w:val="18"/>
              </w:rPr>
              <w:t xml:space="preserve">Phase 1</w:t>
            </w:r>
          </w:p>
        </w:tc>
        <w:tc>
          <w:tcPr>
            <w:tcW w:type="dxa" w:w="3551"/>
            <w:tcMar>
              <w:top w:type="dxa" w:w="70"/>
              <w:left w:type="dxa" w:w="100"/>
              <w:bottom w:type="dxa" w:w="70"/>
              <w:right w:type="dxa" w:w="100"/>
            </w:tcMar>
            <w:vAlign w:val="top"/>
          </w:tcPr>
          <w:p>
            <w:pPr>
              <w:spacing w:after="0" w:line="252" w:lineRule="auto"/>
            </w:pPr>
            <w:r>
              <w:rPr>
                <w:sz w:val="18"/>
                <w:szCs w:val="18"/>
              </w:rPr>
              <w:t xml:space="preserve">Annual plan</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PagerDuty or incident.io; Instatus or Statuspage</w:t>
            </w:r>
          </w:p>
        </w:tc>
        <w:tc>
          <w:tcPr>
            <w:tcW w:type="dxa" w:w="1826"/>
            <w:tcMar>
              <w:top w:type="dxa" w:w="70"/>
              <w:left w:type="dxa" w:w="100"/>
              <w:bottom w:type="dxa" w:w="70"/>
              <w:right w:type="dxa" w:w="100"/>
            </w:tcMar>
            <w:vAlign w:val="top"/>
          </w:tcPr>
          <w:p>
            <w:pPr>
              <w:spacing w:after="0" w:line="252" w:lineRule="auto"/>
            </w:pPr>
            <w:r>
              <w:rPr>
                <w:sz w:val="18"/>
                <w:szCs w:val="18"/>
              </w:rPr>
              <w:t xml:space="preserve">Phase 1</w:t>
            </w:r>
          </w:p>
        </w:tc>
        <w:tc>
          <w:tcPr>
            <w:tcW w:type="dxa" w:w="3551"/>
            <w:tcMar>
              <w:top w:type="dxa" w:w="70"/>
              <w:left w:type="dxa" w:w="100"/>
              <w:bottom w:type="dxa" w:w="70"/>
              <w:right w:type="dxa" w:w="100"/>
            </w:tcMar>
            <w:vAlign w:val="top"/>
          </w:tcPr>
          <w:p>
            <w:pPr>
              <w:spacing w:after="0" w:line="252" w:lineRule="auto"/>
            </w:pPr>
            <w:r>
              <w:rPr>
                <w:sz w:val="18"/>
                <w:szCs w:val="18"/>
              </w:rPr>
              <w:t xml:space="preserve">Per user or plan</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Chargebee; Razorpay</w:t>
            </w:r>
          </w:p>
        </w:tc>
        <w:tc>
          <w:tcPr>
            <w:tcW w:type="dxa" w:w="1826"/>
            <w:tcMar>
              <w:top w:type="dxa" w:w="70"/>
              <w:left w:type="dxa" w:w="100"/>
              <w:bottom w:type="dxa" w:w="70"/>
              <w:right w:type="dxa" w:w="100"/>
            </w:tcMar>
            <w:vAlign w:val="top"/>
          </w:tcPr>
          <w:p>
            <w:pPr>
              <w:spacing w:after="0" w:line="252" w:lineRule="auto"/>
            </w:pPr>
            <w:r>
              <w:rPr>
                <w:sz w:val="18"/>
                <w:szCs w:val="18"/>
              </w:rPr>
              <w:t xml:space="preserve">Phase 2</w:t>
            </w:r>
          </w:p>
        </w:tc>
        <w:tc>
          <w:tcPr>
            <w:tcW w:type="dxa" w:w="3551"/>
            <w:tcMar>
              <w:top w:type="dxa" w:w="70"/>
              <w:left w:type="dxa" w:w="100"/>
              <w:bottom w:type="dxa" w:w="70"/>
              <w:right w:type="dxa" w:w="100"/>
            </w:tcMar>
            <w:vAlign w:val="top"/>
          </w:tcPr>
          <w:p>
            <w:pPr>
              <w:spacing w:after="0" w:line="252" w:lineRule="auto"/>
            </w:pPr>
            <w:r>
              <w:rPr>
                <w:sz w:val="18"/>
                <w:szCs w:val="18"/>
              </w:rPr>
              <w:t xml:space="preserve">Revenue-based; per transaction</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SMS, WhatsApp, e-sign, BGV providers</w:t>
            </w:r>
          </w:p>
        </w:tc>
        <w:tc>
          <w:tcPr>
            <w:tcW w:type="dxa" w:w="1826"/>
            <w:tcMar>
              <w:top w:type="dxa" w:w="70"/>
              <w:left w:type="dxa" w:w="100"/>
              <w:bottom w:type="dxa" w:w="70"/>
              <w:right w:type="dxa" w:w="100"/>
            </w:tcMar>
            <w:vAlign w:val="top"/>
          </w:tcPr>
          <w:p>
            <w:pPr>
              <w:spacing w:after="0" w:line="252" w:lineRule="auto"/>
            </w:pPr>
            <w:r>
              <w:rPr>
                <w:sz w:val="18"/>
                <w:szCs w:val="18"/>
              </w:rPr>
              <w:t xml:space="preserve">Phase 1–2</w:t>
            </w:r>
          </w:p>
        </w:tc>
        <w:tc>
          <w:tcPr>
            <w:tcW w:type="dxa" w:w="3551"/>
            <w:tcMar>
              <w:top w:type="dxa" w:w="70"/>
              <w:left w:type="dxa" w:w="100"/>
              <w:bottom w:type="dxa" w:w="70"/>
              <w:right w:type="dxa" w:w="100"/>
            </w:tcMar>
            <w:vAlign w:val="top"/>
          </w:tcPr>
          <w:p>
            <w:pPr>
              <w:spacing w:after="0" w:line="252" w:lineRule="auto"/>
            </w:pPr>
            <w:r>
              <w:rPr>
                <w:sz w:val="18"/>
                <w:szCs w:val="18"/>
              </w:rPr>
              <w:t xml:space="preserve">Per message or transaction (passed through)</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Carbone (if commercial features needed)</w:t>
            </w:r>
          </w:p>
        </w:tc>
        <w:tc>
          <w:tcPr>
            <w:tcW w:type="dxa" w:w="1826"/>
            <w:tcMar>
              <w:top w:type="dxa" w:w="70"/>
              <w:left w:type="dxa" w:w="100"/>
              <w:bottom w:type="dxa" w:w="70"/>
              <w:right w:type="dxa" w:w="100"/>
            </w:tcMar>
            <w:vAlign w:val="top"/>
          </w:tcPr>
          <w:p>
            <w:pPr>
              <w:spacing w:after="0" w:line="252" w:lineRule="auto"/>
            </w:pPr>
            <w:r>
              <w:rPr>
                <w:sz w:val="18"/>
                <w:szCs w:val="18"/>
              </w:rPr>
              <w:t xml:space="preserve">Phase 1</w:t>
            </w:r>
          </w:p>
        </w:tc>
        <w:tc>
          <w:tcPr>
            <w:tcW w:type="dxa" w:w="3551"/>
            <w:tcMar>
              <w:top w:type="dxa" w:w="70"/>
              <w:left w:type="dxa" w:w="100"/>
              <w:bottom w:type="dxa" w:w="70"/>
              <w:right w:type="dxa" w:w="100"/>
            </w:tcMar>
            <w:vAlign w:val="top"/>
          </w:tcPr>
          <w:p>
            <w:pPr>
              <w:spacing w:after="0" w:line="252" w:lineRule="auto"/>
            </w:pPr>
            <w:r>
              <w:rPr>
                <w:sz w:val="18"/>
                <w:szCs w:val="18"/>
              </w:rPr>
              <w:t xml:space="preserve">Plan</w:t>
            </w:r>
          </w:p>
        </w:tc>
      </w:tr>
      <w:tr>
        <w:trPr>
          <w:cantSplit/>
          <w:tblHeader w:val="false"/>
        </w:trPr>
        <w:tc>
          <w:tcPr>
            <w:tcW w:type="dxa" w:w="4261"/>
            <w:tcMar>
              <w:top w:type="dxa" w:w="70"/>
              <w:left w:type="dxa" w:w="100"/>
              <w:bottom w:type="dxa" w:w="70"/>
              <w:right w:type="dxa" w:w="100"/>
            </w:tcMar>
            <w:vAlign w:val="top"/>
          </w:tcPr>
          <w:p>
            <w:pPr>
              <w:spacing w:after="0" w:line="252" w:lineRule="auto"/>
            </w:pPr>
            <w:r>
              <w:rPr>
                <w:b/>
                <w:bCs/>
                <w:color w:val="16222A"/>
                <w:sz w:val="18"/>
                <w:szCs w:val="18"/>
              </w:rPr>
              <w:t xml:space="preserve">Kong Enterprise/Konnect, Svix, Temporal Cloud, ClickHouse Cloud, Speakeasy or Stainless</w:t>
            </w:r>
          </w:p>
        </w:tc>
        <w:tc>
          <w:tcPr>
            <w:tcW w:type="dxa" w:w="1826"/>
            <w:tcMar>
              <w:top w:type="dxa" w:w="70"/>
              <w:left w:type="dxa" w:w="100"/>
              <w:bottom w:type="dxa" w:w="70"/>
              <w:right w:type="dxa" w:w="100"/>
            </w:tcMar>
            <w:vAlign w:val="top"/>
          </w:tcPr>
          <w:p>
            <w:pPr>
              <w:spacing w:after="0" w:line="252" w:lineRule="auto"/>
            </w:pPr>
            <w:r>
              <w:rPr>
                <w:sz w:val="18"/>
                <w:szCs w:val="18"/>
              </w:rPr>
              <w:t xml:space="preserve">By trigger only</w:t>
            </w:r>
          </w:p>
        </w:tc>
        <w:tc>
          <w:tcPr>
            <w:tcW w:type="dxa" w:w="3551"/>
            <w:tcMar>
              <w:top w:type="dxa" w:w="70"/>
              <w:left w:type="dxa" w:w="100"/>
              <w:bottom w:type="dxa" w:w="70"/>
              <w:right w:type="dxa" w:w="100"/>
            </w:tcMar>
            <w:vAlign w:val="top"/>
          </w:tcPr>
          <w:p>
            <w:pPr>
              <w:spacing w:after="0" w:line="252" w:lineRule="auto"/>
            </w:pPr>
            <w:r>
              <w:rPr>
                <w:sz w:val="18"/>
                <w:szCs w:val="18"/>
              </w:rPr>
              <w:t xml:space="preserve">Subscription or usage</w:t>
            </w:r>
          </w:p>
        </w:tc>
      </w:tr>
    </w:tbl>
    <w:p>
      <w:pPr>
        <w:spacing w:after="160"/>
      </w:pPr>
    </w:p>
    <w:p>
      <w:pPr>
        <w:pStyle w:val="Heading2"/>
      </w:pPr>
      <w:bookmarkStart w:id="8064" w:name="_Toc900064"/>
      <w:r>
        <w:t xml:space="preserve">14.2 Portability</w:t>
      </w:r>
      <w:bookmarkEnd w:id="8064"/>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927"/>
        <w:gridCol w:w="2029"/>
        <w:gridCol w:w="2029"/>
        <w:gridCol w:w="1826"/>
        <w:gridCol w:w="1827"/>
      </w:tblGrid>
      <w:tr>
        <w:trPr>
          <w:cantSplit/>
          <w:tblHeader/>
        </w:trPr>
        <w:tc>
          <w:tcPr>
            <w:tcW w:type="dxa" w:w="192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Component</w:t>
            </w:r>
          </w:p>
        </w:tc>
        <w:tc>
          <w:tcPr>
            <w:tcW w:type="dxa" w:w="202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AWS (default)</w:t>
            </w:r>
          </w:p>
        </w:tc>
        <w:tc>
          <w:tcPr>
            <w:tcW w:type="dxa" w:w="202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Azure</w:t>
            </w:r>
          </w:p>
        </w:tc>
        <w:tc>
          <w:tcPr>
            <w:tcW w:type="dxa" w:w="182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GCP</w:t>
            </w:r>
          </w:p>
        </w:tc>
        <w:tc>
          <w:tcPr>
            <w:tcW w:type="dxa" w:w="182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Portable / on-premises</w:t>
            </w:r>
          </w:p>
        </w:tc>
      </w:tr>
      <w:tr>
        <w:trPr>
          <w:cantSplit/>
          <w:tblHeader w:val="false"/>
        </w:trPr>
        <w:tc>
          <w:tcPr>
            <w:tcW w:type="dxa" w:w="1927"/>
            <w:tcMar>
              <w:top w:type="dxa" w:w="70"/>
              <w:left w:type="dxa" w:w="100"/>
              <w:bottom w:type="dxa" w:w="70"/>
              <w:right w:type="dxa" w:w="100"/>
            </w:tcMar>
            <w:vAlign w:val="top"/>
          </w:tcPr>
          <w:p>
            <w:pPr>
              <w:spacing w:after="0" w:line="252" w:lineRule="auto"/>
            </w:pPr>
            <w:r>
              <w:rPr>
                <w:b/>
                <w:bCs/>
                <w:color w:val="16222A"/>
                <w:sz w:val="18"/>
                <w:szCs w:val="18"/>
              </w:rPr>
              <w:t xml:space="preserve">Kubernetes</w:t>
            </w:r>
          </w:p>
        </w:tc>
        <w:tc>
          <w:tcPr>
            <w:tcW w:type="dxa" w:w="2029"/>
            <w:tcMar>
              <w:top w:type="dxa" w:w="70"/>
              <w:left w:type="dxa" w:w="100"/>
              <w:bottom w:type="dxa" w:w="70"/>
              <w:right w:type="dxa" w:w="100"/>
            </w:tcMar>
            <w:vAlign w:val="top"/>
          </w:tcPr>
          <w:p>
            <w:pPr>
              <w:spacing w:after="0" w:line="252" w:lineRule="auto"/>
            </w:pPr>
            <w:r>
              <w:rPr>
                <w:sz w:val="18"/>
                <w:szCs w:val="18"/>
              </w:rPr>
              <w:t xml:space="preserve">EKS</w:t>
            </w:r>
          </w:p>
        </w:tc>
        <w:tc>
          <w:tcPr>
            <w:tcW w:type="dxa" w:w="2029"/>
            <w:tcMar>
              <w:top w:type="dxa" w:w="70"/>
              <w:left w:type="dxa" w:w="100"/>
              <w:bottom w:type="dxa" w:w="70"/>
              <w:right w:type="dxa" w:w="100"/>
            </w:tcMar>
            <w:vAlign w:val="top"/>
          </w:tcPr>
          <w:p>
            <w:pPr>
              <w:spacing w:after="0" w:line="252" w:lineRule="auto"/>
            </w:pPr>
            <w:r>
              <w:rPr>
                <w:sz w:val="18"/>
                <w:szCs w:val="18"/>
              </w:rPr>
              <w:t xml:space="preserve">AKS</w:t>
            </w:r>
          </w:p>
        </w:tc>
        <w:tc>
          <w:tcPr>
            <w:tcW w:type="dxa" w:w="1826"/>
            <w:tcMar>
              <w:top w:type="dxa" w:w="70"/>
              <w:left w:type="dxa" w:w="100"/>
              <w:bottom w:type="dxa" w:w="70"/>
              <w:right w:type="dxa" w:w="100"/>
            </w:tcMar>
            <w:vAlign w:val="top"/>
          </w:tcPr>
          <w:p>
            <w:pPr>
              <w:spacing w:after="0" w:line="252" w:lineRule="auto"/>
            </w:pPr>
            <w:r>
              <w:rPr>
                <w:sz w:val="18"/>
                <w:szCs w:val="18"/>
              </w:rPr>
              <w:t xml:space="preserve">GKE</w:t>
            </w:r>
          </w:p>
        </w:tc>
        <w:tc>
          <w:tcPr>
            <w:tcW w:type="dxa" w:w="1827"/>
            <w:tcMar>
              <w:top w:type="dxa" w:w="70"/>
              <w:left w:type="dxa" w:w="100"/>
              <w:bottom w:type="dxa" w:w="70"/>
              <w:right w:type="dxa" w:w="100"/>
            </w:tcMar>
            <w:vAlign w:val="top"/>
          </w:tcPr>
          <w:p>
            <w:pPr>
              <w:spacing w:after="0" w:line="252" w:lineRule="auto"/>
            </w:pPr>
            <w:r>
              <w:rPr>
                <w:sz w:val="18"/>
                <w:szCs w:val="18"/>
              </w:rPr>
              <w:t xml:space="preserve">Any conformant Kubernetes</w:t>
            </w:r>
          </w:p>
        </w:tc>
      </w:tr>
      <w:tr>
        <w:trPr>
          <w:cantSplit/>
          <w:tblHeader w:val="false"/>
        </w:trPr>
        <w:tc>
          <w:tcPr>
            <w:tcW w:type="dxa" w:w="1927"/>
            <w:tcMar>
              <w:top w:type="dxa" w:w="70"/>
              <w:left w:type="dxa" w:w="100"/>
              <w:bottom w:type="dxa" w:w="70"/>
              <w:right w:type="dxa" w:w="100"/>
            </w:tcMar>
            <w:vAlign w:val="top"/>
          </w:tcPr>
          <w:p>
            <w:pPr>
              <w:spacing w:after="0" w:line="252" w:lineRule="auto"/>
            </w:pPr>
            <w:r>
              <w:rPr>
                <w:b/>
                <w:bCs/>
                <w:color w:val="16222A"/>
                <w:sz w:val="18"/>
                <w:szCs w:val="18"/>
              </w:rPr>
              <w:t xml:space="preserve">PostgreSQL</w:t>
            </w:r>
          </w:p>
        </w:tc>
        <w:tc>
          <w:tcPr>
            <w:tcW w:type="dxa" w:w="2029"/>
            <w:tcMar>
              <w:top w:type="dxa" w:w="70"/>
              <w:left w:type="dxa" w:w="100"/>
              <w:bottom w:type="dxa" w:w="70"/>
              <w:right w:type="dxa" w:w="100"/>
            </w:tcMar>
            <w:vAlign w:val="top"/>
          </w:tcPr>
          <w:p>
            <w:pPr>
              <w:spacing w:after="0" w:line="252" w:lineRule="auto"/>
            </w:pPr>
            <w:r>
              <w:rPr>
                <w:sz w:val="18"/>
                <w:szCs w:val="18"/>
              </w:rPr>
              <w:t xml:space="preserve">Aurora PostgreSQL</w:t>
            </w:r>
          </w:p>
        </w:tc>
        <w:tc>
          <w:tcPr>
            <w:tcW w:type="dxa" w:w="2029"/>
            <w:tcMar>
              <w:top w:type="dxa" w:w="70"/>
              <w:left w:type="dxa" w:w="100"/>
              <w:bottom w:type="dxa" w:w="70"/>
              <w:right w:type="dxa" w:w="100"/>
            </w:tcMar>
            <w:vAlign w:val="top"/>
          </w:tcPr>
          <w:p>
            <w:pPr>
              <w:spacing w:after="0" w:line="252" w:lineRule="auto"/>
            </w:pPr>
            <w:r>
              <w:rPr>
                <w:sz w:val="18"/>
                <w:szCs w:val="18"/>
              </w:rPr>
              <w:t xml:space="preserve">PostgreSQL Flexible Server</w:t>
            </w:r>
          </w:p>
        </w:tc>
        <w:tc>
          <w:tcPr>
            <w:tcW w:type="dxa" w:w="1826"/>
            <w:tcMar>
              <w:top w:type="dxa" w:w="70"/>
              <w:left w:type="dxa" w:w="100"/>
              <w:bottom w:type="dxa" w:w="70"/>
              <w:right w:type="dxa" w:w="100"/>
            </w:tcMar>
            <w:vAlign w:val="top"/>
          </w:tcPr>
          <w:p>
            <w:pPr>
              <w:spacing w:after="0" w:line="252" w:lineRule="auto"/>
            </w:pPr>
            <w:r>
              <w:rPr>
                <w:sz w:val="18"/>
                <w:szCs w:val="18"/>
              </w:rPr>
              <w:t xml:space="preserve">AlloyDB / Cloud SQL</w:t>
            </w:r>
          </w:p>
        </w:tc>
        <w:tc>
          <w:tcPr>
            <w:tcW w:type="dxa" w:w="1827"/>
            <w:tcMar>
              <w:top w:type="dxa" w:w="70"/>
              <w:left w:type="dxa" w:w="100"/>
              <w:bottom w:type="dxa" w:w="70"/>
              <w:right w:type="dxa" w:w="100"/>
            </w:tcMar>
            <w:vAlign w:val="top"/>
          </w:tcPr>
          <w:p>
            <w:pPr>
              <w:spacing w:after="0" w:line="252" w:lineRule="auto"/>
            </w:pPr>
            <w:r>
              <w:rPr>
                <w:sz w:val="18"/>
                <w:szCs w:val="18"/>
              </w:rPr>
              <w:t xml:space="preserve">CloudNativePG / Patroni</w:t>
            </w:r>
          </w:p>
        </w:tc>
      </w:tr>
      <w:tr>
        <w:trPr>
          <w:cantSplit/>
          <w:tblHeader w:val="false"/>
        </w:trPr>
        <w:tc>
          <w:tcPr>
            <w:tcW w:type="dxa" w:w="1927"/>
            <w:tcMar>
              <w:top w:type="dxa" w:w="70"/>
              <w:left w:type="dxa" w:w="100"/>
              <w:bottom w:type="dxa" w:w="70"/>
              <w:right w:type="dxa" w:w="100"/>
            </w:tcMar>
            <w:vAlign w:val="top"/>
          </w:tcPr>
          <w:p>
            <w:pPr>
              <w:spacing w:after="0" w:line="252" w:lineRule="auto"/>
            </w:pPr>
            <w:r>
              <w:rPr>
                <w:b/>
                <w:bCs/>
                <w:color w:val="16222A"/>
                <w:sz w:val="18"/>
                <w:szCs w:val="18"/>
              </w:rPr>
              <w:t xml:space="preserve">Queues and streams</w:t>
            </w:r>
          </w:p>
        </w:tc>
        <w:tc>
          <w:tcPr>
            <w:tcW w:type="dxa" w:w="2029"/>
            <w:tcMar>
              <w:top w:type="dxa" w:w="70"/>
              <w:left w:type="dxa" w:w="100"/>
              <w:bottom w:type="dxa" w:w="70"/>
              <w:right w:type="dxa" w:w="100"/>
            </w:tcMar>
            <w:vAlign w:val="top"/>
          </w:tcPr>
          <w:p>
            <w:pPr>
              <w:spacing w:after="0" w:line="252" w:lineRule="auto"/>
            </w:pPr>
            <w:r>
              <w:rPr>
                <w:sz w:val="18"/>
                <w:szCs w:val="18"/>
              </w:rPr>
              <w:t xml:space="preserve">SQS; MSK</w:t>
            </w:r>
          </w:p>
        </w:tc>
        <w:tc>
          <w:tcPr>
            <w:tcW w:type="dxa" w:w="2029"/>
            <w:tcMar>
              <w:top w:type="dxa" w:w="70"/>
              <w:left w:type="dxa" w:w="100"/>
              <w:bottom w:type="dxa" w:w="70"/>
              <w:right w:type="dxa" w:w="100"/>
            </w:tcMar>
            <w:vAlign w:val="top"/>
          </w:tcPr>
          <w:p>
            <w:pPr>
              <w:spacing w:after="0" w:line="252" w:lineRule="auto"/>
            </w:pPr>
            <w:r>
              <w:rPr>
                <w:sz w:val="18"/>
                <w:szCs w:val="18"/>
              </w:rPr>
              <w:t xml:space="preserve">Service Bus; Event Hubs</w:t>
            </w:r>
          </w:p>
        </w:tc>
        <w:tc>
          <w:tcPr>
            <w:tcW w:type="dxa" w:w="1826"/>
            <w:tcMar>
              <w:top w:type="dxa" w:w="70"/>
              <w:left w:type="dxa" w:w="100"/>
              <w:bottom w:type="dxa" w:w="70"/>
              <w:right w:type="dxa" w:w="100"/>
            </w:tcMar>
            <w:vAlign w:val="top"/>
          </w:tcPr>
          <w:p>
            <w:pPr>
              <w:spacing w:after="0" w:line="252" w:lineRule="auto"/>
            </w:pPr>
            <w:r>
              <w:rPr>
                <w:sz w:val="18"/>
                <w:szCs w:val="18"/>
              </w:rPr>
              <w:t xml:space="preserve">Pub/Sub; Managed Kafka</w:t>
            </w:r>
          </w:p>
        </w:tc>
        <w:tc>
          <w:tcPr>
            <w:tcW w:type="dxa" w:w="1827"/>
            <w:tcMar>
              <w:top w:type="dxa" w:w="70"/>
              <w:left w:type="dxa" w:w="100"/>
              <w:bottom w:type="dxa" w:w="70"/>
              <w:right w:type="dxa" w:w="100"/>
            </w:tcMar>
            <w:vAlign w:val="top"/>
          </w:tcPr>
          <w:p>
            <w:pPr>
              <w:spacing w:after="0" w:line="252" w:lineRule="auto"/>
            </w:pPr>
            <w:r>
              <w:rPr>
                <w:sz w:val="18"/>
                <w:szCs w:val="18"/>
              </w:rPr>
              <w:t xml:space="preserve">RabbitMQ; Strimzi</w:t>
            </w:r>
          </w:p>
        </w:tc>
      </w:tr>
      <w:tr>
        <w:trPr>
          <w:cantSplit/>
          <w:tblHeader w:val="false"/>
        </w:trPr>
        <w:tc>
          <w:tcPr>
            <w:tcW w:type="dxa" w:w="1927"/>
            <w:tcMar>
              <w:top w:type="dxa" w:w="70"/>
              <w:left w:type="dxa" w:w="100"/>
              <w:bottom w:type="dxa" w:w="70"/>
              <w:right w:type="dxa" w:w="100"/>
            </w:tcMar>
            <w:vAlign w:val="top"/>
          </w:tcPr>
          <w:p>
            <w:pPr>
              <w:spacing w:after="0" w:line="252" w:lineRule="auto"/>
            </w:pPr>
            <w:r>
              <w:rPr>
                <w:b/>
                <w:bCs/>
                <w:color w:val="16222A"/>
                <w:sz w:val="18"/>
                <w:szCs w:val="18"/>
              </w:rPr>
              <w:t xml:space="preserve">Search</w:t>
            </w:r>
          </w:p>
        </w:tc>
        <w:tc>
          <w:tcPr>
            <w:tcW w:type="dxa" w:w="2029"/>
            <w:tcMar>
              <w:top w:type="dxa" w:w="70"/>
              <w:left w:type="dxa" w:w="100"/>
              <w:bottom w:type="dxa" w:w="70"/>
              <w:right w:type="dxa" w:w="100"/>
            </w:tcMar>
            <w:vAlign w:val="top"/>
          </w:tcPr>
          <w:p>
            <w:pPr>
              <w:spacing w:after="0" w:line="252" w:lineRule="auto"/>
            </w:pPr>
            <w:r>
              <w:rPr>
                <w:sz w:val="18"/>
                <w:szCs w:val="18"/>
              </w:rPr>
              <w:t xml:space="preserve">OpenSearch Service</w:t>
            </w:r>
          </w:p>
        </w:tc>
        <w:tc>
          <w:tcPr>
            <w:tcW w:type="dxa" w:w="2029"/>
            <w:tcMar>
              <w:top w:type="dxa" w:w="70"/>
              <w:left w:type="dxa" w:w="100"/>
              <w:bottom w:type="dxa" w:w="70"/>
              <w:right w:type="dxa" w:w="100"/>
            </w:tcMar>
            <w:vAlign w:val="top"/>
          </w:tcPr>
          <w:p>
            <w:pPr>
              <w:spacing w:after="0" w:line="252" w:lineRule="auto"/>
            </w:pPr>
            <w:r>
              <w:rPr>
                <w:sz w:val="18"/>
                <w:szCs w:val="18"/>
              </w:rPr>
              <w:t xml:space="preserve">OpenSearch self-hosted</w:t>
            </w:r>
          </w:p>
        </w:tc>
        <w:tc>
          <w:tcPr>
            <w:tcW w:type="dxa" w:w="1826"/>
            <w:tcMar>
              <w:top w:type="dxa" w:w="70"/>
              <w:left w:type="dxa" w:w="100"/>
              <w:bottom w:type="dxa" w:w="70"/>
              <w:right w:type="dxa" w:w="100"/>
            </w:tcMar>
            <w:vAlign w:val="top"/>
          </w:tcPr>
          <w:p>
            <w:pPr>
              <w:spacing w:after="0" w:line="252" w:lineRule="auto"/>
            </w:pPr>
            <w:r>
              <w:rPr>
                <w:sz w:val="18"/>
                <w:szCs w:val="18"/>
              </w:rPr>
              <w:t xml:space="preserve">Elastic Cloud</w:t>
            </w:r>
          </w:p>
        </w:tc>
        <w:tc>
          <w:tcPr>
            <w:tcW w:type="dxa" w:w="1827"/>
            <w:tcMar>
              <w:top w:type="dxa" w:w="70"/>
              <w:left w:type="dxa" w:w="100"/>
              <w:bottom w:type="dxa" w:w="70"/>
              <w:right w:type="dxa" w:w="100"/>
            </w:tcMar>
            <w:vAlign w:val="top"/>
          </w:tcPr>
          <w:p>
            <w:pPr>
              <w:spacing w:after="0" w:line="252" w:lineRule="auto"/>
            </w:pPr>
            <w:r>
              <w:rPr>
                <w:sz w:val="18"/>
                <w:szCs w:val="18"/>
              </w:rPr>
              <w:t xml:space="preserve">OpenSearch</w:t>
            </w:r>
          </w:p>
        </w:tc>
      </w:tr>
      <w:tr>
        <w:trPr>
          <w:cantSplit/>
          <w:tblHeader w:val="false"/>
        </w:trPr>
        <w:tc>
          <w:tcPr>
            <w:tcW w:type="dxa" w:w="1927"/>
            <w:tcMar>
              <w:top w:type="dxa" w:w="70"/>
              <w:left w:type="dxa" w:w="100"/>
              <w:bottom w:type="dxa" w:w="70"/>
              <w:right w:type="dxa" w:w="100"/>
            </w:tcMar>
            <w:vAlign w:val="top"/>
          </w:tcPr>
          <w:p>
            <w:pPr>
              <w:spacing w:after="0" w:line="252" w:lineRule="auto"/>
            </w:pPr>
            <w:r>
              <w:rPr>
                <w:b/>
                <w:bCs/>
                <w:color w:val="16222A"/>
                <w:sz w:val="18"/>
                <w:szCs w:val="18"/>
              </w:rPr>
              <w:t xml:space="preserve">Objects and keys</w:t>
            </w:r>
          </w:p>
        </w:tc>
        <w:tc>
          <w:tcPr>
            <w:tcW w:type="dxa" w:w="2029"/>
            <w:tcMar>
              <w:top w:type="dxa" w:w="70"/>
              <w:left w:type="dxa" w:w="100"/>
              <w:bottom w:type="dxa" w:w="70"/>
              <w:right w:type="dxa" w:w="100"/>
            </w:tcMar>
            <w:vAlign w:val="top"/>
          </w:tcPr>
          <w:p>
            <w:pPr>
              <w:spacing w:after="0" w:line="252" w:lineRule="auto"/>
            </w:pPr>
            <w:r>
              <w:rPr>
                <w:sz w:val="18"/>
                <w:szCs w:val="18"/>
              </w:rPr>
              <w:t xml:space="preserve">S3; KMS</w:t>
            </w:r>
          </w:p>
        </w:tc>
        <w:tc>
          <w:tcPr>
            <w:tcW w:type="dxa" w:w="2029"/>
            <w:tcMar>
              <w:top w:type="dxa" w:w="70"/>
              <w:left w:type="dxa" w:w="100"/>
              <w:bottom w:type="dxa" w:w="70"/>
              <w:right w:type="dxa" w:w="100"/>
            </w:tcMar>
            <w:vAlign w:val="top"/>
          </w:tcPr>
          <w:p>
            <w:pPr>
              <w:spacing w:after="0" w:line="252" w:lineRule="auto"/>
            </w:pPr>
            <w:r>
              <w:rPr>
                <w:sz w:val="18"/>
                <w:szCs w:val="18"/>
              </w:rPr>
              <w:t xml:space="preserve">Blob; Key Vault</w:t>
            </w:r>
          </w:p>
        </w:tc>
        <w:tc>
          <w:tcPr>
            <w:tcW w:type="dxa" w:w="1826"/>
            <w:tcMar>
              <w:top w:type="dxa" w:w="70"/>
              <w:left w:type="dxa" w:w="100"/>
              <w:bottom w:type="dxa" w:w="70"/>
              <w:right w:type="dxa" w:w="100"/>
            </w:tcMar>
            <w:vAlign w:val="top"/>
          </w:tcPr>
          <w:p>
            <w:pPr>
              <w:spacing w:after="0" w:line="252" w:lineRule="auto"/>
            </w:pPr>
            <w:r>
              <w:rPr>
                <w:sz w:val="18"/>
                <w:szCs w:val="18"/>
              </w:rPr>
              <w:t xml:space="preserve">GCS; Cloud KMS</w:t>
            </w:r>
          </w:p>
        </w:tc>
        <w:tc>
          <w:tcPr>
            <w:tcW w:type="dxa" w:w="1827"/>
            <w:tcMar>
              <w:top w:type="dxa" w:w="70"/>
              <w:left w:type="dxa" w:w="100"/>
              <w:bottom w:type="dxa" w:w="70"/>
              <w:right w:type="dxa" w:w="100"/>
            </w:tcMar>
            <w:vAlign w:val="top"/>
          </w:tcPr>
          <w:p>
            <w:pPr>
              <w:spacing w:after="0" w:line="252" w:lineRule="auto"/>
            </w:pPr>
            <w:r>
              <w:rPr>
                <w:sz w:val="18"/>
                <w:szCs w:val="18"/>
              </w:rPr>
              <w:t xml:space="preserve">MinIO; Vault or OpenBao</w:t>
            </w:r>
          </w:p>
        </w:tc>
      </w:tr>
      <w:tr>
        <w:trPr>
          <w:cantSplit/>
          <w:tblHeader w:val="false"/>
        </w:trPr>
        <w:tc>
          <w:tcPr>
            <w:tcW w:type="dxa" w:w="1927"/>
            <w:tcMar>
              <w:top w:type="dxa" w:w="70"/>
              <w:left w:type="dxa" w:w="100"/>
              <w:bottom w:type="dxa" w:w="70"/>
              <w:right w:type="dxa" w:w="100"/>
            </w:tcMar>
            <w:vAlign w:val="top"/>
          </w:tcPr>
          <w:p>
            <w:pPr>
              <w:spacing w:after="0" w:line="252" w:lineRule="auto"/>
            </w:pPr>
            <w:r>
              <w:rPr>
                <w:b/>
                <w:bCs/>
                <w:color w:val="16222A"/>
                <w:sz w:val="18"/>
                <w:szCs w:val="18"/>
              </w:rPr>
              <w:t xml:space="preserve">Identity, gateway, workflows</w:t>
            </w:r>
          </w:p>
        </w:tc>
        <w:tc>
          <w:tcPr>
            <w:tcW w:type="dxa" w:w="2029"/>
            <w:tcMar>
              <w:top w:type="dxa" w:w="70"/>
              <w:left w:type="dxa" w:w="100"/>
              <w:bottom w:type="dxa" w:w="70"/>
              <w:right w:type="dxa" w:w="100"/>
            </w:tcMar>
            <w:vAlign w:val="top"/>
          </w:tcPr>
          <w:p>
            <w:pPr>
              <w:spacing w:after="0" w:line="252" w:lineRule="auto"/>
            </w:pPr>
            <w:r>
              <w:rPr>
                <w:sz w:val="18"/>
                <w:szCs w:val="18"/>
              </w:rPr>
              <w:t xml:space="preserve">Keycloak, Kong, db-scheduler / Temporal</w:t>
            </w:r>
          </w:p>
        </w:tc>
        <w:tc>
          <w:tcPr>
            <w:tcW w:type="dxa" w:w="2029"/>
            <w:tcMar>
              <w:top w:type="dxa" w:w="70"/>
              <w:left w:type="dxa" w:w="100"/>
              <w:bottom w:type="dxa" w:w="70"/>
              <w:right w:type="dxa" w:w="100"/>
            </w:tcMar>
            <w:vAlign w:val="top"/>
          </w:tcPr>
          <w:p>
            <w:pPr>
              <w:spacing w:after="0" w:line="252" w:lineRule="auto"/>
            </w:pPr>
            <w:r>
              <w:rPr>
                <w:sz w:val="18"/>
                <w:szCs w:val="18"/>
              </w:rPr>
              <w:t xml:space="preserve">Same</w:t>
            </w:r>
          </w:p>
        </w:tc>
        <w:tc>
          <w:tcPr>
            <w:tcW w:type="dxa" w:w="1826"/>
            <w:tcMar>
              <w:top w:type="dxa" w:w="70"/>
              <w:left w:type="dxa" w:w="100"/>
              <w:bottom w:type="dxa" w:w="70"/>
              <w:right w:type="dxa" w:w="100"/>
            </w:tcMar>
            <w:vAlign w:val="top"/>
          </w:tcPr>
          <w:p>
            <w:pPr>
              <w:spacing w:after="0" w:line="252" w:lineRule="auto"/>
            </w:pPr>
            <w:r>
              <w:rPr>
                <w:sz w:val="18"/>
                <w:szCs w:val="18"/>
              </w:rPr>
              <w:t xml:space="preserve">Same</w:t>
            </w:r>
          </w:p>
        </w:tc>
        <w:tc>
          <w:tcPr>
            <w:tcW w:type="dxa" w:w="1827"/>
            <w:tcMar>
              <w:top w:type="dxa" w:w="70"/>
              <w:left w:type="dxa" w:w="100"/>
              <w:bottom w:type="dxa" w:w="70"/>
              <w:right w:type="dxa" w:w="100"/>
            </w:tcMar>
            <w:vAlign w:val="top"/>
          </w:tcPr>
          <w:p>
            <w:pPr>
              <w:spacing w:after="0" w:line="252" w:lineRule="auto"/>
            </w:pPr>
            <w:r>
              <w:rPr>
                <w:sz w:val="18"/>
                <w:szCs w:val="18"/>
              </w:rPr>
              <w:t xml:space="preserve">Same</w:t>
            </w:r>
          </w:p>
        </w:tc>
      </w:tr>
    </w:tbl>
    <w:p>
      <w:pPr>
        <w:spacing w:after="160"/>
      </w:pPr>
    </w:p>
    <w:p>
      <w:r>
        <w:t xml:space="preserve">Code reaches cloud services only through kernel adapters (Figure 5); domain modules never call cloud SDKs directly.</w:t>
      </w:r>
    </w:p>
    <w:p>
      <w:pPr>
        <w:pStyle w:val="Heading1"/>
        <w:pageBreakBefore/>
      </w:pPr>
      <w:bookmarkStart w:id="8065" w:name="_Toc900065"/>
      <w:r>
        <w:t xml:space="preserve">15. Delivery plan</w:t>
      </w:r>
      <w:bookmarkEnd w:id="8065"/>
    </w:p>
    <w:p>
      <w:pPr>
        <w:pStyle w:val="Heading2"/>
      </w:pPr>
      <w:bookmarkStart w:id="8066" w:name="_Toc900066"/>
      <w:r>
        <w:t xml:space="preserve">15.1 Teams</w:t>
      </w:r>
      <w:bookmarkEnd w:id="8066"/>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383"/>
        <w:gridCol w:w="6218"/>
        <w:gridCol w:w="1037"/>
      </w:tblGrid>
      <w:tr>
        <w:trPr>
          <w:cantSplit/>
          <w:tblHeader/>
        </w:trPr>
        <w:tc>
          <w:tcPr>
            <w:tcW w:type="dxa" w:w="238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Team</w:t>
            </w:r>
          </w:p>
        </w:tc>
        <w:tc>
          <w:tcPr>
            <w:tcW w:type="dxa" w:w="621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Owns</w:t>
            </w:r>
          </w:p>
        </w:tc>
        <w:tc>
          <w:tcPr>
            <w:tcW w:type="dxa" w:w="103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Size</w:t>
            </w:r>
          </w:p>
        </w:tc>
      </w:tr>
      <w:tr>
        <w:trPr>
          <w:cantSplit/>
          <w:tblHeader w:val="false"/>
        </w:trPr>
        <w:tc>
          <w:tcPr>
            <w:tcW w:type="dxa" w:w="2383"/>
            <w:tcMar>
              <w:top w:type="dxa" w:w="70"/>
              <w:left w:type="dxa" w:w="100"/>
              <w:bottom w:type="dxa" w:w="70"/>
              <w:right w:type="dxa" w:w="100"/>
            </w:tcMar>
            <w:vAlign w:val="top"/>
          </w:tcPr>
          <w:p>
            <w:pPr>
              <w:spacing w:after="0" w:line="252" w:lineRule="auto"/>
            </w:pPr>
            <w:r>
              <w:rPr>
                <w:b/>
                <w:bCs/>
                <w:color w:val="16222A"/>
                <w:sz w:val="18"/>
                <w:szCs w:val="18"/>
              </w:rPr>
              <w:t xml:space="preserve">A. Platform and Core HR</w:t>
            </w:r>
          </w:p>
        </w:tc>
        <w:tc>
          <w:tcPr>
            <w:tcW w:type="dxa" w:w="6218"/>
            <w:tcMar>
              <w:top w:type="dxa" w:w="70"/>
              <w:left w:type="dxa" w:w="100"/>
              <w:bottom w:type="dxa" w:w="70"/>
              <w:right w:type="dxa" w:w="100"/>
            </w:tcMar>
            <w:vAlign w:val="top"/>
          </w:tcPr>
          <w:p>
            <w:pPr>
              <w:spacing w:after="0" w:line="252" w:lineRule="auto"/>
            </w:pPr>
            <w:r>
              <w:rPr>
                <w:sz w:val="18"/>
                <w:szCs w:val="18"/>
              </w:rPr>
              <w:t xml:space="preserve">Tenancy, identity integration, authorization, configuration, approval engine, audit, documents, notifications; organisation, workers, personnel actions. Splits in Phase 1 into Core HR and Time/Absence/Compliance.</w:t>
            </w:r>
          </w:p>
        </w:tc>
        <w:tc>
          <w:tcPr>
            <w:tcW w:type="dxa" w:w="1037"/>
            <w:tcMar>
              <w:top w:type="dxa" w:w="70"/>
              <w:left w:type="dxa" w:w="100"/>
              <w:bottom w:type="dxa" w:w="70"/>
              <w:right w:type="dxa" w:w="100"/>
            </w:tcMar>
            <w:vAlign w:val="top"/>
          </w:tcPr>
          <w:p>
            <w:pPr>
              <w:spacing w:after="0" w:line="252" w:lineRule="auto"/>
            </w:pPr>
            <w:r>
              <w:rPr>
                <w:sz w:val="18"/>
                <w:szCs w:val="18"/>
              </w:rPr>
              <w:t xml:space="preserve">6</w:t>
            </w:r>
          </w:p>
        </w:tc>
      </w:tr>
      <w:tr>
        <w:trPr>
          <w:cantSplit/>
          <w:tblHeader w:val="false"/>
        </w:trPr>
        <w:tc>
          <w:tcPr>
            <w:tcW w:type="dxa" w:w="2383"/>
            <w:tcMar>
              <w:top w:type="dxa" w:w="70"/>
              <w:left w:type="dxa" w:w="100"/>
              <w:bottom w:type="dxa" w:w="70"/>
              <w:right w:type="dxa" w:w="100"/>
            </w:tcMar>
            <w:vAlign w:val="top"/>
          </w:tcPr>
          <w:p>
            <w:pPr>
              <w:spacing w:after="0" w:line="252" w:lineRule="auto"/>
            </w:pPr>
            <w:r>
              <w:rPr>
                <w:b/>
                <w:bCs/>
                <w:color w:val="16222A"/>
                <w:sz w:val="18"/>
                <w:szCs w:val="18"/>
              </w:rPr>
              <w:t xml:space="preserve">B. API and integrations</w:t>
            </w:r>
          </w:p>
        </w:tc>
        <w:tc>
          <w:tcPr>
            <w:tcW w:type="dxa" w:w="6218"/>
            <w:tcMar>
              <w:top w:type="dxa" w:w="70"/>
              <w:left w:type="dxa" w:w="100"/>
              <w:bottom w:type="dxa" w:w="70"/>
              <w:right w:type="dxa" w:w="100"/>
            </w:tcMar>
            <w:vAlign w:val="top"/>
          </w:tcPr>
          <w:p>
            <w:pPr>
              <w:spacing w:after="0" w:line="252" w:lineRule="auto"/>
            </w:pPr>
            <w:r>
              <w:rPr>
                <w:sz w:val="18"/>
                <w:szCs w:val="18"/>
              </w:rPr>
              <w:t xml:space="preserve">Gateway, API standards, OpenAPI pipeline, webhooks, change feed, developer console, sandbox, connectors, site agent, metering</w:t>
            </w:r>
          </w:p>
        </w:tc>
        <w:tc>
          <w:tcPr>
            <w:tcW w:type="dxa" w:w="1037"/>
            <w:tcMar>
              <w:top w:type="dxa" w:w="70"/>
              <w:left w:type="dxa" w:w="100"/>
              <w:bottom w:type="dxa" w:w="70"/>
              <w:right w:type="dxa" w:w="100"/>
            </w:tcMar>
            <w:vAlign w:val="top"/>
          </w:tcPr>
          <w:p>
            <w:pPr>
              <w:spacing w:after="0" w:line="252" w:lineRule="auto"/>
            </w:pPr>
            <w:r>
              <w:rPr>
                <w:sz w:val="18"/>
                <w:szCs w:val="18"/>
              </w:rPr>
              <w:t xml:space="preserve">3</w:t>
            </w:r>
          </w:p>
        </w:tc>
      </w:tr>
      <w:tr>
        <w:trPr>
          <w:cantSplit/>
          <w:tblHeader w:val="false"/>
        </w:trPr>
        <w:tc>
          <w:tcPr>
            <w:tcW w:type="dxa" w:w="2383"/>
            <w:tcMar>
              <w:top w:type="dxa" w:w="70"/>
              <w:left w:type="dxa" w:w="100"/>
              <w:bottom w:type="dxa" w:w="70"/>
              <w:right w:type="dxa" w:w="100"/>
            </w:tcMar>
            <w:vAlign w:val="top"/>
          </w:tcPr>
          <w:p>
            <w:pPr>
              <w:spacing w:after="0" w:line="252" w:lineRule="auto"/>
            </w:pPr>
            <w:r>
              <w:rPr>
                <w:b/>
                <w:bCs/>
                <w:color w:val="16222A"/>
                <w:sz w:val="18"/>
                <w:szCs w:val="18"/>
              </w:rPr>
              <w:t xml:space="preserve">C. Experience</w:t>
            </w:r>
          </w:p>
        </w:tc>
        <w:tc>
          <w:tcPr>
            <w:tcW w:type="dxa" w:w="6218"/>
            <w:tcMar>
              <w:top w:type="dxa" w:w="70"/>
              <w:left w:type="dxa" w:w="100"/>
              <w:bottom w:type="dxa" w:w="70"/>
              <w:right w:type="dxa" w:w="100"/>
            </w:tcMar>
            <w:vAlign w:val="top"/>
          </w:tcPr>
          <w:p>
            <w:pPr>
              <w:spacing w:after="0" w:line="252" w:lineRule="auto"/>
            </w:pPr>
            <w:r>
              <w:rPr>
                <w:sz w:val="18"/>
                <w:szCs w:val="18"/>
              </w:rPr>
              <w:t xml:space="preserve">Web console, BFF screens, mobile app, React component library from the design system</w:t>
            </w:r>
          </w:p>
        </w:tc>
        <w:tc>
          <w:tcPr>
            <w:tcW w:type="dxa" w:w="1037"/>
            <w:tcMar>
              <w:top w:type="dxa" w:w="70"/>
              <w:left w:type="dxa" w:w="100"/>
              <w:bottom w:type="dxa" w:w="70"/>
              <w:right w:type="dxa" w:w="100"/>
            </w:tcMar>
            <w:vAlign w:val="top"/>
          </w:tcPr>
          <w:p>
            <w:pPr>
              <w:spacing w:after="0" w:line="252" w:lineRule="auto"/>
            </w:pPr>
            <w:r>
              <w:rPr>
                <w:sz w:val="18"/>
                <w:szCs w:val="18"/>
              </w:rPr>
              <w:t xml:space="preserve">3</w:t>
            </w:r>
          </w:p>
        </w:tc>
      </w:tr>
      <w:tr>
        <w:trPr>
          <w:cantSplit/>
          <w:tblHeader w:val="false"/>
        </w:trPr>
        <w:tc>
          <w:tcPr>
            <w:tcW w:type="dxa" w:w="2383"/>
            <w:tcMar>
              <w:top w:type="dxa" w:w="70"/>
              <w:left w:type="dxa" w:w="100"/>
              <w:bottom w:type="dxa" w:w="70"/>
              <w:right w:type="dxa" w:w="100"/>
            </w:tcMar>
            <w:vAlign w:val="top"/>
          </w:tcPr>
          <w:p>
            <w:pPr>
              <w:spacing w:after="0" w:line="252" w:lineRule="auto"/>
            </w:pPr>
            <w:r>
              <w:rPr>
                <w:b/>
                <w:bCs/>
                <w:color w:val="16222A"/>
                <w:sz w:val="18"/>
                <w:szCs w:val="18"/>
              </w:rPr>
              <w:t xml:space="preserve">Shared</w:t>
            </w:r>
          </w:p>
        </w:tc>
        <w:tc>
          <w:tcPr>
            <w:tcW w:type="dxa" w:w="6218"/>
            <w:tcMar>
              <w:top w:type="dxa" w:w="70"/>
              <w:left w:type="dxa" w:w="100"/>
              <w:bottom w:type="dxa" w:w="70"/>
              <w:right w:type="dxa" w:w="100"/>
            </w:tcMar>
            <w:vAlign w:val="top"/>
          </w:tcPr>
          <w:p>
            <w:pPr>
              <w:spacing w:after="0" w:line="252" w:lineRule="auto"/>
            </w:pPr>
            <w:r>
              <w:rPr>
                <w:sz w:val="18"/>
                <w:szCs w:val="18"/>
              </w:rPr>
              <w:t xml:space="preserve">Cloud/SRE (2), security and GRC (1), QA automation (1), product and design</w:t>
            </w:r>
          </w:p>
        </w:tc>
        <w:tc>
          <w:tcPr>
            <w:tcW w:type="dxa" w:w="1037"/>
            <w:tcMar>
              <w:top w:type="dxa" w:w="70"/>
              <w:left w:type="dxa" w:w="100"/>
              <w:bottom w:type="dxa" w:w="70"/>
              <w:right w:type="dxa" w:w="100"/>
            </w:tcMar>
            <w:vAlign w:val="top"/>
          </w:tcPr>
          <w:p>
            <w:pPr>
              <w:spacing w:after="0" w:line="252" w:lineRule="auto"/>
            </w:pPr>
            <w:r>
              <w:rPr>
                <w:sz w:val="18"/>
                <w:szCs w:val="18"/>
              </w:rPr>
              <w:t xml:space="preserve">5</w:t>
            </w:r>
          </w:p>
        </w:tc>
      </w:tr>
    </w:tbl>
    <w:p>
      <w:pPr>
        <w:spacing w:after="160"/>
      </w:pPr>
    </w:p>
    <w:p>
      <w:pPr>
        <w:pStyle w:val="Heading2"/>
      </w:pPr>
      <w:bookmarkStart w:id="8067" w:name="_Toc900067"/>
      <w:r>
        <w:t xml:space="preserve">15.2 Roadmap (indicative)</w:t>
      </w:r>
      <w:bookmarkEnd w:id="8067"/>
    </w:p>
    <w:p>
      <w:r>
        <w:t xml:space="preserve">Durations assume the teams above and are re-estimated after the Phase 0a proofs of concept.</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305"/>
        <w:gridCol w:w="3011"/>
        <w:gridCol w:w="2208"/>
        <w:gridCol w:w="2208"/>
        <w:gridCol w:w="906"/>
      </w:tblGrid>
      <w:tr>
        <w:trPr>
          <w:cantSplit/>
          <w:tblHeader/>
        </w:trPr>
        <w:tc>
          <w:tcPr>
            <w:tcW w:type="dxa" w:w="130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Phase</w:t>
            </w:r>
          </w:p>
        </w:tc>
        <w:tc>
          <w:tcPr>
            <w:tcW w:type="dxa" w:w="301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Scope</w:t>
            </w:r>
          </w:p>
        </w:tc>
        <w:tc>
          <w:tcPr>
            <w:tcW w:type="dxa" w:w="220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API milestones</w:t>
            </w:r>
          </w:p>
        </w:tc>
        <w:tc>
          <w:tcPr>
            <w:tcW w:type="dxa" w:w="2208"/>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Exit criteria</w:t>
            </w:r>
          </w:p>
        </w:tc>
        <w:tc>
          <w:tcPr>
            <w:tcW w:type="dxa" w:w="90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Duration</w:t>
            </w:r>
          </w:p>
        </w:tc>
      </w:tr>
      <w:tr>
        <w:trPr>
          <w:cantSplit/>
          <w:tblHeader w:val="false"/>
        </w:trPr>
        <w:tc>
          <w:tcPr>
            <w:tcW w:type="dxa" w:w="1305"/>
            <w:tcMar>
              <w:top w:type="dxa" w:w="70"/>
              <w:left w:type="dxa" w:w="100"/>
              <w:bottom w:type="dxa" w:w="70"/>
              <w:right w:type="dxa" w:w="100"/>
            </w:tcMar>
            <w:vAlign w:val="top"/>
          </w:tcPr>
          <w:p>
            <w:pPr>
              <w:spacing w:after="0" w:line="252" w:lineRule="auto"/>
            </w:pPr>
            <w:r>
              <w:rPr>
                <w:b/>
                <w:bCs/>
                <w:color w:val="16222A"/>
                <w:sz w:val="18"/>
                <w:szCs w:val="18"/>
              </w:rPr>
              <w:t xml:space="preserve">0a Proofs</w:t>
            </w:r>
          </w:p>
        </w:tc>
        <w:tc>
          <w:tcPr>
            <w:tcW w:type="dxa" w:w="3011"/>
            <w:tcMar>
              <w:top w:type="dxa" w:w="70"/>
              <w:left w:type="dxa" w:w="100"/>
              <w:bottom w:type="dxa" w:w="70"/>
              <w:right w:type="dxa" w:w="100"/>
            </w:tcMar>
            <w:vAlign w:val="top"/>
          </w:tcPr>
          <w:p>
            <w:pPr>
              <w:spacing w:after="0" w:line="252" w:lineRule="auto"/>
            </w:pPr>
            <w:r>
              <w:rPr>
                <w:sz w:val="18"/>
                <w:szCs w:val="18"/>
              </w:rPr>
              <w:t xml:space="preserve">Identity, gateway, tenancy data layer, device ingestion, vendor checks</w:t>
            </w:r>
          </w:p>
        </w:tc>
        <w:tc>
          <w:tcPr>
            <w:tcW w:type="dxa" w:w="2208"/>
            <w:tcMar>
              <w:top w:type="dxa" w:w="70"/>
              <w:left w:type="dxa" w:w="100"/>
              <w:bottom w:type="dxa" w:w="70"/>
              <w:right w:type="dxa" w:w="100"/>
            </w:tcMar>
            <w:vAlign w:val="top"/>
          </w:tcPr>
          <w:p>
            <w:pPr>
              <w:spacing w:after="0" w:line="252" w:lineRule="auto"/>
            </w:pPr>
            <w:r>
              <w:rPr>
                <w:sz w:val="18"/>
                <w:szCs w:val="18"/>
              </w:rPr>
              <w:t xml:space="preserve">Decide ADR-07 and ADR-09</w:t>
            </w:r>
          </w:p>
        </w:tc>
        <w:tc>
          <w:tcPr>
            <w:tcW w:type="dxa" w:w="2208"/>
            <w:tcMar>
              <w:top w:type="dxa" w:w="70"/>
              <w:left w:type="dxa" w:w="100"/>
              <w:bottom w:type="dxa" w:w="70"/>
              <w:right w:type="dxa" w:w="100"/>
            </w:tcMar>
            <w:vAlign w:val="top"/>
          </w:tcPr>
          <w:p>
            <w:pPr>
              <w:spacing w:after="0" w:line="252" w:lineRule="auto"/>
            </w:pPr>
            <w:r>
              <w:rPr>
                <w:sz w:val="18"/>
                <w:szCs w:val="18"/>
              </w:rPr>
              <w:t xml:space="preserve">PoC reports accepted</w:t>
            </w:r>
          </w:p>
        </w:tc>
        <w:tc>
          <w:tcPr>
            <w:tcW w:type="dxa" w:w="906"/>
            <w:tcMar>
              <w:top w:type="dxa" w:w="70"/>
              <w:left w:type="dxa" w:w="100"/>
              <w:bottom w:type="dxa" w:w="70"/>
              <w:right w:type="dxa" w:w="100"/>
            </w:tcMar>
            <w:vAlign w:val="top"/>
          </w:tcPr>
          <w:p>
            <w:pPr>
              <w:spacing w:after="0" w:line="252" w:lineRule="auto"/>
            </w:pPr>
            <w:r>
              <w:rPr>
                <w:sz w:val="18"/>
                <w:szCs w:val="18"/>
              </w:rPr>
              <w:t xml:space="preserve">6 weeks</w:t>
            </w:r>
          </w:p>
        </w:tc>
      </w:tr>
      <w:tr>
        <w:trPr>
          <w:cantSplit/>
          <w:tblHeader w:val="false"/>
        </w:trPr>
        <w:tc>
          <w:tcPr>
            <w:tcW w:type="dxa" w:w="1305"/>
            <w:tcMar>
              <w:top w:type="dxa" w:w="70"/>
              <w:left w:type="dxa" w:w="100"/>
              <w:bottom w:type="dxa" w:w="70"/>
              <w:right w:type="dxa" w:w="100"/>
            </w:tcMar>
            <w:vAlign w:val="top"/>
          </w:tcPr>
          <w:p>
            <w:pPr>
              <w:spacing w:after="0" w:line="252" w:lineRule="auto"/>
            </w:pPr>
            <w:r>
              <w:rPr>
                <w:b/>
                <w:bCs/>
                <w:color w:val="16222A"/>
                <w:sz w:val="18"/>
                <w:szCs w:val="18"/>
              </w:rPr>
              <w:t xml:space="preserve">0b Foundation</w:t>
            </w:r>
          </w:p>
        </w:tc>
        <w:tc>
          <w:tcPr>
            <w:tcW w:type="dxa" w:w="3011"/>
            <w:tcMar>
              <w:top w:type="dxa" w:w="70"/>
              <w:left w:type="dxa" w:w="100"/>
              <w:bottom w:type="dxa" w:w="70"/>
              <w:right w:type="dxa" w:w="100"/>
            </w:tcMar>
            <w:vAlign w:val="top"/>
          </w:tcPr>
          <w:p>
            <w:pPr>
              <w:spacing w:after="0" w:line="252" w:lineRule="auto"/>
            </w:pPr>
            <w:r>
              <w:rPr>
                <w:sz w:val="18"/>
                <w:szCs w:val="18"/>
              </w:rPr>
              <w:t xml:space="preserve">Accounts, one cell, kernel (tenancy, authz, config, approvals, obligations, audit, documents, notifications), import framework, app shell, React component library</w:t>
            </w:r>
          </w:p>
        </w:tc>
        <w:tc>
          <w:tcPr>
            <w:tcW w:type="dxa" w:w="2208"/>
            <w:tcMar>
              <w:top w:type="dxa" w:w="70"/>
              <w:left w:type="dxa" w:w="100"/>
              <w:bottom w:type="dxa" w:w="70"/>
              <w:right w:type="dxa" w:w="100"/>
            </w:tcMar>
            <w:vAlign w:val="top"/>
          </w:tcPr>
          <w:p>
            <w:pPr>
              <w:spacing w:after="0" w:line="252" w:lineRule="auto"/>
            </w:pPr>
            <w:r>
              <w:rPr>
                <w:sz w:val="18"/>
                <w:szCs w:val="18"/>
              </w:rPr>
              <w:t xml:space="preserve">Standards, OpenAPI pipeline, gateway, webhook dispatcher</w:t>
            </w:r>
          </w:p>
        </w:tc>
        <w:tc>
          <w:tcPr>
            <w:tcW w:type="dxa" w:w="2208"/>
            <w:tcMar>
              <w:top w:type="dxa" w:w="70"/>
              <w:left w:type="dxa" w:w="100"/>
              <w:bottom w:type="dxa" w:w="70"/>
              <w:right w:type="dxa" w:w="100"/>
            </w:tcMar>
            <w:vAlign w:val="top"/>
          </w:tcPr>
          <w:p>
            <w:pPr>
              <w:spacing w:after="0" w:line="252" w:lineRule="auto"/>
            </w:pPr>
            <w:r>
              <w:rPr>
                <w:sz w:val="18"/>
                <w:szCs w:val="18"/>
              </w:rPr>
              <w:t xml:space="preserve">Two synthetic tenants from different packs; zero leakage failures; an action flows end to end</w:t>
            </w:r>
          </w:p>
        </w:tc>
        <w:tc>
          <w:tcPr>
            <w:tcW w:type="dxa" w:w="906"/>
            <w:tcMar>
              <w:top w:type="dxa" w:w="70"/>
              <w:left w:type="dxa" w:w="100"/>
              <w:bottom w:type="dxa" w:w="70"/>
              <w:right w:type="dxa" w:w="100"/>
            </w:tcMar>
            <w:vAlign w:val="top"/>
          </w:tcPr>
          <w:p>
            <w:pPr>
              <w:spacing w:after="0" w:line="252" w:lineRule="auto"/>
            </w:pPr>
            <w:r>
              <w:rPr>
                <w:sz w:val="18"/>
                <w:szCs w:val="18"/>
              </w:rPr>
              <w:t xml:space="preserve">4 months</w:t>
            </w:r>
          </w:p>
        </w:tc>
      </w:tr>
      <w:tr>
        <w:trPr>
          <w:cantSplit/>
          <w:tblHeader w:val="false"/>
        </w:trPr>
        <w:tc>
          <w:tcPr>
            <w:tcW w:type="dxa" w:w="1305"/>
            <w:tcMar>
              <w:top w:type="dxa" w:w="70"/>
              <w:left w:type="dxa" w:w="100"/>
              <w:bottom w:type="dxa" w:w="70"/>
              <w:right w:type="dxa" w:w="100"/>
            </w:tcMar>
            <w:vAlign w:val="top"/>
          </w:tcPr>
          <w:p>
            <w:pPr>
              <w:spacing w:after="0" w:line="252" w:lineRule="auto"/>
            </w:pPr>
            <w:r>
              <w:rPr>
                <w:b/>
                <w:bCs/>
                <w:color w:val="16222A"/>
                <w:sz w:val="18"/>
                <w:szCs w:val="18"/>
              </w:rPr>
              <w:t xml:space="preserve">1 Core HR</w:t>
            </w:r>
          </w:p>
        </w:tc>
        <w:tc>
          <w:tcPr>
            <w:tcW w:type="dxa" w:w="3011"/>
            <w:tcMar>
              <w:top w:type="dxa" w:w="70"/>
              <w:left w:type="dxa" w:w="100"/>
              <w:bottom w:type="dxa" w:w="70"/>
              <w:right w:type="dxa" w:w="100"/>
            </w:tcMar>
            <w:vAlign w:val="top"/>
          </w:tcPr>
          <w:p>
            <w:pPr>
              <w:spacing w:after="0" w:line="252" w:lineRule="auto"/>
            </w:pPr>
            <w:r>
              <w:rPr>
                <w:sz w:val="18"/>
                <w:szCs w:val="18"/>
              </w:rPr>
              <w:t xml:space="preserve">Organisation, workers, Employee 360, onboarding, documents, self-service, transfers and promotions, basic separation; SURAJ Group migrated with history</w:t>
            </w:r>
          </w:p>
        </w:tc>
        <w:tc>
          <w:tcPr>
            <w:tcW w:type="dxa" w:w="2208"/>
            <w:tcMar>
              <w:top w:type="dxa" w:w="70"/>
              <w:left w:type="dxa" w:w="100"/>
              <w:bottom w:type="dxa" w:w="70"/>
              <w:right w:type="dxa" w:w="100"/>
            </w:tcMar>
            <w:vAlign w:val="top"/>
          </w:tcPr>
          <w:p>
            <w:pPr>
              <w:spacing w:after="0" w:line="252" w:lineRule="auto"/>
            </w:pPr>
            <w:r>
              <w:rPr>
                <w:sz w:val="18"/>
                <w:szCs w:val="18"/>
              </w:rPr>
              <w:t xml:space="preserve">Private beta: organisation, workers, actions, documents, SCIM, bulk import, change feed</w:t>
            </w:r>
          </w:p>
        </w:tc>
        <w:tc>
          <w:tcPr>
            <w:tcW w:type="dxa" w:w="2208"/>
            <w:tcMar>
              <w:top w:type="dxa" w:w="70"/>
              <w:left w:type="dxa" w:w="100"/>
              <w:bottom w:type="dxa" w:w="70"/>
              <w:right w:type="dxa" w:w="100"/>
            </w:tcMar>
            <w:vAlign w:val="top"/>
          </w:tcPr>
          <w:p>
            <w:pPr>
              <w:spacing w:after="0" w:line="252" w:lineRule="auto"/>
            </w:pPr>
            <w:r>
              <w:rPr>
                <w:sz w:val="18"/>
                <w:szCs w:val="18"/>
              </w:rPr>
              <w:t xml:space="preserve">SURAJ Group live; §42 items for employees, history and access pass</w:t>
            </w:r>
          </w:p>
        </w:tc>
        <w:tc>
          <w:tcPr>
            <w:tcW w:type="dxa" w:w="906"/>
            <w:tcMar>
              <w:top w:type="dxa" w:w="70"/>
              <w:left w:type="dxa" w:w="100"/>
              <w:bottom w:type="dxa" w:w="70"/>
              <w:right w:type="dxa" w:w="100"/>
            </w:tcMar>
            <w:vAlign w:val="top"/>
          </w:tcPr>
          <w:p>
            <w:pPr>
              <w:spacing w:after="0" w:line="252" w:lineRule="auto"/>
            </w:pPr>
            <w:r>
              <w:rPr>
                <w:sz w:val="18"/>
                <w:szCs w:val="18"/>
              </w:rPr>
              <w:t xml:space="preserve">4 months</w:t>
            </w:r>
          </w:p>
        </w:tc>
      </w:tr>
      <w:tr>
        <w:trPr>
          <w:cantSplit/>
          <w:tblHeader w:val="false"/>
        </w:trPr>
        <w:tc>
          <w:tcPr>
            <w:tcW w:type="dxa" w:w="1305"/>
            <w:tcMar>
              <w:top w:type="dxa" w:w="70"/>
              <w:left w:type="dxa" w:w="100"/>
              <w:bottom w:type="dxa" w:w="70"/>
              <w:right w:type="dxa" w:w="100"/>
            </w:tcMar>
            <w:vAlign w:val="top"/>
          </w:tcPr>
          <w:p>
            <w:pPr>
              <w:spacing w:after="0" w:line="252" w:lineRule="auto"/>
            </w:pPr>
            <w:r>
              <w:rPr>
                <w:b/>
                <w:bCs/>
                <w:color w:val="16222A"/>
                <w:sz w:val="18"/>
                <w:szCs w:val="18"/>
              </w:rPr>
              <w:t xml:space="preserve">2 Daily HR</w:t>
            </w:r>
          </w:p>
        </w:tc>
        <w:tc>
          <w:tcPr>
            <w:tcW w:type="dxa" w:w="3011"/>
            <w:tcMar>
              <w:top w:type="dxa" w:w="70"/>
              <w:left w:type="dxa" w:w="100"/>
              <w:bottom w:type="dxa" w:w="70"/>
              <w:right w:type="dxa" w:w="100"/>
            </w:tcMar>
            <w:vAlign w:val="top"/>
          </w:tcPr>
          <w:p>
            <w:pPr>
              <w:spacing w:after="0" w:line="252" w:lineRule="auto"/>
            </w:pPr>
            <w:r>
              <w:rPr>
                <w:sz w:val="18"/>
                <w:szCs w:val="18"/>
              </w:rPr>
              <w:t xml:space="preserve">Attendance (site agent, device edge), leave, due dates, HR requests, policies, SMS and WhatsApp, mobile app, payroll inputs</w:t>
            </w:r>
          </w:p>
        </w:tc>
        <w:tc>
          <w:tcPr>
            <w:tcW w:type="dxa" w:w="2208"/>
            <w:tcMar>
              <w:top w:type="dxa" w:w="70"/>
              <w:left w:type="dxa" w:w="100"/>
              <w:bottom w:type="dxa" w:w="70"/>
              <w:right w:type="dxa" w:w="100"/>
            </w:tcMar>
            <w:vAlign w:val="top"/>
          </w:tcPr>
          <w:p>
            <w:pPr>
              <w:spacing w:after="0" w:line="252" w:lineRule="auto"/>
            </w:pPr>
            <w:r>
              <w:rPr>
                <w:sz w:val="18"/>
                <w:szCs w:val="18"/>
              </w:rPr>
              <w:t xml:space="preserve">Public API v1 GA; developer console; sandbox; TypeScript and Python SDKs; billing</w:t>
            </w:r>
          </w:p>
        </w:tc>
        <w:tc>
          <w:tcPr>
            <w:tcW w:type="dxa" w:w="2208"/>
            <w:tcMar>
              <w:top w:type="dxa" w:w="70"/>
              <w:left w:type="dxa" w:w="100"/>
              <w:bottom w:type="dxa" w:w="70"/>
              <w:right w:type="dxa" w:w="100"/>
            </w:tcMar>
            <w:vAlign w:val="top"/>
          </w:tcPr>
          <w:p>
            <w:pPr>
              <w:spacing w:after="0" w:line="252" w:lineRule="auto"/>
            </w:pPr>
            <w:r>
              <w:rPr>
                <w:sz w:val="18"/>
                <w:szCs w:val="18"/>
              </w:rPr>
              <w:t xml:space="preserve">A month closed end to end; payroll inputs consumed by one external system</w:t>
            </w:r>
          </w:p>
        </w:tc>
        <w:tc>
          <w:tcPr>
            <w:tcW w:type="dxa" w:w="906"/>
            <w:tcMar>
              <w:top w:type="dxa" w:w="70"/>
              <w:left w:type="dxa" w:w="100"/>
              <w:bottom w:type="dxa" w:w="70"/>
              <w:right w:type="dxa" w:w="100"/>
            </w:tcMar>
            <w:vAlign w:val="top"/>
          </w:tcPr>
          <w:p>
            <w:pPr>
              <w:spacing w:after="0" w:line="252" w:lineRule="auto"/>
            </w:pPr>
            <w:r>
              <w:rPr>
                <w:sz w:val="18"/>
                <w:szCs w:val="18"/>
              </w:rPr>
              <w:t xml:space="preserve">5 months</w:t>
            </w:r>
          </w:p>
        </w:tc>
      </w:tr>
      <w:tr>
        <w:trPr>
          <w:cantSplit/>
          <w:tblHeader w:val="false"/>
        </w:trPr>
        <w:tc>
          <w:tcPr>
            <w:tcW w:type="dxa" w:w="1305"/>
            <w:tcMar>
              <w:top w:type="dxa" w:w="70"/>
              <w:left w:type="dxa" w:w="100"/>
              <w:bottom w:type="dxa" w:w="70"/>
              <w:right w:type="dxa" w:w="100"/>
            </w:tcMar>
            <w:vAlign w:val="top"/>
          </w:tcPr>
          <w:p>
            <w:pPr>
              <w:spacing w:after="0" w:line="252" w:lineRule="auto"/>
            </w:pPr>
            <w:r>
              <w:rPr>
                <w:b/>
                <w:bCs/>
                <w:color w:val="16222A"/>
                <w:sz w:val="18"/>
                <w:szCs w:val="18"/>
              </w:rPr>
              <w:t xml:space="preserve">3 Workforce</w:t>
            </w:r>
          </w:p>
        </w:tc>
        <w:tc>
          <w:tcPr>
            <w:tcW w:type="dxa" w:w="3011"/>
            <w:tcMar>
              <w:top w:type="dxa" w:w="70"/>
              <w:left w:type="dxa" w:w="100"/>
              <w:bottom w:type="dxa" w:w="70"/>
              <w:right w:type="dxa" w:w="100"/>
            </w:tcMar>
            <w:vAlign w:val="top"/>
          </w:tcPr>
          <w:p>
            <w:pPr>
              <w:spacing w:after="0" w:line="252" w:lineRule="auto"/>
            </w:pPr>
            <w:r>
              <w:rPr>
                <w:sz w:val="18"/>
                <w:szCs w:val="18"/>
              </w:rPr>
              <w:t xml:space="preserve">Manpower, recruitment, training, assets</w:t>
            </w:r>
          </w:p>
        </w:tc>
        <w:tc>
          <w:tcPr>
            <w:tcW w:type="dxa" w:w="2208"/>
            <w:tcMar>
              <w:top w:type="dxa" w:w="70"/>
              <w:left w:type="dxa" w:w="100"/>
              <w:bottom w:type="dxa" w:w="70"/>
              <w:right w:type="dxa" w:w="100"/>
            </w:tcMar>
            <w:vAlign w:val="top"/>
          </w:tcPr>
          <w:p>
            <w:pPr>
              <w:spacing w:after="0" w:line="252" w:lineRule="auto"/>
            </w:pPr>
            <w:r>
              <w:rPr>
                <w:sz w:val="18"/>
                <w:szCs w:val="18"/>
              </w:rPr>
              <w:t xml:space="preserve">Talent APIs; partner apps (authorization code)</w:t>
            </w:r>
          </w:p>
        </w:tc>
        <w:tc>
          <w:tcPr>
            <w:tcW w:type="dxa" w:w="2208"/>
            <w:tcMar>
              <w:top w:type="dxa" w:w="70"/>
              <w:left w:type="dxa" w:w="100"/>
              <w:bottom w:type="dxa" w:w="70"/>
              <w:right w:type="dxa" w:w="100"/>
            </w:tcMar>
            <w:vAlign w:val="top"/>
          </w:tcPr>
          <w:p>
            <w:pPr>
              <w:spacing w:after="0" w:line="252" w:lineRule="auto"/>
            </w:pPr>
            <w:r>
              <w:rPr>
                <w:sz w:val="18"/>
                <w:szCs w:val="18"/>
              </w:rPr>
              <w:t xml:space="preserve">Vacancy to joined employee with no re-entry</w:t>
            </w:r>
          </w:p>
        </w:tc>
        <w:tc>
          <w:tcPr>
            <w:tcW w:type="dxa" w:w="906"/>
            <w:tcMar>
              <w:top w:type="dxa" w:w="70"/>
              <w:left w:type="dxa" w:w="100"/>
              <w:bottom w:type="dxa" w:w="70"/>
              <w:right w:type="dxa" w:w="100"/>
            </w:tcMar>
            <w:vAlign w:val="top"/>
          </w:tcPr>
          <w:p>
            <w:pPr>
              <w:spacing w:after="0" w:line="252" w:lineRule="auto"/>
            </w:pPr>
            <w:r>
              <w:rPr>
                <w:sz w:val="18"/>
                <w:szCs w:val="18"/>
              </w:rPr>
              <w:t xml:space="preserve">3 months</w:t>
            </w:r>
          </w:p>
        </w:tc>
      </w:tr>
      <w:tr>
        <w:trPr>
          <w:cantSplit/>
          <w:tblHeader w:val="false"/>
        </w:trPr>
        <w:tc>
          <w:tcPr>
            <w:tcW w:type="dxa" w:w="1305"/>
            <w:tcMar>
              <w:top w:type="dxa" w:w="70"/>
              <w:left w:type="dxa" w:w="100"/>
              <w:bottom w:type="dxa" w:w="70"/>
              <w:right w:type="dxa" w:w="100"/>
            </w:tcMar>
            <w:vAlign w:val="top"/>
          </w:tcPr>
          <w:p>
            <w:pPr>
              <w:spacing w:after="0" w:line="252" w:lineRule="auto"/>
            </w:pPr>
            <w:r>
              <w:rPr>
                <w:b/>
                <w:bCs/>
                <w:color w:val="16222A"/>
                <w:sz w:val="18"/>
                <w:szCs w:val="18"/>
              </w:rPr>
              <w:t xml:space="preserve">4 Exit and compliance</w:t>
            </w:r>
          </w:p>
        </w:tc>
        <w:tc>
          <w:tcPr>
            <w:tcW w:type="dxa" w:w="3011"/>
            <w:tcMar>
              <w:top w:type="dxa" w:w="70"/>
              <w:left w:type="dxa" w:w="100"/>
              <w:bottom w:type="dxa" w:w="70"/>
              <w:right w:type="dxa" w:w="100"/>
            </w:tcMar>
            <w:vAlign w:val="top"/>
          </w:tcPr>
          <w:p>
            <w:pPr>
              <w:spacing w:after="0" w:line="252" w:lineRule="auto"/>
            </w:pPr>
            <w:r>
              <w:rPr>
                <w:sz w:val="18"/>
                <w:szCs w:val="18"/>
              </w:rPr>
              <w:t xml:space="preserve">Full exit, clearance, F&amp;F inputs; India pack (PF, ESIC, PT, LWF) with evidence</w:t>
            </w:r>
          </w:p>
        </w:tc>
        <w:tc>
          <w:tcPr>
            <w:tcW w:type="dxa" w:w="2208"/>
            <w:tcMar>
              <w:top w:type="dxa" w:w="70"/>
              <w:left w:type="dxa" w:w="100"/>
              <w:bottom w:type="dxa" w:w="70"/>
              <w:right w:type="dxa" w:w="100"/>
            </w:tcMar>
            <w:vAlign w:val="top"/>
          </w:tcPr>
          <w:p>
            <w:pPr>
              <w:spacing w:after="0" w:line="252" w:lineRule="auto"/>
            </w:pPr>
            <w:r>
              <w:rPr>
                <w:sz w:val="18"/>
                <w:szCs w:val="18"/>
              </w:rPr>
              <w:t xml:space="preserve">Separation and compliance APIs; PF ECR file output</w:t>
            </w:r>
          </w:p>
        </w:tc>
        <w:tc>
          <w:tcPr>
            <w:tcW w:type="dxa" w:w="2208"/>
            <w:tcMar>
              <w:top w:type="dxa" w:w="70"/>
              <w:left w:type="dxa" w:w="100"/>
              <w:bottom w:type="dxa" w:w="70"/>
              <w:right w:type="dxa" w:w="100"/>
            </w:tcMar>
            <w:vAlign w:val="top"/>
          </w:tcPr>
          <w:p>
            <w:pPr>
              <w:spacing w:after="0" w:line="252" w:lineRule="auto"/>
            </w:pPr>
            <w:r>
              <w:rPr>
                <w:sz w:val="18"/>
                <w:szCs w:val="18"/>
              </w:rPr>
              <w:t xml:space="preserve">Monthly compliance evidence for one period</w:t>
            </w:r>
          </w:p>
        </w:tc>
        <w:tc>
          <w:tcPr>
            <w:tcW w:type="dxa" w:w="906"/>
            <w:tcMar>
              <w:top w:type="dxa" w:w="70"/>
              <w:left w:type="dxa" w:w="100"/>
              <w:bottom w:type="dxa" w:w="70"/>
              <w:right w:type="dxa" w:w="100"/>
            </w:tcMar>
            <w:vAlign w:val="top"/>
          </w:tcPr>
          <w:p>
            <w:pPr>
              <w:spacing w:after="0" w:line="252" w:lineRule="auto"/>
            </w:pPr>
            <w:r>
              <w:rPr>
                <w:sz w:val="18"/>
                <w:szCs w:val="18"/>
              </w:rPr>
              <w:t xml:space="preserve">3 months</w:t>
            </w:r>
          </w:p>
        </w:tc>
      </w:tr>
      <w:tr>
        <w:trPr>
          <w:cantSplit/>
          <w:tblHeader w:val="false"/>
        </w:trPr>
        <w:tc>
          <w:tcPr>
            <w:tcW w:type="dxa" w:w="1305"/>
            <w:tcMar>
              <w:top w:type="dxa" w:w="70"/>
              <w:left w:type="dxa" w:w="100"/>
              <w:bottom w:type="dxa" w:w="70"/>
              <w:right w:type="dxa" w:w="100"/>
            </w:tcMar>
            <w:vAlign w:val="top"/>
          </w:tcPr>
          <w:p>
            <w:pPr>
              <w:spacing w:after="0" w:line="252" w:lineRule="auto"/>
            </w:pPr>
            <w:r>
              <w:rPr>
                <w:b/>
                <w:bCs/>
                <w:color w:val="16222A"/>
                <w:sz w:val="18"/>
                <w:szCs w:val="18"/>
              </w:rPr>
              <w:t xml:space="preserve">5 Scale</w:t>
            </w:r>
          </w:p>
        </w:tc>
        <w:tc>
          <w:tcPr>
            <w:tcW w:type="dxa" w:w="3011"/>
            <w:tcMar>
              <w:top w:type="dxa" w:w="70"/>
              <w:left w:type="dxa" w:w="100"/>
              <w:bottom w:type="dxa" w:w="70"/>
              <w:right w:type="dxa" w:w="100"/>
            </w:tcMar>
            <w:vAlign w:val="top"/>
          </w:tcPr>
          <w:p>
            <w:pPr>
              <w:spacing w:after="0" w:line="252" w:lineRule="auto"/>
            </w:pPr>
            <w:r>
              <w:rPr>
                <w:sz w:val="18"/>
                <w:szCs w:val="18"/>
              </w:rPr>
              <w:t xml:space="preserve">Second cell, first dedicated tenant, analytics stack by trigger</w:t>
            </w:r>
          </w:p>
        </w:tc>
        <w:tc>
          <w:tcPr>
            <w:tcW w:type="dxa" w:w="2208"/>
            <w:tcMar>
              <w:top w:type="dxa" w:w="70"/>
              <w:left w:type="dxa" w:w="100"/>
              <w:bottom w:type="dxa" w:w="70"/>
              <w:right w:type="dxa" w:w="100"/>
            </w:tcMar>
            <w:vAlign w:val="top"/>
          </w:tcPr>
          <w:p>
            <w:pPr>
              <w:spacing w:after="0" w:line="252" w:lineRule="auto"/>
            </w:pPr>
            <w:r>
              <w:rPr>
                <w:sz w:val="18"/>
                <w:szCs w:val="18"/>
              </w:rPr>
              <w:t xml:space="preserve">Analytics API; AWS Marketplace</w:t>
            </w:r>
          </w:p>
        </w:tc>
        <w:tc>
          <w:tcPr>
            <w:tcW w:type="dxa" w:w="2208"/>
            <w:tcMar>
              <w:top w:type="dxa" w:w="70"/>
              <w:left w:type="dxa" w:w="100"/>
              <w:bottom w:type="dxa" w:w="70"/>
              <w:right w:type="dxa" w:w="100"/>
            </w:tcMar>
            <w:vAlign w:val="top"/>
          </w:tcPr>
          <w:p>
            <w:pPr>
              <w:spacing w:after="0" w:line="252" w:lineRule="auto"/>
            </w:pPr>
            <w:r>
              <w:rPr>
                <w:sz w:val="18"/>
                <w:szCs w:val="18"/>
              </w:rPr>
              <w:t xml:space="preserve">Dashboards and reports agree</w:t>
            </w:r>
          </w:p>
        </w:tc>
        <w:tc>
          <w:tcPr>
            <w:tcW w:type="dxa" w:w="906"/>
            <w:tcMar>
              <w:top w:type="dxa" w:w="70"/>
              <w:left w:type="dxa" w:w="100"/>
              <w:bottom w:type="dxa" w:w="70"/>
              <w:right w:type="dxa" w:w="100"/>
            </w:tcMar>
            <w:vAlign w:val="top"/>
          </w:tcPr>
          <w:p>
            <w:pPr>
              <w:spacing w:after="0" w:line="252" w:lineRule="auto"/>
            </w:pPr>
            <w:r>
              <w:rPr>
                <w:sz w:val="18"/>
                <w:szCs w:val="18"/>
              </w:rPr>
              <w:t xml:space="preserve">3 months</w:t>
            </w:r>
          </w:p>
        </w:tc>
      </w:tr>
    </w:tbl>
    <w:p>
      <w:pPr>
        <w:spacing w:after="160"/>
      </w:pPr>
    </w:p>
    <w:p>
      <w:pPr>
        <w:pStyle w:val="Heading2"/>
      </w:pPr>
      <w:bookmarkStart w:id="8068" w:name="_Toc900068"/>
      <w:r>
        <w:t xml:space="preserve">15.3 Proofs of concept (Phase 0a)</w:t>
      </w:r>
      <w:bookmarkEnd w:id="8068"/>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1623"/>
        <w:gridCol w:w="2637"/>
        <w:gridCol w:w="4362"/>
        <w:gridCol w:w="1016"/>
      </w:tblGrid>
      <w:tr>
        <w:trPr>
          <w:cantSplit/>
          <w:tblHeader/>
        </w:trPr>
        <w:tc>
          <w:tcPr>
            <w:tcW w:type="dxa" w:w="162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PoC</w:t>
            </w:r>
          </w:p>
        </w:tc>
        <w:tc>
          <w:tcPr>
            <w:tcW w:type="dxa" w:w="263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Question</w:t>
            </w:r>
          </w:p>
        </w:tc>
        <w:tc>
          <w:tcPr>
            <w:tcW w:type="dxa" w:w="4362"/>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Success criteria</w:t>
            </w:r>
          </w:p>
        </w:tc>
        <w:tc>
          <w:tcPr>
            <w:tcW w:type="dxa" w:w="1016"/>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Time</w:t>
            </w:r>
          </w:p>
        </w:tc>
      </w:tr>
      <w:tr>
        <w:trPr>
          <w:cantSplit/>
          <w:tblHeader w:val="false"/>
        </w:trPr>
        <w:tc>
          <w:tcPr>
            <w:tcW w:type="dxa" w:w="1623"/>
            <w:tcMar>
              <w:top w:type="dxa" w:w="70"/>
              <w:left w:type="dxa" w:w="100"/>
              <w:bottom w:type="dxa" w:w="70"/>
              <w:right w:type="dxa" w:w="100"/>
            </w:tcMar>
            <w:vAlign w:val="top"/>
          </w:tcPr>
          <w:p>
            <w:pPr>
              <w:spacing w:after="0" w:line="252" w:lineRule="auto"/>
            </w:pPr>
            <w:r>
              <w:rPr>
                <w:b/>
                <w:bCs/>
                <w:color w:val="16222A"/>
                <w:sz w:val="18"/>
                <w:szCs w:val="18"/>
              </w:rPr>
              <w:t xml:space="preserve">Identity</w:t>
            </w:r>
          </w:p>
        </w:tc>
        <w:tc>
          <w:tcPr>
            <w:tcW w:type="dxa" w:w="2637"/>
            <w:tcMar>
              <w:top w:type="dxa" w:w="70"/>
              <w:left w:type="dxa" w:w="100"/>
              <w:bottom w:type="dxa" w:w="70"/>
              <w:right w:type="dxa" w:w="100"/>
            </w:tcMar>
            <w:vAlign w:val="top"/>
          </w:tcPr>
          <w:p>
            <w:pPr>
              <w:spacing w:after="0" w:line="252" w:lineRule="auto"/>
            </w:pPr>
            <w:r>
              <w:rPr>
                <w:sz w:val="18"/>
                <w:szCs w:val="18"/>
              </w:rPr>
              <w:t xml:space="preserve">Can Keycloak Organizations serve our tenant model?</w:t>
            </w:r>
          </w:p>
        </w:tc>
        <w:tc>
          <w:tcPr>
            <w:tcW w:type="dxa" w:w="4362"/>
            <w:tcMar>
              <w:top w:type="dxa" w:w="70"/>
              <w:left w:type="dxa" w:w="100"/>
              <w:bottom w:type="dxa" w:w="70"/>
              <w:right w:type="dxa" w:w="100"/>
            </w:tcMar>
            <w:vAlign w:val="top"/>
          </w:tcPr>
          <w:p>
            <w:pPr>
              <w:spacing w:after="0" w:line="252" w:lineRule="auto"/>
            </w:pPr>
            <w:r>
              <w:rPr>
                <w:sz w:val="18"/>
                <w:szCs w:val="18"/>
              </w:rPr>
              <w:t xml:space="preserve">2,000 organisations with per-org SAML/OIDC; OTP; tenant claim on client tokens; installation service prototype; login p95 &lt; 1 s</w:t>
            </w:r>
          </w:p>
        </w:tc>
        <w:tc>
          <w:tcPr>
            <w:tcW w:type="dxa" w:w="1016"/>
            <w:tcMar>
              <w:top w:type="dxa" w:w="70"/>
              <w:left w:type="dxa" w:w="100"/>
              <w:bottom w:type="dxa" w:w="70"/>
              <w:right w:type="dxa" w:w="100"/>
            </w:tcMar>
            <w:vAlign w:val="top"/>
          </w:tcPr>
          <w:p>
            <w:pPr>
              <w:spacing w:after="0" w:line="252" w:lineRule="auto"/>
            </w:pPr>
            <w:r>
              <w:rPr>
                <w:sz w:val="18"/>
                <w:szCs w:val="18"/>
              </w:rPr>
              <w:t xml:space="preserve">3 weeks</w:t>
            </w:r>
          </w:p>
        </w:tc>
      </w:tr>
      <w:tr>
        <w:trPr>
          <w:cantSplit/>
          <w:tblHeader w:val="false"/>
        </w:trPr>
        <w:tc>
          <w:tcPr>
            <w:tcW w:type="dxa" w:w="1623"/>
            <w:tcMar>
              <w:top w:type="dxa" w:w="70"/>
              <w:left w:type="dxa" w:w="100"/>
              <w:bottom w:type="dxa" w:w="70"/>
              <w:right w:type="dxa" w:w="100"/>
            </w:tcMar>
            <w:vAlign w:val="top"/>
          </w:tcPr>
          <w:p>
            <w:pPr>
              <w:spacing w:after="0" w:line="252" w:lineRule="auto"/>
            </w:pPr>
            <w:r>
              <w:rPr>
                <w:b/>
                <w:bCs/>
                <w:color w:val="16222A"/>
                <w:sz w:val="18"/>
                <w:szCs w:val="18"/>
              </w:rPr>
              <w:t xml:space="preserve">Gateway</w:t>
            </w:r>
          </w:p>
        </w:tc>
        <w:tc>
          <w:tcPr>
            <w:tcW w:type="dxa" w:w="2637"/>
            <w:tcMar>
              <w:top w:type="dxa" w:w="70"/>
              <w:left w:type="dxa" w:w="100"/>
              <w:bottom w:type="dxa" w:w="70"/>
              <w:right w:type="dxa" w:w="100"/>
            </w:tcMar>
            <w:vAlign w:val="top"/>
          </w:tcPr>
          <w:p>
            <w:pPr>
              <w:spacing w:after="0" w:line="252" w:lineRule="auto"/>
            </w:pPr>
            <w:r>
              <w:rPr>
                <w:sz w:val="18"/>
                <w:szCs w:val="18"/>
              </w:rPr>
              <w:t xml:space="preserve">Kong OSS + plugin, Kong Enterprise, or Envoy?</w:t>
            </w:r>
          </w:p>
        </w:tc>
        <w:tc>
          <w:tcPr>
            <w:tcW w:type="dxa" w:w="4362"/>
            <w:tcMar>
              <w:top w:type="dxa" w:w="70"/>
              <w:left w:type="dxa" w:w="100"/>
              <w:bottom w:type="dxa" w:w="70"/>
              <w:right w:type="dxa" w:w="100"/>
            </w:tcMar>
            <w:vAlign w:val="top"/>
          </w:tcPr>
          <w:p>
            <w:pPr>
              <w:spacing w:after="0" w:line="252" w:lineRule="auto"/>
            </w:pPr>
            <w:r>
              <w:rPr>
                <w:sz w:val="18"/>
                <w:szCs w:val="18"/>
              </w:rPr>
              <w:t xml:space="preserve">Tenant-claim rate limits; routing by cell; JWT; overhead p95 &lt; 10 ms; licence cost known</w:t>
            </w:r>
          </w:p>
        </w:tc>
        <w:tc>
          <w:tcPr>
            <w:tcW w:type="dxa" w:w="1016"/>
            <w:tcMar>
              <w:top w:type="dxa" w:w="70"/>
              <w:left w:type="dxa" w:w="100"/>
              <w:bottom w:type="dxa" w:w="70"/>
              <w:right w:type="dxa" w:w="100"/>
            </w:tcMar>
            <w:vAlign w:val="top"/>
          </w:tcPr>
          <w:p>
            <w:pPr>
              <w:spacing w:after="0" w:line="252" w:lineRule="auto"/>
            </w:pPr>
            <w:r>
              <w:rPr>
                <w:sz w:val="18"/>
                <w:szCs w:val="18"/>
              </w:rPr>
              <w:t xml:space="preserve">2 weeks</w:t>
            </w:r>
          </w:p>
        </w:tc>
      </w:tr>
      <w:tr>
        <w:trPr>
          <w:cantSplit/>
          <w:tblHeader w:val="false"/>
        </w:trPr>
        <w:tc>
          <w:tcPr>
            <w:tcW w:type="dxa" w:w="1623"/>
            <w:tcMar>
              <w:top w:type="dxa" w:w="70"/>
              <w:left w:type="dxa" w:w="100"/>
              <w:bottom w:type="dxa" w:w="70"/>
              <w:right w:type="dxa" w:w="100"/>
            </w:tcMar>
            <w:vAlign w:val="top"/>
          </w:tcPr>
          <w:p>
            <w:pPr>
              <w:spacing w:after="0" w:line="252" w:lineRule="auto"/>
            </w:pPr>
            <w:r>
              <w:rPr>
                <w:b/>
                <w:bCs/>
                <w:color w:val="16222A"/>
                <w:sz w:val="18"/>
                <w:szCs w:val="18"/>
              </w:rPr>
              <w:t xml:space="preserve">Tenancy data layer</w:t>
            </w:r>
          </w:p>
        </w:tc>
        <w:tc>
          <w:tcPr>
            <w:tcW w:type="dxa" w:w="2637"/>
            <w:tcMar>
              <w:top w:type="dxa" w:w="70"/>
              <w:left w:type="dxa" w:w="100"/>
              <w:bottom w:type="dxa" w:w="70"/>
              <w:right w:type="dxa" w:w="100"/>
            </w:tcMar>
            <w:vAlign w:val="top"/>
          </w:tcPr>
          <w:p>
            <w:pPr>
              <w:spacing w:after="0" w:line="252" w:lineRule="auto"/>
            </w:pPr>
            <w:r>
              <w:rPr>
                <w:sz w:val="18"/>
                <w:szCs w:val="18"/>
              </w:rPr>
              <w:t xml:space="preserve">Do RLS, PgBouncer, Hibernate and the temporal library work together?</w:t>
            </w:r>
          </w:p>
        </w:tc>
        <w:tc>
          <w:tcPr>
            <w:tcW w:type="dxa" w:w="4362"/>
            <w:tcMar>
              <w:top w:type="dxa" w:w="70"/>
              <w:left w:type="dxa" w:w="100"/>
              <w:bottom w:type="dxa" w:w="70"/>
              <w:right w:type="dxa" w:w="100"/>
            </w:tcMar>
            <w:vAlign w:val="top"/>
          </w:tcPr>
          <w:p>
            <w:pPr>
              <w:spacing w:after="0" w:line="252" w:lineRule="auto"/>
            </w:pPr>
            <w:r>
              <w:rPr>
                <w:sz w:val="18"/>
                <w:szCs w:val="18"/>
              </w:rPr>
              <w:t xml:space="preserve">Leakage suite passes; no statement outside a tenant transaction; exclusion constraints hold; fails loudly</w:t>
            </w:r>
          </w:p>
        </w:tc>
        <w:tc>
          <w:tcPr>
            <w:tcW w:type="dxa" w:w="1016"/>
            <w:tcMar>
              <w:top w:type="dxa" w:w="70"/>
              <w:left w:type="dxa" w:w="100"/>
              <w:bottom w:type="dxa" w:w="70"/>
              <w:right w:type="dxa" w:w="100"/>
            </w:tcMar>
            <w:vAlign w:val="top"/>
          </w:tcPr>
          <w:p>
            <w:pPr>
              <w:spacing w:after="0" w:line="252" w:lineRule="auto"/>
            </w:pPr>
            <w:r>
              <w:rPr>
                <w:sz w:val="18"/>
                <w:szCs w:val="18"/>
              </w:rPr>
              <w:t xml:space="preserve">3 weeks</w:t>
            </w:r>
          </w:p>
        </w:tc>
      </w:tr>
      <w:tr>
        <w:trPr>
          <w:cantSplit/>
          <w:tblHeader w:val="false"/>
        </w:trPr>
        <w:tc>
          <w:tcPr>
            <w:tcW w:type="dxa" w:w="1623"/>
            <w:tcMar>
              <w:top w:type="dxa" w:w="70"/>
              <w:left w:type="dxa" w:w="100"/>
              <w:bottom w:type="dxa" w:w="70"/>
              <w:right w:type="dxa" w:w="100"/>
            </w:tcMar>
            <w:vAlign w:val="top"/>
          </w:tcPr>
          <w:p>
            <w:pPr>
              <w:spacing w:after="0" w:line="252" w:lineRule="auto"/>
            </w:pPr>
            <w:r>
              <w:rPr>
                <w:b/>
                <w:bCs/>
                <w:color w:val="16222A"/>
                <w:sz w:val="18"/>
                <w:szCs w:val="18"/>
              </w:rPr>
              <w:t xml:space="preserve">Device ingestion</w:t>
            </w:r>
          </w:p>
        </w:tc>
        <w:tc>
          <w:tcPr>
            <w:tcW w:type="dxa" w:w="2637"/>
            <w:tcMar>
              <w:top w:type="dxa" w:w="70"/>
              <w:left w:type="dxa" w:w="100"/>
              <w:bottom w:type="dxa" w:w="70"/>
              <w:right w:type="dxa" w:w="100"/>
            </w:tcMar>
            <w:vAlign w:val="top"/>
          </w:tcPr>
          <w:p>
            <w:pPr>
              <w:spacing w:after="0" w:line="252" w:lineRule="auto"/>
            </w:pPr>
            <w:r>
              <w:rPr>
                <w:sz w:val="18"/>
                <w:szCs w:val="18"/>
              </w:rPr>
              <w:t xml:space="preserve">Can we ingest SURAJ Group's devices safely?</w:t>
            </w:r>
          </w:p>
        </w:tc>
        <w:tc>
          <w:tcPr>
            <w:tcW w:type="dxa" w:w="4362"/>
            <w:tcMar>
              <w:top w:type="dxa" w:w="70"/>
              <w:left w:type="dxa" w:w="100"/>
              <w:bottom w:type="dxa" w:w="70"/>
              <w:right w:type="dxa" w:w="100"/>
            </w:tcMar>
            <w:vAlign w:val="top"/>
          </w:tcPr>
          <w:p>
            <w:pPr>
              <w:spacing w:after="0" w:line="252" w:lineRule="auto"/>
            </w:pPr>
            <w:r>
              <w:rPr>
                <w:sz w:val="18"/>
                <w:szCs w:val="18"/>
              </w:rPr>
              <w:t xml:space="preserve">Top three models via agent or device edge; idempotent; offline buffering; clock-drift detection</w:t>
            </w:r>
          </w:p>
        </w:tc>
        <w:tc>
          <w:tcPr>
            <w:tcW w:type="dxa" w:w="1016"/>
            <w:tcMar>
              <w:top w:type="dxa" w:w="70"/>
              <w:left w:type="dxa" w:w="100"/>
              <w:bottom w:type="dxa" w:w="70"/>
              <w:right w:type="dxa" w:w="100"/>
            </w:tcMar>
            <w:vAlign w:val="top"/>
          </w:tcPr>
          <w:p>
            <w:pPr>
              <w:spacing w:after="0" w:line="252" w:lineRule="auto"/>
            </w:pPr>
            <w:r>
              <w:rPr>
                <w:sz w:val="18"/>
                <w:szCs w:val="18"/>
              </w:rPr>
              <w:t xml:space="preserve">3 weeks</w:t>
            </w:r>
          </w:p>
        </w:tc>
      </w:tr>
      <w:tr>
        <w:trPr>
          <w:cantSplit/>
          <w:tblHeader w:val="false"/>
        </w:trPr>
        <w:tc>
          <w:tcPr>
            <w:tcW w:type="dxa" w:w="1623"/>
            <w:tcMar>
              <w:top w:type="dxa" w:w="70"/>
              <w:left w:type="dxa" w:w="100"/>
              <w:bottom w:type="dxa" w:w="70"/>
              <w:right w:type="dxa" w:w="100"/>
            </w:tcMar>
            <w:vAlign w:val="top"/>
          </w:tcPr>
          <w:p>
            <w:pPr>
              <w:spacing w:after="0" w:line="252" w:lineRule="auto"/>
            </w:pPr>
            <w:r>
              <w:rPr>
                <w:b/>
                <w:bCs/>
                <w:color w:val="16222A"/>
                <w:sz w:val="18"/>
                <w:szCs w:val="18"/>
              </w:rPr>
              <w:t xml:space="preserve">Vendor and region checks</w:t>
            </w:r>
          </w:p>
        </w:tc>
        <w:tc>
          <w:tcPr>
            <w:tcW w:type="dxa" w:w="2637"/>
            <w:tcMar>
              <w:top w:type="dxa" w:w="70"/>
              <w:left w:type="dxa" w:w="100"/>
              <w:bottom w:type="dxa" w:w="70"/>
              <w:right w:type="dxa" w:w="100"/>
            </w:tcMar>
            <w:vAlign w:val="top"/>
          </w:tcPr>
          <w:p>
            <w:pPr>
              <w:spacing w:after="0" w:line="252" w:lineRule="auto"/>
            </w:pPr>
            <w:r>
              <w:rPr>
                <w:sz w:val="18"/>
                <w:szCs w:val="18"/>
              </w:rPr>
              <w:t xml:space="preserve">Are the assumed services available where we need them?</w:t>
            </w:r>
          </w:p>
        </w:tc>
        <w:tc>
          <w:tcPr>
            <w:tcW w:type="dxa" w:w="4362"/>
            <w:tcMar>
              <w:top w:type="dxa" w:w="70"/>
              <w:left w:type="dxa" w:w="100"/>
              <w:bottom w:type="dxa" w:w="70"/>
              <w:right w:type="dxa" w:w="100"/>
            </w:tcMar>
            <w:vAlign w:val="top"/>
          </w:tcPr>
          <w:p>
            <w:pPr>
              <w:spacing w:after="0" w:line="252" w:lineRule="auto"/>
            </w:pPr>
            <w:r>
              <w:rPr>
                <w:sz w:val="18"/>
                <w:szCs w:val="18"/>
              </w:rPr>
              <w:t xml:space="preserve">Written confirmation for each item in section 16.2</w:t>
            </w:r>
          </w:p>
        </w:tc>
        <w:tc>
          <w:tcPr>
            <w:tcW w:type="dxa" w:w="1016"/>
            <w:tcMar>
              <w:top w:type="dxa" w:w="70"/>
              <w:left w:type="dxa" w:w="100"/>
              <w:bottom w:type="dxa" w:w="70"/>
              <w:right w:type="dxa" w:w="100"/>
            </w:tcMar>
            <w:vAlign w:val="top"/>
          </w:tcPr>
          <w:p>
            <w:pPr>
              <w:spacing w:after="0" w:line="252" w:lineRule="auto"/>
            </w:pPr>
            <w:r>
              <w:rPr>
                <w:sz w:val="18"/>
                <w:szCs w:val="18"/>
              </w:rPr>
              <w:t xml:space="preserve">1 week</w:t>
            </w:r>
          </w:p>
        </w:tc>
      </w:tr>
    </w:tbl>
    <w:p>
      <w:pPr>
        <w:spacing w:after="160"/>
      </w:pPr>
    </w:p>
    <w:p>
      <w:pPr>
        <w:pStyle w:val="Heading2"/>
      </w:pPr>
      <w:bookmarkStart w:id="8069" w:name="_Toc900069"/>
      <w:r>
        <w:t xml:space="preserve">15.4 Testing strategy</w:t>
      </w:r>
      <w:bookmarkEnd w:id="8069"/>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333"/>
        <w:gridCol w:w="4261"/>
        <w:gridCol w:w="3044"/>
      </w:tblGrid>
      <w:tr>
        <w:trPr>
          <w:cantSplit/>
          <w:tblHeader/>
        </w:trPr>
        <w:tc>
          <w:tcPr>
            <w:tcW w:type="dxa" w:w="2333"/>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Level</w:t>
            </w:r>
          </w:p>
        </w:tc>
        <w:tc>
          <w:tcPr>
            <w:tcW w:type="dxa" w:w="426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What it proves</w:t>
            </w:r>
          </w:p>
        </w:tc>
        <w:tc>
          <w:tcPr>
            <w:tcW w:type="dxa" w:w="304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Tools</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Unit and property</w:t>
            </w:r>
          </w:p>
        </w:tc>
        <w:tc>
          <w:tcPr>
            <w:tcW w:type="dxa" w:w="4261"/>
            <w:tcMar>
              <w:top w:type="dxa" w:w="70"/>
              <w:left w:type="dxa" w:w="100"/>
              <w:bottom w:type="dxa" w:w="70"/>
              <w:right w:type="dxa" w:w="100"/>
            </w:tcMar>
            <w:vAlign w:val="top"/>
          </w:tcPr>
          <w:p>
            <w:pPr>
              <w:spacing w:after="0" w:line="252" w:lineRule="auto"/>
            </w:pPr>
            <w:r>
              <w:rPr>
                <w:sz w:val="18"/>
                <w:szCs w:val="18"/>
              </w:rPr>
              <w:t xml:space="preserve">Domain rules, CEL policies, effective dating, leave accrual</w:t>
            </w:r>
          </w:p>
        </w:tc>
        <w:tc>
          <w:tcPr>
            <w:tcW w:type="dxa" w:w="3044"/>
            <w:tcMar>
              <w:top w:type="dxa" w:w="70"/>
              <w:left w:type="dxa" w:w="100"/>
              <w:bottom w:type="dxa" w:w="70"/>
              <w:right w:type="dxa" w:w="100"/>
            </w:tcMar>
            <w:vAlign w:val="top"/>
          </w:tcPr>
          <w:p>
            <w:pPr>
              <w:spacing w:after="0" w:line="252" w:lineRule="auto"/>
            </w:pPr>
            <w:r>
              <w:rPr>
                <w:sz w:val="18"/>
                <w:szCs w:val="18"/>
              </w:rPr>
              <w:t xml:space="preserve">JUnit 5, jqwik</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Module and architecture</w:t>
            </w:r>
          </w:p>
        </w:tc>
        <w:tc>
          <w:tcPr>
            <w:tcW w:type="dxa" w:w="4261"/>
            <w:tcMar>
              <w:top w:type="dxa" w:w="70"/>
              <w:left w:type="dxa" w:w="100"/>
              <w:bottom w:type="dxa" w:w="70"/>
              <w:right w:type="dxa" w:w="100"/>
            </w:tcMar>
            <w:vAlign w:val="top"/>
          </w:tcPr>
          <w:p>
            <w:pPr>
              <w:spacing w:after="0" w:line="252" w:lineRule="auto"/>
            </w:pPr>
            <w:r>
              <w:rPr>
                <w:sz w:val="18"/>
                <w:szCs w:val="18"/>
              </w:rPr>
              <w:t xml:space="preserve">Modules work alone and respect boundaries</w:t>
            </w:r>
          </w:p>
        </w:tc>
        <w:tc>
          <w:tcPr>
            <w:tcW w:type="dxa" w:w="3044"/>
            <w:tcMar>
              <w:top w:type="dxa" w:w="70"/>
              <w:left w:type="dxa" w:w="100"/>
              <w:bottom w:type="dxa" w:w="70"/>
              <w:right w:type="dxa" w:w="100"/>
            </w:tcMar>
            <w:vAlign w:val="top"/>
          </w:tcPr>
          <w:p>
            <w:pPr>
              <w:spacing w:after="0" w:line="252" w:lineRule="auto"/>
            </w:pPr>
            <w:r>
              <w:rPr>
                <w:sz w:val="18"/>
                <w:szCs w:val="18"/>
              </w:rPr>
              <w:t xml:space="preserve">Spring Modulith tests, ArchUnit</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Integration</w:t>
            </w:r>
          </w:p>
        </w:tc>
        <w:tc>
          <w:tcPr>
            <w:tcW w:type="dxa" w:w="4261"/>
            <w:tcMar>
              <w:top w:type="dxa" w:w="70"/>
              <w:left w:type="dxa" w:w="100"/>
              <w:bottom w:type="dxa" w:w="70"/>
              <w:right w:type="dxa" w:w="100"/>
            </w:tcMar>
            <w:vAlign w:val="top"/>
          </w:tcPr>
          <w:p>
            <w:pPr>
              <w:spacing w:after="0" w:line="252" w:lineRule="auto"/>
            </w:pPr>
            <w:r>
              <w:rPr>
                <w:sz w:val="18"/>
                <w:szCs w:val="18"/>
              </w:rPr>
              <w:t xml:space="preserve">Real PostgreSQL with RLS, SQS, S3</w:t>
            </w:r>
          </w:p>
        </w:tc>
        <w:tc>
          <w:tcPr>
            <w:tcW w:type="dxa" w:w="3044"/>
            <w:tcMar>
              <w:top w:type="dxa" w:w="70"/>
              <w:left w:type="dxa" w:w="100"/>
              <w:bottom w:type="dxa" w:w="70"/>
              <w:right w:type="dxa" w:w="100"/>
            </w:tcMar>
            <w:vAlign w:val="top"/>
          </w:tcPr>
          <w:p>
            <w:pPr>
              <w:spacing w:after="0" w:line="252" w:lineRule="auto"/>
            </w:pPr>
            <w:r>
              <w:rPr>
                <w:sz w:val="18"/>
                <w:szCs w:val="18"/>
              </w:rPr>
              <w:t xml:space="preserve">Testcontainers, LocalStack</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Tenant isolation</w:t>
            </w:r>
          </w:p>
        </w:tc>
        <w:tc>
          <w:tcPr>
            <w:tcW w:type="dxa" w:w="4261"/>
            <w:tcMar>
              <w:top w:type="dxa" w:w="70"/>
              <w:left w:type="dxa" w:w="100"/>
              <w:bottom w:type="dxa" w:w="70"/>
              <w:right w:type="dxa" w:w="100"/>
            </w:tcMar>
            <w:vAlign w:val="top"/>
          </w:tcPr>
          <w:p>
            <w:pPr>
              <w:spacing w:after="0" w:line="252" w:lineRule="auto"/>
            </w:pPr>
            <w:r>
              <w:rPr>
                <w:sz w:val="18"/>
                <w:szCs w:val="18"/>
              </w:rPr>
              <w:t xml:space="preserve">No route, job, event or export crosses tenants</w:t>
            </w:r>
          </w:p>
        </w:tc>
        <w:tc>
          <w:tcPr>
            <w:tcW w:type="dxa" w:w="3044"/>
            <w:tcMar>
              <w:top w:type="dxa" w:w="70"/>
              <w:left w:type="dxa" w:w="100"/>
              <w:bottom w:type="dxa" w:w="70"/>
              <w:right w:type="dxa" w:w="100"/>
            </w:tcMar>
            <w:vAlign w:val="top"/>
          </w:tcPr>
          <w:p>
            <w:pPr>
              <w:spacing w:after="0" w:line="252" w:lineRule="auto"/>
            </w:pPr>
            <w:r>
              <w:rPr>
                <w:sz w:val="18"/>
                <w:szCs w:val="18"/>
              </w:rPr>
              <w:t xml:space="preserve">Two-tenant suite in CI and staging</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Contract</w:t>
            </w:r>
          </w:p>
        </w:tc>
        <w:tc>
          <w:tcPr>
            <w:tcW w:type="dxa" w:w="4261"/>
            <w:tcMar>
              <w:top w:type="dxa" w:w="70"/>
              <w:left w:type="dxa" w:w="100"/>
              <w:bottom w:type="dxa" w:w="70"/>
              <w:right w:type="dxa" w:w="100"/>
            </w:tcMar>
            <w:vAlign w:val="top"/>
          </w:tcPr>
          <w:p>
            <w:pPr>
              <w:spacing w:after="0" w:line="252" w:lineRule="auto"/>
            </w:pPr>
            <w:r>
              <w:rPr>
                <w:sz w:val="18"/>
                <w:szCs w:val="18"/>
              </w:rPr>
              <w:t xml:space="preserve">Responses match OpenAPI; no breaking changes</w:t>
            </w:r>
          </w:p>
        </w:tc>
        <w:tc>
          <w:tcPr>
            <w:tcW w:type="dxa" w:w="3044"/>
            <w:tcMar>
              <w:top w:type="dxa" w:w="70"/>
              <w:left w:type="dxa" w:w="100"/>
              <w:bottom w:type="dxa" w:w="70"/>
              <w:right w:type="dxa" w:w="100"/>
            </w:tcMar>
            <w:vAlign w:val="top"/>
          </w:tcPr>
          <w:p>
            <w:pPr>
              <w:spacing w:after="0" w:line="252" w:lineRule="auto"/>
            </w:pPr>
            <w:r>
              <w:rPr>
                <w:sz w:val="18"/>
                <w:szCs w:val="18"/>
              </w:rPr>
              <w:t xml:space="preserve">Schema validation, oasdiff, Schemathesis</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Configuration regression</w:t>
            </w:r>
          </w:p>
        </w:tc>
        <w:tc>
          <w:tcPr>
            <w:tcW w:type="dxa" w:w="4261"/>
            <w:tcMar>
              <w:top w:type="dxa" w:w="70"/>
              <w:left w:type="dxa" w:w="100"/>
              <w:bottom w:type="dxa" w:w="70"/>
              <w:right w:type="dxa" w:w="100"/>
            </w:tcMar>
            <w:vAlign w:val="top"/>
          </w:tcPr>
          <w:p>
            <w:pPr>
              <w:spacing w:after="0" w:line="252" w:lineRule="auto"/>
            </w:pPr>
            <w:r>
              <w:rPr>
                <w:sz w:val="18"/>
                <w:szCs w:val="18"/>
              </w:rPr>
              <w:t xml:space="preserve">Every tenant's published configuration still behaves</w:t>
            </w:r>
          </w:p>
        </w:tc>
        <w:tc>
          <w:tcPr>
            <w:tcW w:type="dxa" w:w="3044"/>
            <w:tcMar>
              <w:top w:type="dxa" w:w="70"/>
              <w:left w:type="dxa" w:w="100"/>
              <w:bottom w:type="dxa" w:w="70"/>
              <w:right w:type="dxa" w:w="100"/>
            </w:tcMar>
            <w:vAlign w:val="top"/>
          </w:tcPr>
          <w:p>
            <w:pPr>
              <w:spacing w:after="0" w:line="252" w:lineRule="auto"/>
            </w:pPr>
            <w:r>
              <w:rPr>
                <w:sz w:val="18"/>
                <w:szCs w:val="18"/>
              </w:rPr>
              <w:t xml:space="preserve">Policy test replay before each release</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End to end</w:t>
            </w:r>
          </w:p>
        </w:tc>
        <w:tc>
          <w:tcPr>
            <w:tcW w:type="dxa" w:w="4261"/>
            <w:tcMar>
              <w:top w:type="dxa" w:w="70"/>
              <w:left w:type="dxa" w:w="100"/>
              <w:bottom w:type="dxa" w:w="70"/>
              <w:right w:type="dxa" w:w="100"/>
            </w:tcMar>
            <w:vAlign w:val="top"/>
          </w:tcPr>
          <w:p>
            <w:pPr>
              <w:spacing w:after="0" w:line="252" w:lineRule="auto"/>
            </w:pPr>
            <w:r>
              <w:rPr>
                <w:sz w:val="18"/>
                <w:szCs w:val="18"/>
              </w:rPr>
              <w:t xml:space="preserve">Key journeys</w:t>
            </w:r>
          </w:p>
        </w:tc>
        <w:tc>
          <w:tcPr>
            <w:tcW w:type="dxa" w:w="3044"/>
            <w:tcMar>
              <w:top w:type="dxa" w:w="70"/>
              <w:left w:type="dxa" w:w="100"/>
              <w:bottom w:type="dxa" w:w="70"/>
              <w:right w:type="dxa" w:w="100"/>
            </w:tcMar>
            <w:vAlign w:val="top"/>
          </w:tcPr>
          <w:p>
            <w:pPr>
              <w:spacing w:after="0" w:line="252" w:lineRule="auto"/>
            </w:pPr>
            <w:r>
              <w:rPr>
                <w:sz w:val="18"/>
                <w:szCs w:val="18"/>
              </w:rPr>
              <w:t xml:space="preserve">Playwright (web), Maestro (mobile)</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Performance</w:t>
            </w:r>
          </w:p>
        </w:tc>
        <w:tc>
          <w:tcPr>
            <w:tcW w:type="dxa" w:w="4261"/>
            <w:tcMar>
              <w:top w:type="dxa" w:w="70"/>
              <w:left w:type="dxa" w:w="100"/>
              <w:bottom w:type="dxa" w:w="70"/>
              <w:right w:type="dxa" w:w="100"/>
            </w:tcMar>
            <w:vAlign w:val="top"/>
          </w:tcPr>
          <w:p>
            <w:pPr>
              <w:spacing w:after="0" w:line="252" w:lineRule="auto"/>
            </w:pPr>
            <w:r>
              <w:rPr>
                <w:sz w:val="18"/>
                <w:szCs w:val="18"/>
              </w:rPr>
              <w:t xml:space="preserve">NFR-05 to NFR-09 at the cell design point</w:t>
            </w:r>
          </w:p>
        </w:tc>
        <w:tc>
          <w:tcPr>
            <w:tcW w:type="dxa" w:w="3044"/>
            <w:tcMar>
              <w:top w:type="dxa" w:w="70"/>
              <w:left w:type="dxa" w:w="100"/>
              <w:bottom w:type="dxa" w:w="70"/>
              <w:right w:type="dxa" w:w="100"/>
            </w:tcMar>
            <w:vAlign w:val="top"/>
          </w:tcPr>
          <w:p>
            <w:pPr>
              <w:spacing w:after="0" w:line="252" w:lineRule="auto"/>
            </w:pPr>
            <w:r>
              <w:rPr>
                <w:sz w:val="18"/>
                <w:szCs w:val="18"/>
              </w:rPr>
              <w:t xml:space="preserve">k6; replayed punch storms</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Security and accessibility</w:t>
            </w:r>
          </w:p>
        </w:tc>
        <w:tc>
          <w:tcPr>
            <w:tcW w:type="dxa" w:w="4261"/>
            <w:tcMar>
              <w:top w:type="dxa" w:w="70"/>
              <w:left w:type="dxa" w:w="100"/>
              <w:bottom w:type="dxa" w:w="70"/>
              <w:right w:type="dxa" w:w="100"/>
            </w:tcMar>
            <w:vAlign w:val="top"/>
          </w:tcPr>
          <w:p>
            <w:pPr>
              <w:spacing w:after="0" w:line="252" w:lineRule="auto"/>
            </w:pPr>
            <w:r>
              <w:rPr>
                <w:sz w:val="18"/>
                <w:szCs w:val="18"/>
              </w:rPr>
              <w:t xml:space="preserve">OWASP risks; WCAG 2.2 AA</w:t>
            </w:r>
          </w:p>
        </w:tc>
        <w:tc>
          <w:tcPr>
            <w:tcW w:type="dxa" w:w="3044"/>
            <w:tcMar>
              <w:top w:type="dxa" w:w="70"/>
              <w:left w:type="dxa" w:w="100"/>
              <w:bottom w:type="dxa" w:w="70"/>
              <w:right w:type="dxa" w:w="100"/>
            </w:tcMar>
            <w:vAlign w:val="top"/>
          </w:tcPr>
          <w:p>
            <w:pPr>
              <w:spacing w:after="0" w:line="252" w:lineRule="auto"/>
            </w:pPr>
            <w:r>
              <w:rPr>
                <w:sz w:val="18"/>
                <w:szCs w:val="18"/>
              </w:rPr>
              <w:t xml:space="preserve">ZAP, penetration tests; axe</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Resilience</w:t>
            </w:r>
          </w:p>
        </w:tc>
        <w:tc>
          <w:tcPr>
            <w:tcW w:type="dxa" w:w="4261"/>
            <w:tcMar>
              <w:top w:type="dxa" w:w="70"/>
              <w:left w:type="dxa" w:w="100"/>
              <w:bottom w:type="dxa" w:w="70"/>
              <w:right w:type="dxa" w:w="100"/>
            </w:tcMar>
            <w:vAlign w:val="top"/>
          </w:tcPr>
          <w:p>
            <w:pPr>
              <w:spacing w:after="0" w:line="252" w:lineRule="auto"/>
            </w:pPr>
            <w:r>
              <w:rPr>
                <w:sz w:val="18"/>
                <w:szCs w:val="18"/>
              </w:rPr>
              <w:t xml:space="preserve">Failover and restore work</w:t>
            </w:r>
          </w:p>
        </w:tc>
        <w:tc>
          <w:tcPr>
            <w:tcW w:type="dxa" w:w="3044"/>
            <w:tcMar>
              <w:top w:type="dxa" w:w="70"/>
              <w:left w:type="dxa" w:w="100"/>
              <w:bottom w:type="dxa" w:w="70"/>
              <w:right w:type="dxa" w:w="100"/>
            </w:tcMar>
            <w:vAlign w:val="top"/>
          </w:tcPr>
          <w:p>
            <w:pPr>
              <w:spacing w:after="0" w:line="252" w:lineRule="auto"/>
            </w:pPr>
            <w:r>
              <w:rPr>
                <w:sz w:val="18"/>
                <w:szCs w:val="18"/>
              </w:rPr>
              <w:t xml:space="preserve">AWS FIS game days; DR and tenant-restore drills</w:t>
            </w:r>
          </w:p>
        </w:tc>
      </w:tr>
      <w:tr>
        <w:trPr>
          <w:cantSplit/>
          <w:tblHeader w:val="false"/>
        </w:trPr>
        <w:tc>
          <w:tcPr>
            <w:tcW w:type="dxa" w:w="2333"/>
            <w:tcMar>
              <w:top w:type="dxa" w:w="70"/>
              <w:left w:type="dxa" w:w="100"/>
              <w:bottom w:type="dxa" w:w="70"/>
              <w:right w:type="dxa" w:w="100"/>
            </w:tcMar>
            <w:vAlign w:val="top"/>
          </w:tcPr>
          <w:p>
            <w:pPr>
              <w:spacing w:after="0" w:line="252" w:lineRule="auto"/>
            </w:pPr>
            <w:r>
              <w:rPr>
                <w:b/>
                <w:bCs/>
                <w:color w:val="16222A"/>
                <w:sz w:val="18"/>
                <w:szCs w:val="18"/>
              </w:rPr>
              <w:t xml:space="preserve">Acceptance</w:t>
            </w:r>
          </w:p>
        </w:tc>
        <w:tc>
          <w:tcPr>
            <w:tcW w:type="dxa" w:w="4261"/>
            <w:tcMar>
              <w:top w:type="dxa" w:w="70"/>
              <w:left w:type="dxa" w:w="100"/>
              <w:bottom w:type="dxa" w:w="70"/>
              <w:right w:type="dxa" w:w="100"/>
            </w:tcMar>
            <w:vAlign w:val="top"/>
          </w:tcPr>
          <w:p>
            <w:pPr>
              <w:spacing w:after="0" w:line="252" w:lineRule="auto"/>
            </w:pPr>
            <w:r>
              <w:rPr>
                <w:sz w:val="18"/>
                <w:szCs w:val="18"/>
              </w:rPr>
              <w:t xml:space="preserve">Business completeness (§42, §43)</w:t>
            </w:r>
          </w:p>
        </w:tc>
        <w:tc>
          <w:tcPr>
            <w:tcW w:type="dxa" w:w="3044"/>
            <w:tcMar>
              <w:top w:type="dxa" w:w="70"/>
              <w:left w:type="dxa" w:w="100"/>
              <w:bottom w:type="dxa" w:w="70"/>
              <w:right w:type="dxa" w:w="100"/>
            </w:tcMar>
            <w:vAlign w:val="top"/>
          </w:tcPr>
          <w:p>
            <w:pPr>
              <w:spacing w:after="0" w:line="252" w:lineRule="auto"/>
            </w:pPr>
            <w:r>
              <w:rPr>
                <w:sz w:val="18"/>
                <w:szCs w:val="18"/>
              </w:rPr>
              <w:t xml:space="preserve">HR-run UAT scripts with real examples</w:t>
            </w:r>
          </w:p>
        </w:tc>
      </w:tr>
    </w:tbl>
    <w:p>
      <w:pPr>
        <w:spacing w:after="160"/>
      </w:pPr>
    </w:p>
    <w:p>
      <w:pPr>
        <w:pStyle w:val="Heading1"/>
        <w:pageBreakBefore/>
      </w:pPr>
      <w:bookmarkStart w:id="8070" w:name="_Toc900070"/>
      <w:r>
        <w:t xml:space="preserve">16. Decisions, checks and risks</w:t>
      </w:r>
      <w:bookmarkEnd w:id="8070"/>
    </w:p>
    <w:p>
      <w:pPr>
        <w:pStyle w:val="Heading2"/>
      </w:pPr>
      <w:bookmarkStart w:id="8071" w:name="_Toc900071"/>
      <w:r>
        <w:t xml:space="preserve">16.1 Open decisions</w:t>
      </w:r>
      <w:bookmarkEnd w:id="8071"/>
    </w:p>
    <w:p>
      <w:pPr>
        <w:keepNext/>
        <w:spacing w:after="80" w:before="120"/>
      </w:pPr>
      <w:r>
        <w:rPr>
          <w:b/>
          <w:bCs/>
          <w:color w:val="4F5E67"/>
          <w:sz w:val="18"/>
          <w:szCs w:val="18"/>
        </w:rPr>
        <w:t xml:space="preserve">Table 15. Decisions still needed</w:t>
      </w:r>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710"/>
        <w:gridCol w:w="2637"/>
        <w:gridCol w:w="4971"/>
        <w:gridCol w:w="1320"/>
      </w:tblGrid>
      <w:tr>
        <w:trPr>
          <w:cantSplit/>
          <w:tblHeader/>
        </w:trPr>
        <w:tc>
          <w:tcPr>
            <w:tcW w:type="dxa" w:w="71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w:t>
            </w:r>
          </w:p>
        </w:tc>
        <w:tc>
          <w:tcPr>
            <w:tcW w:type="dxa" w:w="263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Decision</w:t>
            </w:r>
          </w:p>
        </w:tc>
        <w:tc>
          <w:tcPr>
            <w:tcW w:type="dxa" w:w="497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Recommendation</w:t>
            </w:r>
          </w:p>
        </w:tc>
        <w:tc>
          <w:tcPr>
            <w:tcW w:type="dxa" w:w="1320"/>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Needed by</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D2</w:t>
            </w:r>
          </w:p>
        </w:tc>
        <w:tc>
          <w:tcPr>
            <w:tcW w:type="dxa" w:w="2637"/>
            <w:tcMar>
              <w:top w:type="dxa" w:w="70"/>
              <w:left w:type="dxa" w:w="100"/>
              <w:bottom w:type="dxa" w:w="70"/>
              <w:right w:type="dxa" w:w="100"/>
            </w:tcMar>
            <w:vAlign w:val="top"/>
          </w:tcPr>
          <w:p>
            <w:pPr>
              <w:spacing w:after="0" w:line="252" w:lineRule="auto"/>
            </w:pPr>
            <w:r>
              <w:rPr>
                <w:sz w:val="18"/>
                <w:szCs w:val="18"/>
              </w:rPr>
              <w:t xml:space="preserve">What a tenant is</w:t>
            </w:r>
          </w:p>
        </w:tc>
        <w:tc>
          <w:tcPr>
            <w:tcW w:type="dxa" w:w="4971"/>
            <w:tcMar>
              <w:top w:type="dxa" w:w="70"/>
              <w:left w:type="dxa" w:w="100"/>
              <w:bottom w:type="dxa" w:w="70"/>
              <w:right w:type="dxa" w:w="100"/>
            </w:tcMar>
            <w:vAlign w:val="top"/>
          </w:tcPr>
          <w:p>
            <w:pPr>
              <w:spacing w:after="0" w:line="252" w:lineRule="auto"/>
            </w:pPr>
            <w:r>
              <w:rPr>
                <w:sz w:val="18"/>
                <w:szCs w:val="18"/>
              </w:rPr>
              <w:t xml:space="preserve">One customer organisation; SURAJ Group is one tenant with several companies</w:t>
            </w:r>
          </w:p>
        </w:tc>
        <w:tc>
          <w:tcPr>
            <w:tcW w:type="dxa" w:w="1320"/>
            <w:tcMar>
              <w:top w:type="dxa" w:w="70"/>
              <w:left w:type="dxa" w:w="100"/>
              <w:bottom w:type="dxa" w:w="70"/>
              <w:right w:type="dxa" w:w="100"/>
            </w:tcMar>
            <w:vAlign w:val="top"/>
          </w:tcPr>
          <w:p>
            <w:pPr>
              <w:spacing w:after="0" w:line="252" w:lineRule="auto"/>
            </w:pPr>
            <w:r>
              <w:rPr>
                <w:sz w:val="18"/>
                <w:szCs w:val="18"/>
              </w:rPr>
              <w:t xml:space="preserve">Phase 0a</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D4</w:t>
            </w:r>
          </w:p>
        </w:tc>
        <w:tc>
          <w:tcPr>
            <w:tcW w:type="dxa" w:w="2637"/>
            <w:tcMar>
              <w:top w:type="dxa" w:w="70"/>
              <w:left w:type="dxa" w:w="100"/>
              <w:bottom w:type="dxa" w:w="70"/>
              <w:right w:type="dxa" w:w="100"/>
            </w:tcMar>
            <w:vAlign w:val="top"/>
          </w:tcPr>
          <w:p>
            <w:pPr>
              <w:spacing w:after="0" w:line="252" w:lineRule="auto"/>
            </w:pPr>
            <w:r>
              <w:rPr>
                <w:sz w:val="18"/>
                <w:szCs w:val="18"/>
              </w:rPr>
              <w:t xml:space="preserve">Cloud and regions</w:t>
            </w:r>
          </w:p>
        </w:tc>
        <w:tc>
          <w:tcPr>
            <w:tcW w:type="dxa" w:w="4971"/>
            <w:tcMar>
              <w:top w:type="dxa" w:w="70"/>
              <w:left w:type="dxa" w:w="100"/>
              <w:bottom w:type="dxa" w:w="70"/>
              <w:right w:type="dxa" w:w="100"/>
            </w:tcMar>
            <w:vAlign w:val="top"/>
          </w:tcPr>
          <w:p>
            <w:pPr>
              <w:spacing w:after="0" w:line="252" w:lineRule="auto"/>
            </w:pPr>
            <w:r>
              <w:rPr>
                <w:sz w:val="18"/>
                <w:szCs w:val="18"/>
              </w:rPr>
              <w:t xml:space="preserve">AWS Mumbai with DR in Hyderabad; decide residency promises before selling abroad</w:t>
            </w:r>
          </w:p>
        </w:tc>
        <w:tc>
          <w:tcPr>
            <w:tcW w:type="dxa" w:w="1320"/>
            <w:tcMar>
              <w:top w:type="dxa" w:w="70"/>
              <w:left w:type="dxa" w:w="100"/>
              <w:bottom w:type="dxa" w:w="70"/>
              <w:right w:type="dxa" w:w="100"/>
            </w:tcMar>
            <w:vAlign w:val="top"/>
          </w:tcPr>
          <w:p>
            <w:pPr>
              <w:spacing w:after="0" w:line="252" w:lineRule="auto"/>
            </w:pPr>
            <w:r>
              <w:rPr>
                <w:sz w:val="18"/>
                <w:szCs w:val="18"/>
              </w:rPr>
              <w:t xml:space="preserve">Phase 0a</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D9</w:t>
            </w:r>
          </w:p>
        </w:tc>
        <w:tc>
          <w:tcPr>
            <w:tcW w:type="dxa" w:w="2637"/>
            <w:tcMar>
              <w:top w:type="dxa" w:w="70"/>
              <w:left w:type="dxa" w:w="100"/>
              <w:bottom w:type="dxa" w:w="70"/>
              <w:right w:type="dxa" w:w="100"/>
            </w:tcMar>
            <w:vAlign w:val="top"/>
          </w:tcPr>
          <w:p>
            <w:pPr>
              <w:spacing w:after="0" w:line="252" w:lineRule="auto"/>
            </w:pPr>
            <w:r>
              <w:rPr>
                <w:sz w:val="18"/>
                <w:szCs w:val="18"/>
              </w:rPr>
              <w:t xml:space="preserve">Employee number on transfer and rejoin</w:t>
            </w:r>
          </w:p>
        </w:tc>
        <w:tc>
          <w:tcPr>
            <w:tcW w:type="dxa" w:w="4971"/>
            <w:tcMar>
              <w:top w:type="dxa" w:w="70"/>
              <w:left w:type="dxa" w:w="100"/>
              <w:bottom w:type="dxa" w:w="70"/>
              <w:right w:type="dxa" w:w="100"/>
            </w:tcMar>
            <w:vAlign w:val="top"/>
          </w:tcPr>
          <w:p>
            <w:pPr>
              <w:spacing w:after="0" w:line="252" w:lineRule="auto"/>
            </w:pPr>
            <w:r>
              <w:rPr>
                <w:sz w:val="18"/>
                <w:szCs w:val="18"/>
              </w:rPr>
              <w:t xml:space="preserve">A tenant setting; worker ID always stable</w:t>
            </w:r>
          </w:p>
        </w:tc>
        <w:tc>
          <w:tcPr>
            <w:tcW w:type="dxa" w:w="1320"/>
            <w:tcMar>
              <w:top w:type="dxa" w:w="70"/>
              <w:left w:type="dxa" w:w="100"/>
              <w:bottom w:type="dxa" w:w="70"/>
              <w:right w:type="dxa" w:w="100"/>
            </w:tcMar>
            <w:vAlign w:val="top"/>
          </w:tcPr>
          <w:p>
            <w:pPr>
              <w:spacing w:after="0" w:line="252" w:lineRule="auto"/>
            </w:pPr>
            <w:r>
              <w:rPr>
                <w:sz w:val="18"/>
                <w:szCs w:val="18"/>
              </w:rPr>
              <w:t xml:space="preserve">Phase 1</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D10</w:t>
            </w:r>
          </w:p>
        </w:tc>
        <w:tc>
          <w:tcPr>
            <w:tcW w:type="dxa" w:w="2637"/>
            <w:tcMar>
              <w:top w:type="dxa" w:w="70"/>
              <w:left w:type="dxa" w:w="100"/>
              <w:bottom w:type="dxa" w:w="70"/>
              <w:right w:type="dxa" w:w="100"/>
            </w:tcMar>
            <w:vAlign w:val="top"/>
          </w:tcPr>
          <w:p>
            <w:pPr>
              <w:spacing w:after="0" w:line="252" w:lineRule="auto"/>
            </w:pPr>
            <w:r>
              <w:rPr>
                <w:sz w:val="18"/>
                <w:szCs w:val="18"/>
              </w:rPr>
              <w:t xml:space="preserve">Payroll inside or outside</w:t>
            </w:r>
          </w:p>
        </w:tc>
        <w:tc>
          <w:tcPr>
            <w:tcW w:type="dxa" w:w="4971"/>
            <w:tcMar>
              <w:top w:type="dxa" w:w="70"/>
              <w:left w:type="dxa" w:w="100"/>
              <w:bottom w:type="dxa" w:w="70"/>
              <w:right w:type="dxa" w:w="100"/>
            </w:tcMar>
            <w:vAlign w:val="top"/>
          </w:tcPr>
          <w:p>
            <w:pPr>
              <w:spacing w:after="0" w:line="252" w:lineRule="auto"/>
            </w:pPr>
            <w:r>
              <w:rPr>
                <w:sz w:val="18"/>
                <w:szCs w:val="18"/>
              </w:rPr>
              <w:t xml:space="preserve">The payroll input API ships either way</w:t>
            </w:r>
          </w:p>
        </w:tc>
        <w:tc>
          <w:tcPr>
            <w:tcW w:type="dxa" w:w="1320"/>
            <w:tcMar>
              <w:top w:type="dxa" w:w="70"/>
              <w:left w:type="dxa" w:w="100"/>
              <w:bottom w:type="dxa" w:w="70"/>
              <w:right w:type="dxa" w:w="100"/>
            </w:tcMar>
            <w:vAlign w:val="top"/>
          </w:tcPr>
          <w:p>
            <w:pPr>
              <w:spacing w:after="0" w:line="252" w:lineRule="auto"/>
            </w:pPr>
            <w:r>
              <w:rPr>
                <w:sz w:val="18"/>
                <w:szCs w:val="18"/>
              </w:rPr>
              <w:t xml:space="preserve">Phase 2</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D11</w:t>
            </w:r>
          </w:p>
        </w:tc>
        <w:tc>
          <w:tcPr>
            <w:tcW w:type="dxa" w:w="2637"/>
            <w:tcMar>
              <w:top w:type="dxa" w:w="70"/>
              <w:left w:type="dxa" w:w="100"/>
              <w:bottom w:type="dxa" w:w="70"/>
              <w:right w:type="dxa" w:w="100"/>
            </w:tcMar>
            <w:vAlign w:val="top"/>
          </w:tcPr>
          <w:p>
            <w:pPr>
              <w:spacing w:after="0" w:line="252" w:lineRule="auto"/>
            </w:pPr>
            <w:r>
              <w:rPr>
                <w:sz w:val="18"/>
                <w:szCs w:val="18"/>
              </w:rPr>
              <w:t xml:space="preserve">Attendance devices</w:t>
            </w:r>
          </w:p>
        </w:tc>
        <w:tc>
          <w:tcPr>
            <w:tcW w:type="dxa" w:w="4971"/>
            <w:tcMar>
              <w:top w:type="dxa" w:w="70"/>
              <w:left w:type="dxa" w:w="100"/>
              <w:bottom w:type="dxa" w:w="70"/>
              <w:right w:type="dxa" w:w="100"/>
            </w:tcMar>
            <w:vAlign w:val="top"/>
          </w:tcPr>
          <w:p>
            <w:pPr>
              <w:spacing w:after="0" w:line="252" w:lineRule="auto"/>
            </w:pPr>
            <w:r>
              <w:rPr>
                <w:sz w:val="18"/>
                <w:szCs w:val="18"/>
              </w:rPr>
              <w:t xml:space="preserve">List SURAJ Group's models for the PoC</w:t>
            </w:r>
          </w:p>
        </w:tc>
        <w:tc>
          <w:tcPr>
            <w:tcW w:type="dxa" w:w="1320"/>
            <w:tcMar>
              <w:top w:type="dxa" w:w="70"/>
              <w:left w:type="dxa" w:w="100"/>
              <w:bottom w:type="dxa" w:w="70"/>
              <w:right w:type="dxa" w:w="100"/>
            </w:tcMar>
            <w:vAlign w:val="top"/>
          </w:tcPr>
          <w:p>
            <w:pPr>
              <w:spacing w:after="0" w:line="252" w:lineRule="auto"/>
            </w:pPr>
            <w:r>
              <w:rPr>
                <w:sz w:val="18"/>
                <w:szCs w:val="18"/>
              </w:rPr>
              <w:t xml:space="preserve">Phase 0a</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D13</w:t>
            </w:r>
          </w:p>
        </w:tc>
        <w:tc>
          <w:tcPr>
            <w:tcW w:type="dxa" w:w="2637"/>
            <w:tcMar>
              <w:top w:type="dxa" w:w="70"/>
              <w:left w:type="dxa" w:w="100"/>
              <w:bottom w:type="dxa" w:w="70"/>
              <w:right w:type="dxa" w:w="100"/>
            </w:tcMar>
            <w:vAlign w:val="top"/>
          </w:tcPr>
          <w:p>
            <w:pPr>
              <w:spacing w:after="0" w:line="252" w:lineRule="auto"/>
            </w:pPr>
            <w:r>
              <w:rPr>
                <w:sz w:val="18"/>
                <w:szCs w:val="18"/>
              </w:rPr>
              <w:t xml:space="preserve">Default access matrix</w:t>
            </w:r>
          </w:p>
        </w:tc>
        <w:tc>
          <w:tcPr>
            <w:tcW w:type="dxa" w:w="4971"/>
            <w:tcMar>
              <w:top w:type="dxa" w:w="70"/>
              <w:left w:type="dxa" w:w="100"/>
              <w:bottom w:type="dxa" w:w="70"/>
              <w:right w:type="dxa" w:w="100"/>
            </w:tcMar>
            <w:vAlign w:val="top"/>
          </w:tcPr>
          <w:p>
            <w:pPr>
              <w:spacing w:after="0" w:line="252" w:lineRule="auto"/>
            </w:pPr>
            <w:r>
              <w:rPr>
                <w:sz w:val="18"/>
                <w:szCs w:val="18"/>
              </w:rPr>
              <w:t xml:space="preserve">SURAJ Group sign-off becomes the default template</w:t>
            </w:r>
          </w:p>
        </w:tc>
        <w:tc>
          <w:tcPr>
            <w:tcW w:type="dxa" w:w="1320"/>
            <w:tcMar>
              <w:top w:type="dxa" w:w="70"/>
              <w:left w:type="dxa" w:w="100"/>
              <w:bottom w:type="dxa" w:w="70"/>
              <w:right w:type="dxa" w:w="100"/>
            </w:tcMar>
            <w:vAlign w:val="top"/>
          </w:tcPr>
          <w:p>
            <w:pPr>
              <w:spacing w:after="0" w:line="252" w:lineRule="auto"/>
            </w:pPr>
            <w:r>
              <w:rPr>
                <w:sz w:val="18"/>
                <w:szCs w:val="18"/>
              </w:rPr>
              <w:t xml:space="preserve">Phase 1</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D15</w:t>
            </w:r>
          </w:p>
        </w:tc>
        <w:tc>
          <w:tcPr>
            <w:tcW w:type="dxa" w:w="2637"/>
            <w:tcMar>
              <w:top w:type="dxa" w:w="70"/>
              <w:left w:type="dxa" w:w="100"/>
              <w:bottom w:type="dxa" w:w="70"/>
              <w:right w:type="dxa" w:w="100"/>
            </w:tcMar>
            <w:vAlign w:val="top"/>
          </w:tcPr>
          <w:p>
            <w:pPr>
              <w:spacing w:after="0" w:line="252" w:lineRule="auto"/>
            </w:pPr>
            <w:r>
              <w:rPr>
                <w:sz w:val="18"/>
                <w:szCs w:val="18"/>
              </w:rPr>
              <w:t xml:space="preserve">Scale targets and SLOs</w:t>
            </w:r>
          </w:p>
        </w:tc>
        <w:tc>
          <w:tcPr>
            <w:tcW w:type="dxa" w:w="4971"/>
            <w:tcMar>
              <w:top w:type="dxa" w:w="70"/>
              <w:left w:type="dxa" w:w="100"/>
              <w:bottom w:type="dxa" w:w="70"/>
              <w:right w:type="dxa" w:w="100"/>
            </w:tcMar>
            <w:vAlign w:val="top"/>
          </w:tcPr>
          <w:p>
            <w:pPr>
              <w:spacing w:after="0" w:line="252" w:lineRule="auto"/>
            </w:pPr>
            <w:r>
              <w:rPr>
                <w:sz w:val="18"/>
                <w:szCs w:val="18"/>
              </w:rPr>
              <w:t xml:space="preserve">Confirm section 2.4; then cost the bill of materials</w:t>
            </w:r>
          </w:p>
        </w:tc>
        <w:tc>
          <w:tcPr>
            <w:tcW w:type="dxa" w:w="1320"/>
            <w:tcMar>
              <w:top w:type="dxa" w:w="70"/>
              <w:left w:type="dxa" w:w="100"/>
              <w:bottom w:type="dxa" w:w="70"/>
              <w:right w:type="dxa" w:w="100"/>
            </w:tcMar>
            <w:vAlign w:val="top"/>
          </w:tcPr>
          <w:p>
            <w:pPr>
              <w:spacing w:after="0" w:line="252" w:lineRule="auto"/>
            </w:pPr>
            <w:r>
              <w:rPr>
                <w:sz w:val="18"/>
                <w:szCs w:val="18"/>
              </w:rPr>
              <w:t xml:space="preserve">Phase 0b</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D17</w:t>
            </w:r>
          </w:p>
        </w:tc>
        <w:tc>
          <w:tcPr>
            <w:tcW w:type="dxa" w:w="2637"/>
            <w:tcMar>
              <w:top w:type="dxa" w:w="70"/>
              <w:left w:type="dxa" w:w="100"/>
              <w:bottom w:type="dxa" w:w="70"/>
              <w:right w:type="dxa" w:w="100"/>
            </w:tcMar>
            <w:vAlign w:val="top"/>
          </w:tcPr>
          <w:p>
            <w:pPr>
              <w:spacing w:after="0" w:line="252" w:lineRule="auto"/>
            </w:pPr>
            <w:r>
              <w:rPr>
                <w:sz w:val="18"/>
                <w:szCs w:val="18"/>
              </w:rPr>
              <w:t xml:space="preserve">Pricing and API plans</w:t>
            </w:r>
          </w:p>
        </w:tc>
        <w:tc>
          <w:tcPr>
            <w:tcW w:type="dxa" w:w="4971"/>
            <w:tcMar>
              <w:top w:type="dxa" w:w="70"/>
              <w:left w:type="dxa" w:w="100"/>
              <w:bottom w:type="dxa" w:w="70"/>
              <w:right w:type="dxa" w:w="100"/>
            </w:tcMar>
            <w:vAlign w:val="top"/>
          </w:tcPr>
          <w:p>
            <w:pPr>
              <w:spacing w:after="0" w:line="252" w:lineRule="auto"/>
            </w:pPr>
            <w:r>
              <w:rPr>
                <w:sz w:val="18"/>
                <w:szCs w:val="18"/>
              </w:rPr>
              <w:t xml:space="preserve">Validate section 12.1 with design partners</w:t>
            </w:r>
          </w:p>
        </w:tc>
        <w:tc>
          <w:tcPr>
            <w:tcW w:type="dxa" w:w="1320"/>
            <w:tcMar>
              <w:top w:type="dxa" w:w="70"/>
              <w:left w:type="dxa" w:w="100"/>
              <w:bottom w:type="dxa" w:w="70"/>
              <w:right w:type="dxa" w:w="100"/>
            </w:tcMar>
            <w:vAlign w:val="top"/>
          </w:tcPr>
          <w:p>
            <w:pPr>
              <w:spacing w:after="0" w:line="252" w:lineRule="auto"/>
            </w:pPr>
            <w:r>
              <w:rPr>
                <w:sz w:val="18"/>
                <w:szCs w:val="18"/>
              </w:rPr>
              <w:t xml:space="preserve">Phase 2</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D18</w:t>
            </w:r>
          </w:p>
        </w:tc>
        <w:tc>
          <w:tcPr>
            <w:tcW w:type="dxa" w:w="2637"/>
            <w:tcMar>
              <w:top w:type="dxa" w:w="70"/>
              <w:left w:type="dxa" w:w="100"/>
              <w:bottom w:type="dxa" w:w="70"/>
              <w:right w:type="dxa" w:w="100"/>
            </w:tcMar>
            <w:vAlign w:val="top"/>
          </w:tcPr>
          <w:p>
            <w:pPr>
              <w:spacing w:after="0" w:line="252" w:lineRule="auto"/>
            </w:pPr>
            <w:r>
              <w:rPr>
                <w:sz w:val="18"/>
                <w:szCs w:val="18"/>
              </w:rPr>
              <w:t xml:space="preserve">Gateway edition</w:t>
            </w:r>
          </w:p>
        </w:tc>
        <w:tc>
          <w:tcPr>
            <w:tcW w:type="dxa" w:w="4971"/>
            <w:tcMar>
              <w:top w:type="dxa" w:w="70"/>
              <w:left w:type="dxa" w:w="100"/>
              <w:bottom w:type="dxa" w:w="70"/>
              <w:right w:type="dxa" w:w="100"/>
            </w:tcMar>
            <w:vAlign w:val="top"/>
          </w:tcPr>
          <w:p>
            <w:pPr>
              <w:spacing w:after="0" w:line="252" w:lineRule="auto"/>
            </w:pPr>
            <w:r>
              <w:rPr>
                <w:sz w:val="18"/>
                <w:szCs w:val="18"/>
              </w:rPr>
              <w:t xml:space="preserve">From the gateway PoC</w:t>
            </w:r>
          </w:p>
        </w:tc>
        <w:tc>
          <w:tcPr>
            <w:tcW w:type="dxa" w:w="1320"/>
            <w:tcMar>
              <w:top w:type="dxa" w:w="70"/>
              <w:left w:type="dxa" w:w="100"/>
              <w:bottom w:type="dxa" w:w="70"/>
              <w:right w:type="dxa" w:w="100"/>
            </w:tcMar>
            <w:vAlign w:val="top"/>
          </w:tcPr>
          <w:p>
            <w:pPr>
              <w:spacing w:after="0" w:line="252" w:lineRule="auto"/>
            </w:pPr>
            <w:r>
              <w:rPr>
                <w:sz w:val="18"/>
                <w:szCs w:val="18"/>
              </w:rPr>
              <w:t xml:space="preserve">Phase 0a</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D20</w:t>
            </w:r>
          </w:p>
        </w:tc>
        <w:tc>
          <w:tcPr>
            <w:tcW w:type="dxa" w:w="2637"/>
            <w:tcMar>
              <w:top w:type="dxa" w:w="70"/>
              <w:left w:type="dxa" w:w="100"/>
              <w:bottom w:type="dxa" w:w="70"/>
              <w:right w:type="dxa" w:w="100"/>
            </w:tcMar>
            <w:vAlign w:val="top"/>
          </w:tcPr>
          <w:p>
            <w:pPr>
              <w:spacing w:after="0" w:line="252" w:lineRule="auto"/>
            </w:pPr>
            <w:r>
              <w:rPr>
                <w:sz w:val="18"/>
                <w:szCs w:val="18"/>
              </w:rPr>
              <w:t xml:space="preserve">Identity platform</w:t>
            </w:r>
          </w:p>
        </w:tc>
        <w:tc>
          <w:tcPr>
            <w:tcW w:type="dxa" w:w="4971"/>
            <w:tcMar>
              <w:top w:type="dxa" w:w="70"/>
              <w:left w:type="dxa" w:w="100"/>
              <w:bottom w:type="dxa" w:w="70"/>
              <w:right w:type="dxa" w:w="100"/>
            </w:tcMar>
            <w:vAlign w:val="top"/>
          </w:tcPr>
          <w:p>
            <w:pPr>
              <w:spacing w:after="0" w:line="252" w:lineRule="auto"/>
            </w:pPr>
            <w:r>
              <w:rPr>
                <w:sz w:val="18"/>
                <w:szCs w:val="18"/>
              </w:rPr>
              <w:t xml:space="preserve">From the identity PoC</w:t>
            </w:r>
          </w:p>
        </w:tc>
        <w:tc>
          <w:tcPr>
            <w:tcW w:type="dxa" w:w="1320"/>
            <w:tcMar>
              <w:top w:type="dxa" w:w="70"/>
              <w:left w:type="dxa" w:w="100"/>
              <w:bottom w:type="dxa" w:w="70"/>
              <w:right w:type="dxa" w:w="100"/>
            </w:tcMar>
            <w:vAlign w:val="top"/>
          </w:tcPr>
          <w:p>
            <w:pPr>
              <w:spacing w:after="0" w:line="252" w:lineRule="auto"/>
            </w:pPr>
            <w:r>
              <w:rPr>
                <w:sz w:val="18"/>
                <w:szCs w:val="18"/>
              </w:rPr>
              <w:t xml:space="preserve">Phase 0a</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D21</w:t>
            </w:r>
          </w:p>
        </w:tc>
        <w:tc>
          <w:tcPr>
            <w:tcW w:type="dxa" w:w="2637"/>
            <w:tcMar>
              <w:top w:type="dxa" w:w="70"/>
              <w:left w:type="dxa" w:w="100"/>
              <w:bottom w:type="dxa" w:w="70"/>
              <w:right w:type="dxa" w:w="100"/>
            </w:tcMar>
            <w:vAlign w:val="top"/>
          </w:tcPr>
          <w:p>
            <w:pPr>
              <w:spacing w:after="0" w:line="252" w:lineRule="auto"/>
            </w:pPr>
            <w:r>
              <w:rPr>
                <w:sz w:val="18"/>
                <w:szCs w:val="18"/>
              </w:rPr>
              <w:t xml:space="preserve">Master-data ownership defaults</w:t>
            </w:r>
          </w:p>
        </w:tc>
        <w:tc>
          <w:tcPr>
            <w:tcW w:type="dxa" w:w="4971"/>
            <w:tcMar>
              <w:top w:type="dxa" w:w="70"/>
              <w:left w:type="dxa" w:w="100"/>
              <w:bottom w:type="dxa" w:w="70"/>
              <w:right w:type="dxa" w:w="100"/>
            </w:tcMar>
            <w:vAlign w:val="top"/>
          </w:tcPr>
          <w:p>
            <w:pPr>
              <w:spacing w:after="0" w:line="252" w:lineRule="auto"/>
            </w:pPr>
            <w:r>
              <w:rPr>
                <w:sz w:val="18"/>
                <w:szCs w:val="18"/>
              </w:rPr>
              <w:t xml:space="preserve">HRMS-owned by default; integration mode on request</w:t>
            </w:r>
          </w:p>
        </w:tc>
        <w:tc>
          <w:tcPr>
            <w:tcW w:type="dxa" w:w="1320"/>
            <w:tcMar>
              <w:top w:type="dxa" w:w="70"/>
              <w:left w:type="dxa" w:w="100"/>
              <w:bottom w:type="dxa" w:w="70"/>
              <w:right w:type="dxa" w:w="100"/>
            </w:tcMar>
            <w:vAlign w:val="top"/>
          </w:tcPr>
          <w:p>
            <w:pPr>
              <w:spacing w:after="0" w:line="252" w:lineRule="auto"/>
            </w:pPr>
            <w:r>
              <w:rPr>
                <w:sz w:val="18"/>
                <w:szCs w:val="18"/>
              </w:rPr>
              <w:t xml:space="preserve">Phase 1</w:t>
            </w:r>
          </w:p>
        </w:tc>
      </w:tr>
      <w:tr>
        <w:trPr>
          <w:cantSplit/>
          <w:tblHeader w:val="false"/>
        </w:trPr>
        <w:tc>
          <w:tcPr>
            <w:tcW w:type="dxa" w:w="710"/>
            <w:tcMar>
              <w:top w:type="dxa" w:w="70"/>
              <w:left w:type="dxa" w:w="100"/>
              <w:bottom w:type="dxa" w:w="70"/>
              <w:right w:type="dxa" w:w="100"/>
            </w:tcMar>
            <w:vAlign w:val="top"/>
          </w:tcPr>
          <w:p>
            <w:pPr>
              <w:spacing w:after="0" w:line="252" w:lineRule="auto"/>
            </w:pPr>
            <w:r>
              <w:rPr>
                <w:sz w:val="18"/>
                <w:szCs w:val="18"/>
              </w:rPr>
              <w:t xml:space="preserve">D22</w:t>
            </w:r>
          </w:p>
        </w:tc>
        <w:tc>
          <w:tcPr>
            <w:tcW w:type="dxa" w:w="2637"/>
            <w:tcMar>
              <w:top w:type="dxa" w:w="70"/>
              <w:left w:type="dxa" w:w="100"/>
              <w:bottom w:type="dxa" w:w="70"/>
              <w:right w:type="dxa" w:w="100"/>
            </w:tcMar>
            <w:vAlign w:val="top"/>
          </w:tcPr>
          <w:p>
            <w:pPr>
              <w:spacing w:after="0" w:line="252" w:lineRule="auto"/>
            </w:pPr>
            <w:r>
              <w:rPr>
                <w:sz w:val="18"/>
                <w:szCs w:val="18"/>
              </w:rPr>
              <w:t xml:space="preserve">Legal and statutory review</w:t>
            </w:r>
          </w:p>
        </w:tc>
        <w:tc>
          <w:tcPr>
            <w:tcW w:type="dxa" w:w="4971"/>
            <w:tcMar>
              <w:top w:type="dxa" w:w="70"/>
              <w:left w:type="dxa" w:w="100"/>
              <w:bottom w:type="dxa" w:w="70"/>
              <w:right w:type="dxa" w:w="100"/>
            </w:tcMar>
            <w:vAlign w:val="top"/>
          </w:tcPr>
          <w:p>
            <w:pPr>
              <w:spacing w:after="0" w:line="252" w:lineRule="auto"/>
            </w:pPr>
            <w:r>
              <w:rPr>
                <w:sz w:val="18"/>
                <w:szCs w:val="18"/>
              </w:rPr>
              <w:t xml:space="preserve">Counsel confirms Labour Codes (in force since 21 Nov 2025) and DPDP Rules timelines</w:t>
            </w:r>
          </w:p>
        </w:tc>
        <w:tc>
          <w:tcPr>
            <w:tcW w:type="dxa" w:w="1320"/>
            <w:tcMar>
              <w:top w:type="dxa" w:w="70"/>
              <w:left w:type="dxa" w:w="100"/>
              <w:bottom w:type="dxa" w:w="70"/>
              <w:right w:type="dxa" w:w="100"/>
            </w:tcMar>
            <w:vAlign w:val="top"/>
          </w:tcPr>
          <w:p>
            <w:pPr>
              <w:spacing w:after="0" w:line="252" w:lineRule="auto"/>
            </w:pPr>
            <w:r>
              <w:rPr>
                <w:sz w:val="18"/>
                <w:szCs w:val="18"/>
              </w:rPr>
              <w:t xml:space="preserve">Phase 0b</w:t>
            </w:r>
          </w:p>
        </w:tc>
      </w:tr>
    </w:tbl>
    <w:p>
      <w:pPr>
        <w:spacing w:after="160"/>
      </w:pPr>
    </w:p>
    <w:p>
      <w:pPr>
        <w:pStyle w:val="Heading2"/>
      </w:pPr>
      <w:bookmarkStart w:id="8072" w:name="_Toc900072"/>
      <w:r>
        <w:t xml:space="preserve">16.2 Verification checklist</w:t>
      </w:r>
      <w:bookmarkEnd w:id="8072"/>
    </w:p>
    <w:p>
      <w:pPr>
        <w:pStyle w:val="ListParagraph"/>
        <w:numPr>
          <w:ilvl w:val="0"/>
          <w:numId w:val="2"/>
        </w:numPr>
        <w:spacing w:after="60"/>
      </w:pPr>
      <w:r>
        <w:t xml:space="preserve">Service availability in ap-south-2 Hyderabad, and Aurora Global Database between Mumbai and Hyderabad.</w:t>
      </w:r>
    </w:p>
    <w:p>
      <w:pPr>
        <w:pStyle w:val="ListParagraph"/>
        <w:numPr>
          <w:ilvl w:val="0"/>
          <w:numId w:val="2"/>
        </w:numPr>
        <w:spacing w:after="60"/>
      </w:pPr>
      <w:r>
        <w:t xml:space="preserve">Amazon SES, MSK Serverless, OpenSearch and GuardDuty Malware Protection availability in the chosen regions.</w:t>
      </w:r>
    </w:p>
    <w:p>
      <w:pPr>
        <w:pStyle w:val="ListParagraph"/>
        <w:numPr>
          <w:ilvl w:val="0"/>
          <w:numId w:val="2"/>
        </w:numPr>
        <w:spacing w:after="60"/>
      </w:pPr>
      <w:r>
        <w:t xml:space="preserve">Temporal Cloud and ClickHouse Cloud regions in India (only needed when those triggers fire).</w:t>
      </w:r>
    </w:p>
    <w:p>
      <w:pPr>
        <w:pStyle w:val="ListParagraph"/>
        <w:numPr>
          <w:ilvl w:val="0"/>
          <w:numId w:val="2"/>
        </w:numPr>
        <w:spacing w:after="60"/>
      </w:pPr>
      <w:r>
        <w:t xml:space="preserve">Kong OSS plugin coverage versus Enterprise features we rely on; whether Svix's endpoint portal is available self-hosted.</w:t>
      </w:r>
    </w:p>
    <w:p>
      <w:pPr>
        <w:pStyle w:val="ListParagraph"/>
        <w:numPr>
          <w:ilvl w:val="0"/>
          <w:numId w:val="2"/>
        </w:numPr>
        <w:spacing w:after="60"/>
      </w:pPr>
      <w:r>
        <w:t xml:space="preserve">Chargebee INR and GST invoicing with Razorpay; AWS Marketplace listing terms for Indian sellers.</w:t>
      </w:r>
    </w:p>
    <w:p>
      <w:pPr>
        <w:pStyle w:val="ListParagraph"/>
        <w:numPr>
          <w:ilvl w:val="0"/>
          <w:numId w:val="2"/>
        </w:numPr>
        <w:spacing w:after="60"/>
      </w:pPr>
      <w:r>
        <w:t xml:space="preserve">The data residency of every subprocessor in the register.</w:t>
      </w:r>
    </w:p>
    <w:p>
      <w:pPr>
        <w:pStyle w:val="Heading2"/>
      </w:pPr>
      <w:bookmarkStart w:id="8073" w:name="_Toc900073"/>
      <w:r>
        <w:t xml:space="preserve">16.3 Risks</w:t>
      </w:r>
      <w:bookmarkEnd w:id="8073"/>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3449"/>
        <w:gridCol w:w="1115"/>
        <w:gridCol w:w="5074"/>
      </w:tblGrid>
      <w:tr>
        <w:trPr>
          <w:cantSplit/>
          <w:tblHeader/>
        </w:trPr>
        <w:tc>
          <w:tcPr>
            <w:tcW w:type="dxa" w:w="3449"/>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Risk</w:t>
            </w:r>
          </w:p>
        </w:tc>
        <w:tc>
          <w:tcPr>
            <w:tcW w:type="dxa" w:w="1115"/>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Impact</w:t>
            </w:r>
          </w:p>
        </w:tc>
        <w:tc>
          <w:tcPr>
            <w:tcW w:type="dxa" w:w="5074"/>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Mitigation</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Cross-tenant data leak</w:t>
            </w:r>
          </w:p>
        </w:tc>
        <w:tc>
          <w:tcPr>
            <w:tcW w:type="dxa" w:w="1115"/>
            <w:tcMar>
              <w:top w:type="dxa" w:w="70"/>
              <w:left w:type="dxa" w:w="100"/>
              <w:bottom w:type="dxa" w:w="70"/>
              <w:right w:type="dxa" w:w="100"/>
            </w:tcMar>
            <w:vAlign w:val="top"/>
          </w:tcPr>
          <w:p>
            <w:pPr>
              <w:spacing w:after="0" w:line="252" w:lineRule="auto"/>
            </w:pPr>
            <w:r>
              <w:rPr>
                <w:sz w:val="18"/>
                <w:szCs w:val="18"/>
              </w:rPr>
              <w:t xml:space="preserve">Critical</w:t>
            </w:r>
          </w:p>
        </w:tc>
        <w:tc>
          <w:tcPr>
            <w:tcW w:type="dxa" w:w="5074"/>
            <w:tcMar>
              <w:top w:type="dxa" w:w="70"/>
              <w:left w:type="dxa" w:w="100"/>
              <w:bottom w:type="dxa" w:w="70"/>
              <w:right w:type="dxa" w:w="100"/>
            </w:tcMar>
            <w:vAlign w:val="top"/>
          </w:tcPr>
          <w:p>
            <w:pPr>
              <w:spacing w:after="0" w:line="252" w:lineRule="auto"/>
            </w:pPr>
            <w:r>
              <w:rPr>
                <w:sz w:val="18"/>
                <w:szCs w:val="18"/>
              </w:rPr>
              <w:t xml:space="preserve">Layered isolation, fail-loud RLS, leakage suite, isolation pen tests</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Anchor-tenant capture (SURAJ-only logic)</w:t>
            </w:r>
          </w:p>
        </w:tc>
        <w:tc>
          <w:tcPr>
            <w:tcW w:type="dxa" w:w="1115"/>
            <w:tcMar>
              <w:top w:type="dxa" w:w="70"/>
              <w:left w:type="dxa" w:w="100"/>
              <w:bottom w:type="dxa" w:w="70"/>
              <w:right w:type="dxa" w:w="100"/>
            </w:tcMar>
            <w:vAlign w:val="top"/>
          </w:tcPr>
          <w:p>
            <w:pPr>
              <w:spacing w:after="0" w:line="252" w:lineRule="auto"/>
            </w:pPr>
            <w:r>
              <w:rPr>
                <w:sz w:val="18"/>
                <w:szCs w:val="18"/>
              </w:rPr>
              <w:t xml:space="preserve">High</w:t>
            </w:r>
          </w:p>
        </w:tc>
        <w:tc>
          <w:tcPr>
            <w:tcW w:type="dxa" w:w="5074"/>
            <w:tcMar>
              <w:top w:type="dxa" w:w="70"/>
              <w:left w:type="dxa" w:w="100"/>
              <w:bottom w:type="dxa" w:w="70"/>
              <w:right w:type="dxa" w:w="100"/>
            </w:tcMar>
            <w:vAlign w:val="top"/>
          </w:tcPr>
          <w:p>
            <w:pPr>
              <w:spacing w:after="0" w:line="252" w:lineRule="auto"/>
            </w:pPr>
            <w:r>
              <w:rPr>
                <w:sz w:val="18"/>
                <w:szCs w:val="18"/>
              </w:rPr>
              <w:t xml:space="preserve">Tenant-neutrality review; every rule as configuration or pack</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Over-configurability</w:t>
            </w:r>
          </w:p>
        </w:tc>
        <w:tc>
          <w:tcPr>
            <w:tcW w:type="dxa" w:w="1115"/>
            <w:tcMar>
              <w:top w:type="dxa" w:w="70"/>
              <w:left w:type="dxa" w:w="100"/>
              <w:bottom w:type="dxa" w:w="70"/>
              <w:right w:type="dxa" w:w="100"/>
            </w:tcMar>
            <w:vAlign w:val="top"/>
          </w:tcPr>
          <w:p>
            <w:pPr>
              <w:spacing w:after="0" w:line="252" w:lineRule="auto"/>
            </w:pPr>
            <w:r>
              <w:rPr>
                <w:sz w:val="18"/>
                <w:szCs w:val="18"/>
              </w:rPr>
              <w:t xml:space="preserve">High</w:t>
            </w:r>
          </w:p>
        </w:tc>
        <w:tc>
          <w:tcPr>
            <w:tcW w:type="dxa" w:w="5074"/>
            <w:tcMar>
              <w:top w:type="dxa" w:w="70"/>
              <w:left w:type="dxa" w:w="100"/>
              <w:bottom w:type="dxa" w:w="70"/>
              <w:right w:type="dxa" w:w="100"/>
            </w:tcMar>
            <w:vAlign w:val="top"/>
          </w:tcPr>
          <w:p>
            <w:pPr>
              <w:spacing w:after="0" w:line="252" w:lineRule="auto"/>
            </w:pPr>
            <w:r>
              <w:rPr>
                <w:sz w:val="18"/>
                <w:szCs w:val="18"/>
              </w:rPr>
              <w:t xml:space="preserve">Typed policies, CEL with limits, simulation, templates over designers</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Effective-dating bugs</w:t>
            </w:r>
          </w:p>
        </w:tc>
        <w:tc>
          <w:tcPr>
            <w:tcW w:type="dxa" w:w="1115"/>
            <w:tcMar>
              <w:top w:type="dxa" w:w="70"/>
              <w:left w:type="dxa" w:w="100"/>
              <w:bottom w:type="dxa" w:w="70"/>
              <w:right w:type="dxa" w:w="100"/>
            </w:tcMar>
            <w:vAlign w:val="top"/>
          </w:tcPr>
          <w:p>
            <w:pPr>
              <w:spacing w:after="0" w:line="252" w:lineRule="auto"/>
            </w:pPr>
            <w:r>
              <w:rPr>
                <w:sz w:val="18"/>
                <w:szCs w:val="18"/>
              </w:rPr>
              <w:t xml:space="preserve">High</w:t>
            </w:r>
          </w:p>
        </w:tc>
        <w:tc>
          <w:tcPr>
            <w:tcW w:type="dxa" w:w="5074"/>
            <w:tcMar>
              <w:top w:type="dxa" w:w="70"/>
              <w:left w:type="dxa" w:w="100"/>
              <w:bottom w:type="dxa" w:w="70"/>
              <w:right w:type="dxa" w:w="100"/>
            </w:tcMar>
            <w:vAlign w:val="top"/>
          </w:tcPr>
          <w:p>
            <w:pPr>
              <w:spacing w:after="0" w:line="252" w:lineRule="auto"/>
            </w:pPr>
            <w:r>
              <w:rPr>
                <w:sz w:val="18"/>
                <w:szCs w:val="18"/>
              </w:rPr>
              <w:t xml:space="preserve">One temporal library; property-based tests; as-of report tests</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Identity or gateway PoC fails</w:t>
            </w:r>
          </w:p>
        </w:tc>
        <w:tc>
          <w:tcPr>
            <w:tcW w:type="dxa" w:w="1115"/>
            <w:tcMar>
              <w:top w:type="dxa" w:w="70"/>
              <w:left w:type="dxa" w:w="100"/>
              <w:bottom w:type="dxa" w:w="70"/>
              <w:right w:type="dxa" w:w="100"/>
            </w:tcMar>
            <w:vAlign w:val="top"/>
          </w:tcPr>
          <w:p>
            <w:pPr>
              <w:spacing w:after="0" w:line="252" w:lineRule="auto"/>
            </w:pPr>
            <w:r>
              <w:rPr>
                <w:sz w:val="18"/>
                <w:szCs w:val="18"/>
              </w:rPr>
              <w:t xml:space="preserve">High</w:t>
            </w:r>
          </w:p>
        </w:tc>
        <w:tc>
          <w:tcPr>
            <w:tcW w:type="dxa" w:w="5074"/>
            <w:tcMar>
              <w:top w:type="dxa" w:w="70"/>
              <w:left w:type="dxa" w:w="100"/>
              <w:bottom w:type="dxa" w:w="70"/>
              <w:right w:type="dxa" w:w="100"/>
            </w:tcMar>
            <w:vAlign w:val="top"/>
          </w:tcPr>
          <w:p>
            <w:pPr>
              <w:spacing w:after="0" w:line="252" w:lineRule="auto"/>
            </w:pPr>
            <w:r>
              <w:rPr>
                <w:sz w:val="18"/>
                <w:szCs w:val="18"/>
              </w:rPr>
              <w:t xml:space="preserve">Alternatives tested on the same script before commitment</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Breaking a customer integration</w:t>
            </w:r>
          </w:p>
        </w:tc>
        <w:tc>
          <w:tcPr>
            <w:tcW w:type="dxa" w:w="1115"/>
            <w:tcMar>
              <w:top w:type="dxa" w:w="70"/>
              <w:left w:type="dxa" w:w="100"/>
              <w:bottom w:type="dxa" w:w="70"/>
              <w:right w:type="dxa" w:w="100"/>
            </w:tcMar>
            <w:vAlign w:val="top"/>
          </w:tcPr>
          <w:p>
            <w:pPr>
              <w:spacing w:after="0" w:line="252" w:lineRule="auto"/>
            </w:pPr>
            <w:r>
              <w:rPr>
                <w:sz w:val="18"/>
                <w:szCs w:val="18"/>
              </w:rPr>
              <w:t xml:space="preserve">High</w:t>
            </w:r>
          </w:p>
        </w:tc>
        <w:tc>
          <w:tcPr>
            <w:tcW w:type="dxa" w:w="5074"/>
            <w:tcMar>
              <w:top w:type="dxa" w:w="70"/>
              <w:left w:type="dxa" w:w="100"/>
              <w:bottom w:type="dxa" w:w="70"/>
              <w:right w:type="dxa" w:w="100"/>
            </w:tcMar>
            <w:vAlign w:val="top"/>
          </w:tcPr>
          <w:p>
            <w:pPr>
              <w:spacing w:after="0" w:line="252" w:lineRule="auto"/>
            </w:pPr>
            <w:r>
              <w:rPr>
                <w:sz w:val="18"/>
                <w:szCs w:val="18"/>
              </w:rPr>
              <w:t xml:space="preserve">oasdiff gate, 12-month deprecation, usage-aware outreach</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Over-privileged partner apps</w:t>
            </w:r>
          </w:p>
        </w:tc>
        <w:tc>
          <w:tcPr>
            <w:tcW w:type="dxa" w:w="1115"/>
            <w:tcMar>
              <w:top w:type="dxa" w:w="70"/>
              <w:left w:type="dxa" w:w="100"/>
              <w:bottom w:type="dxa" w:w="70"/>
              <w:right w:type="dxa" w:w="100"/>
            </w:tcMar>
            <w:vAlign w:val="top"/>
          </w:tcPr>
          <w:p>
            <w:pPr>
              <w:spacing w:after="0" w:line="252" w:lineRule="auto"/>
            </w:pPr>
            <w:r>
              <w:rPr>
                <w:sz w:val="18"/>
                <w:szCs w:val="18"/>
              </w:rPr>
              <w:t xml:space="preserve">High</w:t>
            </w:r>
          </w:p>
        </w:tc>
        <w:tc>
          <w:tcPr>
            <w:tcW w:type="dxa" w:w="5074"/>
            <w:tcMar>
              <w:top w:type="dxa" w:w="70"/>
              <w:left w:type="dxa" w:w="100"/>
              <w:bottom w:type="dxa" w:w="70"/>
              <w:right w:type="dxa" w:w="100"/>
            </w:tcMar>
            <w:vAlign w:val="top"/>
          </w:tcPr>
          <w:p>
            <w:pPr>
              <w:spacing w:after="0" w:line="252" w:lineRule="auto"/>
            </w:pPr>
            <w:r>
              <w:rPr>
                <w:sz w:val="18"/>
                <w:szCs w:val="18"/>
              </w:rPr>
              <w:t xml:space="preserve">Restricted scopes, installation data scopes, review, revocation</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Tenant onboarding cost</w:t>
            </w:r>
          </w:p>
        </w:tc>
        <w:tc>
          <w:tcPr>
            <w:tcW w:type="dxa" w:w="1115"/>
            <w:tcMar>
              <w:top w:type="dxa" w:w="70"/>
              <w:left w:type="dxa" w:w="100"/>
              <w:bottom w:type="dxa" w:w="70"/>
              <w:right w:type="dxa" w:w="100"/>
            </w:tcMar>
            <w:vAlign w:val="top"/>
          </w:tcPr>
          <w:p>
            <w:pPr>
              <w:spacing w:after="0" w:line="252" w:lineRule="auto"/>
            </w:pPr>
            <w:r>
              <w:rPr>
                <w:sz w:val="18"/>
                <w:szCs w:val="18"/>
              </w:rPr>
              <w:t xml:space="preserve">High</w:t>
            </w:r>
          </w:p>
        </w:tc>
        <w:tc>
          <w:tcPr>
            <w:tcW w:type="dxa" w:w="5074"/>
            <w:tcMar>
              <w:top w:type="dxa" w:w="70"/>
              <w:left w:type="dxa" w:w="100"/>
              <w:bottom w:type="dxa" w:w="70"/>
              <w:right w:type="dxa" w:w="100"/>
            </w:tcMar>
            <w:vAlign w:val="top"/>
          </w:tcPr>
          <w:p>
            <w:pPr>
              <w:spacing w:after="0" w:line="252" w:lineRule="auto"/>
            </w:pPr>
            <w:r>
              <w:rPr>
                <w:sz w:val="18"/>
                <w:szCs w:val="18"/>
              </w:rPr>
              <w:t xml:space="preserve">Import framework with history and dry runs; packs</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Statutory churn</w:t>
            </w:r>
          </w:p>
        </w:tc>
        <w:tc>
          <w:tcPr>
            <w:tcW w:type="dxa" w:w="1115"/>
            <w:tcMar>
              <w:top w:type="dxa" w:w="70"/>
              <w:left w:type="dxa" w:w="100"/>
              <w:bottom w:type="dxa" w:w="70"/>
              <w:right w:type="dxa" w:w="100"/>
            </w:tcMar>
            <w:vAlign w:val="top"/>
          </w:tcPr>
          <w:p>
            <w:pPr>
              <w:spacing w:after="0" w:line="252" w:lineRule="auto"/>
            </w:pPr>
            <w:r>
              <w:rPr>
                <w:sz w:val="18"/>
                <w:szCs w:val="18"/>
              </w:rPr>
              <w:t xml:space="preserve">Medium</w:t>
            </w:r>
          </w:p>
        </w:tc>
        <w:tc>
          <w:tcPr>
            <w:tcW w:type="dxa" w:w="5074"/>
            <w:tcMar>
              <w:top w:type="dxa" w:w="70"/>
              <w:left w:type="dxa" w:w="100"/>
              <w:bottom w:type="dxa" w:w="70"/>
              <w:right w:type="dxa" w:w="100"/>
            </w:tcMar>
            <w:vAlign w:val="top"/>
          </w:tcPr>
          <w:p>
            <w:pPr>
              <w:spacing w:after="0" w:line="252" w:lineRule="auto"/>
            </w:pPr>
            <w:r>
              <w:rPr>
                <w:sz w:val="18"/>
                <w:szCs w:val="18"/>
              </w:rPr>
              <w:t xml:space="preserve">Versioned packs with source and verification status</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Device variety</w:t>
            </w:r>
          </w:p>
        </w:tc>
        <w:tc>
          <w:tcPr>
            <w:tcW w:type="dxa" w:w="1115"/>
            <w:tcMar>
              <w:top w:type="dxa" w:w="70"/>
              <w:left w:type="dxa" w:w="100"/>
              <w:bottom w:type="dxa" w:w="70"/>
              <w:right w:type="dxa" w:w="100"/>
            </w:tcMar>
            <w:vAlign w:val="top"/>
          </w:tcPr>
          <w:p>
            <w:pPr>
              <w:spacing w:after="0" w:line="252" w:lineRule="auto"/>
            </w:pPr>
            <w:r>
              <w:rPr>
                <w:sz w:val="18"/>
                <w:szCs w:val="18"/>
              </w:rPr>
              <w:t xml:space="preserve">Medium</w:t>
            </w:r>
          </w:p>
        </w:tc>
        <w:tc>
          <w:tcPr>
            <w:tcW w:type="dxa" w:w="5074"/>
            <w:tcMar>
              <w:top w:type="dxa" w:w="70"/>
              <w:left w:type="dxa" w:w="100"/>
              <w:bottom w:type="dxa" w:w="70"/>
              <w:right w:type="dxa" w:w="100"/>
            </w:tcMar>
            <w:vAlign w:val="top"/>
          </w:tcPr>
          <w:p>
            <w:pPr>
              <w:spacing w:after="0" w:line="252" w:lineRule="auto"/>
            </w:pPr>
            <w:r>
              <w:rPr>
                <w:sz w:val="18"/>
                <w:szCs w:val="18"/>
              </w:rPr>
              <w:t xml:space="preserve">Site agent default; device edge; per-model support list</w:t>
            </w:r>
          </w:p>
        </w:tc>
      </w:tr>
      <w:tr>
        <w:trPr>
          <w:cantSplit/>
          <w:tblHeader w:val="false"/>
        </w:trPr>
        <w:tc>
          <w:tcPr>
            <w:tcW w:type="dxa" w:w="3449"/>
            <w:tcMar>
              <w:top w:type="dxa" w:w="70"/>
              <w:left w:type="dxa" w:w="100"/>
              <w:bottom w:type="dxa" w:w="70"/>
              <w:right w:type="dxa" w:w="100"/>
            </w:tcMar>
            <w:vAlign w:val="top"/>
          </w:tcPr>
          <w:p>
            <w:pPr>
              <w:spacing w:after="0" w:line="252" w:lineRule="auto"/>
            </w:pPr>
            <w:r>
              <w:rPr>
                <w:b/>
                <w:bCs/>
                <w:color w:val="16222A"/>
                <w:sz w:val="18"/>
                <w:szCs w:val="18"/>
              </w:rPr>
              <w:t xml:space="preserve">Scope of twenty modules</w:t>
            </w:r>
          </w:p>
        </w:tc>
        <w:tc>
          <w:tcPr>
            <w:tcW w:type="dxa" w:w="1115"/>
            <w:tcMar>
              <w:top w:type="dxa" w:w="70"/>
              <w:left w:type="dxa" w:w="100"/>
              <w:bottom w:type="dxa" w:w="70"/>
              <w:right w:type="dxa" w:w="100"/>
            </w:tcMar>
            <w:vAlign w:val="top"/>
          </w:tcPr>
          <w:p>
            <w:pPr>
              <w:spacing w:after="0" w:line="252" w:lineRule="auto"/>
            </w:pPr>
            <w:r>
              <w:rPr>
                <w:sz w:val="18"/>
                <w:szCs w:val="18"/>
              </w:rPr>
              <w:t xml:space="preserve">High</w:t>
            </w:r>
          </w:p>
        </w:tc>
        <w:tc>
          <w:tcPr>
            <w:tcW w:type="dxa" w:w="5074"/>
            <w:tcMar>
              <w:top w:type="dxa" w:w="70"/>
              <w:left w:type="dxa" w:w="100"/>
              <w:bottom w:type="dxa" w:w="70"/>
              <w:right w:type="dxa" w:w="100"/>
            </w:tcMar>
            <w:vAlign w:val="top"/>
          </w:tcPr>
          <w:p>
            <w:pPr>
              <w:spacing w:after="0" w:line="252" w:lineRule="auto"/>
            </w:pPr>
            <w:r>
              <w:rPr>
                <w:sz w:val="18"/>
                <w:szCs w:val="18"/>
              </w:rPr>
              <w:t xml:space="preserve">Kernel first, thin modules, phase gates, §43 release principle</w:t>
            </w:r>
          </w:p>
        </w:tc>
      </w:tr>
    </w:tbl>
    <w:p>
      <w:pPr>
        <w:spacing w:after="160"/>
      </w:pPr>
    </w:p>
    <w:p>
      <w:pPr>
        <w:pStyle w:val="Heading1"/>
        <w:pageBreakBefore/>
      </w:pPr>
      <w:bookmarkStart w:id="8074" w:name="_Toc900074"/>
      <w:r>
        <w:t xml:space="preserve">Appendix A. Glossary</w:t>
      </w:r>
      <w:bookmarkEnd w:id="8074"/>
    </w:p>
    <w:tbl>
      <w:tblPr>
        <w:tblW w:type="dxa" w:w="9638"/>
        <w:tblBorders>
          <w:top w:val="single" w:color="C9D3D8" w:sz="4"/>
          <w:left w:val="single" w:color="C9D3D8" w:sz="4"/>
          <w:bottom w:val="single" w:color="C9D3D8" w:sz="4"/>
          <w:right w:val="single" w:color="C9D3D8" w:sz="4"/>
          <w:insideH w:val="single" w:color="C9D3D8" w:sz="4"/>
          <w:insideV w:val="single" w:color="C9D3D8" w:sz="4"/>
        </w:tblBorders>
      </w:tblPr>
      <w:tblGrid>
        <w:gridCol w:w="2637"/>
        <w:gridCol w:w="7001"/>
      </w:tblGrid>
      <w:tr>
        <w:trPr>
          <w:cantSplit/>
          <w:tblHeader/>
        </w:trPr>
        <w:tc>
          <w:tcPr>
            <w:tcW w:type="dxa" w:w="2637"/>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Term</w:t>
            </w:r>
          </w:p>
        </w:tc>
        <w:tc>
          <w:tcPr>
            <w:tcW w:type="dxa" w:w="7001"/>
            <w:shd w:fill="DDEAEA" w:color="auto" w:val="clear"/>
            <w:tcMar>
              <w:top w:type="dxa" w:w="70"/>
              <w:left w:type="dxa" w:w="100"/>
              <w:bottom w:type="dxa" w:w="70"/>
              <w:right w:type="dxa" w:w="100"/>
            </w:tcMar>
            <w:vAlign w:val="top"/>
          </w:tcPr>
          <w:p>
            <w:pPr>
              <w:spacing w:after="0" w:line="252" w:lineRule="auto"/>
            </w:pPr>
            <w:r>
              <w:rPr>
                <w:b/>
                <w:bCs/>
                <w:color w:val="16222A"/>
                <w:sz w:val="18"/>
                <w:szCs w:val="18"/>
              </w:rPr>
              <w:t xml:space="preserve">Meaning</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Tenant</w:t>
            </w:r>
          </w:p>
        </w:tc>
        <w:tc>
          <w:tcPr>
            <w:tcW w:type="dxa" w:w="7001"/>
            <w:tcMar>
              <w:top w:type="dxa" w:w="70"/>
              <w:left w:type="dxa" w:w="100"/>
              <w:bottom w:type="dxa" w:w="70"/>
              <w:right w:type="dxa" w:w="100"/>
            </w:tcMar>
            <w:vAlign w:val="top"/>
          </w:tcPr>
          <w:p>
            <w:pPr>
              <w:spacing w:after="0" w:line="252" w:lineRule="auto"/>
            </w:pPr>
            <w:r>
              <w:rPr>
                <w:sz w:val="18"/>
                <w:szCs w:val="18"/>
              </w:rPr>
              <w:t xml:space="preserve">One customer organisation: isolation, configuration, identity and billing boundary</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Cell</w:t>
            </w:r>
          </w:p>
        </w:tc>
        <w:tc>
          <w:tcPr>
            <w:tcW w:type="dxa" w:w="7001"/>
            <w:tcMar>
              <w:top w:type="dxa" w:w="70"/>
              <w:left w:type="dxa" w:w="100"/>
              <w:bottom w:type="dxa" w:w="70"/>
              <w:right w:type="dxa" w:w="100"/>
            </w:tcMar>
            <w:vAlign w:val="top"/>
          </w:tcPr>
          <w:p>
            <w:pPr>
              <w:spacing w:after="0" w:line="252" w:lineRule="auto"/>
            </w:pPr>
            <w:r>
              <w:rPr>
                <w:sz w:val="18"/>
                <w:szCs w:val="18"/>
              </w:rPr>
              <w:t xml:space="preserve">A complete, independent deployment that serves a set of tenants; the unit of scale and blast radius</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Control plane</w:t>
            </w:r>
          </w:p>
        </w:tc>
        <w:tc>
          <w:tcPr>
            <w:tcW w:type="dxa" w:w="7001"/>
            <w:tcMar>
              <w:top w:type="dxa" w:w="70"/>
              <w:left w:type="dxa" w:w="100"/>
              <w:bottom w:type="dxa" w:w="70"/>
              <w:right w:type="dxa" w:w="100"/>
            </w:tcMar>
            <w:vAlign w:val="top"/>
          </w:tcPr>
          <w:p>
            <w:pPr>
              <w:spacing w:after="0" w:line="252" w:lineRule="auto"/>
            </w:pPr>
            <w:r>
              <w:rPr>
                <w:sz w:val="18"/>
                <w:szCs w:val="18"/>
              </w:rPr>
              <w:t xml:space="preserve">Global services for tenants, plans, routing, billing and releases; holds no employee data</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Worker / Employment / Assignment</w:t>
            </w:r>
          </w:p>
        </w:tc>
        <w:tc>
          <w:tcPr>
            <w:tcW w:type="dxa" w:w="7001"/>
            <w:tcMar>
              <w:top w:type="dxa" w:w="70"/>
              <w:left w:type="dxa" w:w="100"/>
              <w:bottom w:type="dxa" w:w="70"/>
              <w:right w:type="dxa" w:w="100"/>
            </w:tcMar>
            <w:vAlign w:val="top"/>
          </w:tcPr>
          <w:p>
            <w:pPr>
              <w:spacing w:after="0" w:line="252" w:lineRule="auto"/>
            </w:pPr>
            <w:r>
              <w:rPr>
                <w:sz w:val="18"/>
                <w:szCs w:val="18"/>
              </w:rPr>
              <w:t xml:space="preserve">The person for life in a tenant / the work relationship with one legal entity / an effective-dated slice of job, place and team</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Personnel action</w:t>
            </w:r>
          </w:p>
        </w:tc>
        <w:tc>
          <w:tcPr>
            <w:tcW w:type="dxa" w:w="7001"/>
            <w:tcMar>
              <w:top w:type="dxa" w:w="70"/>
              <w:left w:type="dxa" w:w="100"/>
              <w:bottom w:type="dxa" w:w="70"/>
              <w:right w:type="dxa" w:w="100"/>
            </w:tcMar>
            <w:vAlign w:val="top"/>
          </w:tcPr>
          <w:p>
            <w:pPr>
              <w:spacing w:after="0" w:line="252" w:lineRule="auto"/>
            </w:pPr>
            <w:r>
              <w:rPr>
                <w:sz w:val="18"/>
                <w:szCs w:val="18"/>
              </w:rPr>
              <w:t xml:space="preserve">The only way employment data changes: type, reason, effective date, approvals, letters</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Effective date</w:t>
            </w:r>
          </w:p>
        </w:tc>
        <w:tc>
          <w:tcPr>
            <w:tcW w:type="dxa" w:w="7001"/>
            <w:tcMar>
              <w:top w:type="dxa" w:w="70"/>
              <w:left w:type="dxa" w:w="100"/>
              <w:bottom w:type="dxa" w:w="70"/>
              <w:right w:type="dxa" w:w="100"/>
            </w:tcMar>
            <w:vAlign w:val="top"/>
          </w:tcPr>
          <w:p>
            <w:pPr>
              <w:spacing w:after="0" w:line="252" w:lineRule="auto"/>
            </w:pPr>
            <w:r>
              <w:rPr>
                <w:sz w:val="18"/>
                <w:szCs w:val="18"/>
              </w:rPr>
              <w:t xml:space="preserve">The date from which a change applies (valid time); different from when it was recorded</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RLS</w:t>
            </w:r>
          </w:p>
        </w:tc>
        <w:tc>
          <w:tcPr>
            <w:tcW w:type="dxa" w:w="7001"/>
            <w:tcMar>
              <w:top w:type="dxa" w:w="70"/>
              <w:left w:type="dxa" w:w="100"/>
              <w:bottom w:type="dxa" w:w="70"/>
              <w:right w:type="dxa" w:w="100"/>
            </w:tcMar>
            <w:vAlign w:val="top"/>
          </w:tcPr>
          <w:p>
            <w:pPr>
              <w:spacing w:after="0" w:line="252" w:lineRule="auto"/>
            </w:pPr>
            <w:r>
              <w:rPr>
                <w:sz w:val="18"/>
                <w:szCs w:val="18"/>
              </w:rPr>
              <w:t xml:space="preserve">PostgreSQL row-level security: the database filters rows by tenant</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Outbox</w:t>
            </w:r>
          </w:p>
        </w:tc>
        <w:tc>
          <w:tcPr>
            <w:tcW w:type="dxa" w:w="7001"/>
            <w:tcMar>
              <w:top w:type="dxa" w:w="70"/>
              <w:left w:type="dxa" w:w="100"/>
              <w:bottom w:type="dxa" w:w="70"/>
              <w:right w:type="dxa" w:w="100"/>
            </w:tcMar>
            <w:vAlign w:val="top"/>
          </w:tcPr>
          <w:p>
            <w:pPr>
              <w:spacing w:after="0" w:line="252" w:lineRule="auto"/>
            </w:pPr>
            <w:r>
              <w:rPr>
                <w:sz w:val="18"/>
                <w:szCs w:val="18"/>
              </w:rPr>
              <w:t xml:space="preserve">A table written in the same transaction as a change, relayed to queues, so events are never lost</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BFF</w:t>
            </w:r>
          </w:p>
        </w:tc>
        <w:tc>
          <w:tcPr>
            <w:tcW w:type="dxa" w:w="7001"/>
            <w:tcMar>
              <w:top w:type="dxa" w:w="70"/>
              <w:left w:type="dxa" w:w="100"/>
              <w:bottom w:type="dxa" w:w="70"/>
              <w:right w:type="dxa" w:w="100"/>
            </w:tcMar>
            <w:vAlign w:val="top"/>
          </w:tcPr>
          <w:p>
            <w:pPr>
              <w:spacing w:after="0" w:line="252" w:lineRule="auto"/>
            </w:pPr>
            <w:r>
              <w:rPr>
                <w:sz w:val="18"/>
                <w:szCs w:val="18"/>
              </w:rPr>
              <w:t xml:space="preserve">Backend-for-frontend: a server layer that keeps tokens out of the browser</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CDC</w:t>
            </w:r>
          </w:p>
        </w:tc>
        <w:tc>
          <w:tcPr>
            <w:tcW w:type="dxa" w:w="7001"/>
            <w:tcMar>
              <w:top w:type="dxa" w:w="70"/>
              <w:left w:type="dxa" w:w="100"/>
              <w:bottom w:type="dxa" w:w="70"/>
              <w:right w:type="dxa" w:w="100"/>
            </w:tcMar>
            <w:vAlign w:val="top"/>
          </w:tcPr>
          <w:p>
            <w:pPr>
              <w:spacing w:after="0" w:line="252" w:lineRule="auto"/>
            </w:pPr>
            <w:r>
              <w:rPr>
                <w:sz w:val="18"/>
                <w:szCs w:val="18"/>
              </w:rPr>
              <w:t xml:space="preserve">Change data capture: streaming database changes to other stores</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RPO / RTO</w:t>
            </w:r>
          </w:p>
        </w:tc>
        <w:tc>
          <w:tcPr>
            <w:tcW w:type="dxa" w:w="7001"/>
            <w:tcMar>
              <w:top w:type="dxa" w:w="70"/>
              <w:left w:type="dxa" w:w="100"/>
              <w:bottom w:type="dxa" w:w="70"/>
              <w:right w:type="dxa" w:w="100"/>
            </w:tcMar>
            <w:vAlign w:val="top"/>
          </w:tcPr>
          <w:p>
            <w:pPr>
              <w:spacing w:after="0" w:line="252" w:lineRule="auto"/>
            </w:pPr>
            <w:r>
              <w:rPr>
                <w:sz w:val="18"/>
                <w:szCs w:val="18"/>
              </w:rPr>
              <w:t xml:space="preserve">Maximum data loss / maximum time to recover after a disaster</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DPDP</w:t>
            </w:r>
          </w:p>
        </w:tc>
        <w:tc>
          <w:tcPr>
            <w:tcW w:type="dxa" w:w="7001"/>
            <w:tcMar>
              <w:top w:type="dxa" w:w="70"/>
              <w:left w:type="dxa" w:w="100"/>
              <w:bottom w:type="dxa" w:w="70"/>
              <w:right w:type="dxa" w:w="100"/>
            </w:tcMar>
            <w:vAlign w:val="top"/>
          </w:tcPr>
          <w:p>
            <w:pPr>
              <w:spacing w:after="0" w:line="252" w:lineRule="auto"/>
            </w:pPr>
            <w:r>
              <w:rPr>
                <w:sz w:val="18"/>
                <w:szCs w:val="18"/>
              </w:rPr>
              <w:t xml:space="preserve">India's Digital Personal Data Protection Act, 2023</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SCIM, SAML, OIDC, PKCE</w:t>
            </w:r>
          </w:p>
        </w:tc>
        <w:tc>
          <w:tcPr>
            <w:tcW w:type="dxa" w:w="7001"/>
            <w:tcMar>
              <w:top w:type="dxa" w:w="70"/>
              <w:left w:type="dxa" w:w="100"/>
              <w:bottom w:type="dxa" w:w="70"/>
              <w:right w:type="dxa" w:w="100"/>
            </w:tcMar>
            <w:vAlign w:val="top"/>
          </w:tcPr>
          <w:p>
            <w:pPr>
              <w:spacing w:after="0" w:line="252" w:lineRule="auto"/>
            </w:pPr>
            <w:r>
              <w:rPr>
                <w:sz w:val="18"/>
                <w:szCs w:val="18"/>
              </w:rPr>
              <w:t xml:space="preserve">Standards for user provisioning, single sign-on and secure OAuth flows</w:t>
            </w:r>
          </w:p>
        </w:tc>
      </w:tr>
      <w:tr>
        <w:trPr>
          <w:cantSplit/>
          <w:tblHeader w:val="false"/>
        </w:trPr>
        <w:tc>
          <w:tcPr>
            <w:tcW w:type="dxa" w:w="2637"/>
            <w:tcMar>
              <w:top w:type="dxa" w:w="70"/>
              <w:left w:type="dxa" w:w="100"/>
              <w:bottom w:type="dxa" w:w="70"/>
              <w:right w:type="dxa" w:w="100"/>
            </w:tcMar>
            <w:vAlign w:val="top"/>
          </w:tcPr>
          <w:p>
            <w:pPr>
              <w:spacing w:after="0" w:line="252" w:lineRule="auto"/>
            </w:pPr>
            <w:r>
              <w:rPr>
                <w:b/>
                <w:bCs/>
                <w:color w:val="16222A"/>
                <w:sz w:val="18"/>
                <w:szCs w:val="18"/>
              </w:rPr>
              <w:t xml:space="preserve">PF, ESIC, PT, LWF</w:t>
            </w:r>
          </w:p>
        </w:tc>
        <w:tc>
          <w:tcPr>
            <w:tcW w:type="dxa" w:w="7001"/>
            <w:tcMar>
              <w:top w:type="dxa" w:w="70"/>
              <w:left w:type="dxa" w:w="100"/>
              <w:bottom w:type="dxa" w:w="70"/>
              <w:right w:type="dxa" w:w="100"/>
            </w:tcMar>
            <w:vAlign w:val="top"/>
          </w:tcPr>
          <w:p>
            <w:pPr>
              <w:spacing w:after="0" w:line="252" w:lineRule="auto"/>
            </w:pPr>
            <w:r>
              <w:rPr>
                <w:sz w:val="18"/>
                <w:szCs w:val="18"/>
              </w:rPr>
              <w:t xml:space="preserve">Indian statutory schemes: Provident Fund, Employees' State Insurance, Professional Tax, Labour Welfare Fund</w:t>
            </w:r>
          </w:p>
        </w:tc>
      </w:tr>
    </w:tbl>
    <w:p>
      <w:pPr>
        <w:spacing w:after="160"/>
      </w:pPr>
    </w:p>
    <w:sectPr>
      <w:headerReference w:type="default" r:id="rId31"/>
      <w:footerReference w:type="default" r:id="rId32"/>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F5E67"/>
        <w:sz w:val="16"/>
        <w:szCs w:val="16"/>
      </w:rPr>
      <w:t xml:space="preserve">Page </w:t>
    </w:r>
    <w:r>
      <w:rPr>
        <w:color w:val="4F5E67"/>
        <w:sz w:val="16"/>
        <w:szCs w:val="16"/>
      </w:rPr>
      <w:fldChar w:fldCharType="begin"/>
      <w:instrText xml:space="preserve">PAGE</w:instrText>
      <w:fldChar w:fldCharType="separate"/>
      <w:fldChar w:fldCharType="end"/>
    </w:r>
    <w:r>
      <w:rPr>
        <w:color w:val="4F5E67"/>
        <w:sz w:val="16"/>
        <w:szCs w:val="16"/>
      </w:rPr>
      <w:t xml:space="preserve"> of </w:t>
    </w:r>
    <w:r>
      <w:rPr>
        <w:color w:val="4F5E6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9638"/>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9638"/>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14570"/>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9638"/>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14570"/>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9638"/>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9638"/>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14570"/>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9638"/>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14570"/>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9638"/>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14570"/>
      </w:tabs>
    </w:pPr>
    <w:r>
      <w:rPr>
        <w:color w:val="4F5E67"/>
        <w:sz w:val="16"/>
        <w:szCs w:val="16"/>
      </w:rPr>
      <w:t xml:space="preserve">HRMS Platform · System Design and Technology Stack</w:t>
    </w:r>
    <w:r>
      <w:rPr>
        <w:color w:val="4F5E67"/>
        <w:sz w:val="16"/>
        <w:szCs w:val="16"/>
      </w:rPr>
      <w:t xml:space="preserve">	Confidential · v1.1 · 21 Sep 2026</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8" w:sz="4" w:space="4"/>
      </w:pBdr>
      <w:tabs>
        <w:tab w:val="right" w:pos="9638"/>
      </w:tabs>
    </w:pPr>
    <w:r>
      <w:rPr>
        <w:color w:val="4F5E67"/>
        <w:sz w:val="16"/>
        <w:szCs w:val="16"/>
      </w:rPr>
      <w:t xml:space="preserve">HRMS Platform · System Design and Technology Stack</w:t>
    </w:r>
    <w:r>
      <w:rPr>
        <w:color w:val="4F5E67"/>
        <w:sz w:val="16"/>
        <w:szCs w:val="16"/>
      </w:rPr>
      <w:t xml:space="preserve">	Confidential · v1.1 · 21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22A"/>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240"/>
      <w:outlineLvl w:val="0"/>
    </w:pPr>
    <w:rPr>
      <w:rFonts w:ascii="Arial" w:cs="Arial" w:eastAsia="Arial" w:hAnsi="Arial"/>
      <w:b/>
      <w:bCs/>
      <w:color w:val="0D6B6B"/>
      <w:sz w:val="32"/>
      <w:szCs w:val="32"/>
    </w:rPr>
  </w:style>
  <w:style w:type="paragraph" w:styleId="Heading2">
    <w:name w:val="Heading 2"/>
    <w:basedOn w:val="Normal"/>
    <w:next w:val="Normal"/>
    <w:qFormat/>
    <w:pPr>
      <w:keepNext/>
      <w:keepLines/>
      <w:spacing w:after="120" w:before="300"/>
      <w:outlineLvl w:val="1"/>
    </w:pPr>
    <w:rPr>
      <w:rFonts w:ascii="Arial" w:cs="Arial" w:eastAsia="Arial" w:hAnsi="Arial"/>
      <w:b/>
      <w:bCs/>
      <w:color w:val="16222A"/>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6222A"/>
      <w:sz w:val="22"/>
      <w:szCs w:val="22"/>
    </w:rPr>
  </w:style>
  <w:style w:type="paragraph" w:styleId="Caption">
    <w:name w:val="Caption"/>
    <w:basedOn w:val="Normal"/>
    <w:next w:val="Normal"/>
    <w:pPr>
      <w:spacing w:after="240" w:before="40"/>
    </w:pPr>
    <w:rPr>
      <w:rFonts w:ascii="Arial" w:cs="Arial" w:eastAsia="Arial" w:hAnsi="Arial"/>
      <w:i/>
      <w:iCs/>
      <w:color w:val="4F5E67"/>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image" Target="media/d60f135ac43e598013ccf3903c2c9e1c223d3131.png"/><Relationship Id="rId34" Type="http://schemas.openxmlformats.org/officeDocument/2006/relationships/image" Target="media/66e0cc584d1e774e7e9f51ad567a1f1c296b8cb2.png"/><Relationship Id="rId35" Type="http://schemas.openxmlformats.org/officeDocument/2006/relationships/image" Target="media/958d463cf2035c168dbc0f9381502df3eb824c03.png"/><Relationship Id="rId36" Type="http://schemas.openxmlformats.org/officeDocument/2006/relationships/image" Target="media/73748c471d0192a7462e478ee4b882ce419fcea9.png"/><Relationship Id="rId37" Type="http://schemas.openxmlformats.org/officeDocument/2006/relationships/image" Target="media/627d5c1224c5c06ba7acc3a82fbaaa8be5839ea4.png"/><Relationship Id="rId38" Type="http://schemas.openxmlformats.org/officeDocument/2006/relationships/image" Target="media/bab2ef3570a1c69e914d7d6ede259b3f5c7d5082.png"/><Relationship Id="rId39" Type="http://schemas.openxmlformats.org/officeDocument/2006/relationships/image" Target="media/592296afdde291a170b57a817ed41fb8ca403e3d.png"/><Relationship Id="rId40" Type="http://schemas.openxmlformats.org/officeDocument/2006/relationships/image" Target="media/ab979de41cd6527fbfc8105afafbfb58688d8c6b.png"/><Relationship Id="rId41" Type="http://schemas.openxmlformats.org/officeDocument/2006/relationships/image" Target="media/4d77aa42c3838e3cb420b454ee1c6c052681b440.png"/><Relationship Id="rId42" Type="http://schemas.openxmlformats.org/officeDocument/2006/relationships/image" Target="media/953e98aea44178fbe7643297fcf85ada80544028.png"/><Relationship Id="rId43" Type="http://schemas.openxmlformats.org/officeDocument/2006/relationships/image" Target="media/b8d39efcb065a5e81ae16ec580175725cad118a4.png"/><Relationship Id="rId44" Type="http://schemas.openxmlformats.org/officeDocument/2006/relationships/image" Target="media/1bd44f9db8c84e1d703cad4158aa0405d64ad199.png"/><Relationship Id="rId45" Type="http://schemas.openxmlformats.org/officeDocument/2006/relationships/image" Target="media/f4c021608322abed758896436a6c036816f2fd98.png"/><Relationship Id="rId46" Type="http://schemas.openxmlformats.org/officeDocument/2006/relationships/image" Target="media/58113c835b1ba7683d93538c0522f2ffd87da9aa.png"/><Relationship Id="rId47" Type="http://schemas.openxmlformats.org/officeDocument/2006/relationships/image" Target="media/93ebd1c03b5f0dda53c6f8b5d09a9abed5f62e5b.png"/><Relationship Id="rId48" Type="http://schemas.openxmlformats.org/officeDocument/2006/relationships/image" Target="media/d0418a4ba8e3dd6a47a7a3b5fda89b11e4a0b21a.png"/><Relationship Id="rId49" Type="http://schemas.openxmlformats.org/officeDocument/2006/relationships/image" Target="media/b1ad476a6c09684a962db1a1723746edfc2e3b07.png"/><Relationship Id="rId50" Type="http://schemas.openxmlformats.org/officeDocument/2006/relationships/image" Target="media/1355e08bd374cd422d96503efd7e34c973ea8842.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Platform System Design and Technology Stack</dc:title>
  <dc:creator>HRMS Platform architecture</dc:creator>
  <dc:description>Multi-tenant HR platform and public API: architecture, technology stack and delivery plan (v1.1)</dc:description>
  <cp:lastModifiedBy>Un-named</cp:lastModifiedBy>
  <cp:revision>1</cp:revision>
  <dcterms:created xsi:type="dcterms:W3CDTF">2026-09-21T13:51:19.502Z</dcterms:created>
  <dcterms:modified xsi:type="dcterms:W3CDTF">2026-09-21T13:51:19.502Z</dcterms:modified>
</cp:coreProperties>
</file>

<file path=docProps/custom.xml><?xml version="1.0" encoding="utf-8"?>
<Properties xmlns="http://schemas.openxmlformats.org/officeDocument/2006/custom-properties" xmlns:vt="http://schemas.openxmlformats.org/officeDocument/2006/docPropsVTypes"/>
</file>