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B554E4" w:rsidRPr="00587088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B554E4" w:rsidRPr="00BF6809" w:rsidRDefault="00B554E4" w:rsidP="00B554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54E4" w:rsidRDefault="00B554E4" w:rsidP="00B5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663953" w:rsidRDefault="00663953"/>
    <w:p w:rsidR="00B554E4" w:rsidRPr="00F23C22" w:rsidRDefault="00B554E4" w:rsidP="00B554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B554E4" w:rsidRPr="00F23C22" w:rsidRDefault="00B554E4" w:rsidP="00B554E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Изучить дискретные динамические модели на основе спроса и предложения, </w:t>
      </w:r>
      <w:r w:rsidRPr="00F23C22">
        <w:rPr>
          <w:rFonts w:ascii="Times New Roman" w:hAnsi="Times New Roman" w:cs="Times New Roman"/>
          <w:b/>
          <w:sz w:val="28"/>
          <w:szCs w:val="28"/>
        </w:rPr>
        <w:t>Бифуркации в дискретных отображениях</w:t>
      </w:r>
    </w:p>
    <w:p w:rsidR="00B554E4" w:rsidRPr="00F23C22" w:rsidRDefault="00B554E4" w:rsidP="00B554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>Задание</w:t>
      </w:r>
    </w:p>
    <w:p w:rsidR="00B554E4" w:rsidRPr="00F23C22" w:rsidRDefault="00B554E4" w:rsidP="00B554E4">
      <w:pPr>
        <w:ind w:left="360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найти неподвижные точки отображений  </w:t>
      </w:r>
      <w:r w:rsidRPr="00F23C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6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18.6pt" o:ole="">
            <v:imagedata r:id="rId6" o:title=""/>
          </v:shape>
          <o:OLEObject Type="Embed" ProgID="Equation.3" ShapeID="_x0000_i1025" DrawAspect="Content" ObjectID="_1724772102" r:id="rId7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, </w:t>
      </w:r>
      <w:r w:rsidRPr="00F23C22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4815" w:dyaOrig="540">
          <v:shape id="_x0000_i1026" type="#_x0000_t75" style="width:241.1pt;height:26.7pt" o:ole="">
            <v:imagedata r:id="rId8" o:title=""/>
          </v:shape>
          <o:OLEObject Type="Embed" ProgID="Equation.3" ShapeID="_x0000_i1026" DrawAspect="Content" ObjectID="_1724772103" r:id="rId9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, </w:t>
      </w:r>
      <w:r w:rsidRPr="00F23C22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8865" w:dyaOrig="540">
          <v:shape id="_x0000_i1027" type="#_x0000_t75" style="width:443.35pt;height:26.7pt" o:ole="">
            <v:imagedata r:id="rId10" o:title=""/>
          </v:shape>
          <o:OLEObject Type="Embed" ProgID="Equation.3" ShapeID="_x0000_i1027" DrawAspect="Content" ObjectID="_1724772104" r:id="rId11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и построить три цикла </w:t>
      </w:r>
      <w:proofErr w:type="spellStart"/>
      <w:r w:rsidRPr="00F23C22">
        <w:rPr>
          <w:rFonts w:ascii="Times New Roman" w:hAnsi="Times New Roman" w:cs="Times New Roman"/>
          <w:sz w:val="28"/>
          <w:szCs w:val="28"/>
        </w:rPr>
        <w:t>бифуркационной</w:t>
      </w:r>
      <w:proofErr w:type="spellEnd"/>
      <w:r w:rsidRPr="00F23C22">
        <w:rPr>
          <w:rFonts w:ascii="Times New Roman" w:hAnsi="Times New Roman" w:cs="Times New Roman"/>
          <w:sz w:val="28"/>
          <w:szCs w:val="28"/>
        </w:rPr>
        <w:t xml:space="preserve"> диаграммы, используя эти неподвижные точки.</w:t>
      </w:r>
    </w:p>
    <w:p w:rsidR="00F23C22" w:rsidRDefault="00B554E4" w:rsidP="00F23C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>Ход работы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>Дискретным отображением в динамических системах называют преобразование вида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12"/>
        </w:rPr>
        <w:object w:dxaOrig="1425" w:dyaOrig="360">
          <v:shape id="_x0000_i1028" type="#_x0000_t75" style="width:71.2pt;height:17.8pt" o:ole="">
            <v:imagedata r:id="rId12" o:title=""/>
          </v:shape>
          <o:OLEObject Type="Embed" ProgID="Equation.3" ShapeID="_x0000_i1028" DrawAspect="Content" ObjectID="_1724772105" r:id="rId13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В одной из простейших форм (одномерное отображение </w:t>
      </w:r>
      <w:proofErr w:type="spellStart"/>
      <w:r w:rsidRPr="00F23C22">
        <w:rPr>
          <w:rFonts w:ascii="Times New Roman" w:hAnsi="Times New Roman" w:cs="Times New Roman"/>
          <w:sz w:val="28"/>
          <w:szCs w:val="28"/>
        </w:rPr>
        <w:t>Фейгенбаума</w:t>
      </w:r>
      <w:proofErr w:type="spellEnd"/>
      <w:r w:rsidRPr="00F23C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C22">
        <w:rPr>
          <w:rFonts w:ascii="Times New Roman" w:hAnsi="Times New Roman" w:cs="Times New Roman"/>
          <w:i/>
          <w:sz w:val="28"/>
          <w:szCs w:val="28"/>
          <w:lang w:val="en-US"/>
        </w:rPr>
        <w:t>Feigenbaum</w:t>
      </w:r>
      <w:proofErr w:type="spellEnd"/>
      <w:r w:rsidRPr="00F23C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23C2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23C22">
        <w:rPr>
          <w:rFonts w:ascii="Times New Roman" w:hAnsi="Times New Roman" w:cs="Times New Roman"/>
          <w:i/>
          <w:sz w:val="28"/>
          <w:szCs w:val="28"/>
        </w:rPr>
        <w:t>.</w:t>
      </w:r>
      <w:r w:rsidRPr="00F23C2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23C22">
        <w:rPr>
          <w:rFonts w:ascii="Times New Roman" w:hAnsi="Times New Roman" w:cs="Times New Roman"/>
          <w:i/>
          <w:sz w:val="28"/>
          <w:szCs w:val="28"/>
        </w:rPr>
        <w:t>., 1978</w:t>
      </w:r>
      <w:r w:rsidRPr="00F23C22">
        <w:rPr>
          <w:rFonts w:ascii="Times New Roman" w:hAnsi="Times New Roman" w:cs="Times New Roman"/>
          <w:sz w:val="28"/>
          <w:szCs w:val="28"/>
        </w:rPr>
        <w:t>)</w: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24"/>
        </w:rPr>
        <w:object w:dxaOrig="3375" w:dyaOrig="615">
          <v:shape id="_x0000_i1030" type="#_x0000_t75" style="width:169.1pt;height:30.75pt" o:ole="">
            <v:imagedata r:id="rId14" o:title=""/>
          </v:shape>
          <o:OLEObject Type="Embed" ProgID="Equation.3" ShapeID="_x0000_i1030" DrawAspect="Content" ObjectID="_1724772106" r:id="rId15"/>
        </w:objec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При </w:t>
      </w:r>
      <w:r w:rsidRPr="00F23C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900" w:dyaOrig="285">
          <v:shape id="_x0000_i1032" type="#_x0000_t75" style="width:45.3pt;height:14.55pt" o:ole="">
            <v:imagedata r:id="rId16" o:title=""/>
          </v:shape>
          <o:OLEObject Type="Embed" ProgID="Equation.3" ShapeID="_x0000_i1032" DrawAspect="Content" ObjectID="_1724772107" r:id="rId17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(6.1) представляет собой сжимающее отображение, при котором существует одно устойчивое решение </w:t>
      </w:r>
      <w:r w:rsidRPr="00F23C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15" w:dyaOrig="345">
          <v:shape id="_x0000_i1033" type="#_x0000_t75" style="width:30.75pt;height:17pt" o:ole="">
            <v:imagedata r:id="rId18" o:title=""/>
          </v:shape>
          <o:OLEObject Type="Embed" ProgID="Equation.3" ShapeID="_x0000_i1033" DrawAspect="Content" ObjectID="_1724772108" r:id="rId19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, при переходе параметра </w:t>
      </w:r>
      <w:r w:rsidRPr="00F23C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5" w:dyaOrig="285">
          <v:shape id="_x0000_i1034" type="#_x0000_t75" style="width:11.35pt;height:14.55pt" o:ole="">
            <v:imagedata r:id="rId20" o:title=""/>
          </v:shape>
          <o:OLEObject Type="Embed" ProgID="Equation.3" ShapeID="_x0000_i1034" DrawAspect="Content" ObjectID="_1724772109" r:id="rId21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через 1 на интервале </w:t>
      </w:r>
      <w:r w:rsidRPr="00F23C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900" w:dyaOrig="285">
          <v:shape id="_x0000_i1035" type="#_x0000_t75" style="width:45.3pt;height:14.55pt" o:ole="">
            <v:imagedata r:id="rId22" o:title=""/>
          </v:shape>
          <o:OLEObject Type="Embed" ProgID="Equation.3" ShapeID="_x0000_i1035" DrawAspect="Content" ObjectID="_1724772110" r:id="rId23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нарушается условие сходимости:</w:t>
      </w:r>
    </w:p>
    <w:p w:rsidR="00B554E4" w:rsidRPr="00F23C22" w:rsidRDefault="00B554E4" w:rsidP="00F23C22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3480" w:dyaOrig="555">
          <v:shape id="_x0000_i1036" type="#_x0000_t75" style="width:173.95pt;height:27.5pt" o:ole="">
            <v:imagedata r:id="rId24" o:title=""/>
          </v:shape>
          <o:OLEObject Type="Embed" ProgID="Equation.3" ShapeID="_x0000_i1036" DrawAspect="Content" ObjectID="_1724772111" r:id="rId25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>Кроме того, появляется другое решение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Кроме того, появляется другое решение </w:t>
      </w:r>
      <w:r w:rsidRPr="00F23C22">
        <w:rPr>
          <w:rFonts w:eastAsia="Times New Roman"/>
          <w:position w:val="-24"/>
        </w:rPr>
        <w:object w:dxaOrig="1035" w:dyaOrig="615">
          <v:shape id="_x0000_i1042" type="#_x0000_t75" style="width:51.8pt;height:30.75pt" o:ole="">
            <v:imagedata r:id="rId26" o:title=""/>
          </v:shape>
          <o:OLEObject Type="Embed" ProgID="Equation.3" ShapeID="_x0000_i1042" DrawAspect="Content" ObjectID="_1724772112" r:id="rId27"/>
        </w:object>
      </w:r>
      <w:r w:rsidRPr="00F23C22">
        <w:rPr>
          <w:rFonts w:ascii="Times New Roman" w:hAnsi="Times New Roman" w:cs="Times New Roman"/>
          <w:sz w:val="28"/>
          <w:szCs w:val="28"/>
        </w:rPr>
        <w:t>, которое тоже является устойчивым.</w: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Сходимость последовательности </w:t>
      </w:r>
      <w:r w:rsidRPr="00F23C22">
        <w:rPr>
          <w:rFonts w:eastAsia="Times New Roman"/>
          <w:position w:val="-12"/>
        </w:rPr>
        <w:object w:dxaOrig="480" w:dyaOrig="360">
          <v:shape id="_x0000_i1043" type="#_x0000_t75" style="width:24.25pt;height:17.8pt" o:ole="">
            <v:imagedata r:id="rId28" o:title=""/>
          </v:shape>
          <o:OLEObject Type="Embed" ProgID="Equation.3" ShapeID="_x0000_i1043" DrawAspect="Content" ObjectID="_1724772113" r:id="rId29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к решению </w:t>
      </w:r>
      <w:r w:rsidRPr="00F23C22">
        <w:rPr>
          <w:rFonts w:eastAsia="Times New Roman"/>
          <w:position w:val="-24"/>
        </w:rPr>
        <w:object w:dxaOrig="1035" w:dyaOrig="615">
          <v:shape id="_x0000_i1044" type="#_x0000_t75" style="width:51.8pt;height:30.75pt" o:ole="">
            <v:imagedata r:id="rId26" o:title=""/>
          </v:shape>
          <o:OLEObject Type="Embed" ProgID="Equation.3" ShapeID="_x0000_i1044" DrawAspect="Content" ObjectID="_1724772114" r:id="rId30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будет наблюдаться не при всех значениях </w:t>
      </w:r>
      <w:r w:rsidRPr="00F23C22">
        <w:rPr>
          <w:rFonts w:eastAsia="Times New Roman"/>
          <w:position w:val="-6"/>
        </w:rPr>
        <w:object w:dxaOrig="900" w:dyaOrig="285">
          <v:shape id="_x0000_i1045" type="#_x0000_t75" style="width:45.3pt;height:14.55pt" o:ole="">
            <v:imagedata r:id="rId22" o:title=""/>
          </v:shape>
          <o:OLEObject Type="Embed" ProgID="Equation.3" ShapeID="_x0000_i1045" DrawAspect="Content" ObjectID="_1724772115" r:id="rId31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. Оказывается, существует такое число </w:t>
      </w:r>
      <w:r w:rsidRPr="00F23C22">
        <w:rPr>
          <w:rFonts w:eastAsia="Times New Roman"/>
          <w:position w:val="-10"/>
        </w:rPr>
        <w:object w:dxaOrig="315" w:dyaOrig="345">
          <v:shape id="_x0000_i1046" type="#_x0000_t75" style="width:15.35pt;height:17pt" o:ole="">
            <v:imagedata r:id="rId32" o:title=""/>
          </v:shape>
          <o:OLEObject Type="Embed" ProgID="Equation.3" ShapeID="_x0000_i1046" DrawAspect="Content" ObjectID="_1724772116" r:id="rId33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&gt;1, при переходе через которое начинается </w:t>
      </w:r>
      <w:r w:rsidRPr="00F23C22">
        <w:rPr>
          <w:rFonts w:ascii="Times New Roman" w:hAnsi="Times New Roman" w:cs="Times New Roman"/>
          <w:i/>
          <w:sz w:val="28"/>
          <w:szCs w:val="28"/>
        </w:rPr>
        <w:lastRenderedPageBreak/>
        <w:t>перемежающаяся сходимость</w:t>
      </w:r>
      <w:r w:rsidRPr="00F23C22">
        <w:rPr>
          <w:rFonts w:ascii="Times New Roman" w:hAnsi="Times New Roman" w:cs="Times New Roman"/>
          <w:sz w:val="28"/>
          <w:szCs w:val="28"/>
        </w:rPr>
        <w:t xml:space="preserve">: все четные члены последовательности </w:t>
      </w:r>
      <w:r w:rsidRPr="00F23C22">
        <w:rPr>
          <w:rFonts w:eastAsia="Times New Roman"/>
          <w:position w:val="-12"/>
        </w:rPr>
        <w:object w:dxaOrig="480" w:dyaOrig="360">
          <v:shape id="_x0000_i1047" type="#_x0000_t75" style="width:24.25pt;height:17.8pt" o:ole="">
            <v:imagedata r:id="rId28" o:title=""/>
          </v:shape>
          <o:OLEObject Type="Embed" ProgID="Equation.3" ShapeID="_x0000_i1047" DrawAspect="Content" ObjectID="_1724772117" r:id="rId34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сходятся к одному числу, а нечетные  - к другому. Формально это означает, что найдутся такие числа </w:t>
      </w:r>
      <w:r w:rsidRPr="00F23C22">
        <w:rPr>
          <w:rFonts w:eastAsia="Times New Roman"/>
          <w:position w:val="-10"/>
        </w:rPr>
        <w:object w:dxaOrig="1245" w:dyaOrig="345">
          <v:shape id="_x0000_i1048" type="#_x0000_t75" style="width:62.3pt;height:17pt" o:ole="">
            <v:imagedata r:id="rId35" o:title=""/>
          </v:shape>
          <o:OLEObject Type="Embed" ProgID="Equation.3" ShapeID="_x0000_i1048" DrawAspect="Content" ObjectID="_1724772118" r:id="rId36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(свои для каждого </w:t>
      </w:r>
      <w:r w:rsidRPr="00F23C22">
        <w:rPr>
          <w:rFonts w:eastAsia="Times New Roman"/>
          <w:position w:val="-6"/>
        </w:rPr>
        <w:object w:dxaOrig="225" w:dyaOrig="285">
          <v:shape id="_x0000_i1049" type="#_x0000_t75" style="width:11.35pt;height:14.55pt" o:ole="">
            <v:imagedata r:id="rId37" o:title=""/>
          </v:shape>
          <o:OLEObject Type="Embed" ProgID="Equation.3" ShapeID="_x0000_i1049" DrawAspect="Content" ObjectID="_1724772119" r:id="rId38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) такие, что 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30"/>
        </w:rPr>
        <w:object w:dxaOrig="3720" w:dyaOrig="720">
          <v:shape id="_x0000_i1050" type="#_x0000_t75" style="width:186.05pt;height:36.4pt" o:ole="">
            <v:imagedata r:id="rId39" o:title=""/>
          </v:shape>
          <o:OLEObject Type="Embed" ProgID="Equation.3" ShapeID="_x0000_i1050" DrawAspect="Content" ObjectID="_1724772120" r:id="rId40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30"/>
        </w:rPr>
        <w:object w:dxaOrig="3300" w:dyaOrig="720">
          <v:shape id="_x0000_i1059" type="#_x0000_t75" style="width:165.05pt;height:36.4pt" o:ole="">
            <v:imagedata r:id="rId41" o:title=""/>
          </v:shape>
          <o:OLEObject Type="Embed" ProgID="Equation.3" ShapeID="_x0000_i1059" DrawAspect="Content" ObjectID="_1724772121" r:id="rId42"/>
        </w:object>
      </w:r>
    </w:p>
    <w:p w:rsidR="00B554E4" w:rsidRP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10"/>
        </w:rPr>
        <w:object w:dxaOrig="4320" w:dyaOrig="405">
          <v:shape id="_x0000_i1060" type="#_x0000_t75" style="width:3in;height:20.2pt" o:ole="">
            <v:imagedata r:id="rId43" o:title=""/>
          </v:shape>
          <o:OLEObject Type="Embed" ProgID="Equation.3" ShapeID="_x0000_i1060" DrawAspect="Content" ObjectID="_1724772122" r:id="rId44"/>
        </w:objec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Два корня этого отображения мы уже знаем </w:t>
      </w:r>
      <w:r w:rsidRPr="00F23C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15" w:dyaOrig="345">
          <v:shape id="_x0000_i1061" type="#_x0000_t75" style="width:30.75pt;height:17pt" o:ole="">
            <v:imagedata r:id="rId18" o:title=""/>
          </v:shape>
          <o:OLEObject Type="Embed" ProgID="Equation.3" ShapeID="_x0000_i1061" DrawAspect="Content" ObjectID="_1724772123" r:id="rId45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и </w:t>
      </w:r>
      <w:r w:rsidRPr="00F23C2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035" w:dyaOrig="615">
          <v:shape id="_x0000_i1062" type="#_x0000_t75" style="width:51.8pt;height:30.75pt" o:ole="">
            <v:imagedata r:id="rId26" o:title=""/>
          </v:shape>
          <o:OLEObject Type="Embed" ProgID="Equation.3" ShapeID="_x0000_i1062" DrawAspect="Content" ObjectID="_1724772124" r:id="rId46"/>
        </w:object>
      </w:r>
      <w:r w:rsidRPr="00F23C22">
        <w:rPr>
          <w:rFonts w:ascii="Times New Roman" w:hAnsi="Times New Roman" w:cs="Times New Roman"/>
          <w:sz w:val="28"/>
          <w:szCs w:val="28"/>
        </w:rPr>
        <w:t>, поэтому из теоремы Безу можно, исключив эти корни, найти остальные, решив квадратное уравнение</w:t>
      </w:r>
    </w:p>
    <w:p w:rsidR="00B554E4" w:rsidRPr="00F23C22" w:rsidRDefault="00B554E4" w:rsidP="00F23C22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554E4" w:rsidRPr="00F23C22" w:rsidRDefault="00B554E4" w:rsidP="00F23C22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2265" w:dyaOrig="645">
          <v:shape id="_x0000_i1063" type="#_x0000_t75" style="width:113.25pt;height:32.35pt" o:ole="">
            <v:imagedata r:id="rId47" o:title=""/>
          </v:shape>
          <o:OLEObject Type="Embed" ProgID="Equation.3" ShapeID="_x0000_i1063" DrawAspect="Content" ObjectID="_1724772125" r:id="rId48"/>
        </w:object>
      </w:r>
      <w:r w:rsidR="00F23C22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>Рассматрив</w:t>
      </w:r>
      <w:r w:rsidR="00F23C22">
        <w:rPr>
          <w:rFonts w:ascii="Times New Roman" w:hAnsi="Times New Roman" w:cs="Times New Roman"/>
          <w:sz w:val="28"/>
          <w:szCs w:val="28"/>
        </w:rPr>
        <w:t>аем дискриминант уравнения</w:t>
      </w:r>
      <w:r w:rsidRPr="00F23C22">
        <w:rPr>
          <w:rFonts w:ascii="Times New Roman" w:hAnsi="Times New Roman" w:cs="Times New Roman"/>
          <w:sz w:val="28"/>
          <w:szCs w:val="28"/>
        </w:rPr>
        <w:t xml:space="preserve"> и находим, что по условию положительности дискриминанта искомое значение </w:t>
      </w:r>
      <w:r w:rsidRPr="00F23C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15" w:dyaOrig="345">
          <v:shape id="_x0000_i1064" type="#_x0000_t75" style="width:15.35pt;height:17pt" o:ole="">
            <v:imagedata r:id="rId49" o:title=""/>
          </v:shape>
          <o:OLEObject Type="Embed" ProgID="Equation.3" ShapeID="_x0000_i1064" DrawAspect="Content" ObjectID="_1724772126" r:id="rId50"/>
        </w:object>
      </w:r>
      <w:r w:rsidRPr="00F23C22">
        <w:rPr>
          <w:rFonts w:ascii="Times New Roman" w:hAnsi="Times New Roman" w:cs="Times New Roman"/>
          <w:sz w:val="28"/>
          <w:szCs w:val="28"/>
        </w:rPr>
        <w:t>, начиная с которого появляются новые устойчивые неподвижные точки (решения уравнения (7.5)).</w:t>
      </w:r>
    </w:p>
    <w:p w:rsidR="00B554E4" w:rsidRPr="00F23C22" w:rsidRDefault="00B554E4" w:rsidP="00F23C2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eastAsia="Times New Roman"/>
          <w:position w:val="-24"/>
        </w:rPr>
        <w:object w:dxaOrig="2625" w:dyaOrig="735">
          <v:shape id="_x0000_i1065" type="#_x0000_t75" style="width:131.05pt;height:36.4pt" o:ole="">
            <v:imagedata r:id="rId51" o:title=""/>
          </v:shape>
          <o:OLEObject Type="Embed" ProgID="Equation.3" ShapeID="_x0000_i1065" DrawAspect="Content" ObjectID="_1724772127" r:id="rId52"/>
        </w:object>
      </w:r>
      <w:r w:rsidRPr="00F23C2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Получается, что для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будет 4 точки пересечения.</w:t>
      </w: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можно доказать,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будет 8 точек пересчения.</w:t>
      </w:r>
      <w:bookmarkStart w:id="0" w:name="_GoBack"/>
      <w:bookmarkEnd w:id="0"/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23C22" w:rsidRDefault="00F23C22" w:rsidP="00F23C22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23C22" w:rsidRDefault="00B554E4" w:rsidP="00F23C22">
      <w:pPr>
        <w:ind w:left="284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B554E4" w:rsidRDefault="00F23C22" w:rsidP="00F23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F23C22" w:rsidRDefault="00F23C22" w:rsidP="00F23C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4AF2E" wp14:editId="0CEA6C82">
            <wp:extent cx="5940425" cy="3668852"/>
            <wp:effectExtent l="0" t="0" r="22225" b="273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F23C22" w:rsidRDefault="00F23C22" w:rsidP="00F23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F23C22" w:rsidRPr="00F23C22" w:rsidRDefault="00F23C22" w:rsidP="00F23C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дискретные динамические модели, бифуркации в динамических отображениях.</w:t>
      </w:r>
    </w:p>
    <w:sectPr w:rsidR="00F23C22" w:rsidRPr="00F2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B5113"/>
    <w:multiLevelType w:val="hybridMultilevel"/>
    <w:tmpl w:val="EEF4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E4"/>
    <w:rsid w:val="00663953"/>
    <w:rsid w:val="00B554E4"/>
    <w:rsid w:val="00F2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4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C22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23C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4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C22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23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5030183727034119E-2"/>
          <c:y val="7.4548702245552628E-2"/>
          <c:w val="0.70931386701662291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Лист1!$B$2:$B$52</c:f>
              <c:numCache>
                <c:formatCode>General</c:formatCode>
                <c:ptCount val="5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ϕ(x)</c:v>
                </c:pt>
              </c:strCache>
            </c:strRef>
          </c:tx>
          <c:marker>
            <c:symbol val="none"/>
          </c:marker>
          <c:val>
            <c:numRef>
              <c:f>Лист1!$C$2:$C$52</c:f>
              <c:numCache>
                <c:formatCode>General</c:formatCode>
                <c:ptCount val="51"/>
                <c:pt idx="0">
                  <c:v>0</c:v>
                </c:pt>
                <c:pt idx="1">
                  <c:v>7.6439999999999994E-2</c:v>
                </c:pt>
                <c:pt idx="2">
                  <c:v>0.14976</c:v>
                </c:pt>
                <c:pt idx="3">
                  <c:v>0.21995999999999996</c:v>
                </c:pt>
                <c:pt idx="4">
                  <c:v>0.28704000000000002</c:v>
                </c:pt>
                <c:pt idx="5">
                  <c:v>0.35100000000000003</c:v>
                </c:pt>
                <c:pt idx="6">
                  <c:v>0.41183999999999998</c:v>
                </c:pt>
                <c:pt idx="7">
                  <c:v>0.46956000000000003</c:v>
                </c:pt>
                <c:pt idx="8">
                  <c:v>0.52415999999999996</c:v>
                </c:pt>
                <c:pt idx="9">
                  <c:v>0.57564000000000004</c:v>
                </c:pt>
                <c:pt idx="10">
                  <c:v>0.62400000000000011</c:v>
                </c:pt>
                <c:pt idx="11">
                  <c:v>0.66924000000000006</c:v>
                </c:pt>
                <c:pt idx="12">
                  <c:v>0.71135999999999999</c:v>
                </c:pt>
                <c:pt idx="13">
                  <c:v>0.75036000000000003</c:v>
                </c:pt>
                <c:pt idx="14">
                  <c:v>0.78624000000000005</c:v>
                </c:pt>
                <c:pt idx="15">
                  <c:v>0.81899999999999995</c:v>
                </c:pt>
                <c:pt idx="16">
                  <c:v>0.84863999999999995</c:v>
                </c:pt>
                <c:pt idx="17">
                  <c:v>0.87515999999999994</c:v>
                </c:pt>
                <c:pt idx="18">
                  <c:v>0.89855999999999991</c:v>
                </c:pt>
                <c:pt idx="19">
                  <c:v>0.91883999999999999</c:v>
                </c:pt>
                <c:pt idx="20">
                  <c:v>0.93599999999999994</c:v>
                </c:pt>
                <c:pt idx="21">
                  <c:v>0.95004000000000011</c:v>
                </c:pt>
                <c:pt idx="22">
                  <c:v>0.96096000000000004</c:v>
                </c:pt>
                <c:pt idx="23">
                  <c:v>0.96876000000000007</c:v>
                </c:pt>
                <c:pt idx="24">
                  <c:v>0.97343999999999997</c:v>
                </c:pt>
                <c:pt idx="25">
                  <c:v>0.97499999999999998</c:v>
                </c:pt>
                <c:pt idx="26">
                  <c:v>0.97343999999999997</c:v>
                </c:pt>
                <c:pt idx="27">
                  <c:v>0.96875999999999984</c:v>
                </c:pt>
                <c:pt idx="28">
                  <c:v>0.96095999999999993</c:v>
                </c:pt>
                <c:pt idx="29">
                  <c:v>0.95004000000000011</c:v>
                </c:pt>
                <c:pt idx="30">
                  <c:v>0.93599999999999994</c:v>
                </c:pt>
                <c:pt idx="31">
                  <c:v>0.9188400000000001</c:v>
                </c:pt>
                <c:pt idx="32">
                  <c:v>0.89855999999999991</c:v>
                </c:pt>
                <c:pt idx="33">
                  <c:v>0.87515999999999983</c:v>
                </c:pt>
                <c:pt idx="34">
                  <c:v>0.84863999999999995</c:v>
                </c:pt>
                <c:pt idx="35">
                  <c:v>0.81900000000000006</c:v>
                </c:pt>
                <c:pt idx="36">
                  <c:v>0.78624000000000005</c:v>
                </c:pt>
                <c:pt idx="37">
                  <c:v>0.75036000000000003</c:v>
                </c:pt>
                <c:pt idx="38">
                  <c:v>0.71135999999999999</c:v>
                </c:pt>
                <c:pt idx="39">
                  <c:v>0.66923999999999984</c:v>
                </c:pt>
                <c:pt idx="40">
                  <c:v>0.62399999999999989</c:v>
                </c:pt>
                <c:pt idx="41">
                  <c:v>0.57564000000000015</c:v>
                </c:pt>
                <c:pt idx="42">
                  <c:v>0.52416000000000007</c:v>
                </c:pt>
                <c:pt idx="43">
                  <c:v>0.46956000000000003</c:v>
                </c:pt>
                <c:pt idx="44">
                  <c:v>0.41183999999999998</c:v>
                </c:pt>
                <c:pt idx="45">
                  <c:v>0.35099999999999992</c:v>
                </c:pt>
                <c:pt idx="46">
                  <c:v>0.28703999999999985</c:v>
                </c:pt>
                <c:pt idx="47">
                  <c:v>0.21996000000000018</c:v>
                </c:pt>
                <c:pt idx="48">
                  <c:v>0.14976000000000012</c:v>
                </c:pt>
                <c:pt idx="49">
                  <c:v>7.6440000000000063E-2</c:v>
                </c:pt>
                <c:pt idx="5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ϕ(x)^2</c:v>
                </c:pt>
              </c:strCache>
            </c:strRef>
          </c:tx>
          <c:marker>
            <c:symbol val="none"/>
          </c:marker>
          <c:val>
            <c:numRef>
              <c:f>Лист1!$D$2:$D$52</c:f>
              <c:numCache>
                <c:formatCode>General</c:formatCode>
                <c:ptCount val="51"/>
                <c:pt idx="0">
                  <c:v>0</c:v>
                </c:pt>
                <c:pt idx="1">
                  <c:v>0.27532801295999998</c:v>
                </c:pt>
                <c:pt idx="2">
                  <c:v>0.49659457536000001</c:v>
                </c:pt>
                <c:pt idx="3">
                  <c:v>0.66915263375999989</c:v>
                </c:pt>
                <c:pt idx="4">
                  <c:v>0.79812734975999999</c:v>
                </c:pt>
                <c:pt idx="5">
                  <c:v>0.88841610000000004</c:v>
                </c:pt>
                <c:pt idx="6">
                  <c:v>0.94468847615999996</c:v>
                </c:pt>
                <c:pt idx="7">
                  <c:v>0.97138628496000012</c:v>
                </c:pt>
                <c:pt idx="8">
                  <c:v>0.97272354815999995</c:v>
                </c:pt>
                <c:pt idx="9">
                  <c:v>0.95268650255999987</c:v>
                </c:pt>
                <c:pt idx="10">
                  <c:v>0.91503359999999978</c:v>
                </c:pt>
                <c:pt idx="11">
                  <c:v>0.86329550735999983</c:v>
                </c:pt>
                <c:pt idx="12">
                  <c:v>0.80077510655999995</c:v>
                </c:pt>
                <c:pt idx="13">
                  <c:v>0.73054749456000001</c:v>
                </c:pt>
                <c:pt idx="14">
                  <c:v>0.65545998335999989</c:v>
                </c:pt>
                <c:pt idx="15">
                  <c:v>0.57813210000000015</c:v>
                </c:pt>
                <c:pt idx="16">
                  <c:v>0.50095558656000017</c:v>
                </c:pt>
                <c:pt idx="17">
                  <c:v>0.42609440016000016</c:v>
                </c:pt>
                <c:pt idx="18">
                  <c:v>0.35548471296000023</c:v>
                </c:pt>
                <c:pt idx="19">
                  <c:v>0.29083491216000001</c:v>
                </c:pt>
                <c:pt idx="20">
                  <c:v>0.23362560000000021</c:v>
                </c:pt>
                <c:pt idx="21">
                  <c:v>0.18510959375999961</c:v>
                </c:pt>
                <c:pt idx="22">
                  <c:v>0.14631192575999985</c:v>
                </c:pt>
                <c:pt idx="23">
                  <c:v>0.11802984335999976</c:v>
                </c:pt>
                <c:pt idx="24">
                  <c:v>0.1008328089600001</c:v>
                </c:pt>
                <c:pt idx="25">
                  <c:v>9.5062500000000077E-2</c:v>
                </c:pt>
                <c:pt idx="26">
                  <c:v>0.1008328089600001</c:v>
                </c:pt>
                <c:pt idx="27">
                  <c:v>0.11802984336000057</c:v>
                </c:pt>
                <c:pt idx="28">
                  <c:v>0.14631192576000027</c:v>
                </c:pt>
                <c:pt idx="29">
                  <c:v>0.18510959375999961</c:v>
                </c:pt>
                <c:pt idx="30">
                  <c:v>0.23362560000000021</c:v>
                </c:pt>
                <c:pt idx="31">
                  <c:v>0.29083491215999963</c:v>
                </c:pt>
                <c:pt idx="32">
                  <c:v>0.35548471296000023</c:v>
                </c:pt>
                <c:pt idx="33">
                  <c:v>0.4260944001600005</c:v>
                </c:pt>
                <c:pt idx="34">
                  <c:v>0.50095558656000017</c:v>
                </c:pt>
                <c:pt idx="35">
                  <c:v>0.57813209999999982</c:v>
                </c:pt>
                <c:pt idx="36">
                  <c:v>0.65545998335999989</c:v>
                </c:pt>
                <c:pt idx="37">
                  <c:v>0.73054749456000001</c:v>
                </c:pt>
                <c:pt idx="38">
                  <c:v>0.80077510655999995</c:v>
                </c:pt>
                <c:pt idx="39">
                  <c:v>0.86329550736000016</c:v>
                </c:pt>
                <c:pt idx="40">
                  <c:v>0.9150336</c:v>
                </c:pt>
                <c:pt idx="41">
                  <c:v>0.95268650255999987</c:v>
                </c:pt>
                <c:pt idx="42">
                  <c:v>0.97272354815999995</c:v>
                </c:pt>
                <c:pt idx="43">
                  <c:v>0.97138628496000012</c:v>
                </c:pt>
                <c:pt idx="44">
                  <c:v>0.94468847615999996</c:v>
                </c:pt>
                <c:pt idx="45">
                  <c:v>0.88841609999999971</c:v>
                </c:pt>
                <c:pt idx="46">
                  <c:v>0.79812734975999966</c:v>
                </c:pt>
                <c:pt idx="47">
                  <c:v>0.66915263376000045</c:v>
                </c:pt>
                <c:pt idx="48">
                  <c:v>0.49659457536000035</c:v>
                </c:pt>
                <c:pt idx="49">
                  <c:v>0.2753280129600002</c:v>
                </c:pt>
                <c:pt idx="5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ϕ(x)^3</c:v>
                </c:pt>
              </c:strCache>
            </c:strRef>
          </c:tx>
          <c:marker>
            <c:symbol val="none"/>
          </c:marker>
          <c:val>
            <c:numRef>
              <c:f>Лист1!$E$2:$E$52</c:f>
              <c:numCache>
                <c:formatCode>0.00</c:formatCode>
                <c:ptCount val="51"/>
                <c:pt idx="0">
                  <c:v>0</c:v>
                </c:pt>
                <c:pt idx="1">
                  <c:v>0.77813774313404238</c:v>
                </c:pt>
                <c:pt idx="2">
                  <c:v>0.97495477202378289</c:v>
                </c:pt>
                <c:pt idx="3">
                  <c:v>0.86341080731901587</c:v>
                </c:pt>
                <c:pt idx="4">
                  <c:v>0.6283683249678067</c:v>
                </c:pt>
                <c:pt idx="5">
                  <c:v>0.38661843971708082</c:v>
                </c:pt>
                <c:pt idx="6">
                  <c:v>0.20378342076493888</c:v>
                </c:pt>
                <c:pt idx="7">
                  <c:v>0.10840038437127728</c:v>
                </c:pt>
                <c:pt idx="8">
                  <c:v>0.10347654335857881</c:v>
                </c:pt>
                <c:pt idx="9">
                  <c:v>0.17579222855998139</c:v>
                </c:pt>
                <c:pt idx="10">
                  <c:v>0.30321373239705673</c:v>
                </c:pt>
                <c:pt idx="11">
                  <c:v>0.46026385989495722</c:v>
                </c:pt>
                <c:pt idx="12">
                  <c:v>0.62218390756790065</c:v>
                </c:pt>
                <c:pt idx="13">
                  <c:v>0.76770662573321646</c:v>
                </c:pt>
                <c:pt idx="14">
                  <c:v>0.88074555493746343</c:v>
                </c:pt>
                <c:pt idx="15">
                  <c:v>0.95119196230340097</c:v>
                </c:pt>
                <c:pt idx="16">
                  <c:v>0.97499643873187269</c:v>
                </c:pt>
                <c:pt idx="17">
                  <c:v>0.9536980530179302</c:v>
                </c:pt>
                <c:pt idx="18">
                  <c:v>0.89354979406581114</c:v>
                </c:pt>
                <c:pt idx="19">
                  <c:v>0.80437486751265186</c:v>
                </c:pt>
                <c:pt idx="20">
                  <c:v>0.6982742481960964</c:v>
                </c:pt>
                <c:pt idx="21">
                  <c:v>0.58829172502622928</c:v>
                </c:pt>
                <c:pt idx="22">
                  <c:v>0.48712850994756057</c:v>
                </c:pt>
                <c:pt idx="23">
                  <c:v>0.40598531780201336</c:v>
                </c:pt>
                <c:pt idx="24">
                  <c:v>0.35359565902922124</c:v>
                </c:pt>
                <c:pt idx="25">
                  <c:v>0.33549992226562525</c:v>
                </c:pt>
                <c:pt idx="26">
                  <c:v>0.35359565902922124</c:v>
                </c:pt>
                <c:pt idx="27">
                  <c:v>0.40598531780201574</c:v>
                </c:pt>
                <c:pt idx="28">
                  <c:v>0.48712850994756174</c:v>
                </c:pt>
                <c:pt idx="29">
                  <c:v>0.58829172502622928</c:v>
                </c:pt>
                <c:pt idx="30">
                  <c:v>0.6982742481960964</c:v>
                </c:pt>
                <c:pt idx="31">
                  <c:v>0.80437486751265119</c:v>
                </c:pt>
                <c:pt idx="32">
                  <c:v>0.89354979406581114</c:v>
                </c:pt>
                <c:pt idx="33">
                  <c:v>0.95369805301793065</c:v>
                </c:pt>
                <c:pt idx="34">
                  <c:v>0.97499643873187269</c:v>
                </c:pt>
                <c:pt idx="35">
                  <c:v>0.95119196230340108</c:v>
                </c:pt>
                <c:pt idx="36">
                  <c:v>0.88074555493746343</c:v>
                </c:pt>
                <c:pt idx="37">
                  <c:v>0.76770662573321646</c:v>
                </c:pt>
                <c:pt idx="38">
                  <c:v>0.62218390756790065</c:v>
                </c:pt>
                <c:pt idx="39">
                  <c:v>0.46026385989495627</c:v>
                </c:pt>
                <c:pt idx="40">
                  <c:v>0.30321373239705601</c:v>
                </c:pt>
                <c:pt idx="41">
                  <c:v>0.17579222855998139</c:v>
                </c:pt>
                <c:pt idx="42">
                  <c:v>0.10347654335857881</c:v>
                </c:pt>
                <c:pt idx="43">
                  <c:v>0.10840038437127728</c:v>
                </c:pt>
                <c:pt idx="44">
                  <c:v>0.20378342076493888</c:v>
                </c:pt>
                <c:pt idx="45">
                  <c:v>0.38661843971708187</c:v>
                </c:pt>
                <c:pt idx="46">
                  <c:v>0.62836832496780737</c:v>
                </c:pt>
                <c:pt idx="47">
                  <c:v>0.86341080731901509</c:v>
                </c:pt>
                <c:pt idx="48">
                  <c:v>0.97495477202378311</c:v>
                </c:pt>
                <c:pt idx="49">
                  <c:v>0.77813774313404271</c:v>
                </c:pt>
                <c:pt idx="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15040"/>
        <c:axId val="181468160"/>
      </c:lineChart>
      <c:catAx>
        <c:axId val="54615040"/>
        <c:scaling>
          <c:orientation val="minMax"/>
        </c:scaling>
        <c:delete val="0"/>
        <c:axPos val="b"/>
        <c:majorTickMark val="out"/>
        <c:minorTickMark val="none"/>
        <c:tickLblPos val="nextTo"/>
        <c:crossAx val="181468160"/>
        <c:crosses val="autoZero"/>
        <c:auto val="1"/>
        <c:lblAlgn val="ctr"/>
        <c:lblOffset val="100"/>
        <c:noMultiLvlLbl val="0"/>
      </c:catAx>
      <c:valAx>
        <c:axId val="181468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150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2022-09-15T15:14:00Z</dcterms:created>
  <dcterms:modified xsi:type="dcterms:W3CDTF">2022-09-15T15:34:00Z</dcterms:modified>
</cp:coreProperties>
</file>