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line="360" w:lineRule="auto"/>
        <w:jc w:val="center"/>
      </w:pPr>
      <w:r>
        <w:rPr>
          <w:rFonts w:ascii="Times New Roman" w:hAnsi="Times New Roman"/>
        </w:rPr>
        <w:t>Supplementary Information for "Readout costs decide whether quantum computers can speed up stochastic simulation of gene networks"</w:t>
      </w:r>
    </w:p>
    <w:p>
      <w:pPr>
        <w:spacing w:line="360" w:lineRule="auto"/>
        <w:jc w:val="center"/>
      </w:pPr>
      <w:r>
        <w:rPr>
          <w:i/>
        </w:rPr>
        <w:t>Aarush Das Bansiwal</w:t>
      </w:r>
      <w:r>
        <w:rPr>
          <w:i/>
        </w:rPr>
        <w:t xml:space="preserve">* </w:t>
      </w:r>
      <w:r>
        <w:rPr>
          <w:i/>
          <w:vertAlign w:val="superscript"/>
        </w:rPr>
        <w:t>a</w:t>
      </w:r>
    </w:p>
    <w:p>
      <w:pPr>
        <w:spacing w:line="360" w:lineRule="auto"/>
        <w:jc w:val="center"/>
      </w:pPr>
      <w:r>
        <w:rPr>
          <w:i/>
          <w:vertAlign w:val="superscript"/>
        </w:rPr>
        <w:t>a</w:t>
      </w:r>
      <w:r>
        <w:rPr>
          <w:i/>
        </w:rPr>
        <w:t xml:space="preserve"> Indian Institute of Information Technology, Nagpur, Off Adilabad - Nagpur Rd, Waranga, Maharashtra 441108</w:t>
      </w:r>
    </w:p>
    <w:p>
      <w:pPr>
        <w:spacing w:line="360" w:lineRule="auto"/>
        <w:jc w:val="center"/>
      </w:pPr>
      <w:r>
        <w:rPr>
          <w:i/>
        </w:rPr>
        <w:t>* Corresponding author. E-mail address: db.aarush@gmail.com</w:t>
      </w:r>
    </w:p>
    <w:p>
      <w:pPr>
        <w:spacing w:after="200" w:line="360" w:lineRule="auto"/>
        <w:jc w:val="both"/>
      </w:pPr>
      <w:r>
        <w:t>This document gives the literature search and coding (Section S1), the proof of the readout barrier (Section S2), the models and the swap-test example (Section S3), the certificates for the weighted encoding (Section S4), the resource counts (Section S5) and the layout of the code (Section S6). Equations, tables and statements are numbered with the prefix S. Equation and table numbers without the prefix refer to the main text.</w:t>
      </w:r>
    </w:p>
    <w:p>
      <w:pPr>
        <w:pStyle w:val="Heading1"/>
        <w:spacing w:after="120" w:line="360" w:lineRule="auto"/>
      </w:pPr>
      <w:r>
        <w:rPr>
          <w:rFonts w:ascii="Times New Roman" w:hAnsi="Times New Roman"/>
        </w:rPr>
        <w:t>S1. Literature search and coding</w:t>
      </w:r>
    </w:p>
    <w:p>
      <w:pPr>
        <w:pStyle w:val="Heading2"/>
        <w:spacing w:before="480" w:after="120" w:line="360" w:lineRule="auto"/>
      </w:pPr>
      <w:r>
        <w:rPr>
          <w:rFonts w:ascii="Times New Roman" w:hAnsi="Times New Roman"/>
        </w:rPr>
        <w:t>S1.1 Search and screening</w:t>
      </w:r>
    </w:p>
    <w:p>
      <w:pPr>
        <w:spacing w:after="200" w:line="360" w:lineRule="auto"/>
        <w:jc w:val="both"/>
      </w:pPr>
      <w:r>
        <w:t>We ran three literature searches of OpenAlex, Semantic Scholar and arXiv. The searches used 15 core queries from 2023, 18 queries on specific findings and 10 queries on the framing of the field, and were last run on 5 October 2026. They returned 2,335 records. We added every work already cited in our own study of the problem. A record went on to manual screening if its title contained the word "quantum" and a term for a stochastic process, such as master, Fokker, Kolmogorov, stochastic, Markov, diffusion or density. This left 176 records, which were screened by hand together with the added works.</w:t>
      </w:r>
    </w:p>
    <w:p>
      <w:pPr>
        <w:spacing w:after="200" w:line="360" w:lineRule="auto"/>
        <w:jc w:val="both"/>
      </w:pPr>
      <w:r>
        <w:t>A work was included if it met three criteria.</w:t>
      </w:r>
    </w:p>
    <w:p>
      <w:pPr>
        <w:spacing w:after="200" w:line="360" w:lineRule="auto"/>
        <w:jc w:val="both"/>
      </w:pPr>
      <w:r>
        <w:t>(I1) It gives a quantum algorithm whose output is the law of a classical stochastic process, or an observable of that law.</w:t>
      </w:r>
    </w:p>
    <w:p>
      <w:pPr>
        <w:spacing w:after="200" w:line="360" w:lineRule="auto"/>
        <w:jc w:val="both"/>
      </w:pPr>
      <w:r>
        <w:t xml:space="preserve">(I2) The law is stored in the amplitudes of a pure state, proportional to </w:t>
      </w:r>
      <w:r>
        <w:rPr>
          <w:i/>
        </w:rPr>
        <w:t>p</w:t>
      </w:r>
      <w:r>
        <w:t xml:space="preserve">, to </w:t>
      </w:r>
      <m:oMath>
        <m:rad>
          <m:radPr>
            <m:degHide m:val="on"/>
          </m:radPr>
          <m:deg/>
          <m:e>
            <m:r>
              <m:t>p</m:t>
            </m:r>
          </m:e>
        </m:rad>
      </m:oMath>
      <w:r>
        <w:t xml:space="preserve"> or to a weighted variant.</w:t>
      </w:r>
    </w:p>
    <w:p>
      <w:pPr>
        <w:spacing w:after="200" w:line="360" w:lineRule="auto"/>
        <w:jc w:val="both"/>
      </w:pPr>
      <w:r>
        <w:t>(I3) It states a complexity, speedup or resource claim.</w:t>
      </w:r>
    </w:p>
    <w:p>
      <w:pPr>
        <w:spacing w:after="200" w:line="360" w:lineRule="auto"/>
        <w:jc w:val="both"/>
      </w:pPr>
      <w:r>
        <w:t>Works that sample trajectories or embed the law in a density matrix do not meet (I2). We list them separately as baselines, because the main text compares against them.</w:t>
      </w:r>
    </w:p>
    <w:p>
      <w:pPr>
        <w:pStyle w:val="Heading2"/>
        <w:spacing w:before="480" w:after="120" w:line="360" w:lineRule="auto"/>
      </w:pPr>
      <w:r>
        <w:rPr>
          <w:rFonts w:ascii="Times New Roman" w:hAnsi="Times New Roman"/>
        </w:rPr>
        <w:t>S1.2 Coding and verdicts</w:t>
      </w:r>
    </w:p>
    <w:p>
      <w:pPr>
        <w:spacing w:after="200" w:line="360" w:lineRule="auto"/>
        <w:jc w:val="both"/>
      </w:pPr>
      <w:r>
        <w:t xml:space="preserve">Each included work was coded from its full text. We recorded the encoding, the readout, whether the readout cost enters the stated complexity, the claim and its scaling variable, and whether the readout lies in the class </w:t>
      </w:r>
      <m:oMath>
        <m:r>
          <m:rPr>
            <m:scr m:val="script"/>
            <m:sty m:val="i"/>
          </m:rPr>
          <m:t>C</m:t>
        </m:r>
      </m:oMath>
      <w:r>
        <w:t xml:space="preserve"> of Section S2. Each statement was recorded with its location in the paper. The readouts were coded as R1 (an overlap or swap test against a state that does not depend on </w:t>
      </w:r>
      <w:r>
        <w:rPr>
          <w:i/>
        </w:rPr>
        <w:t>p</w:t>
      </w:r>
      <w:r>
        <w:t>), R2 (normalization followed by such an overlap), R3 (sampling in the computational basis, or tomography), R4 (amplitude estimation of chosen observables) and R5 (other readouts, described in Table S1). Each work then received one of three verdicts.</w:t>
      </w:r>
    </w:p>
    <w:p>
      <w:pPr>
        <w:spacing w:after="200" w:line="360" w:lineRule="auto"/>
        <w:jc w:val="both"/>
      </w:pPr>
      <w:r>
        <w:rPr>
          <w:b/>
        </w:rPr>
        <w:t>Accounted.</w:t>
      </w:r>
      <w:r>
        <w:t xml:space="preserve"> The readout cost is counted, or the encoding removes it by a proven argument.</w:t>
      </w:r>
    </w:p>
    <w:p>
      <w:pPr>
        <w:spacing w:after="200" w:line="360" w:lineRule="auto"/>
        <w:jc w:val="both"/>
      </w:pPr>
      <w:r>
        <w:rPr>
          <w:b/>
        </w:rPr>
        <w:t>Omitted, bounded.</w:t>
      </w:r>
      <w:r>
        <w:t xml:space="preserve"> The readout cost is not counted, but in the work's own setting the omitted factor is at most 10 and does not grow with the dimension the claim refers to.</w:t>
      </w:r>
    </w:p>
    <w:p>
      <w:pPr>
        <w:spacing w:after="200" w:line="360" w:lineRule="auto"/>
        <w:jc w:val="both"/>
      </w:pPr>
      <w:r>
        <w:rPr>
          <w:b/>
        </w:rPr>
        <w:t>Omitted, growing.</w:t>
      </w:r>
      <w:r>
        <w:t xml:space="preserve"> The readout cost is not counted, and the omitted factor grows with the dimension or species count the claim refers to.</w:t>
      </w:r>
    </w:p>
    <w:p>
      <w:pPr>
        <w:spacing w:after="200" w:line="360" w:lineRule="auto"/>
        <w:jc w:val="both"/>
      </w:pPr>
      <w:r>
        <w:t>A verdict describes how the readout is treated. It is not a judgement of the overall quality of a work. Table S1 gives the coding, and Table S2 the works that were examined in full and excluded.</w:t>
      </w:r>
    </w:p>
    <w:p>
      <w:pPr>
        <w:keepNext/>
        <w:keepLines/>
        <w:spacing w:before="480" w:line="360" w:lineRule="auto"/>
        <w:jc w:val="center"/>
      </w:pPr>
      <w:r>
        <w:rPr>
          <w:b/>
        </w:rPr>
        <w:t>Table S1. Coding of the 14 included works. Readout codes are defined in Section S1.2. Quotations are short and are given with their location in the paper.</w:t>
      </w:r>
    </w:p>
    <w:tbl>
      <w:tblPr>
        <w:tblStyle w:val="PlainTable2"/>
        <w:tblW w:type="auto" w:w="0"/>
        <w:tblLayout w:type="fixed"/>
        <w:tblLook w:firstColumn="1" w:firstRow="1" w:lastColumn="0" w:lastRow="0" w:noHBand="0" w:noVBand="1" w:val="04A0"/>
        <w:tblLayout w:type="fixed"/>
      </w:tblPr>
      <w:tblGrid>
        <w:gridCol w:w="1350"/>
        <w:gridCol w:w="1350"/>
        <w:gridCol w:w="1900"/>
        <w:gridCol w:w="700"/>
        <w:gridCol w:w="1800"/>
        <w:gridCol w:w="1100"/>
        <w:gridCol w:w="1160"/>
      </w:tblGrid>
      <w:tr>
        <w:trPr>
          <w:tblHeader/>
          <w:cantSplit/>
        </w:trPr>
        <w:tc>
          <w:tcPr>
            <w:tcW w:type="dxa" w:w="1350"/>
          </w:tcPr>
          <w:p>
            <w:r>
              <w:rPr>
                <w:sz w:val="20"/>
              </w:rPr>
              <w:t>Work</w:t>
            </w:r>
          </w:p>
        </w:tc>
        <w:tc>
          <w:tcPr>
            <w:tcW w:type="dxa" w:w="1350"/>
          </w:tcPr>
          <w:p>
            <w:r>
              <w:rPr>
                <w:sz w:val="20"/>
              </w:rPr>
              <w:t>Encoding</w:t>
            </w:r>
          </w:p>
        </w:tc>
        <w:tc>
          <w:tcPr>
            <w:tcW w:type="dxa" w:w="1900"/>
          </w:tcPr>
          <w:p>
            <w:r>
              <w:rPr>
                <w:sz w:val="20"/>
              </w:rPr>
              <w:t>Readout</w:t>
            </w:r>
          </w:p>
        </w:tc>
        <w:tc>
          <w:tcPr>
            <w:tcW w:type="dxa" w:w="700"/>
          </w:tcPr>
          <w:p>
            <w:r>
              <w:rPr>
                <w:sz w:val="20"/>
              </w:rPr>
              <w:t>Cost counted</w:t>
            </w:r>
          </w:p>
        </w:tc>
        <w:tc>
          <w:tcPr>
            <w:tcW w:type="dxa" w:w="1800"/>
          </w:tcPr>
          <w:p>
            <w:r>
              <w:rPr>
                <w:sz w:val="20"/>
              </w:rPr>
              <w:t>Claim (quoted)</w:t>
            </w:r>
          </w:p>
        </w:tc>
        <w:tc>
          <w:tcPr>
            <w:tcW w:type="dxa" w:w="1100"/>
          </w:tcPr>
          <w:p>
            <w:r>
              <w:rPr>
                <w:sz w:val="20"/>
              </w:rPr>
              <w:t>Verdict</w:t>
            </w:r>
          </w:p>
        </w:tc>
        <w:tc>
          <w:tcPr>
            <w:tcW w:type="dxa" w:w="1160"/>
          </w:tcPr>
          <w:p>
            <w:r>
              <w:rPr>
                <w:sz w:val="20"/>
              </w:rPr>
              <w:t>Location</w:t>
            </w:r>
          </w:p>
        </w:tc>
      </w:tr>
      <w:tr>
        <w:trPr>
          <w:cantSplit/>
        </w:trPr>
        <w:tc>
          <w:tcPr>
            <w:tcW w:type="dxa" w:w="1350"/>
          </w:tcPr>
          <w:p>
            <w:r>
              <w:rPr>
                <w:sz w:val="20"/>
              </w:rPr>
              <w:t>Kabengele et al. [18]</w:t>
            </w:r>
          </w:p>
        </w:tc>
        <w:tc>
          <w:tcPr>
            <w:tcW w:type="dxa" w:w="1350"/>
          </w:tcPr>
          <w:p>
            <m:oMath>
              <m:r>
                <m:t>p/‖p‖</m:t>
              </m:r>
            </m:oMath>
            <w:r>
              <w:rPr>
                <w:sz w:val="20"/>
              </w:rPr>
              <w:t xml:space="preserve"> (zero mode of a Hermitian dilation)</w:t>
            </w:r>
          </w:p>
        </w:tc>
        <w:tc>
          <w:tcPr>
            <w:tcW w:type="dxa" w:w="1900"/>
          </w:tcPr>
          <w:p>
            <w:r>
              <w:rPr>
                <w:sz w:val="20"/>
              </w:rPr>
              <w:t>R3: eigenvector components compared directly (2 to 4 qubits)</w:t>
            </w:r>
          </w:p>
        </w:tc>
        <w:tc>
          <w:tcPr>
            <w:tcW w:type="dxa" w:w="700"/>
          </w:tcPr>
          <w:p>
            <w:r>
              <w:rPr>
                <w:sz w:val="20"/>
              </w:rPr>
              <w:t>no</w:t>
            </w:r>
          </w:p>
        </w:tc>
        <w:tc>
          <w:tcPr>
            <w:tcW w:type="dxa" w:w="1800"/>
          </w:tcPr>
          <w:p>
            <w:r>
              <w:rPr>
                <w:sz w:val="20"/>
              </w:rPr>
              <w:t>classical cost 'exponentially costly'; 'at least 5 qubits' for an exact solution</w:t>
            </w:r>
          </w:p>
        </w:tc>
        <w:tc>
          <w:tcPr>
            <w:tcW w:type="dxa" w:w="1100"/>
          </w:tcPr>
          <w:p>
            <w:r>
              <w:rPr>
                <w:sz w:val="20"/>
              </w:rPr>
              <w:t>omitted, bounded</w:t>
            </w:r>
          </w:p>
        </w:tc>
        <w:tc>
          <w:tcPr>
            <w:tcW w:type="dxa" w:w="1160"/>
          </w:tcPr>
          <w:p>
            <w:r>
              <w:rPr>
                <w:sz w:val="20"/>
              </w:rPr>
              <w:t>abstract; Sec. II-III</w:t>
            </w:r>
          </w:p>
        </w:tc>
      </w:tr>
      <w:tr>
        <w:trPr>
          <w:cantSplit/>
        </w:trPr>
        <w:tc>
          <w:tcPr>
            <w:tcW w:type="dxa" w:w="1350"/>
          </w:tcPr>
          <w:p>
            <w:r>
              <w:rPr>
                <w:sz w:val="20"/>
              </w:rPr>
              <w:t>Yao [19]</w:t>
            </w:r>
          </w:p>
        </w:tc>
        <w:tc>
          <w:tcPr>
            <w:tcW w:type="dxa" w:w="1350"/>
          </w:tcPr>
          <w:p>
            <m:oMath>
              <m:r>
                <m:t>p/‖p‖</m:t>
              </m:r>
            </m:oMath>
            <w:r>
              <w:rPr>
                <w:sz w:val="20"/>
              </w:rPr>
              <w:t xml:space="preserve"> (Eq. 17)</w:t>
            </w:r>
          </w:p>
        </w:tc>
        <w:tc>
          <w:tcPr>
            <w:tcW w:type="dxa" w:w="1900"/>
          </w:tcPr>
          <w:p>
            <w:r>
              <w:rPr>
                <w:sz w:val="20"/>
              </w:rPr>
              <w:t>R1: normalization from the all-zeros probability (Eqs. 19–20)</w:t>
            </w:r>
          </w:p>
        </w:tc>
        <w:tc>
          <w:tcPr>
            <w:tcW w:type="dxa" w:w="700"/>
          </w:tcPr>
          <w:p>
            <w:r>
              <w:rPr>
                <w:sz w:val="20"/>
              </w:rPr>
              <w:t>no</w:t>
            </w:r>
          </w:p>
        </w:tc>
        <w:tc>
          <w:tcPr>
            <w:tcW w:type="dxa" w:w="1800"/>
          </w:tcPr>
          <w:p>
            <w:r>
              <w:rPr>
                <w:sz w:val="20"/>
              </w:rPr>
              <w:t>'eliminating the requirement for exponential classical post-processing'</w:t>
            </w:r>
          </w:p>
        </w:tc>
        <w:tc>
          <w:tcPr>
            <w:tcW w:type="dxa" w:w="1100"/>
          </w:tcPr>
          <w:p>
            <w:r>
              <w:rPr>
                <w:sz w:val="20"/>
              </w:rPr>
              <w:t>omitted, growing</w:t>
            </w:r>
          </w:p>
        </w:tc>
        <w:tc>
          <w:tcPr>
            <w:tcW w:type="dxa" w:w="1160"/>
          </w:tcPr>
          <w:p>
            <w:r>
              <w:rPr>
                <w:sz w:val="20"/>
              </w:rPr>
              <w:t>Sec. III C, Eqs. 17-20; Sec. V</w:t>
            </w:r>
          </w:p>
        </w:tc>
      </w:tr>
      <w:tr>
        <w:trPr>
          <w:cantSplit/>
        </w:trPr>
        <w:tc>
          <w:tcPr>
            <w:tcW w:type="dxa" w:w="1350"/>
          </w:tcPr>
          <w:p>
            <w:r>
              <w:rPr>
                <w:sz w:val="20"/>
              </w:rPr>
              <w:t>Jin, Liu and Yu [20]</w:t>
            </w:r>
          </w:p>
        </w:tc>
        <w:tc>
          <w:tcPr>
            <w:tcW w:type="dxa" w:w="1350"/>
          </w:tcPr>
          <w:p>
            <w:r>
              <w:rPr>
                <w:sz w:val="20"/>
              </w:rPr>
              <w:t>weighted by the square root of the stationary law</w:t>
            </w:r>
          </w:p>
        </w:tc>
        <w:tc>
          <w:tcPr>
            <w:tcW w:type="dxa" w:w="1900"/>
          </w:tcPr>
          <w:p>
            <w:r>
              <w:rPr>
                <w:sz w:val="20"/>
              </w:rPr>
              <w:t>R3: measurement in the computational basis and reconstruction; post-selection probability stated</w:t>
            </w:r>
          </w:p>
        </w:tc>
        <w:tc>
          <w:tcPr>
            <w:tcW w:type="dxa" w:w="700"/>
          </w:tcPr>
          <w:p>
            <w:r>
              <w:rPr>
                <w:sz w:val="20"/>
              </w:rPr>
              <w:t>yes</w:t>
            </w:r>
          </w:p>
        </w:tc>
        <w:tc>
          <w:tcPr>
            <w:tcW w:type="dxa" w:w="1800"/>
          </w:tcPr>
          <w:p>
            <w:r>
              <w:rPr>
                <w:sz w:val="20"/>
              </w:rPr>
              <w:t>complexity of the Schrödingerised dynamics</w:t>
            </w:r>
          </w:p>
        </w:tc>
        <w:tc>
          <w:tcPr>
            <w:tcW w:type="dxa" w:w="1100"/>
          </w:tcPr>
          <w:p>
            <w:r>
              <w:rPr>
                <w:sz w:val="20"/>
              </w:rPr>
              <w:t>accounted</w:t>
            </w:r>
          </w:p>
        </w:tc>
        <w:tc>
          <w:tcPr>
            <w:tcW w:type="dxa" w:w="1160"/>
          </w:tcPr>
          <w:p>
            <w:r>
              <w:rPr>
                <w:sz w:val="20"/>
              </w:rPr>
              <w:t>Sec. 2, Eq. 2.7; Sec. 3, Remark 3.5</w:t>
            </w:r>
          </w:p>
        </w:tc>
      </w:tr>
      <w:tr>
        <w:trPr>
          <w:cantSplit/>
        </w:trPr>
        <w:tc>
          <w:tcPr>
            <w:tcW w:type="dxa" w:w="1350"/>
          </w:tcPr>
          <w:p>
            <w:r>
              <w:rPr>
                <w:sz w:val="20"/>
              </w:rPr>
              <w:t>Tennie and Magri [21]</w:t>
            </w:r>
          </w:p>
        </w:tc>
        <w:tc>
          <w:tcPr>
            <w:tcW w:type="dxa" w:w="1350"/>
          </w:tcPr>
          <w:p>
            <m:oMath>
              <m:r>
                <m:t>p/‖p‖</m:t>
              </m:r>
            </m:oMath>
          </w:p>
        </w:tc>
        <w:tc>
          <w:tcPr>
            <w:tcW w:type="dxa" w:w="1900"/>
          </w:tcPr>
          <w:p>
            <w:r>
              <w:rPr>
                <w:sz w:val="20"/>
              </w:rPr>
              <w:t>post-selection; the decay of the 2-norm against the conserved 1-norm is noted</w:t>
            </w:r>
          </w:p>
        </w:tc>
        <w:tc>
          <w:tcPr>
            <w:tcW w:type="dxa" w:w="700"/>
          </w:tcPr>
          <w:p>
            <w:r>
              <w:rPr>
                <w:sz w:val="20"/>
              </w:rPr>
              <w:t>partly</w:t>
            </w:r>
          </w:p>
        </w:tc>
        <w:tc>
          <w:tcPr>
            <w:tcW w:type="dxa" w:w="1800"/>
          </w:tcPr>
          <w:p>
            <w:r>
              <w:rPr>
                <w:sz w:val="20"/>
              </w:rPr>
              <w:t>'potential to achieve' a scalable advantage; emulations only</w:t>
            </w:r>
          </w:p>
        </w:tc>
        <w:tc>
          <w:tcPr>
            <w:tcW w:type="dxa" w:w="1100"/>
          </w:tcPr>
          <w:p>
            <w:r>
              <w:rPr>
                <w:sz w:val="20"/>
              </w:rPr>
              <w:t>omitted, bounded</w:t>
            </w:r>
          </w:p>
        </w:tc>
        <w:tc>
          <w:tcPr>
            <w:tcW w:type="dxa" w:w="1160"/>
          </w:tcPr>
          <w:p>
            <w:r>
              <w:rPr>
                <w:sz w:val="20"/>
              </w:rPr>
              <w:t>abstract; Sec. I; Sec. III</w:t>
            </w:r>
          </w:p>
        </w:tc>
      </w:tr>
      <w:tr>
        <w:trPr>
          <w:cantSplit/>
        </w:trPr>
        <w:tc>
          <w:tcPr>
            <w:tcW w:type="dxa" w:w="1350"/>
          </w:tcPr>
          <w:p>
            <w:r>
              <w:rPr>
                <w:sz w:val="20"/>
              </w:rPr>
              <w:t>Guseynov et al. [5]</w:t>
            </w:r>
          </w:p>
        </w:tc>
        <w:tc>
          <w:tcPr>
            <w:tcW w:type="dxa" w:w="1350"/>
          </w:tcPr>
          <w:p>
            <m:oMath>
              <m:r>
                <m:t>p/‖p‖</m:t>
              </m:r>
            </m:oMath>
          </w:p>
        </w:tc>
        <w:tc>
          <w:tcPr>
            <w:tcW w:type="dxa" w:w="1900"/>
          </w:tcPr>
          <w:p>
            <w:r>
              <w:rPr>
                <w:sz w:val="20"/>
              </w:rPr>
              <w:t xml:space="preserve">R1: swap tests against the payoff state and </w:t>
            </w:r>
            <m:oMath>
              <m:r>
                <m:t>|+⟩</m:t>
              </m:r>
            </m:oMath>
            <w:r>
              <w:rPr>
                <w:sz w:val="20"/>
              </w:rPr>
              <w:t xml:space="preserve">; retrieval cost </w:t>
            </w:r>
            <w:r>
              <w:rPr>
                <w:i/>
                <w:sz w:val="20"/>
              </w:rPr>
              <w:t>O</w:t>
            </w:r>
            <w:r>
              <w:rPr>
                <w:sz w:val="20"/>
              </w:rPr>
              <w:t>(1/</w:t>
            </w:r>
            <w:r>
              <w:rPr>
                <w:i/>
                <w:sz w:val="20"/>
              </w:rPr>
              <w:t>V</w:t>
            </w:r>
            <w:r>
              <w:rPr>
                <w:sz w:val="20"/>
                <w:vertAlign w:val="subscript"/>
              </w:rPr>
              <w:t>0</w:t>
            </w:r>
            <w:r>
              <w:rPr>
                <w:sz w:val="20"/>
                <w:vertAlign w:val="superscript"/>
              </w:rPr>
              <w:t>2</w:t>
            </w:r>
            <w:r>
              <w:rPr>
                <w:sz w:val="20"/>
              </w:rPr>
              <w:t>) (Table II) and post-selection (Eq. 22)</w:t>
            </w:r>
          </w:p>
        </w:tc>
        <w:tc>
          <w:tcPr>
            <w:tcW w:type="dxa" w:w="700"/>
          </w:tcPr>
          <w:p>
            <w:r>
              <w:rPr>
                <w:sz w:val="20"/>
              </w:rPr>
              <w:t>partly</w:t>
            </w:r>
          </w:p>
        </w:tc>
        <w:tc>
          <w:tcPr>
            <w:tcW w:type="dxa" w:w="1800"/>
          </w:tcPr>
          <w:p>
            <w:r>
              <w:rPr>
                <w:sz w:val="20"/>
              </w:rPr>
              <w:t>'exponential speedups' for baskets of options, 'mitigate the curse of dimensionality'</w:t>
            </w:r>
          </w:p>
        </w:tc>
        <w:tc>
          <w:tcPr>
            <w:tcW w:type="dxa" w:w="1100"/>
          </w:tcPr>
          <w:p>
            <w:r>
              <w:rPr>
                <w:sz w:val="20"/>
              </w:rPr>
              <w:t>omitted, growing</w:t>
            </w:r>
          </w:p>
        </w:tc>
        <w:tc>
          <w:tcPr>
            <w:tcW w:type="dxa" w:w="1160"/>
          </w:tcPr>
          <w:p>
            <w:r>
              <w:rPr>
                <w:sz w:val="20"/>
              </w:rPr>
              <w:t>Sec. I; Sec. III C; Table II; Eq. 22</w:t>
            </w:r>
          </w:p>
        </w:tc>
      </w:tr>
      <w:tr>
        <w:trPr>
          <w:cantSplit/>
        </w:trPr>
        <w:tc>
          <w:tcPr>
            <w:tcW w:type="dxa" w:w="1350"/>
          </w:tcPr>
          <w:p>
            <w:r>
              <w:rPr>
                <w:sz w:val="20"/>
              </w:rPr>
              <w:t>Claudon et al. [22]</w:t>
            </w:r>
          </w:p>
        </w:tc>
        <w:tc>
          <w:tcPr>
            <w:tcW w:type="dxa" w:w="1350"/>
          </w:tcPr>
          <w:p>
            <m:oMath>
              <m:rad>
                <m:radPr>
                  <m:degHide m:val="on"/>
                </m:radPr>
                <m:deg/>
                <m:e>
                  <m:r>
                    <m:t>π</m:t>
                  </m:r>
                </m:e>
              </m:rad>
            </m:oMath>
            <w:r>
              <w:rPr>
                <w:sz w:val="20"/>
              </w:rPr>
              <w:t xml:space="preserve"> (qsample)</w:t>
            </w:r>
          </w:p>
        </w:tc>
        <w:tc>
          <w:tcPr>
            <w:tcW w:type="dxa" w:w="1900"/>
          </w:tcPr>
          <w:p>
            <w:r>
              <w:rPr>
                <w:sz w:val="20"/>
              </w:rPr>
              <w:t>R3: sampling the qsample</w:t>
            </w:r>
          </w:p>
        </w:tc>
        <w:tc>
          <w:tcPr>
            <w:tcW w:type="dxa" w:w="700"/>
          </w:tcPr>
          <w:p>
            <w:r>
              <w:rPr>
                <w:sz w:val="20"/>
              </w:rPr>
              <w:t>yes</w:t>
            </w:r>
          </w:p>
        </w:tc>
        <w:tc>
          <w:tcPr>
            <w:tcW w:type="dxa" w:w="1800"/>
          </w:tcPr>
          <w:p>
            <w:r>
              <w:rPr>
                <w:sz w:val="20"/>
              </w:rPr>
              <w:t>up-to-exponential speedup over the reversible case</w:t>
            </w:r>
          </w:p>
        </w:tc>
        <w:tc>
          <w:tcPr>
            <w:tcW w:type="dxa" w:w="1100"/>
          </w:tcPr>
          <w:p>
            <w:r>
              <w:rPr>
                <w:sz w:val="20"/>
              </w:rPr>
              <w:t>accounted</w:t>
            </w:r>
          </w:p>
        </w:tc>
        <w:tc>
          <w:tcPr>
            <w:tcW w:type="dxa" w:w="1160"/>
          </w:tcPr>
          <w:p>
            <w:r>
              <w:rPr>
                <w:sz w:val="20"/>
              </w:rPr>
              <w:t>abstract; Sec. 2</w:t>
            </w:r>
          </w:p>
        </w:tc>
      </w:tr>
      <w:tr>
        <w:trPr>
          <w:cantSplit/>
        </w:trPr>
        <w:tc>
          <w:tcPr>
            <w:tcW w:type="dxa" w:w="1350"/>
          </w:tcPr>
          <w:p>
            <w:r>
              <w:rPr>
                <w:sz w:val="20"/>
              </w:rPr>
              <w:t>Kharazi et al. [23]</w:t>
            </w:r>
          </w:p>
        </w:tc>
        <w:tc>
          <w:tcPr>
            <w:tcW w:type="dxa" w:w="1350"/>
          </w:tcPr>
          <w:p>
            <w:r>
              <w:rPr>
                <w:sz w:val="20"/>
              </w:rPr>
              <w:t>weighted by the square root of the Boltzmann law</w:t>
            </w:r>
          </w:p>
        </w:tc>
        <w:tc>
          <w:tcPr>
            <w:tcW w:type="dxa" w:w="1900"/>
          </w:tcPr>
          <w:p>
            <w:r>
              <w:rPr>
                <w:sz w:val="20"/>
              </w:rPr>
              <w:t>R1 with the exact weight: Hadamard-test overlap</w:t>
            </w:r>
          </w:p>
        </w:tc>
        <w:tc>
          <w:tcPr>
            <w:tcW w:type="dxa" w:w="700"/>
          </w:tcPr>
          <w:p>
            <w:r>
              <w:rPr>
                <w:sz w:val="20"/>
              </w:rPr>
              <w:t>yes</w:t>
            </w:r>
          </w:p>
        </w:tc>
        <w:tc>
          <w:tcPr>
            <w:tcW w:type="dxa" w:w="1800"/>
          </w:tcPr>
          <w:p>
            <w:r>
              <w:rPr>
                <w:sz w:val="20"/>
              </w:rPr>
              <w:t>provable speedups in particle number</w:t>
            </w:r>
          </w:p>
        </w:tc>
        <w:tc>
          <w:tcPr>
            <w:tcW w:type="dxa" w:w="1100"/>
          </w:tcPr>
          <w:p>
            <w:r>
              <w:rPr>
                <w:sz w:val="20"/>
              </w:rPr>
              <w:t>accounted</w:t>
            </w:r>
          </w:p>
        </w:tc>
        <w:tc>
          <w:tcPr>
            <w:tcW w:type="dxa" w:w="1160"/>
          </w:tcPr>
          <w:p>
            <w:r>
              <w:rPr>
                <w:sz w:val="20"/>
              </w:rPr>
              <w:t>Sec. III.D, Eqs. (1), (5), (28)-(32)</w:t>
            </w:r>
          </w:p>
        </w:tc>
      </w:tr>
      <w:tr>
        <w:trPr>
          <w:cantSplit/>
        </w:trPr>
        <w:tc>
          <w:tcPr>
            <w:tcW w:type="dxa" w:w="1350"/>
          </w:tcPr>
          <w:p>
            <w:r>
              <w:rPr>
                <w:sz w:val="20"/>
              </w:rPr>
              <w:t>Gnanasekaran et al. [24]</w:t>
            </w:r>
          </w:p>
        </w:tc>
        <w:tc>
          <w:tcPr>
            <w:tcW w:type="dxa" w:w="1350"/>
          </w:tcPr>
          <w:p>
            <m:oMath>
              <m:r>
                <m:t>p/‖p‖</m:t>
              </m:r>
            </m:oMath>
            <w:r>
              <w:rPr>
                <w:sz w:val="20"/>
              </w:rPr>
              <w:t>: the linear-systems solver 'produces a normalized solution state' (Thm. 4)</w:t>
            </w:r>
          </w:p>
        </w:tc>
        <w:tc>
          <w:tcPr>
            <w:tcW w:type="dxa" w:w="1900"/>
          </w:tcPr>
          <w:p>
            <w:r>
              <w:rPr>
                <w:sz w:val="20"/>
              </w:rPr>
              <w:t>none specified beyond the normalized state</w:t>
            </w:r>
          </w:p>
        </w:tc>
        <w:tc>
          <w:tcPr>
            <w:tcW w:type="dxa" w:w="700"/>
          </w:tcPr>
          <w:p>
            <w:r>
              <w:rPr>
                <w:sz w:val="20"/>
              </w:rPr>
              <w:t>no</w:t>
            </w:r>
          </w:p>
        </w:tc>
        <w:tc>
          <w:tcPr>
            <w:tcW w:type="dxa" w:w="1800"/>
          </w:tcPr>
          <w:p>
            <w:r>
              <w:rPr>
                <w:sz w:val="20"/>
              </w:rPr>
              <w:t>'exponential speed-up over traditional approaches' in dimension</w:t>
            </w:r>
          </w:p>
        </w:tc>
        <w:tc>
          <w:tcPr>
            <w:tcW w:type="dxa" w:w="1100"/>
          </w:tcPr>
          <w:p>
            <w:r>
              <w:rPr>
                <w:sz w:val="20"/>
              </w:rPr>
              <w:t>omitted, growing</w:t>
            </w:r>
          </w:p>
        </w:tc>
        <w:tc>
          <w:tcPr>
            <w:tcW w:type="dxa" w:w="1160"/>
          </w:tcPr>
          <w:p>
            <w:r>
              <w:rPr>
                <w:sz w:val="20"/>
              </w:rPr>
              <w:t>abstract; Thm. 4; Thm. 7</w:t>
            </w:r>
          </w:p>
        </w:tc>
      </w:tr>
      <w:tr>
        <w:trPr>
          <w:cantSplit/>
        </w:trPr>
        <w:tc>
          <w:tcPr>
            <w:tcW w:type="dxa" w:w="1350"/>
          </w:tcPr>
          <w:p>
            <w:r>
              <w:rPr>
                <w:sz w:val="20"/>
              </w:rPr>
              <w:t>Leng et al. [25]</w:t>
            </w:r>
          </w:p>
        </w:tc>
        <w:tc>
          <w:tcPr>
            <w:tcW w:type="dxa" w:w="1350"/>
          </w:tcPr>
          <w:p>
            <w:r>
              <w:rPr>
                <w:sz w:val="20"/>
              </w:rPr>
              <w:t>square root of the Gibbs measure</w:t>
            </w:r>
          </w:p>
        </w:tc>
        <w:tc>
          <w:tcPr>
            <w:tcW w:type="dxa" w:w="1900"/>
          </w:tcPr>
          <w:p>
            <w:r>
              <w:rPr>
                <w:sz w:val="20"/>
              </w:rPr>
              <w:t>R3: sampling</w:t>
            </w:r>
          </w:p>
        </w:tc>
        <w:tc>
          <w:tcPr>
            <w:tcW w:type="dxa" w:w="700"/>
          </w:tcPr>
          <w:p>
            <w:r>
              <w:rPr>
                <w:sz w:val="20"/>
              </w:rPr>
              <w:t>yes</w:t>
            </w:r>
          </w:p>
        </w:tc>
        <w:tc>
          <w:tcPr>
            <w:tcW w:type="dxa" w:w="1800"/>
          </w:tcPr>
          <w:p>
            <w:r>
              <w:rPr>
                <w:sz w:val="20"/>
              </w:rPr>
              <w:t>up to quartic speedup over Langevin methods</w:t>
            </w:r>
          </w:p>
        </w:tc>
        <w:tc>
          <w:tcPr>
            <w:tcW w:type="dxa" w:w="1100"/>
          </w:tcPr>
          <w:p>
            <w:r>
              <w:rPr>
                <w:sz w:val="20"/>
              </w:rPr>
              <w:t>accounted</w:t>
            </w:r>
          </w:p>
        </w:tc>
        <w:tc>
          <w:tcPr>
            <w:tcW w:type="dxa" w:w="1160"/>
          </w:tcPr>
          <w:p>
            <w:r>
              <w:rPr>
                <w:sz w:val="20"/>
              </w:rPr>
              <w:t>abstract; Sec. 2</w:t>
            </w:r>
          </w:p>
        </w:tc>
      </w:tr>
      <w:tr>
        <w:trPr>
          <w:cantSplit/>
        </w:trPr>
        <w:tc>
          <w:tcPr>
            <w:tcW w:type="dxa" w:w="1350"/>
          </w:tcPr>
          <w:p>
            <w:r>
              <w:rPr>
                <w:sz w:val="20"/>
              </w:rPr>
              <w:t>Zhang et al. [26]</w:t>
            </w:r>
          </w:p>
        </w:tc>
        <w:tc>
          <w:tcPr>
            <w:tcW w:type="dxa" w:w="1350"/>
          </w:tcPr>
          <w:p>
            <m:oMath>
              <m:r>
                <m:t>p/‖p‖</m:t>
              </m:r>
            </m:oMath>
            <w:r>
              <w:rPr>
                <w:sz w:val="20"/>
              </w:rPr>
              <w:t xml:space="preserve"> (Sec. 3.1)</w:t>
            </w:r>
          </w:p>
        </w:tc>
        <w:tc>
          <w:tcPr>
            <w:tcW w:type="dxa" w:w="1900"/>
          </w:tcPr>
          <w:p>
            <w:r>
              <w:rPr>
                <w:sz w:val="20"/>
              </w:rPr>
              <w:t xml:space="preserve">R1: Hadamard test against a state that does not depend on </w:t>
            </w:r>
            <w:r>
              <w:rPr>
                <w:i/>
                <w:sz w:val="20"/>
              </w:rPr>
              <w:t>p</w:t>
            </w:r>
            <w:r>
              <w:rPr>
                <w:sz w:val="20"/>
              </w:rPr>
              <w:t xml:space="preserve"> (Eqs. 3–4)</w:t>
            </w:r>
          </w:p>
        </w:tc>
        <w:tc>
          <w:tcPr>
            <w:tcW w:type="dxa" w:w="700"/>
          </w:tcPr>
          <w:p>
            <w:r>
              <w:rPr>
                <w:sz w:val="20"/>
              </w:rPr>
              <w:t>no</w:t>
            </w:r>
          </w:p>
        </w:tc>
        <w:tc>
          <w:tcPr>
            <w:tcW w:type="dxa" w:w="1800"/>
          </w:tcPr>
          <w:p>
            <w:r>
              <w:rPr>
                <w:sz w:val="20"/>
              </w:rPr>
              <w:t>measurement 'complexity polynomial in the logarithm of the system size ... retaining the quantum advantage'</w:t>
            </w:r>
          </w:p>
        </w:tc>
        <w:tc>
          <w:tcPr>
            <w:tcW w:type="dxa" w:w="1100"/>
          </w:tcPr>
          <w:p>
            <w:r>
              <w:rPr>
                <w:sz w:val="20"/>
              </w:rPr>
              <w:t>omitted, growing</w:t>
            </w:r>
          </w:p>
        </w:tc>
        <w:tc>
          <w:tcPr>
            <w:tcW w:type="dxa" w:w="1160"/>
          </w:tcPr>
          <w:p>
            <w:r>
              <w:rPr>
                <w:sz w:val="20"/>
              </w:rPr>
              <w:t>abstract; Sec. 3.1, Eqs. 3-4; Sec. 4.1</w:t>
            </w:r>
          </w:p>
        </w:tc>
      </w:tr>
      <w:tr>
        <w:trPr>
          <w:cantSplit/>
        </w:trPr>
        <w:tc>
          <w:tcPr>
            <w:tcW w:type="dxa" w:w="1350"/>
          </w:tcPr>
          <w:p>
            <w:r>
              <w:rPr>
                <w:sz w:val="20"/>
              </w:rPr>
              <w:t>Gopalakrishnan Meena et al. [27]</w:t>
            </w:r>
          </w:p>
        </w:tc>
        <w:tc>
          <w:tcPr>
            <w:tcW w:type="dxa" w:w="1350"/>
          </w:tcPr>
          <w:p>
            <m:oMath>
              <m:r>
                <m:t>p/‖p‖</m:t>
              </m:r>
            </m:oMath>
            <w:r>
              <w:rPr>
                <w:sz w:val="20"/>
              </w:rPr>
              <w:t xml:space="preserve"> (CME generator as a linear operator)</w:t>
            </w:r>
          </w:p>
        </w:tc>
        <w:tc>
          <w:tcPr>
            <w:tcW w:type="dxa" w:w="1900"/>
          </w:tcPr>
          <w:p>
            <w:r>
              <w:rPr>
                <w:sz w:val="20"/>
              </w:rPr>
              <w:t>not specified; 'measurement constraints' listed as a practical bottleneck</w:t>
            </w:r>
          </w:p>
        </w:tc>
        <w:tc>
          <w:tcPr>
            <w:tcW w:type="dxa" w:w="700"/>
          </w:tcPr>
          <w:p>
            <w:r>
              <w:rPr>
                <w:sz w:val="20"/>
              </w:rPr>
              <w:t>partly</w:t>
            </w:r>
          </w:p>
        </w:tc>
        <w:tc>
          <w:tcPr>
            <w:tcW w:type="dxa" w:w="1800"/>
          </w:tcPr>
          <w:p>
            <w:r>
              <w:rPr>
                <w:sz w:val="20"/>
              </w:rPr>
              <w:t>'Hamiltonian simulation-based approaches with logarithmic dependence on the effective state-space dimension'; 'exponential in N' (Table 1)</w:t>
            </w:r>
          </w:p>
        </w:tc>
        <w:tc>
          <w:tcPr>
            <w:tcW w:type="dxa" w:w="1100"/>
          </w:tcPr>
          <w:p>
            <w:r>
              <w:rPr>
                <w:sz w:val="20"/>
              </w:rPr>
              <w:t>omitted, growing</w:t>
            </w:r>
          </w:p>
        </w:tc>
        <w:tc>
          <w:tcPr>
            <w:tcW w:type="dxa" w:w="1160"/>
          </w:tcPr>
          <w:p>
            <w:r>
              <w:rPr>
                <w:sz w:val="20"/>
              </w:rPr>
              <w:t>Sec. 2.2; Table 1; Sec. 3</w:t>
            </w:r>
          </w:p>
        </w:tc>
      </w:tr>
      <w:tr>
        <w:trPr>
          <w:cantSplit/>
        </w:trPr>
        <w:tc>
          <w:tcPr>
            <w:tcW w:type="dxa" w:w="1350"/>
          </w:tcPr>
          <w:p>
            <w:r>
              <w:rPr>
                <w:sz w:val="20"/>
              </w:rPr>
              <w:t>Devereux and Datta [28]</w:t>
            </w:r>
          </w:p>
        </w:tc>
        <w:tc>
          <w:tcPr>
            <w:tcW w:type="dxa" w:w="1350"/>
          </w:tcPr>
          <w:p>
            <m:oMath>
              <m:r>
                <m:t>p/‖p‖</m:t>
              </m:r>
            </m:oMath>
            <w:r>
              <w:rPr>
                <w:sz w:val="20"/>
              </w:rPr>
              <w:t xml:space="preserve"> (Eq. 3.4)</w:t>
            </w:r>
          </w:p>
        </w:tc>
        <w:tc>
          <w:tcPr>
            <w:tcW w:type="dxa" w:w="1900"/>
          </w:tcPr>
          <w:p>
            <w:r>
              <w:rPr>
                <w:sz w:val="20"/>
              </w:rPr>
              <w:t>R5: amplitude estimation of the full distribution to additive error in the maximum norm (Eq. 3.5; Thm. 16)</w:t>
            </w:r>
          </w:p>
        </w:tc>
        <w:tc>
          <w:tcPr>
            <w:tcW w:type="dxa" w:w="700"/>
          </w:tcPr>
          <w:p>
            <w:r>
              <w:rPr>
                <w:sz w:val="20"/>
              </w:rPr>
              <w:t>yes</w:t>
            </w:r>
          </w:p>
        </w:tc>
        <w:tc>
          <w:tcPr>
            <w:tcW w:type="dxa" w:w="1800"/>
          </w:tcPr>
          <w:p>
            <w:r>
              <w:rPr>
                <w:sz w:val="20"/>
              </w:rPr>
              <w:t>quantum advantage at fixed final time for the QFT-diagonalisation method</w:t>
            </w:r>
          </w:p>
        </w:tc>
        <w:tc>
          <w:tcPr>
            <w:tcW w:type="dxa" w:w="1100"/>
          </w:tcPr>
          <w:p>
            <w:r>
              <w:rPr>
                <w:sz w:val="20"/>
              </w:rPr>
              <w:t>accounted</w:t>
            </w:r>
          </w:p>
        </w:tc>
        <w:tc>
          <w:tcPr>
            <w:tcW w:type="dxa" w:w="1160"/>
          </w:tcPr>
          <w:p>
            <w:r>
              <w:rPr>
                <w:sz w:val="20"/>
              </w:rPr>
              <w:t>Ch. 3, Eqs. 3.4-3.5; Ch. 4, Thm. 16</w:t>
            </w:r>
          </w:p>
        </w:tc>
      </w:tr>
      <w:tr>
        <w:trPr>
          <w:cantSplit/>
        </w:trPr>
        <w:tc>
          <w:tcPr>
            <w:tcW w:type="dxa" w:w="1350"/>
          </w:tcPr>
          <w:p>
            <w:r>
              <w:rPr>
                <w:sz w:val="20"/>
              </w:rPr>
              <w:t>Govaers [29]</w:t>
            </w:r>
          </w:p>
        </w:tc>
        <w:tc>
          <w:tcPr>
            <w:tcW w:type="dxa" w:w="1350"/>
          </w:tcPr>
          <w:p>
            <m:oMath>
              <m:rad>
                <m:radPr>
                  <m:degHide m:val="on"/>
                </m:radPr>
                <m:deg/>
                <m:e>
                  <m:r>
                    <m:t>p</m:t>
                  </m:r>
                </m:e>
              </m:rad>
            </m:oMath>
            <w:r>
              <w:rPr>
                <w:sz w:val="20"/>
              </w:rPr>
              <w:t xml:space="preserve"> (Eq. 5)</w:t>
            </w:r>
          </w:p>
        </w:tc>
        <w:tc>
          <w:tcPr>
            <w:tcW w:type="dxa" w:w="1900"/>
          </w:tcPr>
          <w:p>
            <w:r>
              <w:rPr>
                <w:sz w:val="20"/>
              </w:rPr>
              <w:t>R3: 'measurement probabilities reproduce the classical density'; low-order statistics 'from repeated measurements'</w:t>
            </w:r>
          </w:p>
        </w:tc>
        <w:tc>
          <w:tcPr>
            <w:tcW w:type="dxa" w:w="700"/>
          </w:tcPr>
          <w:p>
            <w:r>
              <w:rPr>
                <w:sz w:val="20"/>
              </w:rPr>
              <w:t>partly</w:t>
            </w:r>
          </w:p>
        </w:tc>
        <w:tc>
          <w:tcPr>
            <w:tcW w:type="dxa" w:w="1800"/>
          </w:tcPr>
          <w:p>
            <w:r>
              <w:rPr>
                <w:sz w:val="20"/>
              </w:rPr>
              <w:t>'exponential reduction in memory ... polynomial reduction in computational complexity' in the number of grid points</w:t>
            </w:r>
          </w:p>
        </w:tc>
        <w:tc>
          <w:tcPr>
            <w:tcW w:type="dxa" w:w="1100"/>
          </w:tcPr>
          <w:p>
            <w:r>
              <w:rPr>
                <w:sz w:val="20"/>
              </w:rPr>
              <w:t>accounted</w:t>
            </w:r>
          </w:p>
        </w:tc>
        <w:tc>
          <w:tcPr>
            <w:tcW w:type="dxa" w:w="1160"/>
          </w:tcPr>
          <w:p>
            <w:r>
              <w:rPr>
                <w:sz w:val="20"/>
              </w:rPr>
              <w:t>Sec. II, Eq. 5; Sec. VI; Sec. VII</w:t>
            </w:r>
          </w:p>
        </w:tc>
      </w:tr>
      <w:tr>
        <w:trPr>
          <w:cantSplit/>
        </w:trPr>
        <w:tc>
          <w:tcPr>
            <w:tcW w:type="dxa" w:w="1350"/>
          </w:tcPr>
          <w:p>
            <w:r>
              <w:rPr>
                <w:sz w:val="20"/>
              </w:rPr>
              <w:t>Hariharan et al. [30]</w:t>
            </w:r>
          </w:p>
        </w:tc>
        <w:tc>
          <w:tcPr>
            <w:tcW w:type="dxa" w:w="1350"/>
          </w:tcPr>
          <w:p>
            <w:r>
              <w:rPr>
                <w:sz w:val="20"/>
              </w:rPr>
              <w:t>walk operators (spectral)</w:t>
            </w:r>
          </w:p>
        </w:tc>
        <w:tc>
          <w:tcPr>
            <w:tcW w:type="dxa" w:w="1900"/>
          </w:tcPr>
          <w:p>
            <w:r>
              <w:rPr>
                <w:sz w:val="20"/>
              </w:rPr>
              <w:t>R4: phase and amplitude estimation of two steady-state observables</w:t>
            </w:r>
          </w:p>
        </w:tc>
        <w:tc>
          <w:tcPr>
            <w:tcW w:type="dxa" w:w="700"/>
          </w:tcPr>
          <w:p>
            <w:r>
              <w:rPr>
                <w:sz w:val="20"/>
              </w:rPr>
              <w:t>yes</w:t>
            </w:r>
          </w:p>
        </w:tc>
        <w:tc>
          <w:tcPr>
            <w:tcW w:type="dxa" w:w="1800"/>
          </w:tcPr>
          <w:p>
            <w:r>
              <w:rPr>
                <w:sz w:val="20"/>
              </w:rPr>
              <w:t>speedups 'depend heavily on ... classical readout costs'; 'conditional on ... efficient observable readout'</w:t>
            </w:r>
          </w:p>
        </w:tc>
        <w:tc>
          <w:tcPr>
            <w:tcW w:type="dxa" w:w="1100"/>
          </w:tcPr>
          <w:p>
            <w:r>
              <w:rPr>
                <w:sz w:val="20"/>
              </w:rPr>
              <w:t>accounted</w:t>
            </w:r>
          </w:p>
        </w:tc>
        <w:tc>
          <w:tcPr>
            <w:tcW w:type="dxa" w:w="1160"/>
          </w:tcPr>
          <w:p>
            <w:r>
              <w:rPr>
                <w:sz w:val="20"/>
              </w:rPr>
              <w:t>abstract; Sec. 2; Table 1</w:t>
            </w:r>
          </w:p>
        </w:tc>
      </w:tr>
    </w:tbl>
    <w:p>
      <w:pPr/>
    </w:p>
    <w:p>
      <w:pPr>
        <w:keepNext/>
        <w:keepLines/>
        <w:spacing w:before="480" w:line="360" w:lineRule="auto"/>
        <w:jc w:val="center"/>
      </w:pPr>
      <w:r>
        <w:rPr>
          <w:b/>
        </w:rPr>
        <w:t>Table S2. Works examined in full and excluded, with the criterion they do not meet.</w:t>
      </w:r>
    </w:p>
    <w:tbl>
      <w:tblPr>
        <w:tblStyle w:val="PlainTable2"/>
        <w:tblW w:type="auto" w:w="0"/>
        <w:tblLayout w:type="fixed"/>
        <w:tblLook w:firstColumn="1" w:firstRow="1" w:lastColumn="0" w:lastRow="0" w:noHBand="0" w:noVBand="1" w:val="04A0"/>
        <w:tblLayout w:type="fixed"/>
      </w:tblPr>
      <w:tblGrid>
        <w:gridCol w:w="3600"/>
        <w:gridCol w:w="5760"/>
      </w:tblGrid>
      <w:tr>
        <w:trPr>
          <w:tblHeader/>
          <w:cantSplit/>
        </w:trPr>
        <w:tc>
          <w:tcPr>
            <w:tcW w:type="dxa" w:w="3600"/>
          </w:tcPr>
          <w:p>
            <w:r>
              <w:rPr>
                <w:sz w:val="20"/>
              </w:rPr>
              <w:t>Work</w:t>
            </w:r>
          </w:p>
        </w:tc>
        <w:tc>
          <w:tcPr>
            <w:tcW w:type="dxa" w:w="5760"/>
          </w:tcPr>
          <w:p>
            <w:r>
              <w:rPr>
                <w:sz w:val="20"/>
              </w:rPr>
              <w:t>Reason</w:t>
            </w:r>
          </w:p>
        </w:tc>
      </w:tr>
      <w:tr>
        <w:trPr>
          <w:cantSplit/>
        </w:trPr>
        <w:tc>
          <w:tcPr>
            <w:tcW w:type="dxa" w:w="3600"/>
          </w:tcPr>
          <w:p>
            <w:r>
              <w:rPr>
                <w:sz w:val="20"/>
              </w:rPr>
              <w:t>Ikeda et al., arXiv:2609.08432 (2026), polymerization rate matrices</w:t>
            </w:r>
          </w:p>
        </w:tc>
        <w:tc>
          <w:tcPr>
            <w:tcW w:type="dxa" w:w="5760"/>
          </w:tcPr>
          <w:p>
            <w:r>
              <w:rPr>
                <w:sz w:val="20"/>
              </w:rPr>
              <w:t>I1: deterministic mass-action concentrations, not the law of a stochastic process (and it defers 'state preparation and readout overheads', Sec. 4)</w:t>
            </w:r>
          </w:p>
        </w:tc>
      </w:tr>
      <w:tr>
        <w:trPr>
          <w:cantSplit/>
        </w:trPr>
        <w:tc>
          <w:tcPr>
            <w:tcW w:type="dxa" w:w="3600"/>
          </w:tcPr>
          <w:p>
            <w:r>
              <w:rPr>
                <w:sz w:val="20"/>
              </w:rPr>
              <w:t>Amaro, Inigo Gamiz, Vranic, J. Plasma Phys. (2025); arXiv:2411.17517</w:t>
            </w:r>
          </w:p>
        </w:tc>
        <w:tc>
          <w:tcPr>
            <w:tcW w:type="dxa" w:w="5760"/>
          </w:tcPr>
          <w:p>
            <w:r>
              <w:rPr>
                <w:sz w:val="20"/>
              </w:rPr>
              <w:t>I3: variational demonstration without a complexity or resource claim</w:t>
            </w:r>
          </w:p>
        </w:tc>
      </w:tr>
      <w:tr>
        <w:trPr>
          <w:cantSplit/>
        </w:trPr>
        <w:tc>
          <w:tcPr>
            <w:tcW w:type="dxa" w:w="3600"/>
          </w:tcPr>
          <w:p>
            <w:r>
              <w:rPr>
                <w:sz w:val="20"/>
              </w:rPr>
              <w:t>Miyamoto, arXiv:2604.24133 (2026)</w:t>
            </w:r>
          </w:p>
        </w:tc>
        <w:tc>
          <w:tcPr>
            <w:tcW w:type="dxa" w:w="5760"/>
          </w:tcPr>
          <w:p>
            <w:r>
              <w:rPr>
                <w:sz w:val="20"/>
              </w:rPr>
              <w:t xml:space="preserve">I2: amplitudes encode a sample path </w:t>
            </w:r>
            <w:r>
              <w:rPr>
                <w:i/>
                <w:sz w:val="20"/>
              </w:rPr>
              <w:t>X</w:t>
            </w:r>
            <w:r>
              <w:rPr>
                <w:i/>
                <w:sz w:val="20"/>
                <w:vertAlign w:val="subscript"/>
              </w:rPr>
              <w:t>t</w:t>
            </w:r>
            <w:r>
              <w:rPr>
                <w:sz w:val="20"/>
              </w:rPr>
              <w:t>, not the law</w:t>
            </w:r>
          </w:p>
        </w:tc>
      </w:tr>
      <w:tr>
        <w:trPr>
          <w:cantSplit/>
        </w:trPr>
        <w:tc>
          <w:tcPr>
            <w:tcW w:type="dxa" w:w="3600"/>
          </w:tcPr>
          <w:p>
            <w:r>
              <w:rPr>
                <w:sz w:val="20"/>
              </w:rPr>
              <w:t>Jin, Liu, Wei, arXiv:2412.14868</w:t>
            </w:r>
          </w:p>
        </w:tc>
        <w:tc>
          <w:tcPr>
            <w:tcW w:type="dxa" w:w="5760"/>
          </w:tcPr>
          <w:p>
            <w:r>
              <w:rPr>
                <w:sz w:val="20"/>
              </w:rPr>
              <w:t>I2: sample paths of linear SDEs</w:t>
            </w:r>
          </w:p>
        </w:tc>
      </w:tr>
      <w:tr>
        <w:trPr>
          <w:cantSplit/>
        </w:trPr>
        <w:tc>
          <w:tcPr>
            <w:tcW w:type="dxa" w:w="3600"/>
          </w:tcPr>
          <w:p>
            <w:r>
              <w:rPr>
                <w:sz w:val="20"/>
              </w:rPr>
              <w:t>Bravyi, Byrne, Zayats, Zhuk, arXiv:2606.08349 (2026)</w:t>
            </w:r>
          </w:p>
        </w:tc>
        <w:tc>
          <w:tcPr>
            <w:tcW w:type="dxa" w:w="5760"/>
          </w:tcPr>
          <w:p>
            <w:r>
              <w:rPr>
                <w:sz w:val="20"/>
              </w:rPr>
              <w:t>I2: correlation functions via a Carleman/oscillator embedding, not the law</w:t>
            </w:r>
          </w:p>
        </w:tc>
      </w:tr>
      <w:tr>
        <w:trPr>
          <w:cantSplit/>
        </w:trPr>
        <w:tc>
          <w:tcPr>
            <w:tcW w:type="dxa" w:w="3600"/>
          </w:tcPr>
          <w:p>
            <w:r>
              <w:rPr>
                <w:sz w:val="20"/>
              </w:rPr>
              <w:t>Paine, Elfving, Kyriienko, Adv. Quantum Technol. (2023)</w:t>
            </w:r>
          </w:p>
        </w:tc>
        <w:tc>
          <w:tcPr>
            <w:tcW w:type="dxa" w:w="5760"/>
          </w:tcPr>
          <w:p>
            <w:r>
              <w:rPr>
                <w:sz w:val="20"/>
              </w:rPr>
              <w:t>I2: quantile-function representation for sampling</w:t>
            </w:r>
          </w:p>
        </w:tc>
      </w:tr>
      <w:tr>
        <w:trPr>
          <w:cantSplit/>
        </w:trPr>
        <w:tc>
          <w:tcPr>
            <w:tcW w:type="dxa" w:w="3600"/>
          </w:tcPr>
          <w:p>
            <w:r>
              <w:rPr>
                <w:sz w:val="20"/>
              </w:rPr>
              <w:t>Weidner et al., Patterns 4, 100705 (2023)</w:t>
            </w:r>
          </w:p>
        </w:tc>
        <w:tc>
          <w:tcPr>
            <w:tcW w:type="dxa" w:w="5760"/>
          </w:tcPr>
          <w:p>
            <w:r>
              <w:rPr>
                <w:sz w:val="20"/>
              </w:rPr>
              <w:t>I1: deterministic Boolean network dynamics</w:t>
            </w:r>
          </w:p>
        </w:tc>
      </w:tr>
      <w:tr>
        <w:trPr>
          <w:cantSplit/>
        </w:trPr>
        <w:tc>
          <w:tcPr>
            <w:tcW w:type="dxa" w:w="3600"/>
          </w:tcPr>
          <w:p>
            <w:r>
              <w:rPr>
                <w:sz w:val="20"/>
              </w:rPr>
              <w:t>del Razo, Lamma, Merbis, review (2025)</w:t>
            </w:r>
          </w:p>
        </w:tc>
        <w:tc>
          <w:tcPr>
            <w:tcW w:type="dxa" w:w="5760"/>
          </w:tcPr>
          <w:p>
            <w:r>
              <w:rPr>
                <w:sz w:val="20"/>
              </w:rPr>
              <w:t>not a quantum algorithm (its 'quantum methods' are the Fock-space formalism)</w:t>
            </w:r>
          </w:p>
        </w:tc>
      </w:tr>
      <w:tr>
        <w:trPr>
          <w:cantSplit/>
        </w:trPr>
        <w:tc>
          <w:tcPr>
            <w:tcW w:type="dxa" w:w="3600"/>
          </w:tcPr>
          <w:p>
            <w:r>
              <w:rPr>
                <w:sz w:val="20"/>
              </w:rPr>
              <w:t>Twelve solvers for heat, advection–diffusion, Liouville and lattice-Boltzmann equations</w:t>
            </w:r>
          </w:p>
        </w:tc>
        <w:tc>
          <w:tcPr>
            <w:tcW w:type="dxa" w:w="5760"/>
          </w:tcPr>
          <w:p>
            <w:r>
              <w:rPr>
                <w:sz w:val="20"/>
              </w:rPr>
              <w:t>I1: deterministic transport fields, not framed as the law of a stochastic process</w:t>
            </w:r>
          </w:p>
        </w:tc>
      </w:tr>
      <w:tr>
        <w:trPr>
          <w:cantSplit/>
        </w:trPr>
        <w:tc>
          <w:tcPr>
            <w:tcW w:type="dxa" w:w="3600"/>
          </w:tcPr>
          <w:p>
            <w:r>
              <w:rPr>
                <w:sz w:val="20"/>
              </w:rPr>
              <w:t>Li, arXiv:2607.18113 (2026); Linden, Montanaro and Shao</w:t>
            </w:r>
          </w:p>
        </w:tc>
        <w:tc>
          <w:tcPr>
            <w:tcW w:type="dxa" w:w="5760"/>
          </w:tcPr>
          <w:p>
            <w:r>
              <w:rPr>
                <w:sz w:val="20"/>
              </w:rPr>
              <w:t>I1: parabolic PDE / heat equation framing; discussed as readout context</w:t>
            </w:r>
          </w:p>
        </w:tc>
      </w:tr>
      <w:tr>
        <w:trPr>
          <w:cantSplit/>
        </w:trPr>
        <w:tc>
          <w:tcPr>
            <w:tcW w:type="dxa" w:w="3600"/>
          </w:tcPr>
          <w:p>
            <w:r>
              <w:rPr>
                <w:sz w:val="20"/>
              </w:rPr>
              <w:t>quantum Monte Carlo / amplitude estimation over classical randomized algorithms</w:t>
            </w:r>
          </w:p>
        </w:tc>
        <w:tc>
          <w:tcPr>
            <w:tcW w:type="dxa" w:w="5760"/>
          </w:tcPr>
          <w:p>
            <w:r>
              <w:rPr>
                <w:sz w:val="20"/>
              </w:rPr>
              <w:t>Baseline (trajectory sampling or density-matrix embedding): listed separately</w:t>
            </w:r>
          </w:p>
        </w:tc>
      </w:tr>
      <w:tr>
        <w:trPr>
          <w:cantSplit/>
        </w:trPr>
        <w:tc>
          <w:tcPr>
            <w:tcW w:type="dxa" w:w="3600"/>
          </w:tcPr>
          <w:p>
            <w:r>
              <w:rPr>
                <w:sz w:val="20"/>
              </w:rPr>
              <w:t>stochastic simulators embedded as quantum trajectories (Phys. Rev. A 109, 022434, 2024)</w:t>
            </w:r>
          </w:p>
        </w:tc>
        <w:tc>
          <w:tcPr>
            <w:tcW w:type="dxa" w:w="5760"/>
          </w:tcPr>
          <w:p>
            <w:r>
              <w:rPr>
                <w:sz w:val="20"/>
              </w:rPr>
              <w:t>Baseline (trajectory sampling or density-matrix embedding): listed separately</w:t>
            </w:r>
          </w:p>
        </w:tc>
      </w:tr>
      <w:tr>
        <w:trPr>
          <w:cantSplit/>
        </w:trPr>
        <w:tc>
          <w:tcPr>
            <w:tcW w:type="dxa" w:w="3600"/>
          </w:tcPr>
          <w:p>
            <w:r>
              <w:rPr>
                <w:sz w:val="20"/>
              </w:rPr>
              <w:t>QMCI for McKean-Vlasov SDEs, EPJ Quantum Technol. (2025)</w:t>
            </w:r>
          </w:p>
        </w:tc>
        <w:tc>
          <w:tcPr>
            <w:tcW w:type="dxa" w:w="5760"/>
          </w:tcPr>
          <w:p>
            <w:r>
              <w:rPr>
                <w:sz w:val="20"/>
              </w:rPr>
              <w:t>Baseline (trajectory sampling or density-matrix embedding): listed separately</w:t>
            </w:r>
          </w:p>
        </w:tc>
      </w:tr>
      <w:tr>
        <w:trPr>
          <w:cantSplit/>
        </w:trPr>
        <w:tc>
          <w:tcPr>
            <w:tcW w:type="dxa" w:w="3600"/>
          </w:tcPr>
          <w:p>
            <w:r>
              <w:rPr>
                <w:sz w:val="20"/>
              </w:rPr>
              <w:t>collision-coalescence master equation via transition-history encoding and amplitude estimation, Phys. Rev. Appl. (2026); arXiv:2603.06353</w:t>
            </w:r>
          </w:p>
        </w:tc>
        <w:tc>
          <w:tcPr>
            <w:tcW w:type="dxa" w:w="5760"/>
          </w:tcPr>
          <w:p>
            <w:r>
              <w:rPr>
                <w:sz w:val="20"/>
              </w:rPr>
              <w:t>Baseline (trajectory sampling or density-matrix embedding): listed separately</w:t>
            </w:r>
          </w:p>
        </w:tc>
      </w:tr>
      <w:tr>
        <w:trPr>
          <w:cantSplit/>
        </w:trPr>
        <w:tc>
          <w:tcPr>
            <w:tcW w:type="dxa" w:w="3600"/>
          </w:tcPr>
          <w:p>
            <w:r>
              <w:rPr>
                <w:sz w:val="20"/>
              </w:rPr>
              <w:t>Kolmogorov-Lindblad mapping (density-matrix embedding), arXiv:2608.09903</w:t>
            </w:r>
          </w:p>
        </w:tc>
        <w:tc>
          <w:tcPr>
            <w:tcW w:type="dxa" w:w="5760"/>
          </w:tcPr>
          <w:p>
            <w:r>
              <w:rPr>
                <w:sz w:val="20"/>
              </w:rPr>
              <w:t>Baseline (trajectory sampling or density-matrix embedding): listed separately</w:t>
            </w:r>
          </w:p>
        </w:tc>
      </w:tr>
      <w:tr>
        <w:trPr>
          <w:cantSplit/>
        </w:trPr>
        <w:tc>
          <w:tcPr>
            <w:tcW w:type="dxa" w:w="3600"/>
          </w:tcPr>
          <w:p>
            <w:r>
              <w:rPr>
                <w:sz w:val="20"/>
              </w:rPr>
              <w:t>universal dilation of linear Ito SDEs via Lindblad simulation of second moments, Quantum (2026)</w:t>
            </w:r>
          </w:p>
        </w:tc>
        <w:tc>
          <w:tcPr>
            <w:tcW w:type="dxa" w:w="5760"/>
          </w:tcPr>
          <w:p>
            <w:r>
              <w:rPr>
                <w:sz w:val="20"/>
              </w:rPr>
              <w:t>Baseline (trajectory sampling or density-matrix embedding): listed separately</w:t>
            </w:r>
          </w:p>
        </w:tc>
      </w:tr>
    </w:tbl>
    <w:p>
      <w:pPr/>
    </w:p>
    <w:p>
      <w:pPr>
        <w:pStyle w:val="Heading1"/>
        <w:spacing w:after="120" w:line="360" w:lineRule="auto"/>
      </w:pPr>
      <w:r>
        <w:rPr>
          <w:rFonts w:ascii="Times New Roman" w:hAnsi="Times New Roman"/>
        </w:rPr>
        <w:t>S2. Proof of the readout barrier</w:t>
      </w:r>
    </w:p>
    <w:p>
      <w:pPr>
        <w:pStyle w:val="Heading2"/>
        <w:spacing w:before="480" w:after="120" w:line="360" w:lineRule="auto"/>
      </w:pPr>
      <w:r>
        <w:rPr>
          <w:rFonts w:ascii="Times New Roman" w:hAnsi="Times New Roman"/>
        </w:rPr>
        <w:t>S2.1 Setting</w:t>
      </w:r>
    </w:p>
    <w:p>
      <w:pPr>
        <w:spacing w:after="200" w:line="360" w:lineRule="auto"/>
        <w:jc w:val="both"/>
      </w:pPr>
      <w:r>
        <w:t xml:space="preserve">Let </w:t>
      </w:r>
      <w:r>
        <w:rPr>
          <w:i/>
        </w:rPr>
        <w:t>S</w:t>
      </w:r>
      <w:r>
        <w:t xml:space="preserve"> be a finite box of molecule counts and </w:t>
      </w:r>
      <w:r>
        <w:rPr>
          <w:i/>
        </w:rPr>
        <w:t>A</w:t>
      </w:r>
      <w:r>
        <w:rPr>
          <w:i/>
          <w:sz w:val="20"/>
          <w:vertAlign w:val="subscript"/>
        </w:rPr>
        <w:t>S</w:t>
      </w:r>
      <w:r>
        <w:t xml:space="preserve"> the truncated generator, so that </w:t>
      </w:r>
      <w:r>
        <w:rPr>
          <w:i/>
        </w:rPr>
        <w:t>dp</w:t>
      </w:r>
      <w:r>
        <w:t>/</w:t>
      </w:r>
      <w:r>
        <w:rPr>
          <w:i/>
        </w:rPr>
        <w:t>dt</w:t>
      </w:r>
      <w:r>
        <w:t xml:space="preserve"> = </w:t>
      </w:r>
      <w:r>
        <w:rPr>
          <w:i/>
        </w:rPr>
        <w:t>A</w:t>
      </w:r>
      <w:r>
        <w:rPr>
          <w:i/>
          <w:sz w:val="20"/>
          <w:vertAlign w:val="subscript"/>
        </w:rPr>
        <w:t>S</w:t>
      </w:r>
      <w:r>
        <w:rPr>
          <w:i/>
        </w:rPr>
        <w:t>p</w:t>
      </w:r>
      <w:r>
        <w:t xml:space="preserve"> on </w:t>
      </w:r>
      <w:r>
        <w:rPr>
          <w:i/>
        </w:rPr>
        <w:t>S</w:t>
      </w:r>
      <w:r>
        <w:t xml:space="preserve">. The retained mass is </w:t>
      </w:r>
      <m:oMath>
        <m:sSub>
          <m:e>
            <m:r>
              <m:t>m</m:t>
            </m:r>
          </m:e>
          <m:sub>
            <m:r>
              <m:t>T</m:t>
            </m:r>
          </m:sub>
        </m:sSub>
        <m:r>
          <m:t>=</m:t>
        </m:r>
        <m:nary>
          <m:naryPr>
            <m:chr m:val="∑"/>
            <m:limLoc m:val="undOvr"/>
            <m:grow m:val="1"/>
            <m:subHide m:val="off"/>
            <m:supHide m:val="on"/>
          </m:naryPr>
          <m:sub>
            <m:r>
              <m:t>x∈S</m:t>
            </m:r>
          </m:sub>
          <m:sup/>
          <m:e>
            <m:sSub>
              <m:e>
                <m:r>
                  <m:t>p</m:t>
                </m:r>
              </m:e>
              <m:sub>
                <m:r>
                  <m:t>T</m:t>
                </m:r>
              </m:sub>
            </m:sSub>
          </m:e>
        </m:nary>
        <m:r>
          <m:t>(x)</m:t>
        </m:r>
      </m:oMath>
      <w:r>
        <w:t xml:space="preserve">. For a nonnegative vector </w:t>
      </w:r>
      <w:r>
        <w:rPr>
          <w:i/>
        </w:rPr>
        <w:t>q</w:t>
      </w:r>
      <w:r>
        <w:t xml:space="preserve"> the effective number of occupied states is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t>S</m:t>
                    </m:r>
                  </m:e>
                  <m:sub>
                    <m:r>
                      <m:rPr>
                        <m:sty m:val="p"/>
                      </m:rPr>
                      <m:t>eff</m:t>
                    </m:r>
                  </m:sub>
                </m:sSub>
                <m:r>
                  <m:t>(q)=</m:t>
                </m:r>
                <m:f>
                  <m:fPr>
                    <m:type m:val="bar"/>
                  </m:fPr>
                  <m:num>
                    <m:sSup>
                      <m:e>
                        <m:d>
                          <m:dPr>
                            <m:sepChr m:val=""/>
                          </m:dPr>
                          <m:e>
                            <m:nary>
                              <m:naryPr>
                                <m:chr m:val="∑"/>
                                <m:limLoc m:val="undOvr"/>
                                <m:grow m:val="1"/>
                                <m:subHide m:val="off"/>
                                <m:supHide m:val="on"/>
                              </m:naryPr>
                              <m:sub>
                                <m:r>
                                  <m:t>x</m:t>
                                </m:r>
                              </m:sub>
                              <m:sup/>
                              <m:e>
                                <m:r>
                                  <m:t>q</m:t>
                                </m:r>
                              </m:e>
                            </m:nary>
                            <m:r>
                              <m:t>(</m:t>
                            </m:r>
                            <m:r>
                              <m:t>x</m:t>
                            </m:r>
                            <m:r>
                              <m:t>)</m:t>
                            </m:r>
                          </m:e>
                        </m:d>
                      </m:e>
                      <m:sup>
                        <m:r>
                          <m:t>2</m:t>
                        </m:r>
                      </m:sup>
                    </m:sSup>
                  </m:num>
                  <m:den>
                    <m:nary>
                      <m:naryPr>
                        <m:chr m:val="∑"/>
                        <m:limLoc m:val="undOvr"/>
                        <m:grow m:val="1"/>
                        <m:subHide m:val="off"/>
                        <m:supHide m:val="on"/>
                      </m:naryPr>
                      <m:sub>
                        <m:r>
                          <m:t>x</m:t>
                        </m:r>
                      </m:sub>
                      <m:sup/>
                      <m:e>
                        <m:r>
                          <m:t>q(x</m:t>
                        </m:r>
                      </m:e>
                    </m:nary>
                    <m:sSup>
                      <m:e>
                        <m:r>
                          <m:t>)</m:t>
                        </m:r>
                      </m:e>
                      <m:sup>
                        <m:r>
                          <m:t>2</m:t>
                        </m:r>
                      </m:sup>
                    </m:sSup>
                  </m:den>
                </m:f>
                <m:r>
                  <m:t>.</m:t>
                </m:r>
              </m:oMath>
            </m:oMathPara>
          </w:p>
        </w:tc>
        <w:tc>
          <w:tcPr>
            <w:tcW w:w="900" w:type="dxa"/>
            <w:vAlign w:val="center"/>
          </w:tcPr>
          <w:p>
            <w:pPr>
              <w:keepLines/>
              <w:spacing w:after="200" w:line="360" w:lineRule="auto"/>
              <w:jc w:val="both"/>
            </w:pPr>
            <w:r>
              <w:t>(S1)</w:t>
            </w:r>
          </w:p>
        </w:tc>
      </w:tr>
    </w:tbl>
    <w:p>
      <w:pPr>
        <w:spacing w:after="200" w:line="360" w:lineRule="auto"/>
        <w:jc w:val="both"/>
      </w:pPr>
      <w:r>
        <w:t xml:space="preserve">It equals </w:t>
      </w:r>
      <m:oMath>
        <m:d>
          <m:dPr>
            <m:begChr m:val="|"/>
            <m:sepChr m:val=""/>
            <m:endChr m:val="|"/>
          </m:dPr>
          <m:e>
            <m:r>
              <m:t>S</m:t>
            </m:r>
          </m:e>
        </m:d>
      </m:oMath>
      <w:r>
        <w:t xml:space="preserve"> for a uniform law and 1 for a point mass.</w:t>
      </w:r>
    </w:p>
    <w:p>
      <w:pPr>
        <w:spacing w:after="200" w:line="360" w:lineRule="auto"/>
        <w:jc w:val="both"/>
      </w:pPr>
      <w:r>
        <w:t xml:space="preserve">The solver gives black-box access to a unitary </w:t>
      </w:r>
      <w:r>
        <w:rPr>
          <w:i/>
        </w:rPr>
        <w:t>U</w:t>
      </w:r>
      <w:r>
        <w:t xml:space="preserve">, its inverse and controlled versions. The top-left block of </w:t>
      </w:r>
      <w:r>
        <w:rPr>
          <w:i/>
        </w:rPr>
        <w:t>U</w:t>
      </w:r>
      <w:r>
        <w:t xml:space="preserve"> is the propagator,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⟨0|U|0⟩=</m:t>
                </m:r>
                <m:f>
                  <m:fPr>
                    <m:type m:val="bar"/>
                  </m:fPr>
                  <m:num>
                    <m:r>
                      <m:t>P</m:t>
                    </m:r>
                  </m:num>
                  <m:den>
                    <m:r>
                      <m:t>c</m:t>
                    </m:r>
                  </m:den>
                </m:f>
                <m:r>
                  <m:t>,</m:t>
                </m:r>
                <m:r>
                  <m:rPr>
                    <m:sty m:val="p"/>
                  </m:rPr>
                  <m:t>    </m:t>
                </m:r>
                <m:r>
                  <m:t>P=</m:t>
                </m:r>
                <m:sSup>
                  <m:e>
                    <m:r>
                      <m:t>e</m:t>
                    </m:r>
                  </m:e>
                  <m:sup>
                    <m:r>
                      <m:t>T</m:t>
                    </m:r>
                    <m:sSub>
                      <m:e>
                        <m:r>
                          <m:t>A</m:t>
                        </m:r>
                      </m:e>
                      <m:sub>
                        <m:r>
                          <m:t>S</m:t>
                        </m:r>
                      </m:sub>
                    </m:sSub>
                  </m:sup>
                </m:sSup>
                <m:r>
                  <m:t>,</m:t>
                </m:r>
                <m:r>
                  <m:rPr>
                    <m:sty m:val="p"/>
                  </m:rPr>
                  <m:t>    </m:t>
                </m:r>
                <m:r>
                  <m:t>c≥‖P</m:t>
                </m:r>
                <m:sSub>
                  <m:e>
                    <m:r>
                      <m:t>‖</m:t>
                    </m:r>
                  </m:e>
                  <m:sub>
                    <m:r>
                      <m:t>2</m:t>
                    </m:r>
                  </m:sub>
                </m:sSub>
                <m:r>
                  <m:t>.</m:t>
                </m:r>
              </m:oMath>
            </m:oMathPara>
          </w:p>
        </w:tc>
        <w:tc>
          <w:tcPr>
            <w:tcW w:w="900" w:type="dxa"/>
            <w:vAlign w:val="center"/>
          </w:tcPr>
          <w:p>
            <w:pPr>
              <w:keepLines/>
              <w:spacing w:after="200" w:line="360" w:lineRule="auto"/>
              <w:jc w:val="both"/>
            </w:pPr>
            <w:r>
              <w:t>(S2)</w:t>
            </w:r>
          </w:p>
        </w:tc>
      </w:tr>
    </w:tbl>
    <w:p>
      <w:pPr>
        <w:spacing w:after="200" w:line="360" w:lineRule="auto"/>
        <w:jc w:val="both"/>
      </w:pPr>
      <w:r>
        <w:t xml:space="preserve">The constant </w:t>
      </w:r>
      <w:r>
        <w:rPr>
          <w:i/>
        </w:rPr>
        <w:t>c</w:t>
      </w:r>
      <w:r>
        <w:t xml:space="preserve"> can exceed 1, because CME generators can have a positive Euclidean logarithmic norm. The solver also prepares the initial state </w:t>
      </w:r>
      <m:oMath>
        <m:sSub>
          <m:e>
            <m:r>
              <m:t>p</m:t>
            </m:r>
          </m:e>
          <m:sub>
            <m:r>
              <m:t>0</m:t>
            </m:r>
          </m:sub>
        </m:sSub>
        <m:r>
          <m:t>/‖</m:t>
        </m:r>
        <m:sSub>
          <m:e>
            <m:r>
              <m:t>p</m:t>
            </m:r>
          </m:e>
          <m:sub>
            <m:r>
              <m:t>0</m:t>
            </m:r>
          </m:sub>
        </m:sSub>
        <m:r>
          <m:t>‖</m:t>
        </m:r>
      </m:oMath>
      <w:r>
        <w:t>.</w:t>
      </w:r>
    </w:p>
    <w:p>
      <w:pPr>
        <w:pStyle w:val="Heading2"/>
        <w:spacing w:before="480" w:after="120" w:line="360" w:lineRule="auto"/>
      </w:pPr>
      <w:r>
        <w:rPr>
          <w:rFonts w:ascii="Times New Roman" w:hAnsi="Times New Roman"/>
        </w:rPr>
        <w:t>S2.2 The class of readouts</w:t>
      </w:r>
    </w:p>
    <w:p>
      <w:pPr>
        <w:spacing w:after="200" w:line="360" w:lineRule="auto"/>
        <w:jc w:val="both"/>
      </w:pPr>
      <w:r>
        <w:t xml:space="preserve">An algorithm in the class </w:t>
      </w:r>
      <m:oMath>
        <m:r>
          <m:rPr>
            <m:scr m:val="script"/>
            <m:sty m:val="i"/>
          </m:rPr>
          <m:t>C</m:t>
        </m:r>
      </m:oMath>
      <w:r>
        <w:t xml:space="preserve"> recovers </w:t>
      </w:r>
      <w:r>
        <w:rPr>
          <w:i/>
        </w:rPr>
        <w:t>m</w:t>
      </w:r>
      <w:r>
        <w:rPr>
          <w:i/>
          <w:sz w:val="20"/>
          <w:vertAlign w:val="subscript"/>
        </w:rPr>
        <w:t>T</w:t>
      </w:r>
      <w:r>
        <w:t xml:space="preserve"> from an amplitude </w:t>
      </w:r>
      <m:oMath>
        <m:r>
          <m:t>⟨ϕ|v⟩</m:t>
        </m:r>
      </m:oMath>
      <w:r>
        <w:t xml:space="preserve">. Here </w:t>
      </w:r>
      <m:oMath>
        <m:r>
          <m:t>|v⟩</m:t>
        </m:r>
      </m:oMath>
      <w:r>
        <w:t xml:space="preserve"> is prepared from </w:t>
      </w:r>
      <w:r>
        <w:rPr>
          <w:i/>
        </w:rPr>
        <w:t>U</w:t>
      </w:r>
      <w:r>
        <w:t xml:space="preserve"> and the initial state, and </w:t>
      </w:r>
      <m:oMath>
        <m:r>
          <m:t>|ϕ⟩</m:t>
        </m:r>
      </m:oMath>
      <w:r>
        <w:t xml:space="preserve"> is prepared without any knowledge of </w:t>
      </w:r>
      <w:r>
        <w:rPr>
          <w:i/>
        </w:rPr>
        <w:t>p</w:t>
      </w:r>
      <w:r>
        <w:t xml:space="preserve">. The class has two members. In direct overlap readout, the algorithm applies </w:t>
      </w:r>
      <w:r>
        <w:rPr>
          <w:i/>
        </w:rPr>
        <w:t>U</w:t>
      </w:r>
      <w:r>
        <w:t xml:space="preserve"> to the initial state and takes the overlap with the uniform state </w:t>
      </w:r>
      <m:oMath>
        <m:r>
          <m:t>|+⟩</m:t>
        </m:r>
      </m:oMath>
      <w:r>
        <w:t xml:space="preserve"> on </w:t>
      </w:r>
      <w:r>
        <w:rPr>
          <w:i/>
        </w:rPr>
        <w:t>S</w:t>
      </w:r>
      <w:r>
        <w:t xml:space="preserve">. Among states that do not depend on </w:t>
      </w:r>
      <w:r>
        <w:rPr>
          <w:i/>
        </w:rPr>
        <w:t>p</w:t>
      </w:r>
      <w:r>
        <w:t xml:space="preserve">, only the uniform state returns </w:t>
      </w:r>
      <w:r>
        <w:rPr>
          <w:i/>
        </w:rPr>
        <w:t>m</w:t>
      </w:r>
      <w:r>
        <w:rPr>
          <w:i/>
          <w:sz w:val="20"/>
          <w:vertAlign w:val="subscript"/>
        </w:rPr>
        <w:t>T</w:t>
      </w:r>
      <w:r>
        <w:t xml:space="preserve"> as a fixed multiple of the amplitude for every instance. In normalize-then-overlap readout, the algorithm first prepares the normalized solution </w:t>
      </w:r>
      <m:oMath>
        <m:sSub>
          <m:e>
            <m:acc>
              <m:accPr>
                <m:chr m:val="̂"/>
              </m:accPr>
              <m:e>
                <m:r>
                  <m:t>p</m:t>
                </m:r>
              </m:e>
            </m:acc>
          </m:e>
          <m:sub>
            <m:r>
              <m:t>T</m:t>
            </m:r>
          </m:sub>
        </m:sSub>
        <m:r>
          <m:t>=</m:t>
        </m:r>
        <m:sSub>
          <m:e>
            <m:r>
              <m:t>p</m:t>
            </m:r>
          </m:e>
          <m:sub>
            <m:r>
              <m:t>T</m:t>
            </m:r>
          </m:sub>
        </m:sSub>
        <m:r>
          <m:t>/‖</m:t>
        </m:r>
        <m:sSub>
          <m:e>
            <m:r>
              <m:t>p</m:t>
            </m:r>
          </m:e>
          <m:sub>
            <m:r>
              <m:t>T</m:t>
            </m:r>
          </m:sub>
        </m:sSub>
        <m:r>
          <m:t>‖</m:t>
        </m:r>
      </m:oMath>
      <w:r>
        <w:t xml:space="preserve"> by any method, estimates </w:t>
      </w:r>
      <m:oMath>
        <m:d>
          <m:dPr>
            <m:begChr m:val="‖"/>
            <m:sepChr m:val=""/>
            <m:endChr m:val="‖"/>
          </m:dPr>
          <m:e>
            <m:sSub>
              <m:e>
                <m:r>
                  <m:t>p</m:t>
                </m:r>
              </m:e>
              <m:sub>
                <m:r>
                  <m:t>T</m:t>
                </m:r>
              </m:sub>
            </m:sSub>
          </m:e>
        </m:d>
      </m:oMath>
      <w:r>
        <w:t xml:space="preserve">, and then estimates the overlap with </w:t>
      </w:r>
      <m:oMath>
        <m:r>
          <m:t>|+⟩</m:t>
        </m:r>
      </m:oMath>
      <w:r>
        <w:t>. It outputs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t>m</m:t>
                    </m:r>
                  </m:e>
                  <m:sub>
                    <m:r>
                      <m:t>T</m:t>
                    </m:r>
                  </m:sub>
                </m:sSub>
                <m:r>
                  <m:t>=</m:t>
                </m:r>
                <m:rad>
                  <m:radPr>
                    <m:degHide m:val="on"/>
                  </m:radPr>
                  <m:deg/>
                  <m:e>
                    <m:d>
                      <m:dPr>
                        <m:begChr m:val="|"/>
                        <m:sepChr m:val=""/>
                        <m:endChr m:val="|"/>
                      </m:dPr>
                      <m:e>
                        <m:r>
                          <m:t>S</m:t>
                        </m:r>
                      </m:e>
                    </m:d>
                  </m:e>
                </m:rad>
                <m:r>
                  <m:t>‖</m:t>
                </m:r>
                <m:sSub>
                  <m:e>
                    <m:r>
                      <m:t>p</m:t>
                    </m:r>
                  </m:e>
                  <m:sub>
                    <m:r>
                      <m:t>T</m:t>
                    </m:r>
                  </m:sub>
                </m:sSub>
                <m:r>
                  <m:t>‖</m:t>
                </m:r>
                <m:r>
                  <m:t>⟨+|</m:t>
                </m:r>
                <m:sSub>
                  <m:e>
                    <m:acc>
                      <m:accPr>
                        <m:chr m:val="̂"/>
                      </m:accPr>
                      <m:e>
                        <m:r>
                          <m:t>p</m:t>
                        </m:r>
                      </m:e>
                    </m:acc>
                  </m:e>
                  <m:sub>
                    <m:r>
                      <m:t>T</m:t>
                    </m:r>
                  </m:sub>
                </m:sSub>
                <m:r>
                  <m:t>⟩.</m:t>
                </m:r>
              </m:oMath>
            </m:oMathPara>
          </w:p>
        </w:tc>
        <w:tc>
          <w:tcPr>
            <w:tcW w:w="900" w:type="dxa"/>
            <w:vAlign w:val="center"/>
          </w:tcPr>
          <w:p>
            <w:pPr>
              <w:keepLines/>
              <w:spacing w:after="200" w:line="360" w:lineRule="auto"/>
              <w:jc w:val="both"/>
            </w:pPr>
            <w:r>
              <w:t>(S3)</w:t>
            </w:r>
          </w:p>
        </w:tc>
      </w:tr>
    </w:tbl>
    <w:p>
      <w:pPr>
        <w:spacing w:after="200" w:line="360" w:lineRule="auto"/>
        <w:jc w:val="both"/>
      </w:pPr>
      <w:r>
        <w:t xml:space="preserve">The density-matrix (Lindblad) embedding lies outside </w:t>
      </w:r>
      <m:oMath>
        <m:r>
          <m:rPr>
            <m:scr m:val="script"/>
            <m:sty m:val="i"/>
          </m:rPr>
          <m:t>C</m:t>
        </m:r>
      </m:oMath>
      <w:r>
        <w:t xml:space="preserve">. So do encodings that use classical information about </w:t>
      </w:r>
      <w:r>
        <w:rPr>
          <w:i/>
        </w:rPr>
        <w:t>p</w:t>
      </w:r>
      <w:r>
        <w:t xml:space="preserve">, such as the weighted encoding </w:t>
      </w:r>
      <m:oMath>
        <m:r>
          <m:t>ψ=p/</m:t>
        </m:r>
        <m:rad>
          <m:radPr>
            <m:degHide m:val="on"/>
          </m:radPr>
          <m:deg/>
          <m:e>
            <m:r>
              <m:t>μ</m:t>
            </m:r>
          </m:e>
        </m:rad>
      </m:oMath>
      <w:r>
        <w:t xml:space="preserve"> of Section S4.</w:t>
      </w:r>
    </w:p>
    <w:p>
      <w:pPr>
        <w:spacing w:after="200" w:line="360" w:lineRule="auto"/>
        <w:jc w:val="both"/>
      </w:pPr>
      <w:r>
        <w:rPr>
          <w:b/>
        </w:rPr>
        <w:t>Lemma S1 (readout amplitudes).</w:t>
      </w:r>
      <w:r>
        <w:t xml:space="preserve"> In direct overlap readout the amplitude is </w:t>
      </w:r>
      <m:oMath>
        <m:sSub>
          <m:e>
            <m:r>
              <m:t>a</m:t>
            </m:r>
          </m:e>
          <m:sub>
            <m:r>
              <m:t>1</m:t>
            </m:r>
          </m:sub>
        </m:sSub>
        <m:r>
          <m:t>=</m:t>
        </m:r>
        <m:sSub>
          <m:e>
            <m:r>
              <m:t>m</m:t>
            </m:r>
          </m:e>
          <m:sub>
            <m:r>
              <m:t>T</m:t>
            </m:r>
          </m:sub>
        </m:sSub>
        <m:r>
          <m:t>/(c</m:t>
        </m:r>
        <m:rad>
          <m:radPr>
            <m:degHide m:val="on"/>
          </m:radPr>
          <m:deg/>
          <m:e>
            <m:d>
              <m:dPr>
                <m:begChr m:val="|"/>
                <m:sepChr m:val=""/>
                <m:endChr m:val="|"/>
              </m:dPr>
              <m:e>
                <m:r>
                  <m:t>S</m:t>
                </m:r>
              </m:e>
            </m:d>
          </m:e>
        </m:rad>
        <m:r>
          <m:t>‖</m:t>
        </m:r>
        <m:sSub>
          <m:e>
            <m:r>
              <m:t>p</m:t>
            </m:r>
          </m:e>
          <m:sub>
            <m:r>
              <m:t>0</m:t>
            </m:r>
          </m:sub>
        </m:sSub>
        <m:r>
          <m:t>‖)</m:t>
        </m:r>
      </m:oMath>
      <w:r>
        <w:t>, and</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t>a</m:t>
                    </m:r>
                  </m:e>
                  <m:sub>
                    <m:r>
                      <m:t>1</m:t>
                    </m:r>
                  </m:sub>
                </m:sSub>
                <m:r>
                  <m:t>≤</m:t>
                </m:r>
                <m:rad>
                  <m:radPr>
                    <m:degHide m:val="on"/>
                  </m:radPr>
                  <m:deg/>
                  <m:e>
                    <m:f>
                      <m:fPr>
                        <m:type m:val="bar"/>
                      </m:fPr>
                      <m:num>
                        <m:sSub>
                          <m:e>
                            <m:r>
                              <m:t>S</m:t>
                            </m:r>
                          </m:e>
                          <m:sub>
                            <m:r>
                              <m:rPr>
                                <m:sty m:val="p"/>
                              </m:rPr>
                              <m:t>eff</m:t>
                            </m:r>
                          </m:sub>
                        </m:sSub>
                        <m:r>
                          <m:t>(</m:t>
                        </m:r>
                        <m:sSub>
                          <m:e>
                            <m:r>
                              <m:t>p</m:t>
                            </m:r>
                          </m:e>
                          <m:sub>
                            <m:r>
                              <m:t>T</m:t>
                            </m:r>
                          </m:sub>
                        </m:sSub>
                        <m:r>
                          <m:t>)</m:t>
                        </m:r>
                      </m:num>
                      <m:den>
                        <m:d>
                          <m:dPr>
                            <m:begChr m:val="|"/>
                            <m:sepChr m:val=""/>
                            <m:endChr m:val="|"/>
                          </m:dPr>
                          <m:e>
                            <m:r>
                              <m:t>S</m:t>
                            </m:r>
                          </m:e>
                        </m:d>
                      </m:den>
                    </m:f>
                  </m:e>
                </m:rad>
                <m:r>
                  <m:t>.</m:t>
                </m:r>
              </m:oMath>
            </m:oMathPara>
          </w:p>
        </w:tc>
        <w:tc>
          <w:tcPr>
            <w:tcW w:w="900" w:type="dxa"/>
            <w:vAlign w:val="center"/>
          </w:tcPr>
          <w:p>
            <w:pPr>
              <w:keepLines/>
              <w:spacing w:after="200" w:line="360" w:lineRule="auto"/>
              <w:jc w:val="both"/>
            </w:pPr>
            <w:r>
              <w:t>(S4)</w:t>
            </w:r>
          </w:p>
        </w:tc>
      </w:tr>
    </w:tbl>
    <w:p>
      <w:pPr>
        <w:spacing w:after="200" w:line="360" w:lineRule="auto"/>
        <w:jc w:val="both"/>
      </w:pPr>
      <w:r>
        <w:t xml:space="preserve">In normalize-then-overlap readout the second overlap equals this bound exactly, </w:t>
      </w:r>
      <m:oMath>
        <m:r>
          <m:t>⟨+|</m:t>
        </m:r>
        <m:sSub>
          <m:e>
            <m:acc>
              <m:accPr>
                <m:chr m:val="̂"/>
              </m:accPr>
              <m:e>
                <m:r>
                  <m:t>p</m:t>
                </m:r>
              </m:e>
            </m:acc>
          </m:e>
          <m:sub>
            <m:r>
              <m:t>T</m:t>
            </m:r>
          </m:sub>
        </m:sSub>
        <m:r>
          <m:t>⟩=</m:t>
        </m:r>
        <m:rad>
          <m:radPr>
            <m:degHide m:val="on"/>
          </m:radPr>
          <m:deg/>
          <m:e>
            <m:sSub>
              <m:e>
                <m:r>
                  <m:t>S</m:t>
                </m:r>
              </m:e>
              <m:sub>
                <m:r>
                  <m:rPr>
                    <m:sty m:val="p"/>
                  </m:rPr>
                  <m:t>eff</m:t>
                </m:r>
              </m:sub>
            </m:sSub>
            <m:r>
              <m:t>(</m:t>
            </m:r>
            <m:sSub>
              <m:e>
                <m:r>
                  <m:t>p</m:t>
                </m:r>
              </m:e>
              <m:sub>
                <m:r>
                  <m:t>T</m:t>
                </m:r>
              </m:sub>
            </m:sSub>
            <m:r>
              <m:t>)/|S|</m:t>
            </m:r>
          </m:e>
        </m:rad>
      </m:oMath>
      <w:r>
        <w:t>.</w:t>
      </w:r>
    </w:p>
    <w:p>
      <w:pPr>
        <w:spacing w:after="200" w:line="360" w:lineRule="auto"/>
        <w:jc w:val="both"/>
      </w:pPr>
      <w:r>
        <w:rPr>
          <w:i/>
        </w:rPr>
        <w:t>Proof.</w:t>
      </w:r>
      <w:r>
        <w:t xml:space="preserve"> By Eq. (S2), </w:t>
      </w:r>
      <m:oMath>
        <m:r>
          <m:t>c≥‖P</m:t>
        </m:r>
        <m:sSub>
          <m:e>
            <m:r>
              <m:t>‖</m:t>
            </m:r>
          </m:e>
          <m:sub>
            <m:r>
              <m:t>2</m:t>
            </m:r>
          </m:sub>
        </m:sSub>
        <m:r>
          <m:t>≥‖</m:t>
        </m:r>
        <m:sSub>
          <m:e>
            <m:r>
              <m:t>p</m:t>
            </m:r>
          </m:e>
          <m:sub>
            <m:r>
              <m:t>T</m:t>
            </m:r>
          </m:sub>
        </m:sSub>
        <m:r>
          <m:t>‖/‖</m:t>
        </m:r>
        <m:sSub>
          <m:e>
            <m:r>
              <m:t>p</m:t>
            </m:r>
          </m:e>
          <m:sub>
            <m:r>
              <m:t>0</m:t>
            </m:r>
          </m:sub>
        </m:sSub>
        <m:r>
          <m:t>‖</m:t>
        </m:r>
      </m:oMath>
      <w:r>
        <w:t xml:space="preserve">. By Eq. (S1), </w:t>
      </w:r>
      <m:oMath>
        <m:r>
          <m:t>‖</m:t>
        </m:r>
        <m:sSub>
          <m:e>
            <m:r>
              <m:t>p</m:t>
            </m:r>
          </m:e>
          <m:sub>
            <m:r>
              <m:t>T</m:t>
            </m:r>
          </m:sub>
        </m:sSub>
        <m:r>
          <m:t>‖=</m:t>
        </m:r>
        <m:sSub>
          <m:e>
            <m:r>
              <m:t>m</m:t>
            </m:r>
          </m:e>
          <m:sub>
            <m:r>
              <m:t>T</m:t>
            </m:r>
          </m:sub>
        </m:sSub>
        <m:r>
          <m:t>/</m:t>
        </m:r>
        <m:rad>
          <m:radPr>
            <m:degHide m:val="on"/>
          </m:radPr>
          <m:deg/>
          <m:e>
            <m:sSub>
              <m:e>
                <m:r>
                  <m:t>S</m:t>
                </m:r>
              </m:e>
              <m:sub>
                <m:r>
                  <m:rPr>
                    <m:sty m:val="p"/>
                  </m:rPr>
                  <m:t>eff</m:t>
                </m:r>
              </m:sub>
            </m:sSub>
            <m:r>
              <m:t>(</m:t>
            </m:r>
            <m:sSub>
              <m:e>
                <m:r>
                  <m:t>p</m:t>
                </m:r>
              </m:e>
              <m:sub>
                <m:r>
                  <m:t>T</m:t>
                </m:r>
              </m:sub>
            </m:sSub>
            <m:r>
              <m:t>)</m:t>
            </m:r>
          </m:e>
        </m:rad>
      </m:oMath>
      <w:r>
        <w:t xml:space="preserve">. Substituting both gives Eq. (S4). For the second statement, </w:t>
      </w:r>
      <m:oMath>
        <m:r>
          <m:t>⟨+|</m:t>
        </m:r>
        <m:sSub>
          <m:e>
            <m:acc>
              <m:accPr>
                <m:chr m:val="̂"/>
              </m:accPr>
              <m:e>
                <m:r>
                  <m:t>p</m:t>
                </m:r>
              </m:e>
            </m:acc>
          </m:e>
          <m:sub>
            <m:r>
              <m:t>T</m:t>
            </m:r>
          </m:sub>
        </m:sSub>
        <m:r>
          <m:t>⟩=</m:t>
        </m:r>
        <m:sSub>
          <m:e>
            <m:r>
              <m:t>m</m:t>
            </m:r>
          </m:e>
          <m:sub>
            <m:r>
              <m:t>T</m:t>
            </m:r>
          </m:sub>
        </m:sSub>
        <m:r>
          <m:t>/(</m:t>
        </m:r>
        <m:rad>
          <m:radPr>
            <m:degHide m:val="on"/>
          </m:radPr>
          <m:deg/>
          <m:e>
            <m:d>
              <m:dPr>
                <m:begChr m:val="|"/>
                <m:sepChr m:val=""/>
                <m:endChr m:val="|"/>
              </m:dPr>
              <m:e>
                <m:r>
                  <m:t>S</m:t>
                </m:r>
              </m:e>
            </m:d>
          </m:e>
        </m:rad>
        <m:r>
          <m:t>‖</m:t>
        </m:r>
        <m:sSub>
          <m:e>
            <m:r>
              <m:t>p</m:t>
            </m:r>
          </m:e>
          <m:sub>
            <m:r>
              <m:t>T</m:t>
            </m:r>
          </m:sub>
        </m:sSub>
        <m:r>
          <m:t>‖)</m:t>
        </m:r>
      </m:oMath>
      <w:r>
        <w:t xml:space="preserve">, and the same identity for </w:t>
      </w:r>
      <m:oMath>
        <m:d>
          <m:dPr>
            <m:begChr m:val="‖"/>
            <m:sepChr m:val=""/>
            <m:endChr m:val="‖"/>
          </m:dPr>
          <m:e>
            <m:sSub>
              <m:e>
                <m:r>
                  <m:t>p</m:t>
                </m:r>
              </m:e>
              <m:sub>
                <m:r>
                  <m:t>T</m:t>
                </m:r>
              </m:sub>
            </m:sSub>
          </m:e>
        </m:d>
      </m:oMath>
      <w:r>
        <w:t xml:space="preserve"> gives the result. ∎</w:t>
      </w:r>
    </w:p>
    <w:p>
      <w:pPr>
        <w:spacing w:after="200" w:line="360" w:lineRule="auto"/>
        <w:jc w:val="both"/>
      </w:pPr>
      <w:r>
        <w:rPr>
          <w:b/>
        </w:rPr>
        <w:t>Theorem S1 (readout barrier).</w:t>
      </w:r>
      <w:r>
        <w:t xml:space="preserve"> There are constants </w:t>
      </w:r>
      <w:r>
        <w:rPr>
          <w:i/>
        </w:rPr>
        <w:t>ε</w:t>
      </w:r>
      <w:r>
        <w:rPr>
          <w:sz w:val="20"/>
          <w:vertAlign w:val="subscript"/>
        </w:rPr>
        <w:t>0</w:t>
      </w:r>
      <w:r>
        <w:t xml:space="preserve"> &gt; 0 and </w:t>
      </w:r>
      <w:r>
        <w:rPr>
          <w:i/>
        </w:rPr>
        <w:t>c</w:t>
      </w:r>
      <w:r>
        <w:rPr>
          <w:sz w:val="20"/>
          <w:vertAlign w:val="subscript"/>
        </w:rPr>
        <w:t>0</w:t>
      </w:r>
      <w:r>
        <w:t xml:space="preserve"> &gt; 0 with the following property. Any algorithm in </w:t>
      </w:r>
      <m:oMath>
        <m:r>
          <m:rPr>
            <m:scr m:val="script"/>
            <m:sty m:val="i"/>
          </m:rPr>
          <m:t>C</m:t>
        </m:r>
      </m:oMath>
      <w:r>
        <w:t xml:space="preserve"> that estimates </w:t>
      </w:r>
      <w:r>
        <w:rPr>
          <w:i/>
        </w:rPr>
        <w:t>m</w:t>
      </w:r>
      <w:r>
        <w:rPr>
          <w:i/>
          <w:sz w:val="20"/>
          <w:vertAlign w:val="subscript"/>
        </w:rPr>
        <w:t>T</w:t>
      </w:r>
      <w:r>
        <w:t xml:space="preserve"> to relative precision </w:t>
      </w:r>
      <w:r>
        <w:rPr>
          <w:i/>
        </w:rPr>
        <w:t>ε</w:t>
      </w:r>
      <w:r>
        <w:t xml:space="preserve"> ≤ </w:t>
      </w:r>
      <w:r>
        <w:rPr>
          <w:i/>
        </w:rPr>
        <w:t>ε</w:t>
      </w:r>
      <w:r>
        <w:rPr>
          <w:sz w:val="20"/>
          <w:vertAlign w:val="subscript"/>
        </w:rPr>
        <w:t>0</w:t>
      </w:r>
      <w:r>
        <w:t xml:space="preserve"> with success probability at least 2/3 uses at least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Q≥</m:t>
                </m:r>
                <m:f>
                  <m:fPr>
                    <m:type m:val="bar"/>
                  </m:fPr>
                  <m:num>
                    <m:sSub>
                      <m:e>
                        <m:r>
                          <m:t>c</m:t>
                        </m:r>
                      </m:e>
                      <m:sub>
                        <m:r>
                          <m:t>0</m:t>
                        </m:r>
                      </m:sub>
                    </m:sSub>
                  </m:num>
                  <m:den>
                    <m:r>
                      <m:t>ε</m:t>
                    </m:r>
                  </m:den>
                </m:f>
                <m:rad>
                  <m:radPr>
                    <m:degHide m:val="on"/>
                  </m:radPr>
                  <m:deg/>
                  <m:e>
                    <m:f>
                      <m:fPr>
                        <m:type m:val="bar"/>
                      </m:fPr>
                      <m:num>
                        <m:d>
                          <m:dPr>
                            <m:begChr m:val="|"/>
                            <m:sepChr m:val=""/>
                            <m:endChr m:val="|"/>
                          </m:dPr>
                          <m:e>
                            <m:r>
                              <m:t>S</m:t>
                            </m:r>
                          </m:e>
                        </m:d>
                      </m:num>
                      <m:den>
                        <m:sSub>
                          <m:e>
                            <m:r>
                              <m:t>S</m:t>
                            </m:r>
                          </m:e>
                          <m:sub>
                            <m:r>
                              <m:rPr>
                                <m:sty m:val="p"/>
                              </m:rPr>
                              <m:t>eff</m:t>
                            </m:r>
                          </m:sub>
                        </m:sSub>
                        <m:r>
                          <m:t>(</m:t>
                        </m:r>
                        <m:sSub>
                          <m:e>
                            <m:r>
                              <m:t>p</m:t>
                            </m:r>
                          </m:e>
                          <m:sub>
                            <m:r>
                              <m:t>T</m:t>
                            </m:r>
                          </m:sub>
                        </m:sSub>
                        <m:r>
                          <m:t>)</m:t>
                        </m:r>
                      </m:den>
                    </m:f>
                  </m:e>
                </m:rad>
              </m:oMath>
            </m:oMathPara>
          </w:p>
        </w:tc>
        <w:tc>
          <w:tcPr>
            <w:tcW w:w="900" w:type="dxa"/>
            <w:vAlign w:val="center"/>
          </w:tcPr>
          <w:p>
            <w:pPr>
              <w:keepLines/>
              <w:spacing w:after="200" w:line="360" w:lineRule="auto"/>
              <w:jc w:val="both"/>
            </w:pPr>
            <w:r>
              <w:t>(S5)</w:t>
            </w:r>
          </w:p>
        </w:tc>
      </w:tr>
    </w:tbl>
    <w:p>
      <w:pPr>
        <w:spacing w:after="200" w:line="360" w:lineRule="auto"/>
        <w:jc w:val="both"/>
      </w:pPr>
      <w:r>
        <w:t xml:space="preserve">queries, to </w:t>
      </w:r>
      <w:r>
        <w:rPr>
          <w:i/>
        </w:rPr>
        <w:t>U</w:t>
      </w:r>
      <w:r>
        <w:t xml:space="preserve"> in direct overlap readout or to the preparation of the normalized solution in normalize-then-overlap readout.</w:t>
      </w:r>
    </w:p>
    <w:p>
      <w:pPr>
        <w:spacing w:after="200" w:line="360" w:lineRule="auto"/>
        <w:jc w:val="both"/>
      </w:pPr>
      <w:r>
        <w:rPr>
          <w:i/>
        </w:rPr>
        <w:t>Proof.</w:t>
      </w:r>
      <w:r>
        <w:t xml:space="preserve"> By Lemma S1, in both members </w:t>
      </w:r>
      <w:r>
        <w:rPr>
          <w:i/>
        </w:rPr>
        <w:t>m</w:t>
      </w:r>
      <w:r>
        <w:rPr>
          <w:i/>
          <w:sz w:val="20"/>
          <w:vertAlign w:val="subscript"/>
        </w:rPr>
        <w:t>T</w:t>
      </w:r>
      <w:r>
        <w:t xml:space="preserve"> is a known multiple of an amplitude </w:t>
      </w:r>
      <m:oMath>
        <m:r>
          <m:t>a≤</m:t>
        </m:r>
        <m:rad>
          <m:radPr>
            <m:degHide m:val="on"/>
          </m:radPr>
          <m:deg/>
          <m:e>
            <m:sSub>
              <m:e>
                <m:r>
                  <m:t>S</m:t>
                </m:r>
              </m:e>
              <m:sub>
                <m:r>
                  <m:rPr>
                    <m:sty m:val="p"/>
                  </m:rPr>
                  <m:t>eff</m:t>
                </m:r>
              </m:sub>
            </m:sSub>
            <m:r>
              <m:t>(</m:t>
            </m:r>
            <m:sSub>
              <m:e>
                <m:r>
                  <m:t>p</m:t>
                </m:r>
              </m:e>
              <m:sub>
                <m:r>
                  <m:t>T</m:t>
                </m:r>
              </m:sub>
            </m:sSub>
            <m:r>
              <m:t>)/|S|</m:t>
            </m:r>
          </m:e>
        </m:rad>
      </m:oMath>
      <w:r>
        <w:t xml:space="preserve">. Relative precision </w:t>
      </w:r>
      <w:r>
        <w:rPr>
          <w:i/>
        </w:rPr>
        <w:t>ε</w:t>
      </w:r>
      <w:r>
        <w:t xml:space="preserve"> on </w:t>
      </w:r>
      <w:r>
        <w:rPr>
          <w:i/>
        </w:rPr>
        <w:t>m</w:t>
      </w:r>
      <w:r>
        <w:rPr>
          <w:i/>
          <w:sz w:val="20"/>
          <w:vertAlign w:val="subscript"/>
        </w:rPr>
        <w:t>T</w:t>
      </w:r>
      <w:r>
        <w:t xml:space="preserve"> is therefore relative precision </w:t>
      </w:r>
      <w:r>
        <w:rPr>
          <w:i/>
        </w:rPr>
        <w:t>ε</w:t>
      </w:r>
      <w:r>
        <w:t xml:space="preserve"> on </w:t>
      </w:r>
      <w:r>
        <w:rPr>
          <w:i/>
        </w:rPr>
        <w:t>a</w:t>
      </w:r>
      <w:r>
        <w:t xml:space="preserve">. Estimating the amplitude </w:t>
      </w:r>
      <w:r>
        <w:rPr>
          <w:i/>
        </w:rPr>
        <w:t>a</w:t>
      </w:r>
      <w:r>
        <w:t xml:space="preserve"> of a black-box unitary to relative precision </w:t>
      </w:r>
      <w:r>
        <w:rPr>
          <w:i/>
        </w:rPr>
        <w:t>ε</w:t>
      </w:r>
      <w:r>
        <w:t xml:space="preserve"> needs </w:t>
      </w:r>
      <m:oMath>
        <m:r>
          <m:t>Ω(1/(εa))</m:t>
        </m:r>
      </m:oMath>
      <w:r>
        <w:t xml:space="preserve"> queries. This is the approximate-counting lower bound of Nayak and Wu [1], </w:t>
      </w:r>
      <m:oMath>
        <m:r>
          <m:t>Ω(</m:t>
        </m:r>
        <m:rad>
          <m:radPr>
            <m:degHide m:val="on"/>
          </m:radPr>
          <m:deg/>
          <m:e>
            <m:f>
              <m:fPr>
                <m:type m:val="lin"/>
              </m:fPr>
              <m:num>
                <m:r>
                  <m:t>N</m:t>
                </m:r>
              </m:num>
              <m:den>
                <m:r>
                  <m:t>K</m:t>
                </m:r>
              </m:den>
            </m:f>
          </m:e>
        </m:rad>
        <m:r>
          <m:t>/ε)</m:t>
        </m:r>
      </m:oMath>
      <w:r>
        <w:t xml:space="preserve"> queries to estimate the number </w:t>
      </w:r>
      <w:r>
        <w:rPr>
          <w:i/>
        </w:rPr>
        <w:t>K</w:t>
      </w:r>
      <w:r>
        <w:t xml:space="preserve"> of marked items among </w:t>
      </w:r>
      <w:r>
        <w:rPr>
          <w:i/>
        </w:rPr>
        <w:t>N</w:t>
      </w:r>
      <w:r>
        <w:t xml:space="preserve"> to relative precision </w:t>
      </w:r>
      <w:r>
        <w:rPr>
          <w:i/>
        </w:rPr>
        <w:t>ε</w:t>
      </w:r>
      <w:r>
        <w:t xml:space="preserve">, with </w:t>
      </w:r>
      <m:oMath>
        <m:r>
          <m:t>a=</m:t>
        </m:r>
        <m:rad>
          <m:radPr>
            <m:degHide m:val="on"/>
          </m:radPr>
          <m:deg/>
          <m:e>
            <m:f>
              <m:fPr>
                <m:type m:val="lin"/>
              </m:fPr>
              <m:num>
                <m:r>
                  <m:t>K</m:t>
                </m:r>
              </m:num>
              <m:den>
                <m:r>
                  <m:t>N</m:t>
                </m:r>
              </m:den>
            </m:f>
          </m:e>
        </m:rad>
      </m:oMath>
      <w:r>
        <w:t xml:space="preserve">. Amplitude estimation matches it [2]. A Boolean oracle is itself a unitary with the required block structure, so the bound applies to any algorithm that must work for every such </w:t>
      </w:r>
      <w:r>
        <w:rPr>
          <w:i/>
        </w:rPr>
        <w:t>U</w:t>
      </w:r>
      <w:r>
        <w:t>. In normalize-then-overlap readout the query count is at least that of the overlap step alone. ∎</w:t>
      </w:r>
    </w:p>
    <w:p>
      <w:pPr>
        <w:spacing w:after="200" w:line="360" w:lineRule="auto"/>
        <w:jc w:val="both"/>
      </w:pPr>
      <w:r>
        <w:t xml:space="preserve">The theorem is the readout form of the lower bounds of An et al. for quantum differential-equation solvers [3]. Its content is the quantity </w:t>
      </w:r>
      <m:oMath>
        <m:r>
          <m:t>|S|/</m:t>
        </m:r>
        <m:sSub>
          <m:e>
            <m:r>
              <m:t>S</m:t>
            </m:r>
          </m:e>
          <m:sub>
            <m:r>
              <m:rPr>
                <m:sty m:val="p"/>
              </m:rPr>
              <m:t>eff</m:t>
            </m:r>
          </m:sub>
        </m:sSub>
      </m:oMath>
      <w:r>
        <w:t xml:space="preserve"> for master equations, not a new lower-bound technique.</w:t>
      </w:r>
    </w:p>
    <w:p>
      <w:pPr>
        <w:spacing w:after="200" w:line="360" w:lineRule="auto"/>
        <w:jc w:val="both"/>
      </w:pPr>
      <w:r>
        <w:rPr>
          <w:b/>
        </w:rPr>
        <w:t>Corollary S1 (growth with species).</w:t>
      </w:r>
      <w:r>
        <w:t xml:space="preserve"> If the normalized law factorizes as </w:t>
      </w:r>
      <m:oMath>
        <m:sSub>
          <m:e>
            <m:acc>
              <m:accPr>
                <m:chr m:val="̂"/>
              </m:accPr>
              <m:e>
                <m:r>
                  <m:t>p</m:t>
                </m:r>
              </m:e>
            </m:acc>
          </m:e>
          <m:sub>
            <m:r>
              <m:t>T</m:t>
            </m:r>
          </m:sub>
        </m:sSub>
        <m:r>
          <m:t>=</m:t>
        </m:r>
        <m:sSub>
          <m:e>
            <m:r>
              <m:t>q</m:t>
            </m:r>
          </m:e>
          <m:sub>
            <m:r>
              <m:t>1</m:t>
            </m:r>
          </m:sub>
        </m:sSub>
        <m:r>
          <m:t>⊗⋯⊗</m:t>
        </m:r>
        <m:sSub>
          <m:e>
            <m:r>
              <m:t>q</m:t>
            </m:r>
          </m:e>
          <m:sub>
            <m:r>
              <m:t>d</m:t>
            </m:r>
          </m:sub>
        </m:sSub>
      </m:oMath>
      <w:r>
        <w:t xml:space="preserve"> on a box </w:t>
      </w:r>
      <m:oMath>
        <m:r>
          <m:t>S=</m:t>
        </m:r>
        <m:sSub>
          <m:e>
            <m:r>
              <m:t>S</m:t>
            </m:r>
          </m:e>
          <m:sub>
            <m:r>
              <m:t>1</m:t>
            </m:r>
          </m:sub>
        </m:sSub>
        <m:r>
          <m:t>×⋯×</m:t>
        </m:r>
        <m:sSub>
          <m:e>
            <m:r>
              <m:t>S</m:t>
            </m:r>
          </m:e>
          <m:sub>
            <m:r>
              <m:t>d</m:t>
            </m:r>
          </m:sub>
        </m:sSub>
      </m:oMath>
      <w:r>
        <w:t>, then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f>
                  <m:fPr>
                    <m:type m:val="bar"/>
                  </m:fPr>
                  <m:num>
                    <m:sSub>
                      <m:e>
                        <m:r>
                          <m:t>S</m:t>
                        </m:r>
                      </m:e>
                      <m:sub>
                        <m:r>
                          <m:rPr>
                            <m:sty m:val="p"/>
                          </m:rPr>
                          <m:t>eff</m:t>
                        </m:r>
                      </m:sub>
                    </m:sSub>
                    <m:r>
                      <m:t>(</m:t>
                    </m:r>
                    <m:sSub>
                      <m:e>
                        <m:r>
                          <m:t>p</m:t>
                        </m:r>
                      </m:e>
                      <m:sub>
                        <m:r>
                          <m:t>T</m:t>
                        </m:r>
                      </m:sub>
                    </m:sSub>
                    <m:r>
                      <m:t>)</m:t>
                    </m:r>
                  </m:num>
                  <m:den>
                    <m:d>
                      <m:dPr>
                        <m:begChr m:val="|"/>
                        <m:sepChr m:val=""/>
                        <m:endChr m:val="|"/>
                      </m:dPr>
                      <m:e>
                        <m:r>
                          <m:t>S</m:t>
                        </m:r>
                      </m:e>
                    </m:d>
                  </m:den>
                </m:f>
                <m:r>
                  <m:t>=</m:t>
                </m:r>
                <m:nary>
                  <m:naryPr>
                    <m:chr m:val="∏"/>
                    <m:limLoc m:val="undOvr"/>
                    <m:grow m:val="1"/>
                    <m:subHide m:val="off"/>
                    <m:supHide m:val="off"/>
                  </m:naryPr>
                  <m:sub>
                    <m:r>
                      <m:t>i=1</m:t>
                    </m:r>
                  </m:sub>
                  <m:sup>
                    <m:r>
                      <m:t>d</m:t>
                    </m:r>
                  </m:sup>
                  <m:e>
                    <m:f>
                      <m:fPr>
                        <m:type m:val="bar"/>
                      </m:fPr>
                      <m:num>
                        <m:sSub>
                          <m:e>
                            <m:r>
                              <m:t>S</m:t>
                            </m:r>
                          </m:e>
                          <m:sub>
                            <m:r>
                              <m:rPr>
                                <m:sty m:val="p"/>
                              </m:rPr>
                              <m:t>eff</m:t>
                            </m:r>
                          </m:sub>
                        </m:sSub>
                        <m:r>
                          <m:t>(</m:t>
                        </m:r>
                        <m:sSub>
                          <m:e>
                            <m:r>
                              <m:t>q</m:t>
                            </m:r>
                          </m:e>
                          <m:sub>
                            <m:r>
                              <m:t>i</m:t>
                            </m:r>
                          </m:sub>
                        </m:sSub>
                        <m:r>
                          <m:t>)</m:t>
                        </m:r>
                      </m:num>
                      <m:den>
                        <m:d>
                          <m:dPr>
                            <m:begChr m:val="|"/>
                            <m:sepChr m:val=""/>
                            <m:endChr m:val="|"/>
                          </m:dPr>
                          <m:e>
                            <m:sSub>
                              <m:e>
                                <m:r>
                                  <m:t>S</m:t>
                                </m:r>
                              </m:e>
                              <m:sub>
                                <m:r>
                                  <m:t>i</m:t>
                                </m:r>
                              </m:sub>
                            </m:sSub>
                          </m:e>
                        </m:d>
                      </m:den>
                    </m:f>
                  </m:e>
                </m:nary>
                <m:r>
                  <m:t>.</m:t>
                </m:r>
              </m:oMath>
            </m:oMathPara>
          </w:p>
        </w:tc>
        <w:tc>
          <w:tcPr>
            <w:tcW w:w="900" w:type="dxa"/>
            <w:vAlign w:val="center"/>
          </w:tcPr>
          <w:p>
            <w:pPr>
              <w:keepLines/>
              <w:spacing w:after="200" w:line="360" w:lineRule="auto"/>
              <w:jc w:val="both"/>
            </w:pPr>
            <w:r>
              <w:t>(S6)</w:t>
            </w:r>
          </w:p>
        </w:tc>
      </w:tr>
    </w:tbl>
    <w:p>
      <w:pPr>
        <w:spacing w:after="200" w:line="360" w:lineRule="auto"/>
        <w:jc w:val="both"/>
      </w:pPr>
      <w:r>
        <w:t xml:space="preserve">If every factor has </w:t>
      </w:r>
      <m:oMath>
        <m:r>
          <m:t>|</m:t>
        </m:r>
        <m:sSub>
          <m:e>
            <m:r>
              <m:t>S</m:t>
            </m:r>
          </m:e>
          <m:sub>
            <m:r>
              <m:t>i</m:t>
            </m:r>
          </m:sub>
        </m:sSub>
        <m:r>
          <m:t>|/</m:t>
        </m:r>
        <m:sSub>
          <m:e>
            <m:r>
              <m:t>S</m:t>
            </m:r>
          </m:e>
          <m:sub>
            <m:r>
              <m:rPr>
                <m:sty m:val="p"/>
              </m:rPr>
              <m:t>eff</m:t>
            </m:r>
          </m:sub>
        </m:sSub>
        <m:r>
          <m:t>(</m:t>
        </m:r>
        <m:sSub>
          <m:e>
            <m:r>
              <m:t>q</m:t>
            </m:r>
          </m:e>
          <m:sub>
            <m:r>
              <m:t>i</m:t>
            </m:r>
          </m:sub>
        </m:sSub>
        <m:r>
          <m:t>)≥ρ&gt;1</m:t>
        </m:r>
      </m:oMath>
      <w:r>
        <w:t xml:space="preserve">, the bound of Theorem S1 is at least </w:t>
      </w:r>
      <w:r>
        <w:rPr>
          <w:i/>
        </w:rPr>
        <w:t>c</w:t>
      </w:r>
      <w:r>
        <w:rPr>
          <w:sz w:val="20"/>
          <w:vertAlign w:val="subscript"/>
        </w:rPr>
        <w:t>0</w:t>
      </w:r>
      <w:r>
        <w:rPr>
          <w:i/>
        </w:rPr>
        <w:t>ρ</w:t>
      </w:r>
      <w:r>
        <w:rPr>
          <w:i/>
          <w:sz w:val="20"/>
          <w:vertAlign w:val="superscript"/>
        </w:rPr>
        <w:t>d</w:t>
      </w:r>
      <w:r>
        <w:rPr>
          <w:sz w:val="20"/>
          <w:vertAlign w:val="superscript"/>
        </w:rPr>
        <w:t>/2</w:t>
      </w:r>
      <w:r>
        <w:t>/</w:t>
      </w:r>
      <w:r>
        <w:rPr>
          <w:i/>
        </w:rPr>
        <w:t>ε</w:t>
      </w:r>
      <w:r>
        <w:t>.</w:t>
      </w:r>
    </w:p>
    <w:p>
      <w:pPr>
        <w:spacing w:after="200" w:line="360" w:lineRule="auto"/>
        <w:jc w:val="both"/>
      </w:pPr>
      <w:r>
        <w:rPr>
          <w:i/>
        </w:rPr>
        <w:t>Proof.</w:t>
      </w:r>
      <w:r>
        <w:t xml:space="preserve"> The sum of squares of a product law is the product of the sums of squares of its factors, so </w:t>
      </w:r>
      <w:r>
        <w:rPr>
          <w:i/>
        </w:rPr>
        <w:t>S</w:t>
      </w:r>
      <w:r>
        <w:rPr>
          <w:sz w:val="20"/>
          <w:vertAlign w:val="subscript"/>
        </w:rPr>
        <w:t>eff</w:t>
      </w:r>
      <w:r>
        <w:t xml:space="preserve"> multiplies across factors. ∎</w:t>
      </w:r>
    </w:p>
    <w:p>
      <w:pPr>
        <w:pStyle w:val="Heading2"/>
        <w:spacing w:before="480" w:after="120" w:line="360" w:lineRule="auto"/>
      </w:pPr>
      <w:r>
        <w:rPr>
          <w:rFonts w:ascii="Times New Roman" w:hAnsi="Times New Roman"/>
        </w:rPr>
        <w:t>S2.3 Scope</w:t>
      </w:r>
    </w:p>
    <w:p>
      <w:pPr>
        <w:spacing w:after="200" w:line="360" w:lineRule="auto"/>
        <w:jc w:val="both"/>
      </w:pPr>
      <w:r>
        <w:t xml:space="preserve">Theorem S1 is a relativized statement. The hard instances are generic unitaries, not necessarily propagators of a master equation. It is open whether the structure of the CME allows a faster readout that does not depend on </w:t>
      </w:r>
      <w:r>
        <w:rPr>
          <w:i/>
        </w:rPr>
        <w:t>p</w:t>
      </w:r>
      <w:r>
        <w:t xml:space="preserve">. Such an algorithm would have to use the generator beyond black-box access. The weighted encoding of Section S4 does exactly this, through a classical reference </w:t>
      </w:r>
      <w:r>
        <w:rPr>
          <w:i/>
        </w:rPr>
        <w:t>μ</w:t>
      </w:r>
      <w:r>
        <w:t>.</w:t>
      </w:r>
    </w:p>
    <w:p>
      <w:pPr>
        <w:pStyle w:val="Heading1"/>
        <w:spacing w:after="120" w:line="360" w:lineRule="auto"/>
      </w:pPr>
      <w:r>
        <w:rPr>
          <w:rFonts w:ascii="Times New Roman" w:hAnsi="Times New Roman"/>
        </w:rPr>
        <w:t>S3. Models, readout factors and the swap-test example</w:t>
      </w:r>
    </w:p>
    <w:p>
      <w:pPr>
        <w:pStyle w:val="Heading2"/>
        <w:spacing w:before="480" w:after="120" w:line="360" w:lineRule="auto"/>
      </w:pPr>
      <w:r>
        <w:rPr>
          <w:rFonts w:ascii="Times New Roman" w:hAnsi="Times New Roman"/>
        </w:rPr>
        <w:t>S3.1 Published models</w:t>
      </w:r>
    </w:p>
    <w:p>
      <w:pPr>
        <w:spacing w:after="200" w:line="360" w:lineRule="auto"/>
        <w:jc w:val="both"/>
      </w:pPr>
      <w:r>
        <w:t>The published models are twelve instances of eight models from five sources. Table S3 gives the box, the horizon, the leaked probability, the number of species with molecule counts and the readout factor of the uniform encoding for each instance. Promoter states are binary and are not included in the species count. Each truncated CME was solved by finite state projection with entrywise-accurate uniformization. The toggle switch of Gardner et al., as studied by Gupta et al. [4], needs 3.66 million states. It was too large for the direct solution used here, so its readout factor is not reported. The λ-phage value comes from the solution on the same box that was used for its certificates.</w:t>
      </w:r>
    </w:p>
    <w:p>
      <w:pPr>
        <w:keepNext/>
        <w:keepLines/>
        <w:spacing w:before="480" w:line="360" w:lineRule="auto"/>
        <w:jc w:val="center"/>
      </w:pPr>
      <w:r>
        <w:rPr>
          <w:b/>
        </w:rPr>
        <w:t xml:space="preserve">Table S3. Published model instances. Count species exclude binary promoter states. The readout factor is </w:t>
      </w:r>
      <m:oMath>
        <m:sSub>
          <m:e>
            <m:r>
              <m:rPr>
                <m:sty m:val="p"/>
              </m:rPr>
              <m:t>log</m:t>
            </m:r>
          </m:e>
          <m:sub>
            <m:r>
              <m:t>10</m:t>
            </m:r>
          </m:sub>
        </m:sSub>
        <m:rad>
          <m:radPr>
            <m:degHide m:val="on"/>
          </m:radPr>
          <m:deg/>
          <m:e>
            <m:r>
              <m:t>|S|/</m:t>
            </m:r>
            <m:sSub>
              <m:e>
                <m:r>
                  <m:t>S</m:t>
                </m:r>
              </m:e>
              <m:sub>
                <m:r>
                  <m:rPr>
                    <m:sty m:val="p"/>
                  </m:rPr>
                  <m:t>eff</m:t>
                </m:r>
              </m:sub>
            </m:sSub>
          </m:e>
        </m:rad>
      </m:oMath>
      <w:r>
        <w:rPr>
          <w:b/>
        </w:rPr>
        <w:t xml:space="preserve"> of the uniform encoding at the horizon </w:t>
      </w:r>
      <w:r>
        <w:rPr>
          <w:b/>
          <w:i/>
        </w:rPr>
        <w:t>T</w:t>
      </w:r>
      <w:r>
        <w:rPr>
          <w:b/>
        </w:rPr>
        <w:t>.</w:t>
      </w:r>
    </w:p>
    <w:tbl>
      <w:tblPr>
        <w:tblStyle w:val="PlainTable2"/>
        <w:tblW w:type="auto" w:w="0"/>
        <w:tblLayout w:type="fixed"/>
        <w:tblLook w:firstColumn="1" w:firstRow="1" w:lastColumn="0" w:lastRow="0" w:noHBand="0" w:noVBand="1" w:val="04A0"/>
        <w:tblLayout w:type="fixed"/>
      </w:tblPr>
      <w:tblGrid>
        <w:gridCol w:w="1750"/>
        <w:gridCol w:w="850"/>
        <w:gridCol w:w="1300"/>
        <w:gridCol w:w="1050"/>
        <w:gridCol w:w="700"/>
        <w:gridCol w:w="900"/>
        <w:gridCol w:w="1000"/>
        <w:gridCol w:w="1810"/>
      </w:tblGrid>
      <w:tr>
        <w:trPr>
          <w:tblHeader/>
          <w:cantSplit/>
        </w:trPr>
        <w:tc>
          <w:tcPr>
            <w:tcW w:type="dxa" w:w="1750"/>
          </w:tcPr>
          <w:p>
            <w:r>
              <w:rPr>
                <w:sz w:val="20"/>
              </w:rPr>
              <w:t>Instance</w:t>
            </w:r>
          </w:p>
        </w:tc>
        <w:tc>
          <w:tcPr>
            <w:tcW w:type="dxa" w:w="850"/>
          </w:tcPr>
          <w:p>
            <w:r>
              <w:rPr>
                <w:sz w:val="20"/>
              </w:rPr>
              <w:t>Species</w:t>
            </w:r>
          </w:p>
        </w:tc>
        <w:tc>
          <w:tcPr>
            <w:tcW w:type="dxa" w:w="1300"/>
          </w:tcPr>
          <w:p>
            <w:r>
              <w:rPr>
                <w:sz w:val="20"/>
              </w:rPr>
              <w:t>Box</w:t>
            </w:r>
          </w:p>
        </w:tc>
        <w:tc>
          <w:tcPr>
            <w:tcW w:type="dxa" w:w="1050"/>
          </w:tcPr>
          <w:p>
            <w:r>
              <w:rPr>
                <w:sz w:val="20"/>
              </w:rPr>
              <w:t>|S|</w:t>
            </w:r>
          </w:p>
        </w:tc>
        <w:tc>
          <w:tcPr>
            <w:tcW w:type="dxa" w:w="700"/>
          </w:tcPr>
          <w:p>
            <w:r>
              <w:rPr>
                <w:i/>
                <w:sz w:val="20"/>
              </w:rPr>
              <w:t>T</w:t>
            </w:r>
          </w:p>
        </w:tc>
        <w:tc>
          <w:tcPr>
            <w:tcW w:type="dxa" w:w="900"/>
          </w:tcPr>
          <w:p>
            <w:r>
              <w:rPr>
                <w:sz w:val="20"/>
              </w:rPr>
              <w:t>Leak</w:t>
            </w:r>
          </w:p>
        </w:tc>
        <w:tc>
          <w:tcPr>
            <w:tcW w:type="dxa" w:w="1000"/>
          </w:tcPr>
          <w:p>
            <w:r>
              <w:rPr>
                <w:sz w:val="20"/>
              </w:rPr>
              <w:t>log</w:t>
            </w:r>
            <w:r>
              <w:rPr>
                <w:sz w:val="20"/>
                <w:vertAlign w:val="subscript"/>
              </w:rPr>
              <w:t>10</w:t>
            </w:r>
            <w:r>
              <w:rPr>
                <w:sz w:val="20"/>
              </w:rPr>
              <w:t xml:space="preserve"> readout factor</w:t>
            </w:r>
          </w:p>
        </w:tc>
        <w:tc>
          <w:tcPr>
            <w:tcW w:type="dxa" w:w="1810"/>
          </w:tcPr>
          <w:p>
            <w:r>
              <w:rPr>
                <w:sz w:val="20"/>
              </w:rPr>
              <w:t>Source</w:t>
            </w:r>
          </w:p>
        </w:tc>
      </w:tr>
      <w:tr>
        <w:trPr>
          <w:cantSplit/>
        </w:trPr>
        <w:tc>
          <w:tcPr>
            <w:tcW w:type="dxa" w:w="1750"/>
          </w:tcPr>
          <w:p>
            <w:r>
              <w:rPr>
                <w:sz w:val="20"/>
              </w:rPr>
              <w:t>Schlögl (Kuntz et al.)</w:t>
            </w:r>
          </w:p>
        </w:tc>
        <w:tc>
          <w:tcPr>
            <w:tcW w:type="dxa" w:w="850"/>
          </w:tcPr>
          <w:p>
            <w:r>
              <w:rPr>
                <w:sz w:val="20"/>
              </w:rPr>
              <w:t>1</w:t>
            </w:r>
          </w:p>
        </w:tc>
        <w:tc>
          <w:tcPr>
            <w:tcW w:type="dxa" w:w="1300"/>
          </w:tcPr>
          <w:p>
            <w:r>
              <w:rPr>
                <w:sz w:val="20"/>
              </w:rPr>
              <w:t>200</w:t>
            </w:r>
          </w:p>
        </w:tc>
        <w:tc>
          <w:tcPr>
            <w:tcW w:type="dxa" w:w="1050"/>
          </w:tcPr>
          <w:p>
            <w:r>
              <w:rPr>
                <w:sz w:val="20"/>
              </w:rPr>
              <w:t>200</w:t>
            </w:r>
          </w:p>
        </w:tc>
        <w:tc>
          <w:tcPr>
            <w:tcW w:type="dxa" w:w="700"/>
          </w:tcPr>
          <w:p>
            <w:r>
              <w:rPr>
                <w:sz w:val="20"/>
              </w:rPr>
              <w:t>0.5721</w:t>
            </w:r>
          </w:p>
        </w:tc>
        <w:tc>
          <w:tcPr>
            <w:tcW w:type="dxa" w:w="900"/>
          </w:tcPr>
          <w:p>
            <w:r>
              <w:rPr>
                <w:sz w:val="20"/>
              </w:rPr>
              <w:t>-3.8×10</w:t>
            </w:r>
            <w:r>
              <w:rPr>
                <w:sz w:val="20"/>
                <w:vertAlign w:val="superscript"/>
              </w:rPr>
              <w:t>-13</w:t>
            </w:r>
          </w:p>
        </w:tc>
        <w:tc>
          <w:tcPr>
            <w:tcW w:type="dxa" w:w="1000"/>
          </w:tcPr>
          <w:p>
            <w:r>
              <w:rPr>
                <w:sz w:val="20"/>
              </w:rPr>
              <w:t>0.34</w:t>
            </w:r>
          </w:p>
        </w:tc>
        <w:tc>
          <w:tcPr>
            <w:tcW w:type="dxa" w:w="1810"/>
          </w:tcPr>
          <w:p>
            <w:r>
              <w:rPr>
                <w:sz w:val="20"/>
              </w:rPr>
              <w:t>Kuntz et al. [31], Fig. 3(b)</w:t>
            </w:r>
          </w:p>
        </w:tc>
      </w:tr>
      <w:tr>
        <w:trPr>
          <w:cantSplit/>
        </w:trPr>
        <w:tc>
          <w:tcPr>
            <w:tcW w:type="dxa" w:w="1750"/>
          </w:tcPr>
          <w:p>
            <w:r>
              <w:rPr>
                <w:sz w:val="20"/>
              </w:rPr>
              <w:t>Toggle switch (Hegland et al.)</w:t>
            </w:r>
          </w:p>
        </w:tc>
        <w:tc>
          <w:tcPr>
            <w:tcW w:type="dxa" w:w="850"/>
          </w:tcPr>
          <w:p>
            <w:r>
              <w:rPr>
                <w:sz w:val="20"/>
              </w:rPr>
              <w:t>2</w:t>
            </w:r>
          </w:p>
        </w:tc>
        <w:tc>
          <w:tcPr>
            <w:tcW w:type="dxa" w:w="1300"/>
          </w:tcPr>
          <w:p>
            <w:r>
              <w:rPr>
                <w:sz w:val="20"/>
              </w:rPr>
              <w:t>64 × 64</w:t>
            </w:r>
          </w:p>
        </w:tc>
        <w:tc>
          <w:tcPr>
            <w:tcW w:type="dxa" w:w="1050"/>
          </w:tcPr>
          <w:p>
            <w:r>
              <w:rPr>
                <w:sz w:val="20"/>
              </w:rPr>
              <w:t>4,096</w:t>
            </w:r>
          </w:p>
        </w:tc>
        <w:tc>
          <w:tcPr>
            <w:tcW w:type="dxa" w:w="700"/>
          </w:tcPr>
          <w:p>
            <w:r>
              <w:rPr>
                <w:sz w:val="20"/>
              </w:rPr>
              <w:t>146.7</w:t>
            </w:r>
          </w:p>
        </w:tc>
        <w:tc>
          <w:tcPr>
            <w:tcW w:type="dxa" w:w="900"/>
          </w:tcPr>
          <w:p>
            <w:r>
              <w:rPr>
                <w:sz w:val="20"/>
              </w:rPr>
              <w:t>2.1×10</w:t>
            </w:r>
            <w:r>
              <w:rPr>
                <w:sz w:val="20"/>
                <w:vertAlign w:val="superscript"/>
              </w:rPr>
              <w:t>-9</w:t>
            </w:r>
          </w:p>
        </w:tc>
        <w:tc>
          <w:tcPr>
            <w:tcW w:type="dxa" w:w="1000"/>
          </w:tcPr>
          <w:p>
            <w:r>
              <w:rPr>
                <w:sz w:val="20"/>
              </w:rPr>
              <w:t>0.88</w:t>
            </w:r>
          </w:p>
        </w:tc>
        <w:tc>
          <w:tcPr>
            <w:tcW w:type="dxa" w:w="1810"/>
          </w:tcPr>
          <w:p>
            <w:r>
              <w:rPr>
                <w:sz w:val="20"/>
              </w:rPr>
              <w:t>Jahnke and Huisinga [32], Sec. 4.1, Eq. (21); model of Hegland et al.</w:t>
            </w:r>
          </w:p>
        </w:tc>
      </w:tr>
      <w:tr>
        <w:trPr>
          <w:cantSplit/>
        </w:trPr>
        <w:tc>
          <w:tcPr>
            <w:tcW w:type="dxa" w:w="1750"/>
          </w:tcPr>
          <w:p>
            <w:r>
              <w:rPr>
                <w:sz w:val="20"/>
              </w:rPr>
              <w:t>Toggle switch (Kuntz et al.)</w:t>
            </w:r>
          </w:p>
        </w:tc>
        <w:tc>
          <w:tcPr>
            <w:tcW w:type="dxa" w:w="850"/>
          </w:tcPr>
          <w:p>
            <w:r>
              <w:rPr>
                <w:sz w:val="20"/>
              </w:rPr>
              <w:t>2</w:t>
            </w:r>
          </w:p>
        </w:tc>
        <w:tc>
          <w:tcPr>
            <w:tcW w:type="dxa" w:w="1300"/>
          </w:tcPr>
          <w:p>
            <w:r>
              <w:rPr>
                <w:sz w:val="20"/>
              </w:rPr>
              <w:t>60 × 30</w:t>
            </w:r>
          </w:p>
        </w:tc>
        <w:tc>
          <w:tcPr>
            <w:tcW w:type="dxa" w:w="1050"/>
          </w:tcPr>
          <w:p>
            <w:r>
              <w:rPr>
                <w:sz w:val="20"/>
              </w:rPr>
              <w:t>1,800</w:t>
            </w:r>
          </w:p>
        </w:tc>
        <w:tc>
          <w:tcPr>
            <w:tcW w:type="dxa" w:w="700"/>
          </w:tcPr>
          <w:p>
            <w:r>
              <w:rPr>
                <w:sz w:val="20"/>
              </w:rPr>
              <w:t>1.477</w:t>
            </w:r>
          </w:p>
        </w:tc>
        <w:tc>
          <w:tcPr>
            <w:tcW w:type="dxa" w:w="900"/>
          </w:tcPr>
          <w:p>
            <w:r>
              <w:rPr>
                <w:sz w:val="20"/>
              </w:rPr>
              <w:t>6.3×10</w:t>
            </w:r>
            <w:r>
              <w:rPr>
                <w:sz w:val="20"/>
                <w:vertAlign w:val="superscript"/>
              </w:rPr>
              <w:t>-10</w:t>
            </w:r>
          </w:p>
        </w:tc>
        <w:tc>
          <w:tcPr>
            <w:tcW w:type="dxa" w:w="1000"/>
          </w:tcPr>
          <w:p>
            <w:r>
              <w:rPr>
                <w:sz w:val="20"/>
              </w:rPr>
              <w:t>0.71</w:t>
            </w:r>
          </w:p>
        </w:tc>
        <w:tc>
          <w:tcPr>
            <w:tcW w:type="dxa" w:w="1810"/>
          </w:tcPr>
          <w:p>
            <w:r>
              <w:rPr>
                <w:sz w:val="20"/>
              </w:rPr>
              <w:t>Kuntz et al. [31], Sec. V.A, Eqs. (112)–(113)</w:t>
            </w:r>
          </w:p>
        </w:tc>
      </w:tr>
      <w:tr>
        <w:trPr>
          <w:cantSplit/>
        </w:trPr>
        <w:tc>
          <w:tcPr>
            <w:tcW w:type="dxa" w:w="1750"/>
          </w:tcPr>
          <w:p>
            <w:r>
              <w:rPr>
                <w:sz w:val="20"/>
              </w:rPr>
              <w:t>Toggle switch (Gardner et al.)</w:t>
            </w:r>
          </w:p>
        </w:tc>
        <w:tc>
          <w:tcPr>
            <w:tcW w:type="dxa" w:w="850"/>
          </w:tcPr>
          <w:p>
            <w:r>
              <w:rPr>
                <w:sz w:val="20"/>
              </w:rPr>
              <w:t>2</w:t>
            </w:r>
          </w:p>
        </w:tc>
        <w:tc>
          <w:tcPr>
            <w:tcW w:type="dxa" w:w="1300"/>
          </w:tcPr>
          <w:p>
            <w:r>
              <w:rPr>
                <w:sz w:val="20"/>
              </w:rPr>
              <w:t>1912 × 1912</w:t>
            </w:r>
          </w:p>
        </w:tc>
        <w:tc>
          <w:tcPr>
            <w:tcW w:type="dxa" w:w="1050"/>
          </w:tcPr>
          <w:p>
            <w:r>
              <w:rPr>
                <w:sz w:val="20"/>
              </w:rPr>
              <w:t>3,655,744</w:t>
            </w:r>
          </w:p>
        </w:tc>
        <w:tc>
          <w:tcPr>
            <w:tcW w:type="dxa" w:w="700"/>
          </w:tcPr>
          <w:p>
            <w:r>
              <w:rPr>
                <w:sz w:val="20"/>
              </w:rPr>
              <w:t>6.151</w:t>
            </w:r>
          </w:p>
        </w:tc>
        <w:tc>
          <w:tcPr>
            <w:tcW w:type="dxa" w:w="900"/>
          </w:tcPr>
          <w:p>
            <w:r>
              <w:rPr>
                <w:sz w:val="20"/>
              </w:rPr>
              <w:t>-7.1×10</w:t>
            </w:r>
            <w:r>
              <w:rPr>
                <w:sz w:val="20"/>
                <w:vertAlign w:val="superscript"/>
              </w:rPr>
              <w:t>-13</w:t>
            </w:r>
          </w:p>
        </w:tc>
        <w:tc>
          <w:tcPr>
            <w:tcW w:type="dxa" w:w="1000"/>
          </w:tcPr>
          <w:p>
            <w:r>
              <w:rPr>
                <w:sz w:val="20"/>
              </w:rPr>
              <w:t>not computed</w:t>
            </w:r>
          </w:p>
        </w:tc>
        <w:tc>
          <w:tcPr>
            <w:tcW w:type="dxa" w:w="1810"/>
          </w:tcPr>
          <w:p>
            <w:r>
              <w:rPr>
                <w:sz w:val="20"/>
              </w:rPr>
              <w:t>Gupta et al. [4], Sec. 4.3.2; toggle of Gardner et al.</w:t>
            </w:r>
          </w:p>
        </w:tc>
      </w:tr>
      <w:tr>
        <w:trPr>
          <w:cantSplit/>
        </w:trPr>
        <w:tc>
          <w:tcPr>
            <w:tcW w:type="dxa" w:w="1750"/>
          </w:tcPr>
          <w:p>
            <w:r>
              <w:rPr>
                <w:sz w:val="20"/>
              </w:rPr>
              <w:t>Bursty feedback, ⟨b⟩ = 1</w:t>
            </w:r>
          </w:p>
        </w:tc>
        <w:tc>
          <w:tcPr>
            <w:tcW w:type="dxa" w:w="850"/>
          </w:tcPr>
          <w:p>
            <w:r>
              <w:rPr>
                <w:sz w:val="20"/>
              </w:rPr>
              <w:t>1</w:t>
            </w:r>
          </w:p>
        </w:tc>
        <w:tc>
          <w:tcPr>
            <w:tcW w:type="dxa" w:w="1300"/>
          </w:tcPr>
          <w:p>
            <w:r>
              <w:rPr>
                <w:sz w:val="20"/>
              </w:rPr>
              <w:t>2 × 40</w:t>
            </w:r>
          </w:p>
        </w:tc>
        <w:tc>
          <w:tcPr>
            <w:tcW w:type="dxa" w:w="1050"/>
          </w:tcPr>
          <w:p>
            <w:r>
              <w:rPr>
                <w:sz w:val="20"/>
              </w:rPr>
              <w:t>80</w:t>
            </w:r>
          </w:p>
        </w:tc>
        <w:tc>
          <w:tcPr>
            <w:tcW w:type="dxa" w:w="700"/>
          </w:tcPr>
          <w:p>
            <w:r>
              <w:rPr>
                <w:sz w:val="20"/>
              </w:rPr>
              <w:t>0.5</w:t>
            </w:r>
          </w:p>
        </w:tc>
        <w:tc>
          <w:tcPr>
            <w:tcW w:type="dxa" w:w="900"/>
          </w:tcPr>
          <w:p>
            <w:r>
              <w:rPr>
                <w:sz w:val="20"/>
              </w:rPr>
              <w:t>2.3×10</w:t>
            </w:r>
            <w:r>
              <w:rPr>
                <w:sz w:val="20"/>
                <w:vertAlign w:val="superscript"/>
              </w:rPr>
              <w:t>-12</w:t>
            </w:r>
          </w:p>
        </w:tc>
        <w:tc>
          <w:tcPr>
            <w:tcW w:type="dxa" w:w="1000"/>
          </w:tcPr>
          <w:p>
            <w:r>
              <w:rPr>
                <w:sz w:val="20"/>
              </w:rPr>
              <w:t>0.78</w:t>
            </w:r>
          </w:p>
        </w:tc>
        <w:tc>
          <w:tcPr>
            <w:tcW w:type="dxa" w:w="1810"/>
          </w:tcPr>
          <w:p>
            <w:r>
              <w:rPr>
                <w:sz w:val="20"/>
              </w:rPr>
              <w:t>Kuntz et al. [31], Sec. V.B, Eq. (114)</w:t>
            </w:r>
          </w:p>
        </w:tc>
      </w:tr>
      <w:tr>
        <w:trPr>
          <w:cantSplit/>
        </w:trPr>
        <w:tc>
          <w:tcPr>
            <w:tcW w:type="dxa" w:w="1750"/>
          </w:tcPr>
          <w:p>
            <w:r>
              <w:rPr>
                <w:sz w:val="20"/>
              </w:rPr>
              <w:t>Bursty feedback, ⟨b⟩ = 10</w:t>
            </w:r>
          </w:p>
        </w:tc>
        <w:tc>
          <w:tcPr>
            <w:tcW w:type="dxa" w:w="850"/>
          </w:tcPr>
          <w:p>
            <w:r>
              <w:rPr>
                <w:sz w:val="20"/>
              </w:rPr>
              <w:t>1</w:t>
            </w:r>
          </w:p>
        </w:tc>
        <w:tc>
          <w:tcPr>
            <w:tcW w:type="dxa" w:w="1300"/>
          </w:tcPr>
          <w:p>
            <w:r>
              <w:rPr>
                <w:sz w:val="20"/>
              </w:rPr>
              <w:t>2 × 157</w:t>
            </w:r>
          </w:p>
        </w:tc>
        <w:tc>
          <w:tcPr>
            <w:tcW w:type="dxa" w:w="1050"/>
          </w:tcPr>
          <w:p>
            <w:r>
              <w:rPr>
                <w:sz w:val="20"/>
              </w:rPr>
              <w:t>314</w:t>
            </w:r>
          </w:p>
        </w:tc>
        <w:tc>
          <w:tcPr>
            <w:tcW w:type="dxa" w:w="700"/>
          </w:tcPr>
          <w:p>
            <w:r>
              <w:rPr>
                <w:sz w:val="20"/>
              </w:rPr>
              <w:t>0.5</w:t>
            </w:r>
          </w:p>
        </w:tc>
        <w:tc>
          <w:tcPr>
            <w:tcW w:type="dxa" w:w="900"/>
          </w:tcPr>
          <w:p>
            <w:r>
              <w:rPr>
                <w:sz w:val="20"/>
              </w:rPr>
              <w:t>1.7×10</w:t>
            </w:r>
            <w:r>
              <w:rPr>
                <w:sz w:val="20"/>
                <w:vertAlign w:val="superscript"/>
              </w:rPr>
              <w:t>-7</w:t>
            </w:r>
          </w:p>
        </w:tc>
        <w:tc>
          <w:tcPr>
            <w:tcW w:type="dxa" w:w="1000"/>
          </w:tcPr>
          <w:p>
            <w:r>
              <w:rPr>
                <w:sz w:val="20"/>
              </w:rPr>
              <w:t>1.06</w:t>
            </w:r>
          </w:p>
        </w:tc>
        <w:tc>
          <w:tcPr>
            <w:tcW w:type="dxa" w:w="1810"/>
          </w:tcPr>
          <w:p>
            <w:r>
              <w:rPr>
                <w:sz w:val="20"/>
              </w:rPr>
              <w:t>Kuntz et al. [31], Sec. V.B, Eq. (114)</w:t>
            </w:r>
          </w:p>
        </w:tc>
      </w:tr>
      <w:tr>
        <w:trPr>
          <w:cantSplit/>
        </w:trPr>
        <w:tc>
          <w:tcPr>
            <w:tcW w:type="dxa" w:w="1750"/>
          </w:tcPr>
          <w:p>
            <w:r>
              <w:rPr>
                <w:sz w:val="20"/>
              </w:rPr>
              <w:t>Bursty feedback, ⟨b⟩ = 100</w:t>
            </w:r>
          </w:p>
        </w:tc>
        <w:tc>
          <w:tcPr>
            <w:tcW w:type="dxa" w:w="850"/>
          </w:tcPr>
          <w:p>
            <w:r>
              <w:rPr>
                <w:sz w:val="20"/>
              </w:rPr>
              <w:t>1</w:t>
            </w:r>
          </w:p>
        </w:tc>
        <w:tc>
          <w:tcPr>
            <w:tcW w:type="dxa" w:w="1300"/>
          </w:tcPr>
          <w:p>
            <w:r>
              <w:rPr>
                <w:sz w:val="20"/>
              </w:rPr>
              <w:t>2 × 1563</w:t>
            </w:r>
          </w:p>
        </w:tc>
        <w:tc>
          <w:tcPr>
            <w:tcW w:type="dxa" w:w="1050"/>
          </w:tcPr>
          <w:p>
            <w:r>
              <w:rPr>
                <w:sz w:val="20"/>
              </w:rPr>
              <w:t>3,126</w:t>
            </w:r>
          </w:p>
        </w:tc>
        <w:tc>
          <w:tcPr>
            <w:tcW w:type="dxa" w:w="700"/>
          </w:tcPr>
          <w:p>
            <w:r>
              <w:rPr>
                <w:sz w:val="20"/>
              </w:rPr>
              <w:t>0.5</w:t>
            </w:r>
          </w:p>
        </w:tc>
        <w:tc>
          <w:tcPr>
            <w:tcW w:type="dxa" w:w="900"/>
          </w:tcPr>
          <w:p>
            <w:r>
              <w:rPr>
                <w:sz w:val="20"/>
              </w:rPr>
              <w:t>5.9×10</w:t>
            </w:r>
            <w:r>
              <w:rPr>
                <w:sz w:val="20"/>
                <w:vertAlign w:val="superscript"/>
              </w:rPr>
              <w:t>-8</w:t>
            </w:r>
          </w:p>
        </w:tc>
        <w:tc>
          <w:tcPr>
            <w:tcW w:type="dxa" w:w="1000"/>
          </w:tcPr>
          <w:p>
            <w:r>
              <w:rPr>
                <w:sz w:val="20"/>
              </w:rPr>
              <w:t>1.55</w:t>
            </w:r>
          </w:p>
        </w:tc>
        <w:tc>
          <w:tcPr>
            <w:tcW w:type="dxa" w:w="1810"/>
          </w:tcPr>
          <w:p>
            <w:r>
              <w:rPr>
                <w:sz w:val="20"/>
              </w:rPr>
              <w:t>Kuntz et al. [31], Sec. V.B, Eq. (114)</w:t>
            </w:r>
          </w:p>
        </w:tc>
      </w:tr>
      <w:tr>
        <w:trPr>
          <w:cantSplit/>
        </w:trPr>
        <w:tc>
          <w:tcPr>
            <w:tcW w:type="dxa" w:w="1750"/>
          </w:tcPr>
          <w:p>
            <w:r>
              <w:rPr>
                <w:sz w:val="20"/>
              </w:rPr>
              <w:t>λ-phage</w:t>
            </w:r>
          </w:p>
        </w:tc>
        <w:tc>
          <w:tcPr>
            <w:tcW w:type="dxa" w:w="850"/>
          </w:tcPr>
          <w:p>
            <w:r>
              <w:rPr>
                <w:sz w:val="20"/>
              </w:rPr>
              <w:t>5</w:t>
            </w:r>
          </w:p>
        </w:tc>
        <w:tc>
          <w:tcPr>
            <w:tcW w:type="dxa" w:w="1300"/>
          </w:tcPr>
          <w:p>
            <w:r>
              <w:rPr>
                <w:sz w:val="20"/>
              </w:rPr>
              <w:t>24 × 63 × 17 × 17 × 17</w:t>
            </w:r>
          </w:p>
        </w:tc>
        <w:tc>
          <w:tcPr>
            <w:tcW w:type="dxa" w:w="1050"/>
          </w:tcPr>
          <w:p>
            <w:r>
              <w:rPr>
                <w:sz w:val="20"/>
              </w:rPr>
              <w:t>7,428,456</w:t>
            </w:r>
          </w:p>
        </w:tc>
        <w:tc>
          <w:tcPr>
            <w:tcW w:type="dxa" w:w="700"/>
          </w:tcPr>
          <w:p>
            <w:r>
              <w:rPr>
                <w:sz w:val="20"/>
              </w:rPr>
              <w:t>10</w:t>
            </w:r>
          </w:p>
        </w:tc>
        <w:tc>
          <w:tcPr>
            <w:tcW w:type="dxa" w:w="900"/>
          </w:tcPr>
          <w:p>
            <w:r>
              <w:rPr>
                <w:sz w:val="20"/>
              </w:rPr>
              <w:t>7.7×10</w:t>
            </w:r>
            <w:r>
              <w:rPr>
                <w:sz w:val="20"/>
                <w:vertAlign w:val="superscript"/>
              </w:rPr>
              <w:t>-5</w:t>
            </w:r>
          </w:p>
        </w:tc>
        <w:tc>
          <w:tcPr>
            <w:tcW w:type="dxa" w:w="1000"/>
          </w:tcPr>
          <w:p>
            <w:r>
              <w:rPr>
                <w:sz w:val="20"/>
              </w:rPr>
              <w:t>2.18</w:t>
            </w:r>
          </w:p>
        </w:tc>
        <w:tc>
          <w:tcPr>
            <w:tcW w:type="dxa" w:w="1810"/>
          </w:tcPr>
          <w:p>
            <w:r>
              <w:rPr>
                <w:sz w:val="20"/>
              </w:rPr>
              <w:t>Jahnke and Huisinga [32], Sec. 4.2, Eq. (22); model of Hegland et al.</w:t>
            </w:r>
          </w:p>
        </w:tc>
      </w:tr>
      <w:tr>
        <w:trPr>
          <w:cantSplit/>
        </w:trPr>
        <w:tc>
          <w:tcPr>
            <w:tcW w:type="dxa" w:w="1750"/>
          </w:tcPr>
          <w:p>
            <w:r>
              <w:rPr>
                <w:sz w:val="20"/>
              </w:rPr>
              <w:t>Toggle switch (Tang et al.)</w:t>
            </w:r>
          </w:p>
        </w:tc>
        <w:tc>
          <w:tcPr>
            <w:tcW w:type="dxa" w:w="850"/>
          </w:tcPr>
          <w:p>
            <w:r>
              <w:rPr>
                <w:sz w:val="20"/>
              </w:rPr>
              <w:t>2</w:t>
            </w:r>
          </w:p>
        </w:tc>
        <w:tc>
          <w:tcPr>
            <w:tcW w:type="dxa" w:w="1300"/>
          </w:tcPr>
          <w:p>
            <w:r>
              <w:rPr>
                <w:sz w:val="20"/>
              </w:rPr>
              <w:t>2 × 2 × 100 × 100</w:t>
            </w:r>
          </w:p>
        </w:tc>
        <w:tc>
          <w:tcPr>
            <w:tcW w:type="dxa" w:w="1050"/>
          </w:tcPr>
          <w:p>
            <w:r>
              <w:rPr>
                <w:sz w:val="20"/>
              </w:rPr>
              <w:t>40,000</w:t>
            </w:r>
          </w:p>
        </w:tc>
        <w:tc>
          <w:tcPr>
            <w:tcW w:type="dxa" w:w="700"/>
          </w:tcPr>
          <w:p>
            <w:r>
              <w:rPr>
                <w:sz w:val="20"/>
              </w:rPr>
              <w:t>54.2</w:t>
            </w:r>
          </w:p>
        </w:tc>
        <w:tc>
          <w:tcPr>
            <w:tcW w:type="dxa" w:w="900"/>
          </w:tcPr>
          <w:p>
            <w:r>
              <w:rPr>
                <w:sz w:val="20"/>
              </w:rPr>
              <w:t>3.8×10</w:t>
            </w:r>
            <w:r>
              <w:rPr>
                <w:sz w:val="20"/>
                <w:vertAlign w:val="superscript"/>
              </w:rPr>
              <w:t>-7</w:t>
            </w:r>
          </w:p>
        </w:tc>
        <w:tc>
          <w:tcPr>
            <w:tcW w:type="dxa" w:w="1000"/>
          </w:tcPr>
          <w:p>
            <w:r>
              <w:rPr>
                <w:sz w:val="20"/>
              </w:rPr>
              <w:t>1.18</w:t>
            </w:r>
          </w:p>
        </w:tc>
        <w:tc>
          <w:tcPr>
            <w:tcW w:type="dxa" w:w="1810"/>
          </w:tcPr>
          <w:p>
            <w:r>
              <w:rPr>
                <w:sz w:val="20"/>
              </w:rPr>
              <w:t>Tang et al. [33], Supplementary Note 2 F, Eq. (S2.9)</w:t>
            </w:r>
          </w:p>
        </w:tc>
      </w:tr>
      <w:tr>
        <w:trPr>
          <w:cantSplit/>
        </w:trPr>
        <w:tc>
          <w:tcPr>
            <w:tcW w:type="dxa" w:w="1750"/>
          </w:tcPr>
          <w:p>
            <w:r>
              <w:rPr>
                <w:sz w:val="20"/>
              </w:rPr>
              <w:t>Autoregulation, case 1</w:t>
            </w:r>
          </w:p>
        </w:tc>
        <w:tc>
          <w:tcPr>
            <w:tcW w:type="dxa" w:w="850"/>
          </w:tcPr>
          <w:p>
            <w:r>
              <w:rPr>
                <w:sz w:val="20"/>
              </w:rPr>
              <w:t>1</w:t>
            </w:r>
          </w:p>
        </w:tc>
        <w:tc>
          <w:tcPr>
            <w:tcW w:type="dxa" w:w="1300"/>
          </w:tcPr>
          <w:p>
            <w:r>
              <w:rPr>
                <w:sz w:val="20"/>
              </w:rPr>
              <w:t>2 × 2 × 60</w:t>
            </w:r>
          </w:p>
        </w:tc>
        <w:tc>
          <w:tcPr>
            <w:tcW w:type="dxa" w:w="1050"/>
          </w:tcPr>
          <w:p>
            <w:r>
              <w:rPr>
                <w:sz w:val="20"/>
              </w:rPr>
              <w:t>120</w:t>
            </w:r>
          </w:p>
        </w:tc>
        <w:tc>
          <w:tcPr>
            <w:tcW w:type="dxa" w:w="700"/>
          </w:tcPr>
          <w:p>
            <w:r>
              <w:rPr>
                <w:sz w:val="20"/>
              </w:rPr>
              <w:t>1.684</w:t>
            </w:r>
          </w:p>
        </w:tc>
        <w:tc>
          <w:tcPr>
            <w:tcW w:type="dxa" w:w="900"/>
          </w:tcPr>
          <w:p>
            <w:r>
              <w:rPr>
                <w:sz w:val="20"/>
              </w:rPr>
              <w:t>1.1×10</w:t>
            </w:r>
            <w:r>
              <w:rPr>
                <w:sz w:val="20"/>
                <w:vertAlign w:val="superscript"/>
              </w:rPr>
              <w:t>-13</w:t>
            </w:r>
          </w:p>
        </w:tc>
        <w:tc>
          <w:tcPr>
            <w:tcW w:type="dxa" w:w="1000"/>
          </w:tcPr>
          <w:p>
            <w:r>
              <w:rPr>
                <w:sz w:val="20"/>
              </w:rPr>
              <w:t>0.53</w:t>
            </w:r>
          </w:p>
        </w:tc>
        <w:tc>
          <w:tcPr>
            <w:tcW w:type="dxa" w:w="1810"/>
          </w:tcPr>
          <w:p>
            <w:r>
              <w:rPr>
                <w:sz w:val="20"/>
              </w:rPr>
              <w:t>Tang et al. [33], Supplementary Note 2 C, Eq. (S2.6), case 1</w:t>
            </w:r>
          </w:p>
        </w:tc>
      </w:tr>
      <w:tr>
        <w:trPr>
          <w:cantSplit/>
        </w:trPr>
        <w:tc>
          <w:tcPr>
            <w:tcW w:type="dxa" w:w="1750"/>
          </w:tcPr>
          <w:p>
            <w:r>
              <w:rPr>
                <w:sz w:val="20"/>
              </w:rPr>
              <w:t>Autoregulation, case 2</w:t>
            </w:r>
          </w:p>
        </w:tc>
        <w:tc>
          <w:tcPr>
            <w:tcW w:type="dxa" w:w="850"/>
          </w:tcPr>
          <w:p>
            <w:r>
              <w:rPr>
                <w:sz w:val="20"/>
              </w:rPr>
              <w:t>1</w:t>
            </w:r>
          </w:p>
        </w:tc>
        <w:tc>
          <w:tcPr>
            <w:tcW w:type="dxa" w:w="1300"/>
          </w:tcPr>
          <w:p>
            <w:r>
              <w:rPr>
                <w:sz w:val="20"/>
              </w:rPr>
              <w:t>2 × 2 × 60</w:t>
            </w:r>
          </w:p>
        </w:tc>
        <w:tc>
          <w:tcPr>
            <w:tcW w:type="dxa" w:w="1050"/>
          </w:tcPr>
          <w:p>
            <w:r>
              <w:rPr>
                <w:sz w:val="20"/>
              </w:rPr>
              <w:t>120</w:t>
            </w:r>
          </w:p>
        </w:tc>
        <w:tc>
          <w:tcPr>
            <w:tcW w:type="dxa" w:w="700"/>
          </w:tcPr>
          <w:p>
            <w:r>
              <w:rPr>
                <w:sz w:val="20"/>
              </w:rPr>
              <w:t>1.327</w:t>
            </w:r>
          </w:p>
        </w:tc>
        <w:tc>
          <w:tcPr>
            <w:tcW w:type="dxa" w:w="900"/>
          </w:tcPr>
          <w:p>
            <w:r>
              <w:rPr>
                <w:sz w:val="20"/>
              </w:rPr>
              <w:t>3.0×10</w:t>
            </w:r>
            <w:r>
              <w:rPr>
                <w:sz w:val="20"/>
                <w:vertAlign w:val="superscript"/>
              </w:rPr>
              <w:t>-9</w:t>
            </w:r>
          </w:p>
        </w:tc>
        <w:tc>
          <w:tcPr>
            <w:tcW w:type="dxa" w:w="1000"/>
          </w:tcPr>
          <w:p>
            <w:r>
              <w:rPr>
                <w:sz w:val="20"/>
              </w:rPr>
              <w:t>0.48</w:t>
            </w:r>
          </w:p>
        </w:tc>
        <w:tc>
          <w:tcPr>
            <w:tcW w:type="dxa" w:w="1810"/>
          </w:tcPr>
          <w:p>
            <w:r>
              <w:rPr>
                <w:sz w:val="20"/>
              </w:rPr>
              <w:t>Tang et al. [33], Supplementary Note 2 C, Eq. (S2.6), case 2</w:t>
            </w:r>
          </w:p>
        </w:tc>
      </w:tr>
      <w:tr>
        <w:trPr>
          <w:cantSplit/>
        </w:trPr>
        <w:tc>
          <w:tcPr>
            <w:tcW w:type="dxa" w:w="1750"/>
          </w:tcPr>
          <w:p>
            <w:r>
              <w:rPr>
                <w:sz w:val="20"/>
              </w:rPr>
              <w:t>Autoregulation, case 3</w:t>
            </w:r>
          </w:p>
        </w:tc>
        <w:tc>
          <w:tcPr>
            <w:tcW w:type="dxa" w:w="850"/>
          </w:tcPr>
          <w:p>
            <w:r>
              <w:rPr>
                <w:sz w:val="20"/>
              </w:rPr>
              <w:t>1</w:t>
            </w:r>
          </w:p>
        </w:tc>
        <w:tc>
          <w:tcPr>
            <w:tcW w:type="dxa" w:w="1300"/>
          </w:tcPr>
          <w:p>
            <w:r>
              <w:rPr>
                <w:sz w:val="20"/>
              </w:rPr>
              <w:t>2 × 2 × 60</w:t>
            </w:r>
          </w:p>
        </w:tc>
        <w:tc>
          <w:tcPr>
            <w:tcW w:type="dxa" w:w="1050"/>
          </w:tcPr>
          <w:p>
            <w:r>
              <w:rPr>
                <w:sz w:val="20"/>
              </w:rPr>
              <w:t>120</w:t>
            </w:r>
          </w:p>
        </w:tc>
        <w:tc>
          <w:tcPr>
            <w:tcW w:type="dxa" w:w="700"/>
          </w:tcPr>
          <w:p>
            <w:r>
              <w:rPr>
                <w:sz w:val="20"/>
              </w:rPr>
              <w:t>1.149</w:t>
            </w:r>
          </w:p>
        </w:tc>
        <w:tc>
          <w:tcPr>
            <w:tcW w:type="dxa" w:w="900"/>
          </w:tcPr>
          <w:p>
            <w:r>
              <w:rPr>
                <w:sz w:val="20"/>
              </w:rPr>
              <w:t>8.1×10</w:t>
            </w:r>
            <w:r>
              <w:rPr>
                <w:sz w:val="20"/>
                <w:vertAlign w:val="superscript"/>
              </w:rPr>
              <w:t>-8</w:t>
            </w:r>
          </w:p>
        </w:tc>
        <w:tc>
          <w:tcPr>
            <w:tcW w:type="dxa" w:w="1000"/>
          </w:tcPr>
          <w:p>
            <w:r>
              <w:rPr>
                <w:sz w:val="20"/>
              </w:rPr>
              <w:t>0.83</w:t>
            </w:r>
          </w:p>
        </w:tc>
        <w:tc>
          <w:tcPr>
            <w:tcW w:type="dxa" w:w="1810"/>
          </w:tcPr>
          <w:p>
            <w:r>
              <w:rPr>
                <w:sz w:val="20"/>
              </w:rPr>
              <w:t>Tang et al. [33], Supplementary Note 2 C, Eq. (S2.6), case 3</w:t>
            </w:r>
          </w:p>
        </w:tc>
      </w:tr>
    </w:tbl>
    <w:p>
      <w:pPr/>
    </w:p>
    <w:p>
      <w:pPr>
        <w:pStyle w:val="Heading2"/>
        <w:spacing w:before="480" w:after="120" w:line="360" w:lineRule="auto"/>
      </w:pPr>
      <w:r>
        <w:rPr>
          <w:rFonts w:ascii="Times New Roman" w:hAnsi="Times New Roman"/>
        </w:rPr>
        <w:t>S3.2 The swap-test estimator</w:t>
      </w:r>
    </w:p>
    <w:p>
      <w:pPr>
        <w:spacing w:after="200" w:line="360" w:lineRule="auto"/>
        <w:jc w:val="both"/>
      </w:pPr>
      <w:r>
        <w:t xml:space="preserve">The option-pricing algorithm of Guseynov et al. estimates a price as a ratio of two overlaps, each measured by a swap test [5]. One overlap is with the payoff state and the other with the uniform state </w:t>
      </w:r>
      <m:oMath>
        <m:r>
          <m:t>|+⟩</m:t>
        </m:r>
      </m:oMath>
      <w:r>
        <w:t xml:space="preserve">. The second overlap is the amplitude of direct overlap readout, so its size is set by </w:t>
      </w:r>
      <w:r>
        <w:rPr>
          <w:i/>
        </w:rPr>
        <w:t>S</w:t>
      </w:r>
      <w:r>
        <w:rPr>
          <w:sz w:val="20"/>
          <w:vertAlign w:val="subscript"/>
        </w:rPr>
        <w:t>eff</w:t>
      </w:r>
      <w:r>
        <w:t>.</w:t>
      </w:r>
    </w:p>
    <w:p>
      <w:pPr>
        <w:spacing w:after="200" w:line="360" w:lineRule="auto"/>
        <w:jc w:val="both"/>
      </w:pPr>
      <w:r>
        <w:t>We evaluated this estimator on a product Gaussian law on [0,1]</w:t>
      </w:r>
      <w:r>
        <w:rPr>
          <w:i/>
          <w:sz w:val="20"/>
          <w:vertAlign w:val="superscript"/>
        </w:rPr>
        <w:t>d</w:t>
      </w:r>
      <w:r>
        <w:t xml:space="preserve"> with a geometric-basket call payoff. Each asset had a standard deviation of 8% of the interval and 32 grid points. A swap test between two states with squared overlap </w:t>
      </w:r>
      <w:r>
        <w:rPr>
          <w:i/>
        </w:rPr>
        <w:t>F</w:t>
      </w:r>
      <w:r>
        <w:t xml:space="preserve"> returns 0 with probability (1 + </w:t>
      </w:r>
      <w:r>
        <w:rPr>
          <w:i/>
        </w:rPr>
        <w:t>F</w:t>
      </w:r>
      <w:r>
        <w:t xml:space="preserve">)/2, so each estimate of </w:t>
      </w:r>
      <w:r>
        <w:rPr>
          <w:i/>
        </w:rPr>
        <w:t>F</w:t>
      </w:r>
      <w:r>
        <w:t xml:space="preserve"> has binomial variance. We propagated the two variances to the ratio by the delta method, as in Eq. (12) of the main text. No random numbers were used. Table S4 gives the squared overlaps, the relative error at 10</w:t>
      </w:r>
      <w:r>
        <w:rPr>
          <w:sz w:val="20"/>
          <w:vertAlign w:val="superscript"/>
        </w:rPr>
        <w:t>6</w:t>
      </w:r>
      <w:r>
        <w:t xml:space="preserve"> shots and the shots needed for 1% relative error.</w:t>
      </w:r>
    </w:p>
    <w:p>
      <w:pPr>
        <w:keepNext/>
        <w:keepLines/>
        <w:spacing w:before="480" w:line="360" w:lineRule="auto"/>
        <w:jc w:val="center"/>
      </w:pPr>
      <w:r>
        <w:rPr>
          <w:b/>
        </w:rPr>
        <w:t xml:space="preserve">Table S4. The swap-test ratio estimator on a localized product law with a standard deviation of 8% of the interval and 32 grid points per asset. </w:t>
      </w:r>
      <w:r>
        <w:rPr>
          <w:b/>
          <w:i/>
        </w:rPr>
        <w:t>F</w:t>
      </w:r>
      <w:r>
        <w:rPr>
          <w:b/>
          <w:sz w:val="20"/>
          <w:vertAlign w:val="subscript"/>
        </w:rPr>
        <w:t>1</w:t>
      </w:r>
      <w:r>
        <w:rPr>
          <w:b/>
        </w:rPr>
        <w:t xml:space="preserve"> and </w:t>
      </w:r>
      <w:r>
        <w:rPr>
          <w:b/>
          <w:i/>
        </w:rPr>
        <w:t>F</w:t>
      </w:r>
      <w:r>
        <w:rPr>
          <w:b/>
          <w:sz w:val="20"/>
          <w:vertAlign w:val="subscript"/>
        </w:rPr>
        <w:t>2</w:t>
      </w:r>
      <w:r>
        <w:rPr>
          <w:b/>
        </w:rPr>
        <w:t xml:space="preserve"> are the squared overlaps with the uniform and payoff states.</w:t>
      </w:r>
    </w:p>
    <w:tbl>
      <w:tblPr>
        <w:tblStyle w:val="PlainTable2"/>
        <w:tblW w:type="auto" w:w="0"/>
        <w:tblLayout w:type="fixed"/>
        <w:tblLook w:firstColumn="1" w:firstRow="1" w:lastColumn="0" w:lastRow="0" w:noHBand="0" w:noVBand="1" w:val="04A0"/>
        <w:tblLayout w:type="fixed"/>
      </w:tblPr>
      <w:tblGrid>
        <w:gridCol w:w="1000"/>
        <w:gridCol w:w="1300"/>
        <w:gridCol w:w="1300"/>
        <w:gridCol w:w="1300"/>
        <w:gridCol w:w="1300"/>
        <w:gridCol w:w="1660"/>
        <w:gridCol w:w="1500"/>
      </w:tblGrid>
      <w:tr>
        <w:trPr>
          <w:tblHeader/>
          <w:cantSplit/>
        </w:trPr>
        <w:tc>
          <w:tcPr>
            <w:tcW w:type="dxa" w:w="1000"/>
          </w:tcPr>
          <w:p>
            <w:r>
              <w:rPr>
                <w:sz w:val="20"/>
              </w:rPr>
              <w:t xml:space="preserve">Assets </w:t>
            </w:r>
            <w:r>
              <w:rPr>
                <w:i/>
                <w:sz w:val="20"/>
              </w:rPr>
              <w:t>d</w:t>
            </w:r>
          </w:p>
        </w:tc>
        <w:tc>
          <w:tcPr>
            <w:tcW w:type="dxa" w:w="1300"/>
          </w:tcPr>
          <w:p>
            <w:r>
              <w:rPr>
                <w:sz w:val="20"/>
              </w:rPr>
              <w:t>|S|</w:t>
            </w:r>
          </w:p>
        </w:tc>
        <w:tc>
          <w:tcPr>
            <w:tcW w:type="dxa" w:w="1300"/>
          </w:tcPr>
          <w:p>
            <w:r>
              <w:rPr>
                <w:i/>
                <w:sz w:val="20"/>
              </w:rPr>
              <w:t>F</w:t>
            </w:r>
            <w:r>
              <w:rPr>
                <w:sz w:val="20"/>
                <w:vertAlign w:val="subscript"/>
              </w:rPr>
              <w:t>1</w:t>
            </w:r>
            <w:r>
              <w:rPr>
                <w:sz w:val="20"/>
              </w:rPr>
              <w:t xml:space="preserve"> (uniform)</w:t>
            </w:r>
          </w:p>
        </w:tc>
        <w:tc>
          <w:tcPr>
            <w:tcW w:type="dxa" w:w="1300"/>
          </w:tcPr>
          <w:p>
            <w:r>
              <w:rPr>
                <w:i/>
                <w:sz w:val="20"/>
              </w:rPr>
              <w:t>F</w:t>
            </w:r>
            <w:r>
              <w:rPr>
                <w:sz w:val="20"/>
                <w:vertAlign w:val="subscript"/>
              </w:rPr>
              <w:t>2</w:t>
            </w:r>
            <w:r>
              <w:rPr>
                <w:sz w:val="20"/>
              </w:rPr>
              <w:t xml:space="preserve"> (payoff)</w:t>
            </w:r>
          </w:p>
        </w:tc>
        <w:tc>
          <w:tcPr>
            <w:tcW w:type="dxa" w:w="1300"/>
          </w:tcPr>
          <w:p>
            <m:oMath>
              <m:rad>
                <m:radPr>
                  <m:degHide m:val="on"/>
                </m:radPr>
                <m:deg/>
                <m:e>
                  <m:r>
                    <m:t>|S|/</m:t>
                  </m:r>
                  <m:sSub>
                    <m:e>
                      <m:r>
                        <m:t>S</m:t>
                      </m:r>
                    </m:e>
                    <m:sub>
                      <m:r>
                        <m:rPr>
                          <m:sty m:val="p"/>
                        </m:rPr>
                        <m:t>eff</m:t>
                      </m:r>
                    </m:sub>
                  </m:sSub>
                </m:e>
              </m:rad>
            </m:oMath>
          </w:p>
        </w:tc>
        <w:tc>
          <w:tcPr>
            <w:tcW w:type="dxa" w:w="1660"/>
          </w:tcPr>
          <w:p>
            <w:r>
              <w:rPr>
                <w:sz w:val="20"/>
              </w:rPr>
              <w:t>Relative error at 10</w:t>
            </w:r>
            <w:r>
              <w:rPr>
                <w:sz w:val="20"/>
                <w:vertAlign w:val="superscript"/>
              </w:rPr>
              <w:t>6</w:t>
            </w:r>
            <w:r>
              <w:rPr>
                <w:sz w:val="20"/>
              </w:rPr>
              <w:t xml:space="preserve"> shots</w:t>
            </w:r>
          </w:p>
        </w:tc>
        <w:tc>
          <w:tcPr>
            <w:tcW w:type="dxa" w:w="1500"/>
          </w:tcPr>
          <w:p>
            <w:r>
              <w:rPr>
                <w:sz w:val="20"/>
              </w:rPr>
              <w:t>Shots for 1%</w:t>
            </w:r>
          </w:p>
        </w:tc>
      </w:tr>
      <w:tr>
        <w:trPr>
          <w:cantSplit/>
        </w:trPr>
        <w:tc>
          <w:tcPr>
            <w:tcW w:type="dxa" w:w="1000"/>
          </w:tcPr>
          <w:p>
            <w:r>
              <w:rPr>
                <w:sz w:val="20"/>
              </w:rPr>
              <w:t>1</w:t>
            </w:r>
          </w:p>
        </w:tc>
        <w:tc>
          <w:tcPr>
            <w:tcW w:type="dxa" w:w="1300"/>
          </w:tcPr>
          <w:p>
            <w:r>
              <w:rPr>
                <w:sz w:val="20"/>
              </w:rPr>
              <w:t>32</w:t>
            </w:r>
          </w:p>
        </w:tc>
        <w:tc>
          <w:tcPr>
            <w:tcW w:type="dxa" w:w="1300"/>
          </w:tcPr>
          <w:p>
            <w:r>
              <w:rPr>
                <w:sz w:val="20"/>
              </w:rPr>
              <w:t>0.284</w:t>
            </w:r>
          </w:p>
        </w:tc>
        <w:tc>
          <w:tcPr>
            <w:tcW w:type="dxa" w:w="1300"/>
          </w:tcPr>
          <w:p>
            <w:r>
              <w:rPr>
                <w:sz w:val="20"/>
              </w:rPr>
              <w:t>0.00703</w:t>
            </w:r>
          </w:p>
        </w:tc>
        <w:tc>
          <w:tcPr>
            <w:tcW w:type="dxa" w:w="1300"/>
          </w:tcPr>
          <w:p>
            <w:r>
              <w:rPr>
                <w:sz w:val="20"/>
              </w:rPr>
              <w:t>1.88</w:t>
            </w:r>
          </w:p>
        </w:tc>
        <w:tc>
          <w:tcPr>
            <w:tcW w:type="dxa" w:w="1660"/>
          </w:tcPr>
          <w:p>
            <w:r>
              <w:rPr>
                <w:sz w:val="20"/>
              </w:rPr>
              <w:t>0.0711</w:t>
            </w:r>
          </w:p>
        </w:tc>
        <w:tc>
          <w:tcPr>
            <w:tcW w:type="dxa" w:w="1500"/>
          </w:tcPr>
          <w:p>
            <w:r>
              <w:rPr>
                <w:sz w:val="20"/>
              </w:rPr>
              <w:t>5.06×10</w:t>
            </w:r>
            <w:r>
              <w:rPr>
                <w:sz w:val="20"/>
                <w:vertAlign w:val="superscript"/>
              </w:rPr>
              <w:t>7</w:t>
            </w:r>
          </w:p>
        </w:tc>
      </w:tr>
      <w:tr>
        <w:trPr>
          <w:cantSplit/>
        </w:trPr>
        <w:tc>
          <w:tcPr>
            <w:tcW w:type="dxa" w:w="1000"/>
          </w:tcPr>
          <w:p>
            <w:r>
              <w:rPr>
                <w:sz w:val="20"/>
              </w:rPr>
              <w:t>2</w:t>
            </w:r>
          </w:p>
        </w:tc>
        <w:tc>
          <w:tcPr>
            <w:tcW w:type="dxa" w:w="1300"/>
          </w:tcPr>
          <w:p>
            <w:r>
              <w:rPr>
                <w:sz w:val="20"/>
              </w:rPr>
              <w:t>1,024</w:t>
            </w:r>
          </w:p>
        </w:tc>
        <w:tc>
          <w:tcPr>
            <w:tcW w:type="dxa" w:w="1300"/>
          </w:tcPr>
          <w:p>
            <w:r>
              <w:rPr>
                <w:sz w:val="20"/>
              </w:rPr>
              <w:t>0.0804</w:t>
            </w:r>
          </w:p>
        </w:tc>
        <w:tc>
          <w:tcPr>
            <w:tcW w:type="dxa" w:w="1300"/>
          </w:tcPr>
          <w:p>
            <w:r>
              <w:rPr>
                <w:sz w:val="20"/>
              </w:rPr>
              <w:t>0.00194</w:t>
            </w:r>
          </w:p>
        </w:tc>
        <w:tc>
          <w:tcPr>
            <w:tcW w:type="dxa" w:w="1300"/>
          </w:tcPr>
          <w:p>
            <w:r>
              <w:rPr>
                <w:sz w:val="20"/>
              </w:rPr>
              <w:t>3.53</w:t>
            </w:r>
          </w:p>
        </w:tc>
        <w:tc>
          <w:tcPr>
            <w:tcW w:type="dxa" w:w="1660"/>
          </w:tcPr>
          <w:p>
            <w:r>
              <w:rPr>
                <w:sz w:val="20"/>
              </w:rPr>
              <w:t>0.258</w:t>
            </w:r>
          </w:p>
        </w:tc>
        <w:tc>
          <w:tcPr>
            <w:tcW w:type="dxa" w:w="1500"/>
          </w:tcPr>
          <w:p>
            <w:r>
              <w:rPr>
                <w:sz w:val="20"/>
              </w:rPr>
              <w:t>6.66×10</w:t>
            </w:r>
            <w:r>
              <w:rPr>
                <w:sz w:val="20"/>
                <w:vertAlign w:val="superscript"/>
              </w:rPr>
              <w:t>8</w:t>
            </w:r>
          </w:p>
        </w:tc>
      </w:tr>
      <w:tr>
        <w:trPr>
          <w:cantSplit/>
        </w:trPr>
        <w:tc>
          <w:tcPr>
            <w:tcW w:type="dxa" w:w="1000"/>
          </w:tcPr>
          <w:p>
            <w:r>
              <w:rPr>
                <w:sz w:val="20"/>
              </w:rPr>
              <w:t>3</w:t>
            </w:r>
          </w:p>
        </w:tc>
        <w:tc>
          <w:tcPr>
            <w:tcW w:type="dxa" w:w="1300"/>
          </w:tcPr>
          <w:p>
            <w:r>
              <w:rPr>
                <w:sz w:val="20"/>
              </w:rPr>
              <w:t>32,768</w:t>
            </w:r>
          </w:p>
        </w:tc>
        <w:tc>
          <w:tcPr>
            <w:tcW w:type="dxa" w:w="1300"/>
          </w:tcPr>
          <w:p>
            <w:r>
              <w:rPr>
                <w:sz w:val="20"/>
              </w:rPr>
              <w:t>0.0228</w:t>
            </w:r>
          </w:p>
        </w:tc>
        <w:tc>
          <w:tcPr>
            <w:tcW w:type="dxa" w:w="1300"/>
          </w:tcPr>
          <w:p>
            <w:r>
              <w:rPr>
                <w:sz w:val="20"/>
              </w:rPr>
              <w:t>0.000599</w:t>
            </w:r>
          </w:p>
        </w:tc>
        <w:tc>
          <w:tcPr>
            <w:tcW w:type="dxa" w:w="1300"/>
          </w:tcPr>
          <w:p>
            <w:r>
              <w:rPr>
                <w:sz w:val="20"/>
              </w:rPr>
              <w:t>6.62</w:t>
            </w:r>
          </w:p>
        </w:tc>
        <w:tc>
          <w:tcPr>
            <w:tcW w:type="dxa" w:w="1660"/>
          </w:tcPr>
          <w:p>
            <w:r>
              <w:rPr>
                <w:sz w:val="20"/>
              </w:rPr>
              <w:t>0.835</w:t>
            </w:r>
          </w:p>
        </w:tc>
        <w:tc>
          <w:tcPr>
            <w:tcW w:type="dxa" w:w="1500"/>
          </w:tcPr>
          <w:p>
            <w:r>
              <w:rPr>
                <w:sz w:val="20"/>
              </w:rPr>
              <w:t>6.98×10</w:t>
            </w:r>
            <w:r>
              <w:rPr>
                <w:sz w:val="20"/>
                <w:vertAlign w:val="superscript"/>
              </w:rPr>
              <w:t>9</w:t>
            </w:r>
          </w:p>
        </w:tc>
      </w:tr>
      <w:tr>
        <w:trPr>
          <w:cantSplit/>
        </w:trPr>
        <w:tc>
          <w:tcPr>
            <w:tcW w:type="dxa" w:w="1000"/>
          </w:tcPr>
          <w:p>
            <w:r>
              <w:rPr>
                <w:sz w:val="20"/>
              </w:rPr>
              <w:t>4</w:t>
            </w:r>
          </w:p>
        </w:tc>
        <w:tc>
          <w:tcPr>
            <w:tcW w:type="dxa" w:w="1300"/>
          </w:tcPr>
          <w:p>
            <w:r>
              <w:rPr>
                <w:sz w:val="20"/>
              </w:rPr>
              <w:t>1,048,576</w:t>
            </w:r>
          </w:p>
        </w:tc>
        <w:tc>
          <w:tcPr>
            <w:tcW w:type="dxa" w:w="1300"/>
          </w:tcPr>
          <w:p>
            <w:r>
              <w:rPr>
                <w:sz w:val="20"/>
              </w:rPr>
              <w:t>0.00647</w:t>
            </w:r>
          </w:p>
        </w:tc>
        <w:tc>
          <w:tcPr>
            <w:tcW w:type="dxa" w:w="1300"/>
          </w:tcPr>
          <w:p>
            <w:r>
              <w:rPr>
                <w:sz w:val="20"/>
              </w:rPr>
              <w:t>0.000187</w:t>
            </w:r>
          </w:p>
        </w:tc>
        <w:tc>
          <w:tcPr>
            <w:tcW w:type="dxa" w:w="1300"/>
          </w:tcPr>
          <w:p>
            <w:r>
              <w:rPr>
                <w:sz w:val="20"/>
              </w:rPr>
              <w:t>12.4</w:t>
            </w:r>
          </w:p>
        </w:tc>
        <w:tc>
          <w:tcPr>
            <w:tcW w:type="dxa" w:w="1660"/>
          </w:tcPr>
          <w:p>
            <w:r>
              <w:rPr>
                <w:sz w:val="20"/>
              </w:rPr>
              <w:t>2.68</w:t>
            </w:r>
          </w:p>
        </w:tc>
        <w:tc>
          <w:tcPr>
            <w:tcW w:type="dxa" w:w="1500"/>
          </w:tcPr>
          <w:p>
            <w:r>
              <w:rPr>
                <w:sz w:val="20"/>
              </w:rPr>
              <w:t>7.16×10</w:t>
            </w:r>
            <w:r>
              <w:rPr>
                <w:sz w:val="20"/>
                <w:vertAlign w:val="superscript"/>
              </w:rPr>
              <w:t>10</w:t>
            </w:r>
          </w:p>
        </w:tc>
      </w:tr>
    </w:tbl>
    <w:p>
      <w:pPr/>
    </w:p>
    <w:p>
      <w:pPr>
        <w:pStyle w:val="Heading1"/>
        <w:spacing w:after="120" w:line="360" w:lineRule="auto"/>
      </w:pPr>
      <w:r>
        <w:rPr>
          <w:rFonts w:ascii="Times New Roman" w:hAnsi="Times New Roman"/>
        </w:rPr>
        <w:t>S4. Certificates for the weighted encoding</w:t>
      </w:r>
    </w:p>
    <w:p>
      <w:pPr>
        <w:pStyle w:val="Heading2"/>
        <w:spacing w:before="480" w:after="120" w:line="360" w:lineRule="auto"/>
      </w:pPr>
      <w:r>
        <w:rPr>
          <w:rFonts w:ascii="Times New Roman" w:hAnsi="Times New Roman"/>
        </w:rPr>
        <w:t>S4.1 The weighted dynamics and the χ² identity</w:t>
      </w:r>
    </w:p>
    <w:p>
      <w:pPr>
        <w:spacing w:after="200" w:line="360" w:lineRule="auto"/>
        <w:jc w:val="both"/>
      </w:pPr>
      <w:r>
        <w:t xml:space="preserve">Let </w:t>
      </w:r>
      <w:r>
        <w:rPr>
          <w:i/>
        </w:rPr>
        <w:t>μ</w:t>
      </w:r>
      <w:r>
        <w:rPr>
          <w:i/>
          <w:sz w:val="20"/>
          <w:vertAlign w:val="subscript"/>
        </w:rPr>
        <w:t>t</w:t>
      </w:r>
      <w:r>
        <w:t xml:space="preserve"> be a positive reference on </w:t>
      </w:r>
      <w:r>
        <w:rPr>
          <w:i/>
        </w:rPr>
        <w:t>S</w:t>
      </w:r>
      <w:r>
        <w:t xml:space="preserve">, which need not be normalized. Write </w:t>
      </w:r>
      <w:r>
        <w:rPr>
          <w:i/>
        </w:rPr>
        <w:t>D</w:t>
      </w:r>
      <w:r>
        <w:rPr>
          <w:i/>
          <w:sz w:val="20"/>
          <w:vertAlign w:val="subscript"/>
        </w:rPr>
        <w:t>t</w:t>
      </w:r>
      <w:r>
        <w:t xml:space="preserve"> = diag(</w:t>
      </w:r>
      <w:r>
        <w:rPr>
          <w:i/>
        </w:rPr>
        <w:t>μ</w:t>
      </w:r>
      <w:r>
        <w:rPr>
          <w:i/>
          <w:sz w:val="20"/>
          <w:vertAlign w:val="subscript"/>
        </w:rPr>
        <w:t>t</w:t>
      </w:r>
      <w:r>
        <w:t xml:space="preserve">), </w:t>
      </w:r>
      <w:r>
        <w:rPr>
          <w:i/>
        </w:rPr>
        <w:t>ψ</w:t>
      </w:r>
      <w:r>
        <w:rPr>
          <w:i/>
          <w:sz w:val="20"/>
          <w:vertAlign w:val="subscript"/>
        </w:rPr>
        <w:t>t</w:t>
      </w:r>
      <w:r>
        <w:t xml:space="preserve"> = </w:t>
      </w:r>
      <w:r>
        <w:rPr>
          <w:i/>
        </w:rPr>
        <w:t>D</w:t>
      </w:r>
      <w:r>
        <w:rPr>
          <w:i/>
          <w:sz w:val="20"/>
          <w:vertAlign w:val="subscript"/>
        </w:rPr>
        <w:t>t</w:t>
      </w:r>
      <w:r>
        <w:rPr>
          <w:sz w:val="20"/>
          <w:vertAlign w:val="superscript"/>
        </w:rPr>
        <w:t>-1/2</w:t>
      </w:r>
      <w:r>
        <w:rPr>
          <w:i/>
        </w:rPr>
        <w:t>p</w:t>
      </w:r>
      <w:r>
        <w:rPr>
          <w:i/>
          <w:sz w:val="20"/>
          <w:vertAlign w:val="subscript"/>
        </w:rPr>
        <w:t>t</w:t>
      </w:r>
      <w:r>
        <w:t xml:space="preserve"> and </w:t>
      </w:r>
      <w:r>
        <w:rPr>
          <w:i/>
        </w:rPr>
        <w:t>h</w:t>
      </w:r>
      <w:r>
        <w:t xml:space="preserve"> = </w:t>
      </w:r>
      <w:r>
        <w:rPr>
          <w:i/>
        </w:rPr>
        <w:t>p</w:t>
      </w:r>
      <w:r>
        <w:t>/</w:t>
      </w:r>
      <w:r>
        <w:rPr>
          <w:i/>
        </w:rPr>
        <w:t>μ</w:t>
      </w:r>
      <w:r>
        <w:t xml:space="preserve">, so that </w:t>
      </w:r>
      <w:r>
        <w:rPr>
          <w:i/>
        </w:rPr>
        <w:t>ψ</w:t>
      </w:r>
      <w:r>
        <w:t xml:space="preserve"> = </w:t>
      </w:r>
      <w:r>
        <w:rPr>
          <w:i/>
        </w:rPr>
        <w:t>D</w:t>
      </w:r>
      <w:r>
        <w:rPr>
          <w:sz w:val="20"/>
          <w:vertAlign w:val="superscript"/>
        </w:rPr>
        <w:t>1/2</w:t>
      </w:r>
      <w:r>
        <w:rPr>
          <w:i/>
        </w:rPr>
        <w:t>h</w:t>
      </w:r>
      <w:r>
        <w:t xml:space="preserve">. The leak </w:t>
      </w:r>
      <w:r>
        <w:rPr>
          <w:i/>
        </w:rPr>
        <w:t>ℓ</w:t>
      </w:r>
      <w:r>
        <w:t>(</w:t>
      </w:r>
      <w:r>
        <w:rPr>
          <w:i/>
        </w:rPr>
        <w:t>x</w:t>
      </w:r>
      <w:r>
        <w:t xml:space="preserve">) is the total rate of the reactions that take state </w:t>
      </w:r>
      <w:r>
        <w:rPr>
          <w:i/>
        </w:rPr>
        <w:t>x</w:t>
      </w:r>
      <w:r>
        <w:t xml:space="preserve"> out of </w:t>
      </w:r>
      <w:r>
        <w:rPr>
          <w:i/>
        </w:rPr>
        <w:t>S</w:t>
      </w:r>
      <w:r>
        <w:t xml:space="preserve">. The residual of the reference is </w:t>
      </w:r>
      <m:oMath>
        <m:sSub>
          <m:e>
            <m:r>
              <m:t>r</m:t>
            </m:r>
          </m:e>
          <m:sub>
            <m:r>
              <m:t>t</m:t>
            </m:r>
          </m:sub>
        </m:sSub>
        <m:r>
          <m:t>=(</m:t>
        </m:r>
        <m:sSub>
          <m:e>
            <m:r>
              <m:t>A</m:t>
            </m:r>
          </m:e>
          <m:sub>
            <m:r>
              <m:t>S</m:t>
            </m:r>
          </m:sub>
        </m:sSub>
        <m:sSub>
          <m:e>
            <m:r>
              <m:t>μ</m:t>
            </m:r>
          </m:e>
          <m:sub>
            <m:r>
              <m:t>t</m:t>
            </m:r>
          </m:sub>
        </m:sSub>
        <m:r>
          <m:t>-</m:t>
        </m:r>
        <m:sSub>
          <m:e>
            <m:acc>
              <m:accPr>
                <m:chr m:val="̇"/>
              </m:accPr>
              <m:e>
                <m:r>
                  <m:t>μ</m:t>
                </m:r>
              </m:e>
            </m:acc>
          </m:e>
          <m:sub>
            <m:r>
              <m:t>t</m:t>
            </m:r>
          </m:sub>
        </m:sSub>
        <m:r>
          <m:t>)/</m:t>
        </m:r>
        <m:sSub>
          <m:e>
            <m:r>
              <m:t>μ</m:t>
            </m:r>
          </m:e>
          <m:sub>
            <m:r>
              <m:t>t</m:t>
            </m:r>
          </m:sub>
        </m:sSub>
      </m:oMath>
      <w:r>
        <w:t xml:space="preserve">. With propensities </w:t>
      </w:r>
      <w:r>
        <w:rPr>
          <w:i/>
        </w:rPr>
        <w:t>a</w:t>
      </w:r>
      <w:r>
        <w:rPr>
          <w:i/>
          <w:sz w:val="20"/>
          <w:vertAlign w:val="subscript"/>
        </w:rPr>
        <w:t>k</w:t>
      </w:r>
      <w:r>
        <w:t xml:space="preserve"> and stoichiometric changes </w:t>
      </w:r>
      <w:r>
        <w:rPr>
          <w:i/>
        </w:rPr>
        <w:t>ν</w:t>
      </w:r>
      <w:r>
        <w:rPr>
          <w:i/>
          <w:sz w:val="20"/>
          <w:vertAlign w:val="subscript"/>
        </w:rPr>
        <w:t>k</w:t>
      </w:r>
      <w:r>
        <w:t>, the Dirichlet form is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rPr>
                        <m:scr m:val="script"/>
                        <m:sty m:val="i"/>
                      </m:rPr>
                      <m:t>E</m:t>
                    </m:r>
                  </m:e>
                  <m:sub>
                    <m:r>
                      <m:t>t</m:t>
                    </m:r>
                  </m:sub>
                </m:sSub>
                <m:r>
                  <m:t>(h)=</m:t>
                </m:r>
                <m:nary>
                  <m:naryPr>
                    <m:chr m:val="∑"/>
                    <m:limLoc m:val="undOvr"/>
                    <m:grow m:val="1"/>
                    <m:subHide m:val="off"/>
                    <m:supHide m:val="on"/>
                  </m:naryPr>
                  <m:sub>
                    <m:r>
                      <m:t>x∈S</m:t>
                    </m:r>
                  </m:sub>
                  <m:sup/>
                  <m:e>
                    <m:r>
                      <m:rPr>
                        <m:sty m:val="p"/>
                      </m:rPr>
                      <m:t> </m:t>
                    </m:r>
                  </m:e>
                </m:nary>
                <m:nary>
                  <m:naryPr>
                    <m:chr m:val="∑"/>
                    <m:limLoc m:val="undOvr"/>
                    <m:grow m:val="1"/>
                    <m:subHide m:val="off"/>
                    <m:supHide m:val="on"/>
                  </m:naryPr>
                  <m:sub>
                    <m:r>
                      <m:t>k:</m:t>
                    </m:r>
                    <m:r>
                      <m:t>x+</m:t>
                    </m:r>
                    <m:sSub>
                      <m:e>
                        <m:r>
                          <m:t>ν</m:t>
                        </m:r>
                      </m:e>
                      <m:sub>
                        <m:r>
                          <m:t>k</m:t>
                        </m:r>
                      </m:sub>
                    </m:sSub>
                    <m:r>
                      <m:t>∈S</m:t>
                    </m:r>
                  </m:sub>
                  <m:sup/>
                  <m:e>
                    <m:sSub>
                      <m:e>
                        <m:r>
                          <m:t>μ</m:t>
                        </m:r>
                      </m:e>
                      <m:sub>
                        <m:r>
                          <m:t>t</m:t>
                        </m:r>
                      </m:sub>
                    </m:sSub>
                  </m:e>
                </m:nary>
                <m:r>
                  <m:t>(x)</m:t>
                </m:r>
                <m:sSub>
                  <m:e>
                    <m:r>
                      <m:t>a</m:t>
                    </m:r>
                  </m:e>
                  <m:sub>
                    <m:r>
                      <m:t>k</m:t>
                    </m:r>
                  </m:sub>
                </m:sSub>
                <m:r>
                  <m:t>(x)</m:t>
                </m:r>
                <m:sSup>
                  <m:e>
                    <m:d>
                      <m:dPr>
                        <m:begChr m:val="["/>
                        <m:sepChr m:val=""/>
                        <m:endChr m:val="]"/>
                      </m:dPr>
                      <m:e>
                        <m:r>
                          <m:t>h</m:t>
                        </m:r>
                        <m:r>
                          <m:t>(</m:t>
                        </m:r>
                        <m:r>
                          <m:t>x</m:t>
                        </m:r>
                        <m:r>
                          <m:t>+</m:t>
                        </m:r>
                        <m:sSub>
                          <m:e>
                            <m:r>
                              <m:t>ν</m:t>
                            </m:r>
                          </m:e>
                          <m:sub>
                            <m:r>
                              <m:t>k</m:t>
                            </m:r>
                          </m:sub>
                        </m:sSub>
                        <m:r>
                          <m:t>)</m:t>
                        </m:r>
                        <m:r>
                          <m:t>-</m:t>
                        </m:r>
                        <m:r>
                          <m:t>h</m:t>
                        </m:r>
                        <m:r>
                          <m:t>(</m:t>
                        </m:r>
                        <m:r>
                          <m:t>x</m:t>
                        </m:r>
                        <m:r>
                          <m:t>)</m:t>
                        </m:r>
                      </m:e>
                    </m:d>
                  </m:e>
                  <m:sup>
                    <m:r>
                      <m:t>2</m:t>
                    </m:r>
                  </m:sup>
                </m:sSup>
                <m:r>
                  <m:t>.</m:t>
                </m:r>
              </m:oMath>
            </m:oMathPara>
          </w:p>
        </w:tc>
        <w:tc>
          <w:tcPr>
            <w:tcW w:w="900" w:type="dxa"/>
            <w:vAlign w:val="center"/>
          </w:tcPr>
          <w:p>
            <w:pPr>
              <w:keepLines/>
              <w:spacing w:after="200" w:line="360" w:lineRule="auto"/>
              <w:jc w:val="both"/>
            </w:pPr>
            <w:r>
              <w:t>(S7)</w:t>
            </w:r>
          </w:p>
        </w:tc>
      </w:tr>
    </w:tbl>
    <w:p>
      <w:pPr>
        <w:spacing w:after="200" w:line="360" w:lineRule="auto"/>
        <w:jc w:val="both"/>
      </w:pPr>
      <w:r>
        <w:rPr>
          <w:b/>
        </w:rPr>
        <w:t>Lemma S2 (weighted dynamics).</w:t>
      </w:r>
      <w:r>
        <w:t xml:space="preserve"> The weighted state obeys</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f>
                  <m:fPr>
                    <m:type m:val="bar"/>
                  </m:fPr>
                  <m:num>
                    <m:r>
                      <m:t>d</m:t>
                    </m:r>
                    <m:sSub>
                      <m:e>
                        <m:r>
                          <m:t>ψ</m:t>
                        </m:r>
                      </m:e>
                      <m:sub>
                        <m:r>
                          <m:t>t</m:t>
                        </m:r>
                      </m:sub>
                    </m:sSub>
                  </m:num>
                  <m:den>
                    <m:r>
                      <m:t>dt</m:t>
                    </m:r>
                  </m:den>
                </m:f>
                <m:r>
                  <m:t>=</m:t>
                </m:r>
                <m:sSub>
                  <m:e>
                    <m:r>
                      <m:t>B</m:t>
                    </m:r>
                  </m:e>
                  <m:sub>
                    <m:r>
                      <m:t>t</m:t>
                    </m:r>
                  </m:sub>
                </m:sSub>
                <m:sSub>
                  <m:e>
                    <m:r>
                      <m:t>ψ</m:t>
                    </m:r>
                  </m:e>
                  <m:sub>
                    <m:r>
                      <m:t>t</m:t>
                    </m:r>
                  </m:sub>
                </m:sSub>
                <m:r>
                  <m:t>,</m:t>
                </m:r>
                <m:r>
                  <m:rPr>
                    <m:sty m:val="p"/>
                  </m:rPr>
                  <m:t>    </m:t>
                </m:r>
                <m:sSub>
                  <m:e>
                    <m:r>
                      <m:t>B</m:t>
                    </m:r>
                  </m:e>
                  <m:sub>
                    <m:r>
                      <m:t>t</m:t>
                    </m:r>
                  </m:sub>
                </m:sSub>
                <m:r>
                  <m:t>=</m:t>
                </m:r>
                <m:sSubSup>
                  <m:e>
                    <m:r>
                      <m:t>D</m:t>
                    </m:r>
                  </m:e>
                  <m:sub>
                    <m:r>
                      <m:t>t</m:t>
                    </m:r>
                  </m:sub>
                  <m:sup>
                    <m:r>
                      <m:t>-1/2</m:t>
                    </m:r>
                  </m:sup>
                </m:sSubSup>
                <m:sSub>
                  <m:e>
                    <m:r>
                      <m:t>A</m:t>
                    </m:r>
                  </m:e>
                  <m:sub>
                    <m:r>
                      <m:t>S</m:t>
                    </m:r>
                  </m:sub>
                </m:sSub>
                <m:sSubSup>
                  <m:e>
                    <m:r>
                      <m:t>D</m:t>
                    </m:r>
                  </m:e>
                  <m:sub>
                    <m:r>
                      <m:t>t</m:t>
                    </m:r>
                  </m:sub>
                  <m:sup>
                    <m:f>
                      <m:fPr>
                        <m:type m:val="lin"/>
                      </m:fPr>
                      <m:num>
                        <m:r>
                          <m:t>1</m:t>
                        </m:r>
                      </m:num>
                      <m:den>
                        <m:r>
                          <m:t>2</m:t>
                        </m:r>
                      </m:den>
                    </m:f>
                  </m:sup>
                </m:sSubSup>
                <m:r>
                  <m:t>-</m:t>
                </m:r>
                <m:f>
                  <m:fPr>
                    <m:type m:val="bar"/>
                  </m:fPr>
                  <m:num>
                    <m:argPr>
                      <m:scrLvl m:val="0"/>
                    </m:argPr>
                    <m:r>
                      <m:t>1</m:t>
                    </m:r>
                  </m:num>
                  <m:den>
                    <m:argPr>
                      <m:scrLvl m:val="0"/>
                    </m:argPr>
                    <m:r>
                      <m:t>2</m:t>
                    </m:r>
                  </m:den>
                </m:f>
                <m:r>
                  <m:rPr>
                    <m:sty m:val="p"/>
                  </m:rPr>
                  <m:t>diag</m:t>
                </m:r>
                <m:d>
                  <m:dPr>
                    <m:sepChr m:val=""/>
                  </m:dPr>
                  <m:e>
                    <m:f>
                      <m:fPr>
                        <m:type m:val="bar"/>
                      </m:fPr>
                      <m:num>
                        <m:sSub>
                          <m:e>
                            <m:acc>
                              <m:accPr>
                                <m:chr m:val="̇"/>
                              </m:accPr>
                              <m:e>
                                <m:r>
                                  <m:t>μ</m:t>
                                </m:r>
                              </m:e>
                            </m:acc>
                          </m:e>
                          <m:sub>
                            <m:r>
                              <m:t>t</m:t>
                            </m:r>
                          </m:sub>
                        </m:sSub>
                      </m:num>
                      <m:den>
                        <m:sSub>
                          <m:e>
                            <m:r>
                              <m:t>μ</m:t>
                            </m:r>
                          </m:e>
                          <m:sub>
                            <m:r>
                              <m:t>t</m:t>
                            </m:r>
                          </m:sub>
                        </m:sSub>
                      </m:den>
                    </m:f>
                  </m:e>
                </m:d>
                <m:r>
                  <m:t>.</m:t>
                </m:r>
              </m:oMath>
            </m:oMathPara>
          </w:p>
        </w:tc>
        <w:tc>
          <w:tcPr>
            <w:tcW w:w="900" w:type="dxa"/>
            <w:vAlign w:val="center"/>
          </w:tcPr>
          <w:p>
            <w:pPr>
              <w:keepLines/>
              <w:spacing w:after="200" w:line="360" w:lineRule="auto"/>
              <w:jc w:val="both"/>
            </w:pPr>
            <w:r>
              <w:t>(S8)</w:t>
            </w:r>
          </w:p>
        </w:tc>
      </w:tr>
    </w:tbl>
    <w:p>
      <w:pPr>
        <w:spacing w:after="200" w:line="360" w:lineRule="auto"/>
        <w:jc w:val="both"/>
      </w:pPr>
      <w:r>
        <w:rPr>
          <w:i/>
        </w:rPr>
        <w:t>Proof.</w:t>
      </w:r>
      <w:r>
        <w:t xml:space="preserve"> Differentiate </w:t>
      </w:r>
      <w:r>
        <w:rPr>
          <w:i/>
        </w:rPr>
        <w:t>ψ</w:t>
      </w:r>
      <w:r>
        <w:t xml:space="preserve"> = </w:t>
      </w:r>
      <w:r>
        <w:rPr>
          <w:i/>
        </w:rPr>
        <w:t>D</w:t>
      </w:r>
      <w:r>
        <w:rPr>
          <w:sz w:val="20"/>
          <w:vertAlign w:val="superscript"/>
        </w:rPr>
        <w:t>-1/2</w:t>
      </w:r>
      <w:r>
        <w:rPr>
          <w:i/>
        </w:rPr>
        <w:t>p</w:t>
      </w:r>
      <w:r>
        <w:t xml:space="preserve"> and use </w:t>
      </w:r>
      <w:r>
        <w:rPr>
          <w:i/>
        </w:rPr>
        <w:t>dp</w:t>
      </w:r>
      <w:r>
        <w:t>/</w:t>
      </w:r>
      <w:r>
        <w:rPr>
          <w:i/>
        </w:rPr>
        <w:t>dt</w:t>
      </w:r>
      <w:r>
        <w:t xml:space="preserve"> = </w:t>
      </w:r>
      <w:r>
        <w:rPr>
          <w:i/>
        </w:rPr>
        <w:t>A</w:t>
      </w:r>
      <w:r>
        <w:rPr>
          <w:i/>
          <w:sz w:val="20"/>
          <w:vertAlign w:val="subscript"/>
        </w:rPr>
        <w:t>S</w:t>
      </w:r>
      <w:r>
        <w:rPr>
          <w:i/>
        </w:rPr>
        <w:t>p</w:t>
      </w:r>
      <w:r>
        <w:t>. ∎</w:t>
      </w:r>
    </w:p>
    <w:p>
      <w:pPr>
        <w:spacing w:after="200" w:line="360" w:lineRule="auto"/>
        <w:jc w:val="both"/>
      </w:pPr>
      <w:r>
        <w:rPr>
          <w:b/>
        </w:rPr>
        <w:t>Lemma S3 (exact χ² identity).</w:t>
      </w:r>
      <w:r>
        <w:t xml:space="preserve"> For every </w:t>
      </w:r>
      <w:r>
        <w:rPr>
          <w:i/>
        </w:rPr>
        <w:t>h</w:t>
      </w:r>
      <w:r>
        <w:t xml:space="preserve"> on </w:t>
      </w:r>
      <w:r>
        <w:rPr>
          <w:i/>
        </w:rPr>
        <w:t>S</w:t>
      </w:r>
      <w:r>
        <w:t xml:space="preserve"> and </w:t>
      </w:r>
      <w:r>
        <w:rPr>
          <w:i/>
        </w:rPr>
        <w:t>ψ</w:t>
      </w:r>
      <w:r>
        <w:t xml:space="preserve"> = </w:t>
      </w:r>
      <w:r>
        <w:rPr>
          <w:i/>
        </w:rPr>
        <w:t>D</w:t>
      </w:r>
      <w:r>
        <w:rPr>
          <w:sz w:val="20"/>
          <w:vertAlign w:val="superscript"/>
        </w:rPr>
        <w:t>1/2</w:t>
      </w:r>
      <w:r>
        <w:rPr>
          <w:i/>
        </w:rPr>
        <w:t>h</w:t>
      </w:r>
      <w:r>
        <w: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⟨ψ,</m:t>
                </m:r>
                <m:sSub>
                  <m:e>
                    <m:r>
                      <m:t>B</m:t>
                    </m:r>
                  </m:e>
                  <m:sub>
                    <m:r>
                      <m:t>t</m:t>
                    </m:r>
                  </m:sub>
                </m:sSub>
                <m:r>
                  <m:t>ψ⟩=-</m:t>
                </m:r>
                <m:f>
                  <m:fPr>
                    <m:type m:val="bar"/>
                  </m:fPr>
                  <m:num>
                    <m:argPr>
                      <m:scrLvl m:val="0"/>
                    </m:argPr>
                    <m:r>
                      <m:t>1</m:t>
                    </m:r>
                  </m:num>
                  <m:den>
                    <m:argPr>
                      <m:scrLvl m:val="0"/>
                    </m:argPr>
                    <m:r>
                      <m:t>2</m:t>
                    </m:r>
                  </m:den>
                </m:f>
                <m:sSub>
                  <m:e>
                    <m:r>
                      <m:rPr>
                        <m:scr m:val="script"/>
                        <m:sty m:val="i"/>
                      </m:rPr>
                      <m:t>E</m:t>
                    </m:r>
                  </m:e>
                  <m:sub>
                    <m:r>
                      <m:t>t</m:t>
                    </m:r>
                  </m:sub>
                </m:sSub>
                <m:r>
                  <m:t>(h)-</m:t>
                </m:r>
                <m:f>
                  <m:fPr>
                    <m:type m:val="bar"/>
                  </m:fPr>
                  <m:num>
                    <m:argPr>
                      <m:scrLvl m:val="0"/>
                    </m:argPr>
                    <m:r>
                      <m:t>1</m:t>
                    </m:r>
                  </m:num>
                  <m:den>
                    <m:argPr>
                      <m:scrLvl m:val="0"/>
                    </m:argPr>
                    <m:r>
                      <m:t>2</m:t>
                    </m:r>
                  </m:den>
                </m:f>
                <m:nary>
                  <m:naryPr>
                    <m:chr m:val="∑"/>
                    <m:limLoc m:val="undOvr"/>
                    <m:grow m:val="1"/>
                    <m:subHide m:val="off"/>
                    <m:supHide m:val="on"/>
                  </m:naryPr>
                  <m:sub>
                    <m:r>
                      <m:t>x∈S</m:t>
                    </m:r>
                  </m:sub>
                  <m:sup/>
                  <m:e>
                    <m:sSub>
                      <m:e>
                        <m:r>
                          <m:t>μ</m:t>
                        </m:r>
                      </m:e>
                      <m:sub>
                        <m:r>
                          <m:t>t</m:t>
                        </m:r>
                      </m:sub>
                    </m:sSub>
                  </m:e>
                </m:nary>
                <m:r>
                  <m:t>(x)</m:t>
                </m:r>
                <m:r>
                  <m:t>h(x</m:t>
                </m:r>
                <m:sSup>
                  <m:e>
                    <m:r>
                      <m:t>)</m:t>
                    </m:r>
                  </m:e>
                  <m:sup>
                    <m:r>
                      <m:t>2</m:t>
                    </m:r>
                  </m:sup>
                </m:sSup>
                <m:r>
                  <m:rPr>
                    <m:scr m:val="script"/>
                    <m:sty m:val="i"/>
                  </m:rPr>
                  <m:t>l</m:t>
                </m:r>
                <m:r>
                  <m:t>(x)+</m:t>
                </m:r>
                <m:f>
                  <m:fPr>
                    <m:type m:val="bar"/>
                  </m:fPr>
                  <m:num>
                    <m:argPr>
                      <m:scrLvl m:val="0"/>
                    </m:argPr>
                    <m:r>
                      <m:t>1</m:t>
                    </m:r>
                  </m:num>
                  <m:den>
                    <m:argPr>
                      <m:scrLvl m:val="0"/>
                    </m:argPr>
                    <m:r>
                      <m:t>2</m:t>
                    </m:r>
                  </m:den>
                </m:f>
                <m:nary>
                  <m:naryPr>
                    <m:chr m:val="∑"/>
                    <m:limLoc m:val="undOvr"/>
                    <m:grow m:val="1"/>
                    <m:subHide m:val="off"/>
                    <m:supHide m:val="on"/>
                  </m:naryPr>
                  <m:sub>
                    <m:r>
                      <m:t>x∈S</m:t>
                    </m:r>
                  </m:sub>
                  <m:sup/>
                  <m:e>
                    <m:sSub>
                      <m:e>
                        <m:r>
                          <m:t>μ</m:t>
                        </m:r>
                      </m:e>
                      <m:sub>
                        <m:r>
                          <m:t>t</m:t>
                        </m:r>
                      </m:sub>
                    </m:sSub>
                  </m:e>
                </m:nary>
                <m:r>
                  <m:t>(x)</m:t>
                </m:r>
                <m:r>
                  <m:t>h(x</m:t>
                </m:r>
                <m:sSup>
                  <m:e>
                    <m:r>
                      <m:t>)</m:t>
                    </m:r>
                  </m:e>
                  <m:sup>
                    <m:r>
                      <m:t>2</m:t>
                    </m:r>
                  </m:sup>
                </m:sSup>
                <m:sSub>
                  <m:e>
                    <m:r>
                      <m:t>r</m:t>
                    </m:r>
                  </m:e>
                  <m:sub>
                    <m:r>
                      <m:t>t</m:t>
                    </m:r>
                  </m:sub>
                </m:sSub>
                <m:r>
                  <m:t>(x).</m:t>
                </m:r>
              </m:oMath>
            </m:oMathPara>
          </w:p>
        </w:tc>
        <w:tc>
          <w:tcPr>
            <w:tcW w:w="900" w:type="dxa"/>
            <w:vAlign w:val="center"/>
          </w:tcPr>
          <w:p>
            <w:pPr>
              <w:keepLines/>
              <w:spacing w:after="200" w:line="360" w:lineRule="auto"/>
              <w:jc w:val="both"/>
            </w:pPr>
            <w:r>
              <w:t>(S9)</w:t>
            </w:r>
          </w:p>
        </w:tc>
      </w:tr>
    </w:tbl>
    <w:p>
      <w:pPr>
        <w:spacing w:after="200" w:line="360" w:lineRule="auto"/>
        <w:jc w:val="both"/>
      </w:pPr>
      <w:r>
        <w:rPr>
          <w:i/>
        </w:rPr>
        <w:t>Proof.</w:t>
      </w:r>
      <w:r>
        <w:t xml:space="preserve"> We have </w:t>
      </w:r>
      <m:oMath>
        <m:r>
          <m:t>⟨ψ,Bψ⟩=⟨h,</m:t>
        </m:r>
        <m:sSub>
          <m:e>
            <m:r>
              <m:t>A</m:t>
            </m:r>
          </m:e>
          <m:sub>
            <m:r>
              <m:t>S</m:t>
            </m:r>
          </m:sub>
        </m:sSub>
        <m:r>
          <m:t>(μh)⟩-</m:t>
        </m:r>
        <m:f>
          <m:fPr>
            <m:type m:val="bar"/>
          </m:fPr>
          <m:num>
            <m:argPr>
              <m:scrLvl m:val="0"/>
            </m:argPr>
            <m:r>
              <m:t>1</m:t>
            </m:r>
          </m:num>
          <m:den>
            <m:argPr>
              <m:scrLvl m:val="0"/>
            </m:argPr>
            <m:r>
              <m:t>2</m:t>
            </m:r>
          </m:den>
        </m:f>
        <m:nary>
          <m:naryPr>
            <m:chr m:val="∑"/>
            <m:limLoc m:val="undOvr"/>
            <m:grow m:val="1"/>
            <m:subHide m:val="off"/>
            <m:supHide m:val="on"/>
          </m:naryPr>
          <m:sub>
            <m:r>
              <m:t>x</m:t>
            </m:r>
          </m:sub>
          <m:sup/>
          <m:e>
            <m:limUpp>
              <m:e>
                <m:r>
                  <m:t>μ</m:t>
                </m:r>
              </m:e>
              <m:lim>
                <m:r>
                  <m:t>˙</m:t>
                </m:r>
              </m:lim>
            </m:limUpp>
          </m:e>
        </m:nary>
        <m:r>
          <m:t>(x)h(x</m:t>
        </m:r>
        <m:sSup>
          <m:e>
            <m:r>
              <m:t>)</m:t>
            </m:r>
          </m:e>
          <m:sup>
            <m:r>
              <m:t>2</m:t>
            </m:r>
          </m:sup>
        </m:sSup>
      </m:oMath>
      <w:r>
        <w:t xml:space="preserve">. Expand </w:t>
      </w:r>
      <w:r>
        <w:rPr>
          <w:i/>
        </w:rPr>
        <w:t>A</w:t>
      </w:r>
      <w:r>
        <w:rPr>
          <w:i/>
          <w:sz w:val="20"/>
          <w:vertAlign w:val="subscript"/>
        </w:rPr>
        <w:t>S</w:t>
      </w:r>
      <w:r>
        <w:t xml:space="preserve"> by reactions and separate the moves that stay in </w:t>
      </w:r>
      <w:r>
        <w:rPr>
          <w:i/>
        </w:rPr>
        <w:t>S</w:t>
      </w:r>
      <w:r>
        <w:t xml:space="preserve"> from the moves that leave it. For the moves that stay, use </w:t>
      </w:r>
      <m:oMath>
        <m:r>
          <m:t>h(y)h(z)=</m:t>
        </m:r>
        <m:f>
          <m:fPr>
            <m:type m:val="bar"/>
          </m:fPr>
          <m:num>
            <m:argPr>
              <m:scrLvl m:val="0"/>
            </m:argPr>
            <m:r>
              <m:t>1</m:t>
            </m:r>
          </m:num>
          <m:den>
            <m:argPr>
              <m:scrLvl m:val="0"/>
            </m:argPr>
            <m:r>
              <m:t>2</m:t>
            </m:r>
          </m:den>
        </m:f>
        <m:r>
          <m:t>[h(y</m:t>
        </m:r>
        <m:sSup>
          <m:e>
            <m:r>
              <m:t>)</m:t>
            </m:r>
          </m:e>
          <m:sup>
            <m:r>
              <m:t>2</m:t>
            </m:r>
          </m:sup>
        </m:sSup>
        <m:r>
          <m:t>+h(z</m:t>
        </m:r>
        <m:sSup>
          <m:e>
            <m:r>
              <m:t>)</m:t>
            </m:r>
          </m:e>
          <m:sup>
            <m:r>
              <m:t>2</m:t>
            </m:r>
          </m:sup>
        </m:sSup>
        <m:r>
          <m:t>-(h(z)-h(y)</m:t>
        </m:r>
        <m:sSup>
          <m:e>
            <m:r>
              <m:t>)</m:t>
            </m:r>
          </m:e>
          <m:sup>
            <m:r>
              <m:t>2</m:t>
            </m:r>
          </m:sup>
        </m:sSup>
        <m:r>
          <m:t>]</m:t>
        </m:r>
      </m:oMath>
      <w:r>
        <w:t xml:space="preserve">. The squared differences give </w:t>
      </w:r>
      <m:oMath>
        <m:r>
          <m:t>-</m:t>
        </m:r>
        <m:f>
          <m:fPr>
            <m:type m:val="bar"/>
          </m:fPr>
          <m:num>
            <m:argPr>
              <m:scrLvl m:val="0"/>
            </m:argPr>
            <m:r>
              <m:t>1</m:t>
            </m:r>
          </m:num>
          <m:den>
            <m:argPr>
              <m:scrLvl m:val="0"/>
            </m:argPr>
            <m:r>
              <m:t>2</m:t>
            </m:r>
          </m:den>
        </m:f>
        <m:r>
          <m:rPr>
            <m:scr m:val="script"/>
            <m:sty m:val="i"/>
          </m:rPr>
          <m:t>E</m:t>
        </m:r>
        <m:r>
          <m:t>(h)</m:t>
        </m:r>
      </m:oMath>
      <w:r>
        <w:t xml:space="preserve">. The remaining terms combine into </w:t>
      </w:r>
      <m:oMath>
        <m:f>
          <m:fPr>
            <m:type m:val="bar"/>
          </m:fPr>
          <m:num>
            <m:argPr>
              <m:scrLvl m:val="0"/>
            </m:argPr>
            <m:r>
              <m:t>1</m:t>
            </m:r>
          </m:num>
          <m:den>
            <m:argPr>
              <m:scrLvl m:val="0"/>
            </m:argPr>
            <m:r>
              <m:t>2</m:t>
            </m:r>
          </m:den>
        </m:f>
        <m:nary>
          <m:naryPr>
            <m:chr m:val="∑"/>
            <m:limLoc m:val="undOvr"/>
            <m:grow m:val="1"/>
            <m:subHide m:val="off"/>
            <m:supHide m:val="on"/>
          </m:naryPr>
          <m:sub>
            <m:r>
              <m:t>x</m:t>
            </m:r>
          </m:sub>
          <m:sup/>
          <m:e>
            <m:r>
              <m:t>h(x</m:t>
            </m:r>
          </m:e>
        </m:nary>
        <m:sSup>
          <m:e>
            <m:r>
              <m:t>)</m:t>
            </m:r>
          </m:e>
          <m:sup>
            <m:r>
              <m:t>2</m:t>
            </m:r>
          </m:sup>
        </m:sSup>
        <m:r>
          <m:t>(</m:t>
        </m:r>
        <m:sSub>
          <m:e>
            <m:r>
              <m:t>A</m:t>
            </m:r>
          </m:e>
          <m:sub>
            <m:r>
              <m:t>S</m:t>
            </m:r>
          </m:sub>
        </m:sSub>
        <m:r>
          <m:t>μ)(x)-</m:t>
        </m:r>
        <m:f>
          <m:fPr>
            <m:type m:val="bar"/>
          </m:fPr>
          <m:num>
            <m:argPr>
              <m:scrLvl m:val="0"/>
            </m:argPr>
            <m:r>
              <m:t>1</m:t>
            </m:r>
          </m:num>
          <m:den>
            <m:argPr>
              <m:scrLvl m:val="0"/>
            </m:argPr>
            <m:r>
              <m:t>2</m:t>
            </m:r>
          </m:den>
        </m:f>
        <m:nary>
          <m:naryPr>
            <m:chr m:val="∑"/>
            <m:limLoc m:val="undOvr"/>
            <m:grow m:val="1"/>
            <m:subHide m:val="off"/>
            <m:supHide m:val="on"/>
          </m:naryPr>
          <m:sub>
            <m:r>
              <m:t>x</m:t>
            </m:r>
          </m:sub>
          <m:sup/>
          <m:e>
            <m:r>
              <m:t>μ(x)h(x</m:t>
            </m:r>
          </m:e>
        </m:nary>
        <m:sSup>
          <m:e>
            <m:r>
              <m:t>)</m:t>
            </m:r>
          </m:e>
          <m:sup>
            <m:r>
              <m:t>2</m:t>
            </m:r>
          </m:sup>
        </m:sSup>
        <m:r>
          <m:rPr>
            <m:scr m:val="script"/>
            <m:sty m:val="i"/>
          </m:rPr>
          <m:t>l</m:t>
        </m:r>
        <m:r>
          <m:t>(x)</m:t>
        </m:r>
      </m:oMath>
      <w:r>
        <w:t xml:space="preserve">, because the inflow into </w:t>
      </w:r>
      <w:r>
        <w:rPr>
          <w:i/>
        </w:rPr>
        <w:t>x</w:t>
      </w:r>
      <w:r>
        <w:t xml:space="preserve"> equals </w:t>
      </w:r>
      <m:oMath>
        <m:d>
          <m:dPr>
            <m:sepChr m:val=""/>
          </m:dPr>
          <m:e>
            <m:sSub>
              <m:e>
                <m:r>
                  <m:t>A</m:t>
                </m:r>
              </m:e>
              <m:sub>
                <m:r>
                  <m:t>S</m:t>
                </m:r>
              </m:sub>
            </m:sSub>
            <m:r>
              <m:t>μ</m:t>
            </m:r>
            <m:r>
              <m:t>)</m:t>
            </m:r>
            <m:r>
              <m:t>(</m:t>
            </m:r>
            <m:r>
              <m:t>x</m:t>
            </m:r>
            <m:r>
              <m:t>)</m:t>
            </m:r>
            <m:r>
              <m:t>+</m:t>
            </m:r>
            <m:r>
              <m:t>μ</m:t>
            </m:r>
            <m:r>
              <m:t>(</m:t>
            </m:r>
            <m:r>
              <m:t>x</m:t>
            </m:r>
            <m:r>
              <m:t>)</m:t>
            </m:r>
            <m:nary>
              <m:naryPr>
                <m:chr m:val="∑"/>
                <m:limLoc m:val="undOvr"/>
                <m:grow m:val="1"/>
                <m:subHide m:val="off"/>
                <m:supHide m:val="on"/>
              </m:naryPr>
              <m:sub>
                <m:r>
                  <m:t>k</m:t>
                </m:r>
              </m:sub>
              <m:sup/>
              <m:e>
                <m:sSub>
                  <m:e>
                    <m:r>
                      <m:t>a</m:t>
                    </m:r>
                  </m:e>
                  <m:sub>
                    <m:r>
                      <m:t>k</m:t>
                    </m:r>
                  </m:sub>
                </m:sSub>
              </m:e>
            </m:nary>
            <m:r>
              <m:t>(</m:t>
            </m:r>
            <m:r>
              <m:t>x</m:t>
            </m:r>
          </m:e>
        </m:d>
      </m:oMath>
      <w:r>
        <w:t xml:space="preserve">. Collecting terms and using </w:t>
      </w:r>
      <m:oMath>
        <m:r>
          <m:t>μr=</m:t>
        </m:r>
        <m:sSub>
          <m:e>
            <m:r>
              <m:t>A</m:t>
            </m:r>
          </m:e>
          <m:sub>
            <m:r>
              <m:t>S</m:t>
            </m:r>
          </m:sub>
        </m:sSub>
        <m:r>
          <m:t>μ-</m:t>
        </m:r>
        <m:acc>
          <m:accPr>
            <m:chr m:val="̇"/>
          </m:accPr>
          <m:e>
            <m:r>
              <m:t>μ</m:t>
            </m:r>
          </m:e>
        </m:acc>
      </m:oMath>
      <w:r>
        <w:t xml:space="preserve"> gives Eq. (S9). ∎</w:t>
      </w:r>
    </w:p>
    <w:p>
      <w:pPr>
        <w:spacing w:after="200" w:line="360" w:lineRule="auto"/>
        <w:jc w:val="both"/>
      </w:pPr>
      <w:r>
        <w:t xml:space="preserve">This is the χ² analogue of the relative-entropy method of Yau with a time-dependent reference [6,7]. The new elements are the exact χ² form for non-reversible jump processes and the explicit leak term of the truncation. When </w:t>
      </w:r>
      <w:r>
        <w:rPr>
          <w:i/>
        </w:rPr>
        <w:t>μ</w:t>
      </w:r>
      <w:r>
        <w:t xml:space="preserve"> is the stationary law of a closed box, </w:t>
      </w:r>
      <w:r>
        <w:rPr>
          <w:i/>
        </w:rPr>
        <w:t>r</w:t>
      </w:r>
      <w:r>
        <w:t xml:space="preserve"> and </w:t>
      </w:r>
      <w:r>
        <w:rPr>
          <w:i/>
        </w:rPr>
        <w:t>ℓ</w:t>
      </w:r>
      <w:r>
        <w:t xml:space="preserve"> vanish and the identity gives the contraction used by Fill [8]. Since </w:t>
      </w:r>
      <m:oMath>
        <m:r>
          <m:rPr>
            <m:scr m:val="script"/>
            <m:sty m:val="i"/>
          </m:rPr>
          <m:t>E</m:t>
        </m:r>
        <m:r>
          <m:t>≥0</m:t>
        </m:r>
      </m:oMath>
      <w:r>
        <w:t xml:space="preserve">, Eq. (S9) gives </w:t>
      </w:r>
      <m:oMath>
        <m:r>
          <m:t>d‖ψ</m:t>
        </m:r>
        <m:sSup>
          <m:e>
            <m:r>
              <m:t>‖</m:t>
            </m:r>
          </m:e>
          <m:sup>
            <m:r>
              <m:t>2</m:t>
            </m:r>
          </m:sup>
        </m:sSup>
        <m:r>
          <m:t>/dt≤</m:t>
        </m:r>
        <m:sSub>
          <m:e>
            <m:r>
              <m:rPr>
                <m:sty m:val="p"/>
              </m:rPr>
              <m:t>max</m:t>
            </m:r>
          </m:e>
          <m:sub>
            <m:r>
              <m:t>x</m:t>
            </m:r>
          </m:sub>
        </m:sSub>
        <m:r>
          <m:t>(</m:t>
        </m:r>
        <m:sSub>
          <m:e>
            <m:r>
              <m:t>r</m:t>
            </m:r>
          </m:e>
          <m:sub>
            <m:r>
              <m:t>t</m:t>
            </m:r>
          </m:sub>
        </m:sSub>
        <m:r>
          <m:t>-</m:t>
        </m:r>
        <m:r>
          <m:rPr>
            <m:scr m:val="script"/>
            <m:sty m:val="i"/>
          </m:rPr>
          <m:t>l</m:t>
        </m:r>
        <m:r>
          <m:t>)(x)</m:t>
        </m:r>
        <m:r>
          <m:t>‖ψ</m:t>
        </m:r>
        <m:sSup>
          <m:e>
            <m:r>
              <m:t>‖</m:t>
            </m:r>
          </m:e>
          <m:sup>
            <m:r>
              <m:t>2</m:t>
            </m:r>
          </m:sup>
        </m:sSup>
      </m:oMath>
      <w:r>
        <w:t xml:space="preserve">. The certificate therefore needs only </w:t>
      </w:r>
      <w:r>
        <w:rPr>
          <w:i/>
        </w:rPr>
        <w:t>μ</w:t>
      </w:r>
      <w:r>
        <w:t xml:space="preserve">, never </w:t>
      </w:r>
      <w:r>
        <w:rPr>
          <w:i/>
        </w:rPr>
        <w:t>p</w:t>
      </w:r>
      <w:r>
        <w:t>, and a test in the code enforces this.</w:t>
      </w:r>
    </w:p>
    <w:p>
      <w:pPr>
        <w:pStyle w:val="Heading2"/>
        <w:spacing w:before="480" w:after="120" w:line="360" w:lineRule="auto"/>
      </w:pPr>
      <w:r>
        <w:rPr>
          <w:rFonts w:ascii="Times New Roman" w:hAnsi="Times New Roman"/>
        </w:rPr>
        <w:t>S4.2 Local Collatz–Wielandt bounds</w:t>
      </w:r>
    </w:p>
    <w:p>
      <w:pPr>
        <w:spacing w:after="200" w:line="360" w:lineRule="auto"/>
        <w:jc w:val="both"/>
      </w:pPr>
      <w:r>
        <w:t>Let Σ</w:t>
      </w:r>
      <w:r>
        <w:rPr>
          <w:i/>
          <w:sz w:val="20"/>
          <w:vertAlign w:val="subscript"/>
        </w:rPr>
        <w:t>t</w:t>
      </w:r>
      <w:r>
        <w:t xml:space="preserve"> be the symmetric part of </w:t>
      </w:r>
      <w:r>
        <w:rPr>
          <w:i/>
        </w:rPr>
        <w:t>B</w:t>
      </w:r>
      <w:r>
        <w:rPr>
          <w:i/>
          <w:sz w:val="20"/>
          <w:vertAlign w:val="subscript"/>
        </w:rPr>
        <w:t>t</w:t>
      </w:r>
      <w:r>
        <w:t xml:space="preserve"> and </w:t>
      </w:r>
      <w:r>
        <w:rPr>
          <w:i/>
        </w:rPr>
        <w:t>ω</w:t>
      </w:r>
      <w:r>
        <w:rPr>
          <w:i/>
          <w:sz w:val="20"/>
          <w:vertAlign w:val="subscript"/>
        </w:rPr>
        <w:t>t</w:t>
      </w:r>
      <w:r>
        <w:t xml:space="preserve"> its largest eigenvalue, the Euclidean logarithmic norm.</w:t>
      </w:r>
    </w:p>
    <w:p>
      <w:pPr>
        <w:spacing w:after="200" w:line="360" w:lineRule="auto"/>
        <w:jc w:val="both"/>
      </w:pPr>
      <w:r>
        <w:rPr>
          <w:b/>
        </w:rPr>
        <w:t>Proposition S1.</w:t>
      </w:r>
      <w:r>
        <w:t xml:space="preserve"> (a) </w:t>
      </w:r>
      <m:oMath>
        <m:r>
          <m:t>d‖ψ</m:t>
        </m:r>
        <m:sSup>
          <m:e>
            <m:r>
              <m:t>‖</m:t>
            </m:r>
          </m:e>
          <m:sup>
            <m:r>
              <m:t>2</m:t>
            </m:r>
          </m:sup>
        </m:sSup>
        <m:r>
          <m:t>/dt≤2</m:t>
        </m:r>
        <m:sSub>
          <m:e>
            <m:r>
              <m:t>ω</m:t>
            </m:r>
          </m:e>
          <m:sub>
            <m:r>
              <m:t>t</m:t>
            </m:r>
          </m:sub>
        </m:sSub>
        <m:r>
          <m:t>‖ψ</m:t>
        </m:r>
        <m:sSup>
          <m:e>
            <m:r>
              <m:t>‖</m:t>
            </m:r>
          </m:e>
          <m:sup>
            <m:r>
              <m:t>2</m:t>
            </m:r>
          </m:sup>
        </m:sSup>
      </m:oMath>
      <w:r>
        <w:t xml:space="preserve">, and no smaller constant holds for every </w:t>
      </w:r>
      <w:r>
        <w:rPr>
          <w:i/>
        </w:rPr>
        <w:t>ψ</w:t>
      </w:r>
      <w:r>
        <w:t>. (b) Σ</w:t>
      </w:r>
      <w:r>
        <w:rPr>
          <w:i/>
          <w:sz w:val="20"/>
          <w:vertAlign w:val="subscript"/>
        </w:rPr>
        <w:t>t</w:t>
      </w:r>
      <w:r>
        <w:t xml:space="preserve"> is a Metzler matrix, so its off-diagonal entries are nonnegative. (c) For every positive weight </w:t>
      </w:r>
      <w:r>
        <w:rPr>
          <w:i/>
        </w:rPr>
        <w:t>w</w:t>
      </w:r>
      <w:r>
        <w:t xml:space="preserve"> on </w:t>
      </w:r>
      <w:r>
        <w:rPr>
          <w:i/>
        </w:rPr>
        <w:t>S</w:t>
      </w:r>
      <w:r>
        <w: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sSub>
                  <m:e>
                    <m:r>
                      <m:t>ω</m:t>
                    </m:r>
                  </m:e>
                  <m:sub>
                    <m:r>
                      <m:t>t</m:t>
                    </m:r>
                  </m:sub>
                </m:sSub>
                <m:r>
                  <m:t>≤</m:t>
                </m:r>
                <m:sSub>
                  <m:e>
                    <m:r>
                      <m:rPr>
                        <m:sty m:val="p"/>
                      </m:rPr>
                      <m:t>CW</m:t>
                    </m:r>
                  </m:e>
                  <m:sub>
                    <m:r>
                      <m:t>t</m:t>
                    </m:r>
                  </m:sub>
                </m:sSub>
                <m:r>
                  <m:t>(w)=</m:t>
                </m:r>
                <m:limLow>
                  <m:e>
                    <m:r>
                      <m:rPr>
                        <m:sty m:val="p"/>
                      </m:rPr>
                      <m:t>max</m:t>
                    </m:r>
                  </m:e>
                  <m:lim>
                    <m:r>
                      <m:t>x∈S</m:t>
                    </m:r>
                  </m:lim>
                </m:limLow>
                <m:f>
                  <m:fPr>
                    <m:type m:val="bar"/>
                  </m:fPr>
                  <m:num>
                    <m:d>
                      <m:dPr>
                        <m:sepChr m:val=""/>
                      </m:dPr>
                      <m:e>
                        <m:sSub>
                          <m:e>
                            <m:r>
                              <m:t>Σ</m:t>
                            </m:r>
                          </m:e>
                          <m:sub>
                            <m:r>
                              <m:t>t</m:t>
                            </m:r>
                          </m:sub>
                        </m:sSub>
                        <m:r>
                          <m:t>w</m:t>
                        </m:r>
                        <m:r>
                          <m:t>)</m:t>
                        </m:r>
                        <m:r>
                          <m:t>(</m:t>
                        </m:r>
                        <m:r>
                          <m:t>x</m:t>
                        </m:r>
                      </m:e>
                    </m:d>
                  </m:num>
                  <m:den>
                    <m:r>
                      <m:t>w(x)</m:t>
                    </m:r>
                  </m:den>
                </m:f>
                <m:r>
                  <m:t>,</m:t>
                </m:r>
              </m:oMath>
            </m:oMathPara>
          </w:p>
        </w:tc>
        <w:tc>
          <w:tcPr>
            <w:tcW w:w="900" w:type="dxa"/>
            <w:vAlign w:val="center"/>
          </w:tcPr>
          <w:p>
            <w:pPr>
              <w:keepLines/>
              <w:spacing w:after="200" w:line="360" w:lineRule="auto"/>
              <w:jc w:val="both"/>
            </w:pPr>
            <w:r>
              <w:t>(S10)</w:t>
            </w:r>
          </w:p>
        </w:tc>
      </w:tr>
    </w:tbl>
    <w:p>
      <w:pPr>
        <w:spacing w:after="200" w:line="360" w:lineRule="auto"/>
        <w:jc w:val="both"/>
      </w:pPr>
      <w:r>
        <w:t xml:space="preserve">with equality when </w:t>
      </w:r>
      <w:r>
        <w:rPr>
          <w:i/>
        </w:rPr>
        <w:t>w</w:t>
      </w:r>
      <w:r>
        <w:t xml:space="preserve"> is a Perron vector of Σ</w:t>
      </w:r>
      <w:r>
        <w:rPr>
          <w:i/>
          <w:sz w:val="20"/>
          <w:vertAlign w:val="subscript"/>
        </w:rPr>
        <w:t>t</w:t>
      </w:r>
      <w:r>
        <w:t xml:space="preserve">. (d) For </w:t>
      </w:r>
      <m:oMath>
        <m:r>
          <m:t>w=</m:t>
        </m:r>
        <m:rad>
          <m:radPr>
            <m:degHide m:val="on"/>
          </m:radPr>
          <m:deg/>
          <m:e>
            <m:sSub>
              <m:e>
                <m:r>
                  <m:t>μ</m:t>
                </m:r>
              </m:e>
              <m:sub>
                <m:r>
                  <m:t>t</m:t>
                </m:r>
              </m:sub>
            </m:sSub>
          </m:e>
        </m:rad>
      </m:oMath>
      <w:r>
        <w:t xml:space="preserve">, </w:t>
      </w:r>
      <m:oMath>
        <m:sSub>
          <m:e>
            <m:r>
              <m:rPr>
                <m:sty m:val="p"/>
              </m:rPr>
              <m:t>CW</m:t>
            </m:r>
          </m:e>
          <m:sub>
            <m:r>
              <m:t>t</m:t>
            </m:r>
          </m:sub>
        </m:sSub>
        <m:r>
          <m:t>(</m:t>
        </m:r>
        <m:rad>
          <m:radPr>
            <m:degHide m:val="on"/>
          </m:radPr>
          <m:deg/>
          <m:e>
            <m:sSub>
              <m:e>
                <m:r>
                  <m:t>μ</m:t>
                </m:r>
              </m:e>
              <m:sub>
                <m:r>
                  <m:t>t</m:t>
                </m:r>
              </m:sub>
            </m:sSub>
          </m:e>
        </m:rad>
        <m:r>
          <m:t>)=</m:t>
        </m:r>
        <m:f>
          <m:fPr>
            <m:type m:val="bar"/>
          </m:fPr>
          <m:num>
            <m:argPr>
              <m:scrLvl m:val="0"/>
            </m:argPr>
            <m:r>
              <m:t>1</m:t>
            </m:r>
          </m:num>
          <m:den>
            <m:argPr>
              <m:scrLvl m:val="0"/>
            </m:argPr>
            <m:r>
              <m:t>2</m:t>
            </m:r>
          </m:den>
        </m:f>
        <m:sSub>
          <m:e>
            <m:r>
              <m:rPr>
                <m:sty m:val="p"/>
              </m:rPr>
              <m:t>max</m:t>
            </m:r>
          </m:e>
          <m:sub>
            <m:r>
              <m:t>x</m:t>
            </m:r>
          </m:sub>
        </m:sSub>
        <m:r>
          <m:t>(</m:t>
        </m:r>
        <m:sSub>
          <m:e>
            <m:r>
              <m:t>r</m:t>
            </m:r>
          </m:e>
          <m:sub>
            <m:r>
              <m:t>t</m:t>
            </m:r>
          </m:sub>
        </m:sSub>
        <m:r>
          <m:t>-</m:t>
        </m:r>
        <m:r>
          <m:rPr>
            <m:scr m:val="script"/>
            <m:sty m:val="i"/>
          </m:rPr>
          <m:t>l</m:t>
        </m:r>
        <m:r>
          <m:t>)(x)</m:t>
        </m:r>
      </m:oMath>
      <w:r>
        <w:t xml:space="preserve">. (e) For any </w:t>
      </w:r>
      <w:r>
        <w:rPr>
          <w:i/>
        </w:rPr>
        <w:t>ω</w:t>
      </w:r>
      <w:r>
        <w:t xml:space="preserve">' &gt; </w:t>
      </w:r>
      <w:r>
        <w:rPr>
          <w:i/>
        </w:rPr>
        <w:t>ω</w:t>
      </w:r>
      <w:r>
        <w:rPr>
          <w:i/>
          <w:sz w:val="20"/>
          <w:vertAlign w:val="subscript"/>
        </w:rPr>
        <w:t>t</w:t>
      </w:r>
      <w:r>
        <w:t xml:space="preserve">, the resolvent weight </w:t>
      </w:r>
      <m:oMath>
        <m:r>
          <m:t>w=(</m:t>
        </m:r>
        <m:sSup>
          <m:e>
            <m:r>
              <m:t>ω</m:t>
            </m:r>
          </m:e>
          <m:sup>
            <m:r>
              <m:t>′</m:t>
            </m:r>
          </m:sup>
        </m:sSup>
        <m:r>
          <m:t>I-</m:t>
        </m:r>
        <m:sSub>
          <m:e>
            <m:r>
              <m:t>Σ</m:t>
            </m:r>
          </m:e>
          <m:sub>
            <m:r>
              <m:t>t</m:t>
            </m:r>
          </m:sub>
        </m:sSub>
        <m:sSup>
          <m:e>
            <m:r>
              <m:t>)</m:t>
            </m:r>
          </m:e>
          <m:sup>
            <m:r>
              <m:t>-1</m:t>
            </m:r>
          </m:sup>
        </m:sSup>
        <m:r>
          <m:rPr>
            <m:sty m:val="b"/>
          </m:rPr>
          <m:t>1</m:t>
        </m:r>
      </m:oMath>
      <w:r>
        <w:t xml:space="preserve"> is positive and CW</w:t>
      </w:r>
      <w:r>
        <w:rPr>
          <w:i/>
          <w:sz w:val="20"/>
          <w:vertAlign w:val="subscript"/>
        </w:rPr>
        <w:t>t</w:t>
      </w:r>
      <w:r>
        <w:t>(</w:t>
      </w:r>
      <w:r>
        <w:rPr>
          <w:i/>
        </w:rPr>
        <w:t>w</w:t>
      </w:r>
      <w:r>
        <w:t xml:space="preserve">) &lt; </w:t>
      </w:r>
      <w:r>
        <w:rPr>
          <w:i/>
        </w:rPr>
        <w:t>ω</w:t>
      </w:r>
      <w:r>
        <w:t>'.</w:t>
      </w:r>
    </w:p>
    <w:p>
      <w:pPr>
        <w:spacing w:after="200" w:line="360" w:lineRule="auto"/>
        <w:jc w:val="both"/>
      </w:pPr>
      <w:r>
        <w:rPr>
          <w:i/>
        </w:rPr>
        <w:t>Proof.</w:t>
      </w:r>
      <w:r>
        <w:t xml:space="preserve"> (a) </w:t>
      </w:r>
      <m:oMath>
        <m:r>
          <m:t>d‖ψ</m:t>
        </m:r>
        <m:sSup>
          <m:e>
            <m:r>
              <m:t>‖</m:t>
            </m:r>
          </m:e>
          <m:sup>
            <m:r>
              <m:t>2</m:t>
            </m:r>
          </m:sup>
        </m:sSup>
        <m:r>
          <m:t>/dt=2⟨ψ,Σψ⟩</m:t>
        </m:r>
      </m:oMath>
      <w:r>
        <w:t xml:space="preserve">, and </w:t>
      </w:r>
      <w:r>
        <w:rPr>
          <w:i/>
        </w:rPr>
        <w:t>ω</w:t>
      </w:r>
      <w:r>
        <w:t xml:space="preserve"> is the largest Rayleigh quotient. (b) For </w:t>
      </w:r>
      <w:r>
        <w:rPr>
          <w:i/>
        </w:rPr>
        <w:t>y</w:t>
      </w:r>
      <w:r>
        <w:t xml:space="preserve"> ≠ </w:t>
      </w:r>
      <w:r>
        <w:rPr>
          <w:i/>
        </w:rPr>
        <w:t>x</w:t>
      </w:r>
      <w:r>
        <w:t xml:space="preserve">, </w:t>
      </w:r>
      <m:oMath>
        <m:sSub>
          <m:e>
            <m:r>
              <m:t>B</m:t>
            </m:r>
          </m:e>
          <m:sub>
            <m:r>
              <m:t>yx</m:t>
            </m:r>
          </m:sub>
        </m:sSub>
        <m:r>
          <m:t>=(</m:t>
        </m:r>
        <m:sSub>
          <m:e>
            <m:r>
              <m:t>A</m:t>
            </m:r>
          </m:e>
          <m:sub>
            <m:r>
              <m:t>S</m:t>
            </m:r>
          </m:sub>
        </m:sSub>
        <m:sSub>
          <m:e>
            <m:r>
              <m:t>)</m:t>
            </m:r>
          </m:e>
          <m:sub>
            <m:r>
              <m:t>yx</m:t>
            </m:r>
          </m:sub>
        </m:sSub>
        <m:rad>
          <m:radPr>
            <m:degHide m:val="on"/>
          </m:radPr>
          <m:deg/>
          <m:e>
            <m:r>
              <m:t>μ(x)/μ(y)</m:t>
            </m:r>
          </m:e>
        </m:rad>
        <m:r>
          <m:t>≥0</m:t>
        </m:r>
      </m:oMath>
      <w:r>
        <w:t xml:space="preserve">. (c) Choose </w:t>
      </w:r>
      <w:r>
        <w:rPr>
          <w:i/>
        </w:rPr>
        <w:t>c</w:t>
      </w:r>
      <w:r>
        <w:t xml:space="preserve"> so that </w:t>
      </w:r>
      <w:r>
        <w:rPr>
          <w:i/>
        </w:rPr>
        <w:t>N</w:t>
      </w:r>
      <w:r>
        <w:t xml:space="preserve"> = Σ + </w:t>
      </w:r>
      <w:r>
        <w:rPr>
          <w:i/>
        </w:rPr>
        <w:t>cI</w:t>
      </w:r>
      <w:r>
        <w:t xml:space="preserve"> is entrywise nonnegative and let </w:t>
      </w:r>
      <w:r>
        <w:rPr>
          <w:i/>
        </w:rPr>
        <w:t>W</w:t>
      </w:r>
      <w:r>
        <w:t xml:space="preserve"> = diag(</w:t>
      </w:r>
      <w:r>
        <w:rPr>
          <w:i/>
        </w:rPr>
        <w:t>w</w:t>
      </w:r>
      <w:r>
        <w:t xml:space="preserve">). Then </w:t>
      </w:r>
      <m:oMath>
        <m:sSub>
          <m:e>
            <m:r>
              <m:t>λ</m:t>
            </m:r>
          </m:e>
          <m:sub>
            <m:r>
              <m:rPr>
                <m:sty m:val="p"/>
              </m:rPr>
              <m:t>max</m:t>
            </m:r>
          </m:sub>
        </m:sSub>
        <m:r>
          <m:t>(N)≤ρ(</m:t>
        </m:r>
        <m:sSup>
          <m:e>
            <m:r>
              <m:t>W</m:t>
            </m:r>
          </m:e>
          <m:sup>
            <m:r>
              <m:t>-1</m:t>
            </m:r>
          </m:sup>
        </m:sSup>
        <m:r>
          <m:t>NW)≤‖</m:t>
        </m:r>
        <m:sSup>
          <m:e>
            <m:r>
              <m:t>W</m:t>
            </m:r>
          </m:e>
          <m:sup>
            <m:r>
              <m:t>-1</m:t>
            </m:r>
          </m:sup>
        </m:sSup>
        <m:r>
          <m:t>NW</m:t>
        </m:r>
        <m:sSub>
          <m:e>
            <m:r>
              <m:t>‖</m:t>
            </m:r>
          </m:e>
          <m:sub>
            <m:r>
              <m:t>∞</m:t>
            </m:r>
          </m:sub>
        </m:sSub>
        <m:r>
          <m:t>=</m:t>
        </m:r>
        <m:sSub>
          <m:e>
            <m:r>
              <m:rPr>
                <m:sty m:val="p"/>
              </m:rPr>
              <m:t>max</m:t>
            </m:r>
          </m:e>
          <m:sub>
            <m:r>
              <m:t>x</m:t>
            </m:r>
          </m:sub>
        </m:sSub>
        <m:r>
          <m:t>(Nw)(x)/w(x)</m:t>
        </m:r>
      </m:oMath>
      <w:r>
        <w:t xml:space="preserve">. Subtract </w:t>
      </w:r>
      <w:r>
        <w:rPr>
          <w:i/>
        </w:rPr>
        <w:t>c</w:t>
      </w:r>
      <w:r>
        <w:t xml:space="preserve">. (d) Evaluate row </w:t>
      </w:r>
      <w:r>
        <w:rPr>
          <w:i/>
        </w:rPr>
        <w:t>x</w:t>
      </w:r>
      <w:r>
        <w:t xml:space="preserve"> of Σ against </w:t>
      </w:r>
      <m:oMath>
        <m:rad>
          <m:radPr>
            <m:degHide m:val="on"/>
          </m:radPr>
          <m:deg/>
          <m:e>
            <m:r>
              <m:t>μ</m:t>
            </m:r>
          </m:e>
        </m:rad>
      </m:oMath>
      <w:r>
        <w:t xml:space="preserve">. The diagonal, half the inflow and half the in-box outflow sum to </w:t>
      </w:r>
      <m:oMath>
        <m:f>
          <m:fPr>
            <m:type m:val="bar"/>
          </m:fPr>
          <m:num>
            <m:argPr>
              <m:scrLvl m:val="0"/>
            </m:argPr>
            <m:r>
              <m:t>1</m:t>
            </m:r>
          </m:num>
          <m:den>
            <m:argPr>
              <m:scrLvl m:val="0"/>
            </m:argPr>
            <m:r>
              <m:t>2</m:t>
            </m:r>
          </m:den>
        </m:f>
        <m:r>
          <m:t>(r-</m:t>
        </m:r>
        <m:r>
          <m:rPr>
            <m:scr m:val="script"/>
            <m:sty m:val="i"/>
          </m:rPr>
          <m:t>l</m:t>
        </m:r>
        <m:r>
          <m:t>)</m:t>
        </m:r>
      </m:oMath>
      <w:r>
        <w:t xml:space="preserve">. (e) For </w:t>
      </w:r>
      <m:oMath>
        <m:sSup>
          <m:e>
            <m:r>
              <m:t>ω</m:t>
            </m:r>
          </m:e>
          <m:sup>
            <m:r>
              <m:t>′</m:t>
            </m:r>
          </m:sup>
        </m:sSup>
        <m:r>
          <m:t>&gt;</m:t>
        </m:r>
        <m:sSub>
          <m:e>
            <m:r>
              <m:t>λ</m:t>
            </m:r>
          </m:e>
          <m:sub>
            <m:r>
              <m:rPr>
                <m:sty m:val="p"/>
              </m:rPr>
              <m:t>max</m:t>
            </m:r>
          </m:sub>
        </m:sSub>
        <m:r>
          <m:t>(Σ)</m:t>
        </m:r>
      </m:oMath>
      <w:r>
        <w:t xml:space="preserve">, the matrix </w:t>
      </w:r>
      <w:r>
        <w:rPr>
          <w:i/>
        </w:rPr>
        <w:t>ω</w:t>
      </w:r>
      <w:r>
        <w:t>'</w:t>
      </w:r>
      <w:r>
        <w:rPr>
          <w:i/>
        </w:rPr>
        <w:t>I</w:t>
      </w:r>
      <w:r>
        <w:t xml:space="preserve"> - Σ is a nonsingular M-matrix, so its inverse is entrywise nonnegative and </w:t>
      </w:r>
      <w:r>
        <w:rPr>
          <w:i/>
        </w:rPr>
        <w:t>w</w:t>
      </w:r>
      <w:r>
        <w:t xml:space="preserve"> is positive. Then </w:t>
      </w:r>
      <m:oMath>
        <m:r>
          <m:t>Σw=</m:t>
        </m:r>
        <m:sSup>
          <m:e>
            <m:r>
              <m:t>ω</m:t>
            </m:r>
          </m:e>
          <m:sup>
            <m:r>
              <m:t>′</m:t>
            </m:r>
          </m:sup>
        </m:sSup>
        <m:r>
          <m:t>w-</m:t>
        </m:r>
        <m:r>
          <m:rPr>
            <m:sty m:val="b"/>
          </m:rPr>
          <m:t>1</m:t>
        </m:r>
      </m:oMath>
      <w:r>
        <w:t xml:space="preserve">, which gives </w:t>
      </w:r>
      <m:oMath>
        <m:r>
          <m:rPr>
            <m:sty m:val="p"/>
          </m:rPr>
          <m:t>CW</m:t>
        </m:r>
        <m:r>
          <m:t>(w)=</m:t>
        </m:r>
        <m:sSub>
          <m:e>
            <m:r>
              <m:rPr>
                <m:sty m:val="p"/>
              </m:rPr>
              <m:t>max</m:t>
            </m:r>
          </m:e>
          <m:sub>
            <m:r>
              <m:t>x</m:t>
            </m:r>
          </m:sub>
        </m:sSub>
        <m:r>
          <m:t>(</m:t>
        </m:r>
        <m:sSup>
          <m:e>
            <m:r>
              <m:t>ω</m:t>
            </m:r>
          </m:e>
          <m:sup>
            <m:r>
              <m:t>′</m:t>
            </m:r>
          </m:sup>
        </m:sSup>
        <m:r>
          <m:t>-1/w(x))&lt;</m:t>
        </m:r>
        <m:sSup>
          <m:e>
            <m:r>
              <m:t>ω</m:t>
            </m:r>
          </m:e>
          <m:sup>
            <m:r>
              <m:t>′</m:t>
            </m:r>
          </m:sup>
        </m:sSup>
      </m:oMath>
      <w:r>
        <w:t>. ∎</w:t>
      </w:r>
    </w:p>
    <w:p>
      <w:pPr>
        <w:spacing w:after="200" w:line="360" w:lineRule="auto"/>
        <w:jc w:val="both"/>
      </w:pPr>
      <w:r>
        <w:t xml:space="preserve">The bound in (c) is local, because row </w:t>
      </w:r>
      <w:r>
        <w:rPr>
          <w:i/>
        </w:rPr>
        <w:t>x</w:t>
      </w:r>
      <w:r>
        <w:t xml:space="preserve"> involves only the neighbours </w:t>
      </w:r>
      <w:r>
        <w:rPr>
          <w:i/>
        </w:rPr>
        <w:t>x</w:t>
      </w:r>
      <w:r>
        <w:t>±</w:t>
      </w:r>
      <w:r>
        <w:rPr>
          <w:i/>
        </w:rPr>
        <w:t>ν</w:t>
      </w:r>
      <w:r>
        <w:rPr>
          <w:i/>
          <w:sz w:val="20"/>
          <w:vertAlign w:val="subscript"/>
        </w:rPr>
        <w:t>k</w:t>
      </w:r>
      <w:r>
        <w:t xml:space="preserve">. The resolvent weight needs only sparse linear solves and a bisection on </w:t>
      </w:r>
      <w:r>
        <w:rPr>
          <w:i/>
        </w:rPr>
        <w:t>ω</w:t>
      </w:r>
      <w:r>
        <w:t>', not an eigenvalue solve.</w:t>
      </w:r>
    </w:p>
    <w:p>
      <w:pPr>
        <w:pStyle w:val="Heading2"/>
        <w:spacing w:before="480" w:after="120" w:line="360" w:lineRule="auto"/>
      </w:pPr>
      <w:r>
        <w:rPr>
          <w:rFonts w:ascii="Times New Roman" w:hAnsi="Times New Roman"/>
        </w:rPr>
        <w:t>S4.3 Piecewise references and the certified exponent</w:t>
      </w:r>
    </w:p>
    <w:p>
      <w:pPr>
        <w:spacing w:after="200" w:line="360" w:lineRule="auto"/>
        <w:jc w:val="both"/>
      </w:pPr>
      <w:r>
        <w:t xml:space="preserve">With the reference held fixed at </w:t>
      </w:r>
      <w:r>
        <w:rPr>
          <w:i/>
        </w:rPr>
        <w:t>μ</w:t>
      </w:r>
      <w:r>
        <w:rPr>
          <w:sz w:val="20"/>
          <w:vertAlign w:val="superscript"/>
        </w:rPr>
        <w:t>(</w:t>
      </w:r>
      <w:r>
        <w:rPr>
          <w:i/>
          <w:sz w:val="20"/>
          <w:vertAlign w:val="superscript"/>
        </w:rPr>
        <w:t>j</w:t>
      </w:r>
      <w:r>
        <w:rPr>
          <w:sz w:val="20"/>
          <w:vertAlign w:val="superscript"/>
        </w:rPr>
        <w:t>)</w:t>
      </w:r>
      <w:r>
        <w:t xml:space="preserve"> on the window [</w:t>
      </w:r>
      <w:r>
        <w:rPr>
          <w:i/>
        </w:rPr>
        <w:t>t</w:t>
      </w:r>
      <w:r>
        <w:rPr>
          <w:i/>
          <w:sz w:val="20"/>
          <w:vertAlign w:val="subscript"/>
        </w:rPr>
        <w:t>j</w:t>
      </w:r>
      <w:r>
        <w:t>,</w:t>
      </w:r>
      <w:r>
        <w:rPr>
          <w:i/>
        </w:rPr>
        <w:t>t</w:t>
      </w:r>
      <w:r>
        <w:rPr>
          <w:i/>
          <w:sz w:val="20"/>
          <w:vertAlign w:val="subscript"/>
        </w:rPr>
        <w:t>j</w:t>
      </w:r>
      <w:r>
        <w:rPr>
          <w:sz w:val="20"/>
          <w:vertAlign w:val="subscript"/>
        </w:rPr>
        <w:t>+1</w:t>
      </w:r>
      <w:r>
        <w:t xml:space="preserve">), the weighted state is re-expressed at each boundary by the diagonal map </w:t>
      </w:r>
      <m:oMath>
        <m:sSup>
          <m:e>
            <m:r>
              <m:t>ψ</m:t>
            </m:r>
          </m:e>
          <m:sup>
            <m:d>
              <m:dPr>
                <m:sepChr m:val="+"/>
              </m:dPr>
              <m:e>
                <m:r>
                  <m:t>j</m:t>
                </m:r>
              </m:e>
              <m:e>
                <m:r>
                  <m:t>1</m:t>
                </m:r>
              </m:e>
            </m:d>
          </m:sup>
        </m:sSup>
        <m:r>
          <m:t>=</m:t>
        </m:r>
        <m:r>
          <m:rPr>
            <m:sty m:val="p"/>
          </m:rPr>
          <m:t>diag</m:t>
        </m:r>
        <m:r>
          <m:t>(</m:t>
        </m:r>
        <m:rad>
          <m:radPr>
            <m:degHide m:val="on"/>
          </m:radPr>
          <m:deg/>
          <m:e>
            <m:f>
              <m:fPr>
                <m:type m:val="lin"/>
              </m:fPr>
              <m:num>
                <m:sSup>
                  <m:e>
                    <m:r>
                      <m:t>μ</m:t>
                    </m:r>
                  </m:e>
                  <m:sup>
                    <m:d>
                      <m:dPr>
                        <m:sepChr m:val=""/>
                      </m:dPr>
                      <m:e>
                        <m:r>
                          <m:t>j</m:t>
                        </m:r>
                      </m:e>
                    </m:d>
                  </m:sup>
                </m:sSup>
              </m:num>
              <m:den>
                <m:sSup>
                  <m:e>
                    <m:r>
                      <m:t>μ</m:t>
                    </m:r>
                  </m:e>
                  <m:sup>
                    <m:d>
                      <m:dPr>
                        <m:sepChr m:val="+"/>
                      </m:dPr>
                      <m:e>
                        <m:r>
                          <m:t>j</m:t>
                        </m:r>
                      </m:e>
                      <m:e>
                        <m:r>
                          <m:t>1</m:t>
                        </m:r>
                      </m:e>
                    </m:d>
                  </m:sup>
                </m:sSup>
              </m:den>
            </m:f>
          </m:e>
        </m:rad>
        <m:r>
          <m:t>)</m:t>
        </m:r>
        <m:sSup>
          <m:e>
            <m:r>
              <m:t>ψ</m:t>
            </m:r>
          </m:e>
          <m:sup>
            <m:d>
              <m:dPr>
                <m:sepChr m:val=""/>
              </m:dPr>
              <m:e>
                <m:r>
                  <m:t>j</m:t>
                </m:r>
              </m:e>
            </m:d>
          </m:sup>
        </m:sSup>
      </m:oMath>
      <w:r>
        <w:t>.</w:t>
      </w:r>
    </w:p>
    <w:p>
      <w:pPr>
        <w:spacing w:after="200" w:line="360" w:lineRule="auto"/>
        <w:jc w:val="both"/>
      </w:pPr>
      <w:r>
        <w:rPr>
          <w:b/>
        </w:rPr>
        <w:t>Lemma S4 (piecewise certificate).</w:t>
      </w:r>
      <w:r>
        <w:t xml:space="preserve"> With </w:t>
      </w:r>
      <m:oMath>
        <m:sSub>
          <m:e>
            <m:r>
              <m:t>ρ</m:t>
            </m:r>
          </m:e>
          <m:sub>
            <m:r>
              <m:t>j</m:t>
            </m:r>
          </m:sub>
        </m:sSub>
        <m:r>
          <m:t>=</m:t>
        </m:r>
        <m:sSub>
          <m:e>
            <m:r>
              <m:rPr>
                <m:sty m:val="p"/>
              </m:rPr>
              <m:t>max</m:t>
            </m:r>
          </m:e>
          <m:sub>
            <m:r>
              <m:t>x</m:t>
            </m:r>
          </m:sub>
        </m:sSub>
        <m:rad>
          <m:radPr>
            <m:degHide m:val="on"/>
          </m:radPr>
          <m:deg/>
          <m:e>
            <m:sSup>
              <m:e>
                <m:r>
                  <m:t>μ</m:t>
                </m:r>
              </m:e>
              <m:sup>
                <m:d>
                  <m:dPr>
                    <m:sepChr m:val=""/>
                  </m:dPr>
                  <m:e>
                    <m:r>
                      <m:t>j</m:t>
                    </m:r>
                  </m:e>
                </m:d>
              </m:sup>
            </m:sSup>
            <m:r>
              <m:t>(x)/</m:t>
            </m:r>
            <m:sSup>
              <m:e>
                <m:r>
                  <m:t>μ</m:t>
                </m:r>
              </m:e>
              <m:sup>
                <m:d>
                  <m:dPr>
                    <m:sepChr m:val="+"/>
                  </m:dPr>
                  <m:e>
                    <m:r>
                      <m:t>j</m:t>
                    </m:r>
                  </m:e>
                  <m:e>
                    <m:r>
                      <m:t>1</m:t>
                    </m:r>
                  </m:e>
                </m:d>
              </m:sup>
            </m:sSup>
            <m:r>
              <m:t>(x)</m:t>
            </m:r>
          </m:e>
        </m:rad>
      </m:oMath>
      <w:r>
        <w: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f>
                  <m:fPr>
                    <m:type m:val="bar"/>
                  </m:fPr>
                  <m:num>
                    <m:d>
                      <m:dPr>
                        <m:begChr m:val="‖"/>
                        <m:sepChr m:val=""/>
                        <m:endChr m:val="‖"/>
                      </m:dPr>
                      <m:e>
                        <m:sSub>
                          <m:e>
                            <m:r>
                              <m:t>ψ</m:t>
                            </m:r>
                          </m:e>
                          <m:sub>
                            <m:r>
                              <m:t>T</m:t>
                            </m:r>
                          </m:sub>
                        </m:sSub>
                      </m:e>
                    </m:d>
                  </m:num>
                  <m:den>
                    <m:d>
                      <m:dPr>
                        <m:begChr m:val="‖"/>
                        <m:sepChr m:val=""/>
                        <m:endChr m:val="‖"/>
                      </m:dPr>
                      <m:e>
                        <m:sSub>
                          <m:e>
                            <m:r>
                              <m:t>ψ</m:t>
                            </m:r>
                          </m:e>
                          <m:sub>
                            <m:r>
                              <m:t>0</m:t>
                            </m:r>
                          </m:sub>
                        </m:sSub>
                      </m:e>
                    </m:d>
                  </m:den>
                </m:f>
                <m:r>
                  <m:t>≤</m:t>
                </m:r>
                <m:nary>
                  <m:naryPr>
                    <m:chr m:val="∏"/>
                    <m:limLoc m:val="undOvr"/>
                    <m:grow m:val="1"/>
                    <m:subHide m:val="off"/>
                    <m:supHide m:val="on"/>
                  </m:naryPr>
                  <m:sub>
                    <m:r>
                      <m:t>j</m:t>
                    </m:r>
                  </m:sub>
                  <m:sup/>
                  <m:e>
                    <m:sSup>
                      <m:e>
                        <m:r>
                          <m:t>e</m:t>
                        </m:r>
                      </m:e>
                      <m:sup>
                        <m:sSub>
                          <m:e>
                            <m:r>
                              <m:rPr>
                                <m:sty m:val="p"/>
                              </m:rPr>
                              <m:t>CW</m:t>
                            </m:r>
                          </m:e>
                          <m:sub>
                            <m:r>
                              <m:t>j</m:t>
                            </m:r>
                          </m:sub>
                        </m:sSub>
                        <m:r>
                          <m:t>Δ</m:t>
                        </m:r>
                        <m:sSub>
                          <m:e>
                            <m:r>
                              <m:t>t</m:t>
                            </m:r>
                          </m:e>
                          <m:sub>
                            <m:r>
                              <m:t>j</m:t>
                            </m:r>
                          </m:sub>
                        </m:sSub>
                      </m:sup>
                    </m:sSup>
                  </m:e>
                </m:nary>
                <m:nary>
                  <m:naryPr>
                    <m:chr m:val="∏"/>
                    <m:limLoc m:val="undOvr"/>
                    <m:grow m:val="1"/>
                    <m:subHide m:val="off"/>
                    <m:supHide m:val="on"/>
                  </m:naryPr>
                  <m:sub>
                    <m:r>
                      <m:t>j&lt;J-1</m:t>
                    </m:r>
                  </m:sub>
                  <m:sup/>
                  <m:e>
                    <m:sSub>
                      <m:e>
                        <m:r>
                          <m:t>ρ</m:t>
                        </m:r>
                      </m:e>
                      <m:sub>
                        <m:r>
                          <m:t>j</m:t>
                        </m:r>
                      </m:sub>
                    </m:sSub>
                  </m:e>
                </m:nary>
                <m:r>
                  <m:t>=</m:t>
                </m:r>
                <m:sSup>
                  <m:e>
                    <m:r>
                      <m:t>e</m:t>
                    </m:r>
                  </m:e>
                  <m:sup>
                    <m:f>
                      <m:fPr>
                        <m:type m:val="lin"/>
                      </m:fPr>
                      <m:num>
                        <m:sSub>
                          <m:e>
                            <m:r>
                              <m:t>K</m:t>
                            </m:r>
                          </m:e>
                          <m:sub>
                            <m:r>
                              <m:t>T</m:t>
                            </m:r>
                          </m:sub>
                        </m:sSub>
                      </m:num>
                      <m:den>
                        <m:r>
                          <m:t>2</m:t>
                        </m:r>
                      </m:den>
                    </m:f>
                  </m:sup>
                </m:sSup>
                <m:r>
                  <m:t>,</m:t>
                </m:r>
                <m:r>
                  <m:rPr>
                    <m:sty m:val="p"/>
                  </m:rPr>
                  <m:t>    </m:t>
                </m:r>
                <m:sSub>
                  <m:e>
                    <m:r>
                      <m:t>K</m:t>
                    </m:r>
                  </m:e>
                  <m:sub>
                    <m:r>
                      <m:t>T</m:t>
                    </m:r>
                  </m:sub>
                </m:sSub>
                <m:r>
                  <m:t>=2</m:t>
                </m:r>
                <m:nary>
                  <m:naryPr>
                    <m:chr m:val="∑"/>
                    <m:limLoc m:val="undOvr"/>
                    <m:grow m:val="1"/>
                    <m:subHide m:val="off"/>
                    <m:supHide m:val="on"/>
                  </m:naryPr>
                  <m:sub>
                    <m:r>
                      <m:t>j</m:t>
                    </m:r>
                  </m:sub>
                  <m:sup/>
                  <m:e>
                    <m:sSub>
                      <m:e>
                        <m:r>
                          <m:rPr>
                            <m:sty m:val="p"/>
                          </m:rPr>
                          <m:t>CW</m:t>
                        </m:r>
                      </m:e>
                      <m:sub>
                        <m:r>
                          <m:t>j</m:t>
                        </m:r>
                      </m:sub>
                    </m:sSub>
                  </m:e>
                </m:nary>
                <m:r>
                  <m:t>Δ</m:t>
                </m:r>
                <m:sSub>
                  <m:e>
                    <m:r>
                      <m:t>t</m:t>
                    </m:r>
                  </m:e>
                  <m:sub>
                    <m:r>
                      <m:t>j</m:t>
                    </m:r>
                  </m:sub>
                </m:sSub>
                <m:r>
                  <m:t>+2</m:t>
                </m:r>
                <m:nary>
                  <m:naryPr>
                    <m:chr m:val="∑"/>
                    <m:limLoc m:val="undOvr"/>
                    <m:grow m:val="1"/>
                    <m:subHide m:val="off"/>
                    <m:supHide m:val="on"/>
                  </m:naryPr>
                  <m:sub>
                    <m:r>
                      <m:t>j</m:t>
                    </m:r>
                  </m:sub>
                  <m:sup/>
                  <m:e>
                    <m:r>
                      <m:rPr>
                        <m:sty m:val="p"/>
                      </m:rPr>
                      <m:t>ln</m:t>
                    </m:r>
                  </m:e>
                </m:nary>
                <m:sSub>
                  <m:e>
                    <m:r>
                      <m:t>ρ</m:t>
                    </m:r>
                  </m:e>
                  <m:sub>
                    <m:r>
                      <m:t>j</m:t>
                    </m:r>
                  </m:sub>
                </m:sSub>
                <m:r>
                  <m:t>.</m:t>
                </m:r>
              </m:oMath>
            </m:oMathPara>
          </w:p>
        </w:tc>
        <w:tc>
          <w:tcPr>
            <w:tcW w:w="900" w:type="dxa"/>
            <w:vAlign w:val="center"/>
          </w:tcPr>
          <w:p>
            <w:pPr>
              <w:keepLines/>
              <w:spacing w:after="200" w:line="360" w:lineRule="auto"/>
              <w:jc w:val="both"/>
            </w:pPr>
            <w:r>
              <w:t>(S11)</w:t>
            </w:r>
          </w:p>
        </w:tc>
      </w:tr>
    </w:tbl>
    <w:p>
      <w:pPr>
        <w:spacing w:after="200" w:line="360" w:lineRule="auto"/>
        <w:jc w:val="both"/>
      </w:pPr>
      <w:r>
        <w:rPr>
          <w:i/>
        </w:rPr>
        <w:t>Proof.</w:t>
      </w:r>
      <w:r>
        <w:t xml:space="preserve"> Within a window </w:t>
      </w:r>
      <m:oMath>
        <m:acc>
          <m:accPr>
            <m:chr m:val="̇"/>
          </m:accPr>
          <m:e>
            <m:r>
              <m:t>μ</m:t>
            </m:r>
          </m:e>
        </m:acc>
        <m:r>
          <m:t>=0</m:t>
        </m:r>
      </m:oMath>
      <w:r>
        <w:t xml:space="preserve">, so Proposition S1 applies with a constant bound. Each boundary map is diagonal with norm </w:t>
      </w:r>
      <w:r>
        <w:rPr>
          <w:i/>
        </w:rPr>
        <w:t>ρ</w:t>
      </w:r>
      <w:r>
        <w:rPr>
          <w:i/>
          <w:sz w:val="20"/>
          <w:vertAlign w:val="subscript"/>
        </w:rPr>
        <w:t>j</w:t>
      </w:r>
      <w:r>
        <w:t>. ∎</w:t>
      </w:r>
    </w:p>
    <w:p>
      <w:pPr>
        <w:spacing w:after="200" w:line="360" w:lineRule="auto"/>
        <w:jc w:val="both"/>
      </w:pPr>
      <w:r>
        <w:t xml:space="preserve">Every quantity in </w:t>
      </w:r>
      <w:r>
        <w:rPr>
          <w:i/>
        </w:rPr>
        <w:t>K</w:t>
      </w:r>
      <w:r>
        <w:rPr>
          <w:i/>
          <w:sz w:val="20"/>
          <w:vertAlign w:val="subscript"/>
        </w:rPr>
        <w:t>T</w:t>
      </w:r>
      <w:r>
        <w:t xml:space="preserve"> is computed from the references alone. The references are built from the reaction network without solving the CME. R-P is a product of Poisson laws (Bernoulli for promoter states) with the rate-equation means. R-NB is a product of negative-binomial laws fitted to the linear-noise moments. R-LNA is the discretized Gaussian of the linear-noise approximation, and R-TT is a low-rank tensor-train approximation of rank </w:t>
      </w:r>
      <w:r>
        <w:rPr>
          <w:i/>
        </w:rPr>
        <w:t>r</w:t>
      </w:r>
      <w:r>
        <w:t xml:space="preserve">. A mixture R-mix(core, E) adds a small weight </w:t>
      </w:r>
      <w:r>
        <w:rPr>
          <w:i/>
        </w:rPr>
        <w:t>η</w:t>
      </w:r>
      <w:r>
        <w:t xml:space="preserve"> = 10</w:t>
      </w:r>
      <w:r>
        <w:rPr>
          <w:sz w:val="20"/>
          <w:vertAlign w:val="superscript"/>
        </w:rPr>
        <w:t>-3</w:t>
      </w:r>
      <w:r>
        <w:t xml:space="preserve"> of a static heavy-tailed envelope E to a core reference. Envelope E1 is a static law fixed from the network. For the published models it uses, for each species, the largest production rate over the box divided by the removal rate. Envelope E2 uses the largest rate-equation mean over the horizon. On the toggle switch we tested twelve references. On the published models we tested the six product and mixture references. Each was evaluated with both weights of Proposition S1 and six window schedules, and we report the smallest </w:t>
      </w:r>
      <w:r>
        <w:rPr>
          <w:i/>
        </w:rPr>
        <w:t>K</w:t>
      </w:r>
      <w:r>
        <w:rPr>
          <w:i/>
          <w:sz w:val="20"/>
          <w:vertAlign w:val="subscript"/>
        </w:rPr>
        <w:t>T</w:t>
      </w:r>
      <w:r>
        <w:t>. On boxes with more than 2×10</w:t>
      </w:r>
      <w:r>
        <w:rPr>
          <w:sz w:val="20"/>
          <w:vertAlign w:val="superscript"/>
        </w:rPr>
        <w:t>5</w:t>
      </w:r>
      <w:r>
        <w:t xml:space="preserve"> states or more than 10</w:t>
      </w:r>
      <w:r>
        <w:rPr>
          <w:sz w:val="20"/>
          <w:vertAlign w:val="superscript"/>
        </w:rPr>
        <w:t>6</w:t>
      </w:r>
      <w:r>
        <w:t xml:space="preserve"> nonzero generator entries, the resolvent weight was applied only to the best schedule found with the </w:t>
      </w:r>
      <m:oMath>
        <m:rad>
          <m:radPr>
            <m:degHide m:val="on"/>
          </m:radPr>
          <m:deg/>
          <m:e>
            <m:r>
              <m:t>μ</m:t>
            </m:r>
          </m:e>
        </m:rad>
      </m:oMath>
      <w:r>
        <w:t xml:space="preserve"> weight. On the two largest instances it was applied only to the best reference.</w:t>
      </w:r>
    </w:p>
    <w:p>
      <w:pPr>
        <w:pStyle w:val="Heading2"/>
        <w:spacing w:before="480" w:after="120" w:line="360" w:lineRule="auto"/>
      </w:pPr>
      <w:r>
        <w:rPr>
          <w:rFonts w:ascii="Times New Roman" w:hAnsi="Times New Roman"/>
        </w:rPr>
        <w:t>S4.4 Decomposition of the looseness</w:t>
      </w:r>
    </w:p>
    <w:p>
      <w:pPr>
        <w:spacing w:after="200" w:line="360" w:lineRule="auto"/>
        <w:jc w:val="both"/>
      </w:pPr>
      <w:r>
        <w:t xml:space="preserve">We compare the certificate with the measured growth </w:t>
      </w:r>
      <m:oMath>
        <m:d>
          <m:dPr>
            <m:begChr m:val="‖"/>
            <m:sepChr m:val=""/>
            <m:endChr m:val="‖"/>
          </m:dPr>
          <m:e>
            <m:sSub>
              <m:e>
                <m:r>
                  <m:t>ψ</m:t>
                </m:r>
              </m:e>
              <m:sub>
                <m:r>
                  <m:t>T</m:t>
                </m:r>
              </m:sub>
            </m:sSub>
            <m:r>
              <m:t>‖</m:t>
            </m:r>
            <m:r>
              <m:t>/</m:t>
            </m:r>
            <m:r>
              <m:t>‖</m:t>
            </m:r>
            <m:sSub>
              <m:e>
                <m:r>
                  <m:t>ψ</m:t>
                </m:r>
              </m:e>
              <m:sub>
                <m:r>
                  <m:t>0</m:t>
                </m:r>
              </m:sub>
            </m:sSub>
          </m:e>
        </m:d>
      </m:oMath>
      <w:r>
        <w:t xml:space="preserve">. The ratio of the two is split into three factors whose logarithms add up to its logarithm. The window penalty is the certificate divided by the continuous estimate </w:t>
      </w:r>
      <m:oMath>
        <m:r>
          <m:rPr>
            <m:sty m:val="p"/>
          </m:rPr>
          <m:t>exp</m:t>
        </m:r>
        <m:r>
          <m:t>(∫</m:t>
        </m:r>
        <m:sSub>
          <m:e>
            <m:r>
              <m:t>ω</m:t>
            </m:r>
          </m:e>
          <m:sub>
            <m:r>
              <m:t>t</m:t>
            </m:r>
          </m:sub>
        </m:sSub>
        <m:r>
          <m:t>dt)</m:t>
        </m:r>
      </m:oMath>
      <w:r>
        <w:t>. It is the cost of holding the reference fixed over each window, the jump term known from the theory of switched systems [9,10]. The non-normality term is the continuous estimate divided by the worst-case growth over the horizon,</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900"/>
        <w:gridCol w:w="7560"/>
        <w:gridCol w:w="900"/>
      </w:tblGrid>
      <w:tr>
        <w:trPr>
          <w:cantSplit/>
          <w:jc w:val="center"/>
        </w:trPr>
        <w:tc>
          <w:tcPr>
            <w:tcW w:w="900" w:type="dxa"/>
            <w:vAlign w:val="center"/>
          </w:tcPr>
          <w:p>
            <w:pPr>
              <w:keepLines/>
              <w:spacing w:after="200" w:line="360" w:lineRule="auto"/>
              <w:jc w:val="both"/>
            </w:pPr>
          </w:p>
        </w:tc>
        <w:tc>
          <w:tcPr>
            <w:tcW w:w="7560" w:type="dxa"/>
            <w:vAlign w:val="center"/>
          </w:tcPr>
          <w:p>
            <w:pPr>
              <w:keepLines/>
              <w:spacing w:after="200" w:line="360" w:lineRule="auto"/>
              <w:jc w:val="center"/>
            </w:pPr>
            <m:oMathPara>
              <m:oMath>
                <m:r>
                  <m:t>W=</m:t>
                </m:r>
                <m:sSub>
                  <m:e>
                    <m:d>
                      <m:dPr>
                        <m:begChr m:val="‖"/>
                        <m:sepChr m:val=""/>
                        <m:endChr m:val="‖"/>
                      </m:dPr>
                      <m:e>
                        <m:sSubSup>
                          <m:e>
                            <m:r>
                              <m:t>D</m:t>
                            </m:r>
                          </m:e>
                          <m:sub>
                            <m:r>
                              <m:t>T</m:t>
                            </m:r>
                          </m:sub>
                          <m:sup>
                            <m:r>
                              <m:t>-1/2</m:t>
                            </m:r>
                          </m:sup>
                        </m:sSubSup>
                        <m:sSup>
                          <m:e>
                            <m:r>
                              <m:t>e</m:t>
                            </m:r>
                          </m:e>
                          <m:sup>
                            <m:sSub>
                              <m:e>
                                <m:r>
                                  <m:t>A</m:t>
                                </m:r>
                              </m:e>
                              <m:sub>
                                <m:r>
                                  <m:t>S</m:t>
                                </m:r>
                              </m:sub>
                            </m:sSub>
                            <m:r>
                              <m:t>T</m:t>
                            </m:r>
                          </m:sup>
                        </m:sSup>
                        <m:sSubSup>
                          <m:e>
                            <m:r>
                              <m:t>D</m:t>
                            </m:r>
                          </m:e>
                          <m:sub>
                            <m:r>
                              <m:t>0</m:t>
                            </m:r>
                          </m:sub>
                          <m:sup>
                            <m:f>
                              <m:fPr>
                                <m:type m:val="lin"/>
                              </m:fPr>
                              <m:num>
                                <m:r>
                                  <m:t>1</m:t>
                                </m:r>
                              </m:num>
                              <m:den>
                                <m:r>
                                  <m:t>2</m:t>
                                </m:r>
                              </m:den>
                            </m:f>
                          </m:sup>
                        </m:sSubSup>
                      </m:e>
                    </m:d>
                  </m:e>
                  <m:sub>
                    <m:r>
                      <m:t>2</m:t>
                    </m:r>
                  </m:sub>
                </m:sSub>
                <m:r>
                  <m:t>.</m:t>
                </m:r>
              </m:oMath>
            </m:oMathPara>
          </w:p>
        </w:tc>
        <w:tc>
          <w:tcPr>
            <w:tcW w:w="900" w:type="dxa"/>
            <w:vAlign w:val="center"/>
          </w:tcPr>
          <w:p>
            <w:pPr>
              <w:keepLines/>
              <w:spacing w:after="200" w:line="360" w:lineRule="auto"/>
              <w:jc w:val="both"/>
            </w:pPr>
            <w:r>
              <w:t>(S12)</w:t>
            </w:r>
          </w:p>
        </w:tc>
      </w:tr>
    </w:tbl>
    <w:p>
      <w:pPr>
        <w:spacing w:after="200" w:line="360" w:lineRule="auto"/>
        <w:jc w:val="both"/>
      </w:pPr>
      <w:r>
        <w:t xml:space="preserve">It measures instantaneous growth rates that never turn into growth over the horizon [11,12]. The instance slack is </w:t>
      </w:r>
      <w:r>
        <w:rPr>
          <w:i/>
        </w:rPr>
        <w:t>W</w:t>
      </w:r>
      <w:r>
        <w:t xml:space="preserve"> divided by the measured growth of the actual initial state. A fourth term, the tail, is the change in the certified cost when every box width grows by a factor of 1.5. A negative window penalty means that the continuous estimate is looser than the piecewise certificate on that instance. Table S5 gives the decomposition for the best cheap reference on every instance, together with the certified exponent of the exact solution used as the reference.</w:t>
      </w:r>
    </w:p>
    <w:p>
      <w:pPr>
        <w:keepNext/>
        <w:keepLines/>
        <w:spacing w:before="480" w:line="360" w:lineRule="auto"/>
        <w:jc w:val="center"/>
      </w:pPr>
      <w:r>
        <w:rPr>
          <w:b/>
        </w:rPr>
        <w:t xml:space="preserve">Table S5. Certified exponent and decomposition of the looseness on the published instances. </w:t>
      </w:r>
      <w:r>
        <w:rPr>
          <w:b/>
          <w:i/>
        </w:rPr>
        <w:t>K</w:t>
      </w:r>
      <w:r>
        <w:rPr>
          <w:b/>
          <w:i/>
          <w:sz w:val="20"/>
          <w:vertAlign w:val="subscript"/>
        </w:rPr>
        <w:t>T</w:t>
      </w:r>
      <w:r>
        <w:rPr>
          <w:b/>
        </w:rPr>
        <w:t xml:space="preserve"> of the best cheap reference, the log₁₀ window penalty, non-normality and instance slack, the tail term (change in log₁₀ cost when every width grows by 1.5), and </w:t>
      </w:r>
      <w:r>
        <w:rPr>
          <w:b/>
          <w:i/>
        </w:rPr>
        <w:t>K</w:t>
      </w:r>
      <w:r>
        <w:rPr>
          <w:b/>
          <w:i/>
          <w:sz w:val="20"/>
          <w:vertAlign w:val="subscript"/>
        </w:rPr>
        <w:t>T</w:t>
      </w:r>
      <w:r>
        <w:rPr>
          <w:b/>
        </w:rPr>
        <w:t xml:space="preserve"> with the exact solution as the reference. Exact references marked not computable underflow or overflow double precision.</w:t>
      </w:r>
    </w:p>
    <w:tbl>
      <w:tblPr>
        <w:tblStyle w:val="PlainTable2"/>
        <w:tblW w:type="auto" w:w="0"/>
        <w:tblLayout w:type="fixed"/>
        <w:tblLook w:firstColumn="1" w:firstRow="1" w:lastColumn="0" w:lastRow="0" w:noHBand="0" w:noVBand="1" w:val="04A0"/>
        <w:tblLayout w:type="fixed"/>
      </w:tblPr>
      <w:tblGrid>
        <w:gridCol w:w="1400"/>
        <w:gridCol w:w="1050"/>
        <w:gridCol w:w="1300"/>
        <w:gridCol w:w="800"/>
        <w:gridCol w:w="900"/>
        <w:gridCol w:w="1050"/>
        <w:gridCol w:w="850"/>
        <w:gridCol w:w="900"/>
        <w:gridCol w:w="1110"/>
      </w:tblGrid>
      <w:tr>
        <w:trPr>
          <w:tblHeader/>
          <w:cantSplit/>
        </w:trPr>
        <w:tc>
          <w:tcPr>
            <w:tcW w:type="dxa" w:w="1400"/>
          </w:tcPr>
          <w:p>
            <w:r>
              <w:rPr>
                <w:sz w:val="20"/>
              </w:rPr>
              <w:t>Instance</w:t>
            </w:r>
          </w:p>
        </w:tc>
        <w:tc>
          <w:tcPr>
            <w:tcW w:type="dxa" w:w="1050"/>
          </w:tcPr>
          <w:p>
            <w:r>
              <w:rPr>
                <w:sz w:val="20"/>
              </w:rPr>
              <w:t>|S|</w:t>
            </w:r>
          </w:p>
        </w:tc>
        <w:tc>
          <w:tcPr>
            <w:tcW w:type="dxa" w:w="1300"/>
          </w:tcPr>
          <w:p>
            <w:r>
              <w:rPr>
                <w:sz w:val="20"/>
              </w:rPr>
              <w:t>Best cheap reference</w:t>
            </w:r>
          </w:p>
        </w:tc>
        <w:tc>
          <w:tcPr>
            <w:tcW w:type="dxa" w:w="800"/>
          </w:tcPr>
          <w:p>
            <w:r>
              <w:rPr>
                <w:i/>
                <w:sz w:val="20"/>
              </w:rPr>
              <w:t>K</w:t>
            </w:r>
            <w:r>
              <w:rPr>
                <w:i/>
                <w:sz w:val="20"/>
                <w:vertAlign w:val="subscript"/>
              </w:rPr>
              <w:t>T</w:t>
            </w:r>
          </w:p>
        </w:tc>
        <w:tc>
          <w:tcPr>
            <w:tcW w:type="dxa" w:w="900"/>
          </w:tcPr>
          <w:p>
            <w:r>
              <w:rPr>
                <w:sz w:val="20"/>
              </w:rPr>
              <w:t>Window</w:t>
            </w:r>
          </w:p>
        </w:tc>
        <w:tc>
          <w:tcPr>
            <w:tcW w:type="dxa" w:w="1050"/>
          </w:tcPr>
          <w:p>
            <w:r>
              <w:rPr>
                <w:sz w:val="20"/>
              </w:rPr>
              <w:t>Non-normality</w:t>
            </w:r>
          </w:p>
        </w:tc>
        <w:tc>
          <w:tcPr>
            <w:tcW w:type="dxa" w:w="850"/>
          </w:tcPr>
          <w:p>
            <w:r>
              <w:rPr>
                <w:sz w:val="20"/>
              </w:rPr>
              <w:t>Slack</w:t>
            </w:r>
          </w:p>
        </w:tc>
        <w:tc>
          <w:tcPr>
            <w:tcW w:type="dxa" w:w="900"/>
          </w:tcPr>
          <w:p>
            <w:r>
              <w:rPr>
                <w:sz w:val="20"/>
              </w:rPr>
              <w:t>Tail</w:t>
            </w:r>
          </w:p>
        </w:tc>
        <w:tc>
          <w:tcPr>
            <w:tcW w:type="dxa" w:w="1110"/>
          </w:tcPr>
          <w:p>
            <w:r>
              <w:rPr>
                <w:i/>
                <w:sz w:val="20"/>
              </w:rPr>
              <w:t>K</w:t>
            </w:r>
            <w:r>
              <w:rPr>
                <w:i/>
                <w:sz w:val="20"/>
                <w:vertAlign w:val="subscript"/>
              </w:rPr>
              <w:t>T</w:t>
            </w:r>
            <w:r>
              <w:rPr>
                <w:sz w:val="20"/>
              </w:rPr>
              <w:t>, exact reference</w:t>
            </w:r>
          </w:p>
        </w:tc>
      </w:tr>
      <w:tr>
        <w:trPr>
          <w:cantSplit/>
        </w:trPr>
        <w:tc>
          <w:tcPr>
            <w:tcW w:type="dxa" w:w="1400"/>
          </w:tcPr>
          <w:p>
            <w:r>
              <w:rPr>
                <w:sz w:val="20"/>
              </w:rPr>
              <w:t>Schlögl (Kuntz et al.)</w:t>
            </w:r>
          </w:p>
        </w:tc>
        <w:tc>
          <w:tcPr>
            <w:tcW w:type="dxa" w:w="1050"/>
          </w:tcPr>
          <w:p>
            <w:r>
              <w:rPr>
                <w:sz w:val="20"/>
              </w:rPr>
              <w:t>200</w:t>
            </w:r>
          </w:p>
        </w:tc>
        <w:tc>
          <w:tcPr>
            <w:tcW w:type="dxa" w:w="1300"/>
          </w:tcPr>
          <w:p>
            <w:r>
              <w:rPr>
                <w:sz w:val="20"/>
              </w:rPr>
              <w:t>R-mix(NB,E1)</w:t>
            </w:r>
          </w:p>
        </w:tc>
        <w:tc>
          <w:tcPr>
            <w:tcW w:type="dxa" w:w="800"/>
          </w:tcPr>
          <w:p>
            <w:r>
              <w:rPr>
                <w:sz w:val="20"/>
              </w:rPr>
              <w:t>12.56</w:t>
            </w:r>
          </w:p>
        </w:tc>
        <w:tc>
          <w:tcPr>
            <w:tcW w:type="dxa" w:w="900"/>
          </w:tcPr>
          <w:p>
            <w:r>
              <w:rPr>
                <w:sz w:val="20"/>
              </w:rPr>
              <w:t>2.51</w:t>
            </w:r>
          </w:p>
        </w:tc>
        <w:tc>
          <w:tcPr>
            <w:tcW w:type="dxa" w:w="1050"/>
          </w:tcPr>
          <w:p>
            <w:r>
              <w:rPr>
                <w:sz w:val="20"/>
              </w:rPr>
              <w:t>0.188</w:t>
            </w:r>
          </w:p>
        </w:tc>
        <w:tc>
          <w:tcPr>
            <w:tcW w:type="dxa" w:w="850"/>
          </w:tcPr>
          <w:p>
            <w:r>
              <w:rPr>
                <w:sz w:val="20"/>
              </w:rPr>
              <w:t>0.00461</w:t>
            </w:r>
          </w:p>
        </w:tc>
        <w:tc>
          <w:tcPr>
            <w:tcW w:type="dxa" w:w="900"/>
          </w:tcPr>
          <w:p>
            <w:r>
              <w:rPr>
                <w:sz w:val="20"/>
              </w:rPr>
              <w:t>-2.62×10</w:t>
            </w:r>
            <w:r>
              <w:rPr>
                <w:sz w:val="20"/>
                <w:vertAlign w:val="superscript"/>
              </w:rPr>
              <w:t>-8</w:t>
            </w:r>
          </w:p>
        </w:tc>
        <w:tc>
          <w:tcPr>
            <w:tcW w:type="dxa" w:w="1110"/>
          </w:tcPr>
          <w:p>
            <w:r>
              <w:rPr>
                <w:sz w:val="20"/>
              </w:rPr>
              <w:t>53.72</w:t>
            </w:r>
          </w:p>
        </w:tc>
      </w:tr>
      <w:tr>
        <w:trPr>
          <w:cantSplit/>
        </w:trPr>
        <w:tc>
          <w:tcPr>
            <w:tcW w:type="dxa" w:w="1400"/>
          </w:tcPr>
          <w:p>
            <w:r>
              <w:rPr>
                <w:sz w:val="20"/>
              </w:rPr>
              <w:t>Toggle switch (Hegland et al.)</w:t>
            </w:r>
          </w:p>
        </w:tc>
        <w:tc>
          <w:tcPr>
            <w:tcW w:type="dxa" w:w="1050"/>
          </w:tcPr>
          <w:p>
            <w:r>
              <w:rPr>
                <w:sz w:val="20"/>
              </w:rPr>
              <w:t>4,096</w:t>
            </w:r>
          </w:p>
        </w:tc>
        <w:tc>
          <w:tcPr>
            <w:tcW w:type="dxa" w:w="1300"/>
          </w:tcPr>
          <w:p>
            <w:r>
              <w:rPr>
                <w:sz w:val="20"/>
              </w:rPr>
              <w:t>R-mix(NB,E1)</w:t>
            </w:r>
          </w:p>
        </w:tc>
        <w:tc>
          <w:tcPr>
            <w:tcW w:type="dxa" w:w="800"/>
          </w:tcPr>
          <w:p>
            <w:r>
              <w:rPr>
                <w:sz w:val="20"/>
              </w:rPr>
              <w:t>160.1</w:t>
            </w:r>
          </w:p>
        </w:tc>
        <w:tc>
          <w:tcPr>
            <w:tcW w:type="dxa" w:w="900"/>
          </w:tcPr>
          <w:p>
            <w:r>
              <w:rPr>
                <w:sz w:val="20"/>
              </w:rPr>
              <w:t>13.2</w:t>
            </w:r>
          </w:p>
        </w:tc>
        <w:tc>
          <w:tcPr>
            <w:tcW w:type="dxa" w:w="1050"/>
          </w:tcPr>
          <w:p>
            <w:r>
              <w:rPr>
                <w:sz w:val="20"/>
              </w:rPr>
              <w:t>20.5</w:t>
            </w:r>
          </w:p>
        </w:tc>
        <w:tc>
          <w:tcPr>
            <w:tcW w:type="dxa" w:w="850"/>
          </w:tcPr>
          <w:p>
            <w:r>
              <w:rPr>
                <w:sz w:val="20"/>
              </w:rPr>
              <w:t>0.0165</w:t>
            </w:r>
          </w:p>
        </w:tc>
        <w:tc>
          <w:tcPr>
            <w:tcW w:type="dxa" w:w="900"/>
          </w:tcPr>
          <w:p>
            <w:r>
              <w:rPr>
                <w:sz w:val="20"/>
              </w:rPr>
              <w:t>3.68</w:t>
            </w:r>
          </w:p>
        </w:tc>
        <w:tc>
          <w:tcPr>
            <w:tcW w:type="dxa" w:w="1110"/>
          </w:tcPr>
          <w:p>
            <w:r>
              <w:rPr>
                <w:sz w:val="20"/>
              </w:rPr>
              <w:t>348.3</w:t>
            </w:r>
          </w:p>
        </w:tc>
      </w:tr>
      <w:tr>
        <w:trPr>
          <w:cantSplit/>
        </w:trPr>
        <w:tc>
          <w:tcPr>
            <w:tcW w:type="dxa" w:w="1400"/>
          </w:tcPr>
          <w:p>
            <w:r>
              <w:rPr>
                <w:sz w:val="20"/>
              </w:rPr>
              <w:t>Toggle switch (Kuntz et al.)</w:t>
            </w:r>
          </w:p>
        </w:tc>
        <w:tc>
          <w:tcPr>
            <w:tcW w:type="dxa" w:w="1050"/>
          </w:tcPr>
          <w:p>
            <w:r>
              <w:rPr>
                <w:sz w:val="20"/>
              </w:rPr>
              <w:t>1,800</w:t>
            </w:r>
          </w:p>
        </w:tc>
        <w:tc>
          <w:tcPr>
            <w:tcW w:type="dxa" w:w="1300"/>
          </w:tcPr>
          <w:p>
            <w:r>
              <w:rPr>
                <w:sz w:val="20"/>
              </w:rPr>
              <w:t>R-mix(NB,E2)</w:t>
            </w:r>
          </w:p>
        </w:tc>
        <w:tc>
          <w:tcPr>
            <w:tcW w:type="dxa" w:w="800"/>
          </w:tcPr>
          <w:p>
            <w:r>
              <w:rPr>
                <w:sz w:val="20"/>
              </w:rPr>
              <w:t>27.11</w:t>
            </w:r>
          </w:p>
        </w:tc>
        <w:tc>
          <w:tcPr>
            <w:tcW w:type="dxa" w:w="900"/>
          </w:tcPr>
          <w:p>
            <w:r>
              <w:rPr>
                <w:sz w:val="20"/>
              </w:rPr>
              <w:t>3.65</w:t>
            </w:r>
          </w:p>
        </w:tc>
        <w:tc>
          <w:tcPr>
            <w:tcW w:type="dxa" w:w="1050"/>
          </w:tcPr>
          <w:p>
            <w:r>
              <w:rPr>
                <w:sz w:val="20"/>
              </w:rPr>
              <w:t>1.33</w:t>
            </w:r>
          </w:p>
        </w:tc>
        <w:tc>
          <w:tcPr>
            <w:tcW w:type="dxa" w:w="850"/>
          </w:tcPr>
          <w:p>
            <w:r>
              <w:rPr>
                <w:sz w:val="20"/>
              </w:rPr>
              <w:t>0.00124</w:t>
            </w:r>
          </w:p>
        </w:tc>
        <w:tc>
          <w:tcPr>
            <w:tcW w:type="dxa" w:w="900"/>
          </w:tcPr>
          <w:p>
            <w:r>
              <w:rPr>
                <w:sz w:val="20"/>
              </w:rPr>
              <w:t>-6.91×10</w:t>
            </w:r>
            <w:r>
              <w:rPr>
                <w:sz w:val="20"/>
                <w:vertAlign w:val="superscript"/>
              </w:rPr>
              <w:t>-8</w:t>
            </w:r>
          </w:p>
        </w:tc>
        <w:tc>
          <w:tcPr>
            <w:tcW w:type="dxa" w:w="1110"/>
          </w:tcPr>
          <w:p>
            <w:r>
              <w:rPr>
                <w:sz w:val="20"/>
              </w:rPr>
              <w:t>91.64</w:t>
            </w:r>
          </w:p>
        </w:tc>
      </w:tr>
      <w:tr>
        <w:trPr>
          <w:cantSplit/>
        </w:trPr>
        <w:tc>
          <w:tcPr>
            <w:tcW w:type="dxa" w:w="1400"/>
          </w:tcPr>
          <w:p>
            <w:r>
              <w:rPr>
                <w:sz w:val="20"/>
              </w:rPr>
              <w:t>Toggle switch (Gardner et al.)</w:t>
            </w:r>
          </w:p>
        </w:tc>
        <w:tc>
          <w:tcPr>
            <w:tcW w:type="dxa" w:w="1050"/>
          </w:tcPr>
          <w:p>
            <w:r>
              <w:rPr>
                <w:sz w:val="20"/>
              </w:rPr>
              <w:t>3,655,744</w:t>
            </w:r>
          </w:p>
        </w:tc>
        <w:tc>
          <w:tcPr>
            <w:tcW w:type="dxa" w:w="1300"/>
          </w:tcPr>
          <w:p>
            <w:r>
              <w:rPr>
                <w:sz w:val="20"/>
              </w:rPr>
              <w:t>R-mix(NB,E2)</w:t>
            </w:r>
          </w:p>
        </w:tc>
        <w:tc>
          <w:tcPr>
            <w:tcW w:type="dxa" w:w="800"/>
          </w:tcPr>
          <w:p>
            <w:r>
              <w:rPr>
                <w:sz w:val="20"/>
              </w:rPr>
              <w:t>1087</w:t>
            </w:r>
          </w:p>
        </w:tc>
        <w:tc>
          <w:tcPr>
            <w:tcW w:type="dxa" w:w="900"/>
          </w:tcPr>
          <w:p>
            <w:r>
              <w:rPr>
                <w:sz w:val="20"/>
              </w:rPr>
              <w:t>5390</w:t>
            </w:r>
          </w:p>
        </w:tc>
        <w:tc>
          <w:tcPr>
            <w:tcW w:type="dxa" w:w="1050"/>
          </w:tcPr>
          <w:p>
            <w:r>
              <w:rPr>
                <w:sz w:val="20"/>
              </w:rPr>
              <w:t>1530</w:t>
            </w:r>
          </w:p>
        </w:tc>
        <w:tc>
          <w:tcPr>
            <w:tcW w:type="dxa" w:w="850"/>
          </w:tcPr>
          <w:p>
            <w:r>
              <w:rPr>
                <w:sz w:val="20"/>
              </w:rPr>
              <w:t>0.00149</w:t>
            </w:r>
          </w:p>
        </w:tc>
        <w:tc>
          <w:tcPr>
            <w:tcW w:type="dxa" w:w="900"/>
          </w:tcPr>
          <w:p>
            <w:r>
              <w:rPr>
                <w:sz w:val="20"/>
              </w:rPr>
              <w:t>n/a</w:t>
            </w:r>
          </w:p>
        </w:tc>
        <w:tc>
          <w:tcPr>
            <w:tcW w:type="dxa" w:w="1110"/>
          </w:tcPr>
          <w:p>
            <w:r>
              <w:rPr>
                <w:sz w:val="20"/>
              </w:rPr>
              <w:t>not computable</w:t>
            </w:r>
          </w:p>
        </w:tc>
      </w:tr>
      <w:tr>
        <w:trPr>
          <w:cantSplit/>
        </w:trPr>
        <w:tc>
          <w:tcPr>
            <w:tcW w:type="dxa" w:w="1400"/>
          </w:tcPr>
          <w:p>
            <w:r>
              <w:rPr>
                <w:sz w:val="20"/>
              </w:rPr>
              <w:t>Bursty feedback, ⟨b⟩ = 1</w:t>
            </w:r>
          </w:p>
        </w:tc>
        <w:tc>
          <w:tcPr>
            <w:tcW w:type="dxa" w:w="1050"/>
          </w:tcPr>
          <w:p>
            <w:r>
              <w:rPr>
                <w:sz w:val="20"/>
              </w:rPr>
              <w:t>80</w:t>
            </w:r>
          </w:p>
        </w:tc>
        <w:tc>
          <w:tcPr>
            <w:tcW w:type="dxa" w:w="1300"/>
          </w:tcPr>
          <w:p>
            <w:r>
              <w:rPr>
                <w:sz w:val="20"/>
              </w:rPr>
              <w:t>R-mix(NB,E1)</w:t>
            </w:r>
          </w:p>
        </w:tc>
        <w:tc>
          <w:tcPr>
            <w:tcW w:type="dxa" w:w="800"/>
          </w:tcPr>
          <w:p>
            <w:r>
              <w:rPr>
                <w:sz w:val="20"/>
              </w:rPr>
              <w:t>41.32</w:t>
            </w:r>
          </w:p>
        </w:tc>
        <w:tc>
          <w:tcPr>
            <w:tcW w:type="dxa" w:w="900"/>
          </w:tcPr>
          <w:p>
            <w:r>
              <w:rPr>
                <w:sz w:val="20"/>
              </w:rPr>
              <w:t>-0.251</w:t>
            </w:r>
          </w:p>
        </w:tc>
        <w:tc>
          <w:tcPr>
            <w:tcW w:type="dxa" w:w="1050"/>
          </w:tcPr>
          <w:p>
            <w:r>
              <w:rPr>
                <w:sz w:val="20"/>
              </w:rPr>
              <w:t>9.22</w:t>
            </w:r>
          </w:p>
        </w:tc>
        <w:tc>
          <w:tcPr>
            <w:tcW w:type="dxa" w:w="850"/>
          </w:tcPr>
          <w:p>
            <w:r>
              <w:rPr>
                <w:sz w:val="20"/>
              </w:rPr>
              <w:t>2.04×10</w:t>
            </w:r>
            <w:r>
              <w:rPr>
                <w:sz w:val="20"/>
                <w:vertAlign w:val="superscript"/>
              </w:rPr>
              <w:t>-4</w:t>
            </w:r>
          </w:p>
        </w:tc>
        <w:tc>
          <w:tcPr>
            <w:tcW w:type="dxa" w:w="900"/>
          </w:tcPr>
          <w:p>
            <w:r>
              <w:rPr>
                <w:sz w:val="20"/>
              </w:rPr>
              <w:t>1.31</w:t>
            </w:r>
          </w:p>
        </w:tc>
        <w:tc>
          <w:tcPr>
            <w:tcW w:type="dxa" w:w="1110"/>
          </w:tcPr>
          <w:p>
            <w:r>
              <w:rPr>
                <w:sz w:val="20"/>
              </w:rPr>
              <w:t>2.010×10</w:t>
            </w:r>
            <w:r>
              <w:rPr>
                <w:sz w:val="20"/>
                <w:vertAlign w:val="superscript"/>
              </w:rPr>
              <w:t>67</w:t>
            </w:r>
          </w:p>
        </w:tc>
      </w:tr>
      <w:tr>
        <w:trPr>
          <w:cantSplit/>
        </w:trPr>
        <w:tc>
          <w:tcPr>
            <w:tcW w:type="dxa" w:w="1400"/>
          </w:tcPr>
          <w:p>
            <w:r>
              <w:rPr>
                <w:sz w:val="20"/>
              </w:rPr>
              <w:t>Bursty feedback, ⟨b⟩ = 10</w:t>
            </w:r>
          </w:p>
        </w:tc>
        <w:tc>
          <w:tcPr>
            <w:tcW w:type="dxa" w:w="1050"/>
          </w:tcPr>
          <w:p>
            <w:r>
              <w:rPr>
                <w:sz w:val="20"/>
              </w:rPr>
              <w:t>314</w:t>
            </w:r>
          </w:p>
        </w:tc>
        <w:tc>
          <w:tcPr>
            <w:tcW w:type="dxa" w:w="1300"/>
          </w:tcPr>
          <w:p>
            <w:r>
              <w:rPr>
                <w:sz w:val="20"/>
              </w:rPr>
              <w:t>R-mix(NB,E1)</w:t>
            </w:r>
          </w:p>
        </w:tc>
        <w:tc>
          <w:tcPr>
            <w:tcW w:type="dxa" w:w="800"/>
          </w:tcPr>
          <w:p>
            <w:r>
              <w:rPr>
                <w:sz w:val="20"/>
              </w:rPr>
              <w:t>306</w:t>
            </w:r>
          </w:p>
        </w:tc>
        <w:tc>
          <w:tcPr>
            <w:tcW w:type="dxa" w:w="900"/>
          </w:tcPr>
          <w:p>
            <w:r>
              <w:rPr>
                <w:sz w:val="20"/>
              </w:rPr>
              <w:t>-3.67</w:t>
            </w:r>
          </w:p>
        </w:tc>
        <w:tc>
          <w:tcPr>
            <w:tcW w:type="dxa" w:w="1050"/>
          </w:tcPr>
          <w:p>
            <w:r>
              <w:rPr>
                <w:sz w:val="20"/>
              </w:rPr>
              <w:t>70.1</w:t>
            </w:r>
          </w:p>
        </w:tc>
        <w:tc>
          <w:tcPr>
            <w:tcW w:type="dxa" w:w="850"/>
          </w:tcPr>
          <w:p>
            <w:r>
              <w:rPr>
                <w:sz w:val="20"/>
              </w:rPr>
              <w:t>0.00754</w:t>
            </w:r>
          </w:p>
        </w:tc>
        <w:tc>
          <w:tcPr>
            <w:tcW w:type="dxa" w:w="900"/>
          </w:tcPr>
          <w:p>
            <w:r>
              <w:rPr>
                <w:sz w:val="20"/>
              </w:rPr>
              <w:t>33.9</w:t>
            </w:r>
          </w:p>
        </w:tc>
        <w:tc>
          <w:tcPr>
            <w:tcW w:type="dxa" w:w="1110"/>
          </w:tcPr>
          <w:p>
            <w:r>
              <w:rPr>
                <w:sz w:val="20"/>
              </w:rPr>
              <w:t>not computable</w:t>
            </w:r>
          </w:p>
        </w:tc>
      </w:tr>
      <w:tr>
        <w:trPr>
          <w:cantSplit/>
        </w:trPr>
        <w:tc>
          <w:tcPr>
            <w:tcW w:type="dxa" w:w="1400"/>
          </w:tcPr>
          <w:p>
            <w:r>
              <w:rPr>
                <w:sz w:val="20"/>
              </w:rPr>
              <w:t>Bursty feedback, ⟨b⟩ = 100</w:t>
            </w:r>
          </w:p>
        </w:tc>
        <w:tc>
          <w:tcPr>
            <w:tcW w:type="dxa" w:w="1050"/>
          </w:tcPr>
          <w:p>
            <w:r>
              <w:rPr>
                <w:sz w:val="20"/>
              </w:rPr>
              <w:t>3,126</w:t>
            </w:r>
          </w:p>
        </w:tc>
        <w:tc>
          <w:tcPr>
            <w:tcW w:type="dxa" w:w="1300"/>
          </w:tcPr>
          <w:p>
            <w:r>
              <w:rPr>
                <w:sz w:val="20"/>
              </w:rPr>
              <w:t>R-mix(NB,E1)</w:t>
            </w:r>
          </w:p>
        </w:tc>
        <w:tc>
          <w:tcPr>
            <w:tcW w:type="dxa" w:w="800"/>
          </w:tcPr>
          <w:p>
            <w:r>
              <w:rPr>
                <w:sz w:val="20"/>
              </w:rPr>
              <w:t>2.066×10</w:t>
            </w:r>
            <w:r>
              <w:rPr>
                <w:sz w:val="20"/>
                <w:vertAlign w:val="superscript"/>
              </w:rPr>
              <w:t>4</w:t>
            </w:r>
          </w:p>
        </w:tc>
        <w:tc>
          <w:tcPr>
            <w:tcW w:type="dxa" w:w="900"/>
          </w:tcPr>
          <w:p>
            <w:r>
              <w:rPr>
                <w:sz w:val="20"/>
              </w:rPr>
              <w:t>-1.14×10</w:t>
            </w:r>
            <w:r>
              <w:rPr>
                <w:sz w:val="20"/>
                <w:vertAlign w:val="superscript"/>
              </w:rPr>
              <w:t>4</w:t>
            </w:r>
          </w:p>
        </w:tc>
        <w:tc>
          <w:tcPr>
            <w:tcW w:type="dxa" w:w="1050"/>
          </w:tcPr>
          <w:p>
            <w:r>
              <w:rPr>
                <w:sz w:val="20"/>
              </w:rPr>
              <w:t>1.59×10</w:t>
            </w:r>
            <w:r>
              <w:rPr>
                <w:sz w:val="20"/>
                <w:vertAlign w:val="superscript"/>
              </w:rPr>
              <w:t>4</w:t>
            </w:r>
          </w:p>
        </w:tc>
        <w:tc>
          <w:tcPr>
            <w:tcW w:type="dxa" w:w="850"/>
          </w:tcPr>
          <w:p>
            <w:r>
              <w:rPr>
                <w:sz w:val="20"/>
              </w:rPr>
              <w:t>0.192</w:t>
            </w:r>
          </w:p>
        </w:tc>
        <w:tc>
          <w:tcPr>
            <w:tcW w:type="dxa" w:w="900"/>
          </w:tcPr>
          <w:p>
            <w:r>
              <w:rPr>
                <w:sz w:val="20"/>
              </w:rPr>
              <w:t>349</w:t>
            </w:r>
          </w:p>
        </w:tc>
        <w:tc>
          <w:tcPr>
            <w:tcW w:type="dxa" w:w="1110"/>
          </w:tcPr>
          <w:p>
            <w:r>
              <w:rPr>
                <w:sz w:val="20"/>
              </w:rPr>
              <w:t>not computable</w:t>
            </w:r>
          </w:p>
        </w:tc>
      </w:tr>
      <w:tr>
        <w:trPr>
          <w:cantSplit/>
        </w:trPr>
        <w:tc>
          <w:tcPr>
            <w:tcW w:type="dxa" w:w="1400"/>
          </w:tcPr>
          <w:p>
            <w:r>
              <w:rPr>
                <w:sz w:val="20"/>
              </w:rPr>
              <w:t>λ-phage</w:t>
            </w:r>
          </w:p>
        </w:tc>
        <w:tc>
          <w:tcPr>
            <w:tcW w:type="dxa" w:w="1050"/>
          </w:tcPr>
          <w:p>
            <w:r>
              <w:rPr>
                <w:sz w:val="20"/>
              </w:rPr>
              <w:t>7,428,456</w:t>
            </w:r>
          </w:p>
        </w:tc>
        <w:tc>
          <w:tcPr>
            <w:tcW w:type="dxa" w:w="1300"/>
          </w:tcPr>
          <w:p>
            <w:r>
              <w:rPr>
                <w:sz w:val="20"/>
              </w:rPr>
              <w:t>R-mix(NB,E2)</w:t>
            </w:r>
          </w:p>
        </w:tc>
        <w:tc>
          <w:tcPr>
            <w:tcW w:type="dxa" w:w="800"/>
          </w:tcPr>
          <w:p>
            <w:r>
              <w:rPr>
                <w:sz w:val="20"/>
              </w:rPr>
              <w:t>305.9</w:t>
            </w:r>
          </w:p>
        </w:tc>
        <w:tc>
          <w:tcPr>
            <w:tcW w:type="dxa" w:w="900"/>
          </w:tcPr>
          <w:p>
            <w:r>
              <w:rPr>
                <w:sz w:val="20"/>
              </w:rPr>
              <w:t>6.71</w:t>
            </w:r>
          </w:p>
        </w:tc>
        <w:tc>
          <w:tcPr>
            <w:tcW w:type="dxa" w:w="1050"/>
          </w:tcPr>
          <w:p>
            <w:r>
              <w:rPr>
                <w:sz w:val="20"/>
              </w:rPr>
              <w:t>57.7</w:t>
            </w:r>
          </w:p>
        </w:tc>
        <w:tc>
          <w:tcPr>
            <w:tcW w:type="dxa" w:w="850"/>
          </w:tcPr>
          <w:p>
            <w:r>
              <w:rPr>
                <w:sz w:val="20"/>
              </w:rPr>
              <w:t>0.238</w:t>
            </w:r>
          </w:p>
        </w:tc>
        <w:tc>
          <w:tcPr>
            <w:tcW w:type="dxa" w:w="900"/>
          </w:tcPr>
          <w:p>
            <w:r>
              <w:rPr>
                <w:sz w:val="20"/>
              </w:rPr>
              <w:t>n/a</w:t>
            </w:r>
          </w:p>
        </w:tc>
        <w:tc>
          <w:tcPr>
            <w:tcW w:type="dxa" w:w="1110"/>
          </w:tcPr>
          <w:p>
            <w:r>
              <w:rPr>
                <w:sz w:val="20"/>
              </w:rPr>
              <w:t>745.6</w:t>
            </w:r>
          </w:p>
        </w:tc>
      </w:tr>
      <w:tr>
        <w:trPr>
          <w:cantSplit/>
        </w:trPr>
        <w:tc>
          <w:tcPr>
            <w:tcW w:type="dxa" w:w="1400"/>
          </w:tcPr>
          <w:p>
            <w:r>
              <w:rPr>
                <w:sz w:val="20"/>
              </w:rPr>
              <w:t>Toggle switch (Tang et al.)</w:t>
            </w:r>
          </w:p>
        </w:tc>
        <w:tc>
          <w:tcPr>
            <w:tcW w:type="dxa" w:w="1050"/>
          </w:tcPr>
          <w:p>
            <w:r>
              <w:rPr>
                <w:sz w:val="20"/>
              </w:rPr>
              <w:t>40,000</w:t>
            </w:r>
          </w:p>
        </w:tc>
        <w:tc>
          <w:tcPr>
            <w:tcW w:type="dxa" w:w="1300"/>
          </w:tcPr>
          <w:p>
            <w:r>
              <w:rPr>
                <w:sz w:val="20"/>
              </w:rPr>
              <w:t>R-mix(NB,E2)</w:t>
            </w:r>
          </w:p>
        </w:tc>
        <w:tc>
          <w:tcPr>
            <w:tcW w:type="dxa" w:w="800"/>
          </w:tcPr>
          <w:p>
            <w:r>
              <w:rPr>
                <w:sz w:val="20"/>
              </w:rPr>
              <w:t>1315</w:t>
            </w:r>
          </w:p>
        </w:tc>
        <w:tc>
          <w:tcPr>
            <w:tcW w:type="dxa" w:w="900"/>
          </w:tcPr>
          <w:p>
            <w:r>
              <w:rPr>
                <w:sz w:val="20"/>
              </w:rPr>
              <w:t>109</w:t>
            </w:r>
          </w:p>
        </w:tc>
        <w:tc>
          <w:tcPr>
            <w:tcW w:type="dxa" w:w="1050"/>
          </w:tcPr>
          <w:p>
            <w:r>
              <w:rPr>
                <w:sz w:val="20"/>
              </w:rPr>
              <w:t>176</w:t>
            </w:r>
          </w:p>
        </w:tc>
        <w:tc>
          <w:tcPr>
            <w:tcW w:type="dxa" w:w="850"/>
          </w:tcPr>
          <w:p>
            <w:r>
              <w:rPr>
                <w:sz w:val="20"/>
              </w:rPr>
              <w:t>2.17×10</w:t>
            </w:r>
            <w:r>
              <w:rPr>
                <w:sz w:val="20"/>
                <w:vertAlign w:val="superscript"/>
              </w:rPr>
              <w:t>-4</w:t>
            </w:r>
          </w:p>
        </w:tc>
        <w:tc>
          <w:tcPr>
            <w:tcW w:type="dxa" w:w="900"/>
          </w:tcPr>
          <w:p>
            <w:r>
              <w:rPr>
                <w:sz w:val="20"/>
              </w:rPr>
              <w:t>1.74×10</w:t>
            </w:r>
            <w:r>
              <w:rPr>
                <w:sz w:val="20"/>
                <w:vertAlign w:val="superscript"/>
              </w:rPr>
              <w:t>-7</w:t>
            </w:r>
          </w:p>
        </w:tc>
        <w:tc>
          <w:tcPr>
            <w:tcW w:type="dxa" w:w="1110"/>
          </w:tcPr>
          <w:p>
            <w:r>
              <w:rPr>
                <w:sz w:val="20"/>
              </w:rPr>
              <w:t>1.129×10</w:t>
            </w:r>
            <w:r>
              <w:rPr>
                <w:sz w:val="20"/>
                <w:vertAlign w:val="superscript"/>
              </w:rPr>
              <w:t>4</w:t>
            </w:r>
          </w:p>
        </w:tc>
      </w:tr>
      <w:tr>
        <w:trPr>
          <w:cantSplit/>
        </w:trPr>
        <w:tc>
          <w:tcPr>
            <w:tcW w:type="dxa" w:w="1400"/>
          </w:tcPr>
          <w:p>
            <w:r>
              <w:rPr>
                <w:sz w:val="20"/>
              </w:rPr>
              <w:t>Autoregulation, case 1</w:t>
            </w:r>
          </w:p>
        </w:tc>
        <w:tc>
          <w:tcPr>
            <w:tcW w:type="dxa" w:w="1050"/>
          </w:tcPr>
          <w:p>
            <w:r>
              <w:rPr>
                <w:sz w:val="20"/>
              </w:rPr>
              <w:t>120</w:t>
            </w:r>
          </w:p>
        </w:tc>
        <w:tc>
          <w:tcPr>
            <w:tcW w:type="dxa" w:w="1300"/>
          </w:tcPr>
          <w:p>
            <w:r>
              <w:rPr>
                <w:sz w:val="20"/>
              </w:rPr>
              <w:t>R-mix(NB,E1)</w:t>
            </w:r>
          </w:p>
        </w:tc>
        <w:tc>
          <w:tcPr>
            <w:tcW w:type="dxa" w:w="800"/>
          </w:tcPr>
          <w:p>
            <w:r>
              <w:rPr>
                <w:sz w:val="20"/>
              </w:rPr>
              <w:t>47</w:t>
            </w:r>
          </w:p>
        </w:tc>
        <w:tc>
          <w:tcPr>
            <w:tcW w:type="dxa" w:w="900"/>
          </w:tcPr>
          <w:p>
            <w:r>
              <w:rPr>
                <w:sz w:val="20"/>
              </w:rPr>
              <w:t>7.21</w:t>
            </w:r>
          </w:p>
        </w:tc>
        <w:tc>
          <w:tcPr>
            <w:tcW w:type="dxa" w:w="1050"/>
          </w:tcPr>
          <w:p>
            <w:r>
              <w:rPr>
                <w:sz w:val="20"/>
              </w:rPr>
              <w:t>2.43</w:t>
            </w:r>
          </w:p>
        </w:tc>
        <w:tc>
          <w:tcPr>
            <w:tcW w:type="dxa" w:w="850"/>
          </w:tcPr>
          <w:p>
            <w:r>
              <w:rPr>
                <w:sz w:val="20"/>
              </w:rPr>
              <w:t>0.0011</w:t>
            </w:r>
          </w:p>
        </w:tc>
        <w:tc>
          <w:tcPr>
            <w:tcW w:type="dxa" w:w="900"/>
          </w:tcPr>
          <w:p>
            <w:r>
              <w:rPr>
                <w:sz w:val="20"/>
              </w:rPr>
              <w:t>1.78×10</w:t>
            </w:r>
            <w:r>
              <w:rPr>
                <w:sz w:val="20"/>
                <w:vertAlign w:val="superscript"/>
              </w:rPr>
              <w:t>-15</w:t>
            </w:r>
          </w:p>
        </w:tc>
        <w:tc>
          <w:tcPr>
            <w:tcW w:type="dxa" w:w="1110"/>
          </w:tcPr>
          <w:p>
            <w:r>
              <w:rPr>
                <w:sz w:val="20"/>
              </w:rPr>
              <w:t>86.55</w:t>
            </w:r>
          </w:p>
        </w:tc>
      </w:tr>
      <w:tr>
        <w:trPr>
          <w:cantSplit/>
        </w:trPr>
        <w:tc>
          <w:tcPr>
            <w:tcW w:type="dxa" w:w="1400"/>
          </w:tcPr>
          <w:p>
            <w:r>
              <w:rPr>
                <w:sz w:val="20"/>
              </w:rPr>
              <w:t>Autoregulation, case 2</w:t>
            </w:r>
          </w:p>
        </w:tc>
        <w:tc>
          <w:tcPr>
            <w:tcW w:type="dxa" w:w="1050"/>
          </w:tcPr>
          <w:p>
            <w:r>
              <w:rPr>
                <w:sz w:val="20"/>
              </w:rPr>
              <w:t>120</w:t>
            </w:r>
          </w:p>
        </w:tc>
        <w:tc>
          <w:tcPr>
            <w:tcW w:type="dxa" w:w="1300"/>
          </w:tcPr>
          <w:p>
            <w:r>
              <w:rPr>
                <w:sz w:val="20"/>
              </w:rPr>
              <w:t>R-mix(NB,E2)</w:t>
            </w:r>
          </w:p>
        </w:tc>
        <w:tc>
          <w:tcPr>
            <w:tcW w:type="dxa" w:w="800"/>
          </w:tcPr>
          <w:p>
            <w:r>
              <w:rPr>
                <w:sz w:val="20"/>
              </w:rPr>
              <w:t>67.42</w:t>
            </w:r>
          </w:p>
        </w:tc>
        <w:tc>
          <w:tcPr>
            <w:tcW w:type="dxa" w:w="900"/>
          </w:tcPr>
          <w:p>
            <w:r>
              <w:rPr>
                <w:sz w:val="20"/>
              </w:rPr>
              <w:t>5.16</w:t>
            </w:r>
          </w:p>
        </w:tc>
        <w:tc>
          <w:tcPr>
            <w:tcW w:type="dxa" w:w="1050"/>
          </w:tcPr>
          <w:p>
            <w:r>
              <w:rPr>
                <w:sz w:val="20"/>
              </w:rPr>
              <w:t>8.9</w:t>
            </w:r>
          </w:p>
        </w:tc>
        <w:tc>
          <w:tcPr>
            <w:tcW w:type="dxa" w:w="850"/>
          </w:tcPr>
          <w:p>
            <w:r>
              <w:rPr>
                <w:sz w:val="20"/>
              </w:rPr>
              <w:t>3.83×10</w:t>
            </w:r>
            <w:r>
              <w:rPr>
                <w:sz w:val="20"/>
                <w:vertAlign w:val="superscript"/>
              </w:rPr>
              <w:t>-4</w:t>
            </w:r>
          </w:p>
        </w:tc>
        <w:tc>
          <w:tcPr>
            <w:tcW w:type="dxa" w:w="900"/>
          </w:tcPr>
          <w:p>
            <w:r>
              <w:rPr>
                <w:sz w:val="20"/>
              </w:rPr>
              <w:t>1.05</w:t>
            </w:r>
          </w:p>
        </w:tc>
        <w:tc>
          <w:tcPr>
            <w:tcW w:type="dxa" w:w="1110"/>
          </w:tcPr>
          <w:p>
            <w:r>
              <w:rPr>
                <w:sz w:val="20"/>
              </w:rPr>
              <w:t>103.9</w:t>
            </w:r>
          </w:p>
        </w:tc>
      </w:tr>
      <w:tr>
        <w:trPr>
          <w:cantSplit/>
        </w:trPr>
        <w:tc>
          <w:tcPr>
            <w:tcW w:type="dxa" w:w="1400"/>
          </w:tcPr>
          <w:p>
            <w:r>
              <w:rPr>
                <w:sz w:val="20"/>
              </w:rPr>
              <w:t>Autoregulation, case 3</w:t>
            </w:r>
          </w:p>
        </w:tc>
        <w:tc>
          <w:tcPr>
            <w:tcW w:type="dxa" w:w="1050"/>
          </w:tcPr>
          <w:p>
            <w:r>
              <w:rPr>
                <w:sz w:val="20"/>
              </w:rPr>
              <w:t>120</w:t>
            </w:r>
          </w:p>
        </w:tc>
        <w:tc>
          <w:tcPr>
            <w:tcW w:type="dxa" w:w="1300"/>
          </w:tcPr>
          <w:p>
            <w:r>
              <w:rPr>
                <w:sz w:val="20"/>
              </w:rPr>
              <w:t>R-mix(NB,E1)</w:t>
            </w:r>
          </w:p>
        </w:tc>
        <w:tc>
          <w:tcPr>
            <w:tcW w:type="dxa" w:w="800"/>
          </w:tcPr>
          <w:p>
            <w:r>
              <w:rPr>
                <w:sz w:val="20"/>
              </w:rPr>
              <w:t>224.4</w:t>
            </w:r>
          </w:p>
        </w:tc>
        <w:tc>
          <w:tcPr>
            <w:tcW w:type="dxa" w:w="900"/>
          </w:tcPr>
          <w:p>
            <w:r>
              <w:rPr>
                <w:sz w:val="20"/>
              </w:rPr>
              <w:t>9.53</w:t>
            </w:r>
          </w:p>
        </w:tc>
        <w:tc>
          <w:tcPr>
            <w:tcW w:type="dxa" w:w="1050"/>
          </w:tcPr>
          <w:p>
            <w:r>
              <w:rPr>
                <w:sz w:val="20"/>
              </w:rPr>
              <w:t>38.4</w:t>
            </w:r>
          </w:p>
        </w:tc>
        <w:tc>
          <w:tcPr>
            <w:tcW w:type="dxa" w:w="850"/>
          </w:tcPr>
          <w:p>
            <w:r>
              <w:rPr>
                <w:sz w:val="20"/>
              </w:rPr>
              <w:t>0.00248</w:t>
            </w:r>
          </w:p>
        </w:tc>
        <w:tc>
          <w:tcPr>
            <w:tcW w:type="dxa" w:w="900"/>
          </w:tcPr>
          <w:p>
            <w:r>
              <w:rPr>
                <w:sz w:val="20"/>
              </w:rPr>
              <w:t>0</w:t>
            </w:r>
          </w:p>
        </w:tc>
        <w:tc>
          <w:tcPr>
            <w:tcW w:type="dxa" w:w="1110"/>
          </w:tcPr>
          <w:p>
            <w:r>
              <w:rPr>
                <w:sz w:val="20"/>
              </w:rPr>
              <w:t>113.5</w:t>
            </w:r>
          </w:p>
        </w:tc>
      </w:tr>
    </w:tbl>
    <w:p>
      <w:pPr/>
    </w:p>
    <w:p>
      <w:pPr>
        <w:pStyle w:val="Heading1"/>
        <w:spacing w:after="120" w:line="360" w:lineRule="auto"/>
      </w:pPr>
      <w:r>
        <w:rPr>
          <w:rFonts w:ascii="Times New Roman" w:hAnsi="Times New Roman"/>
        </w:rPr>
        <w:t>S5. Resource counts</w:t>
      </w:r>
    </w:p>
    <w:p>
      <w:pPr>
        <w:spacing w:after="200" w:line="360" w:lineRule="auto"/>
        <w:jc w:val="both"/>
      </w:pPr>
      <w:r>
        <w:t xml:space="preserve">Total Toffoli counts are given at relative precision </w:t>
      </w:r>
      <w:r>
        <w:rPr>
          <w:i/>
        </w:rPr>
        <w:t>ε</w:t>
      </w:r>
      <w:r>
        <w:t xml:space="preserve"> = 10</w:t>
      </w:r>
      <w:r>
        <w:rPr>
          <w:sz w:val="20"/>
          <w:vertAlign w:val="superscript"/>
        </w:rPr>
        <w:t>-2</w:t>
      </w:r>
      <w:r>
        <w:t xml:space="preserve"> and failure probability 10</w:t>
      </w:r>
      <w:r>
        <w:rPr>
          <w:sz w:val="20"/>
          <w:vertAlign w:val="superscript"/>
        </w:rPr>
        <w:t>-2</w:t>
      </w:r>
      <w:r>
        <w:t xml:space="preserve">. A master-equation encoding is costed as one time-dependent linear combination of Hamiltonian simulations with the kernel of Low and Somma [13,14], block encodings of the reweighted generator, state preparation, and canonical amplitude estimation with median boosting. Weighted encodings are costed with the worst-case growth </w:t>
      </w:r>
      <w:r>
        <w:rPr>
          <w:i/>
        </w:rPr>
        <w:t>W</w:t>
      </w:r>
      <w:r>
        <w:t xml:space="preserve"> of Eq. (S12), which is not certified, and with the certificate, which is. Coherent stochastic simulation uses uniformization, which is exact in law, followed by amplitude estimation [15]. The Lindblad embedding is costed with the first- and second-order schemes of Ding, Li and Lin [16], and the cheaper order is reported.</w:t>
      </w:r>
    </w:p>
    <w:p>
      <w:pPr>
        <w:spacing w:after="200" w:line="360" w:lineRule="auto"/>
        <w:jc w:val="both"/>
      </w:pPr>
      <w:r>
        <w:t>Every block encoding was written out and checked at gate level. Subroutine counts agree with Qualtran 0.7.0 [17] on 50 of 52 subroutine cases compared. The two differences have known causes. Qualtran's data-loading circuit skips branches whose data are zero, so its count depends on the loaded data. Qualtran also truncates a Jacobi–Anger expansion by a single-term criterion, where we use a rigorous bound on the tail.</w:t>
      </w:r>
    </w:p>
    <w:p>
      <w:pPr>
        <w:spacing w:after="200" w:line="360" w:lineRule="auto"/>
        <w:jc w:val="both"/>
      </w:pPr>
      <w:r>
        <w:t>Two oracle designs were counted for the diagonal of the generator. The first loads the whole diagonal with a single oracle, and the second splits it into one term per species and a few shared terms. Table S6 uses the single oracle. Taking the cheaper design for each entry, the smallest ratio of a master-equation encoding to coherent stochastic simulation is 167, on the tail probability with the negative-binomial reference.</w:t>
      </w:r>
    </w:p>
    <w:p>
      <w:pPr>
        <w:keepNext/>
        <w:keepLines/>
        <w:spacing w:before="480" w:line="360" w:lineRule="auto"/>
        <w:jc w:val="center"/>
      </w:pPr>
      <w:r>
        <w:rPr>
          <w:b/>
        </w:rPr>
        <w:t xml:space="preserve">Table S6. Total Toffoli counts at </w:t>
      </w:r>
      <w:r>
        <w:rPr>
          <w:b/>
          <w:i/>
        </w:rPr>
        <w:t>ε</w:t>
      </w:r>
      <w:r>
        <w:rPr>
          <w:b/>
        </w:rPr>
        <w:t xml:space="preserve"> = </w:t>
      </w:r>
      <w:r>
        <w:rPr>
          <w:b/>
          <w:i/>
        </w:rPr>
        <w:t>δ</w:t>
      </w:r>
      <w:r>
        <w:rPr>
          <w:b/>
        </w:rPr>
        <w:t xml:space="preserve"> = 10</w:t>
      </w:r>
      <w:r>
        <w:rPr>
          <w:b/>
          <w:sz w:val="20"/>
          <w:vertAlign w:val="superscript"/>
        </w:rPr>
        <w:t>-2</w:t>
      </w:r>
      <w:r>
        <w:rPr>
          <w:b/>
        </w:rPr>
        <w:t xml:space="preserve">. Uniform, NB-weighted and mixture-weighted encodings use the worst-case growth </w:t>
      </w:r>
      <w:r>
        <w:rPr>
          <w:b/>
          <w:i/>
        </w:rPr>
        <w:t>W</w:t>
      </w:r>
      <w:r>
        <w:rPr>
          <w:b/>
        </w:rPr>
        <w:t xml:space="preserve"> unless marked [cert], which uses the certificate. The last column is the smallest ratio of a master-equation encoding [W] to coherent stochastic simulation.</w:t>
      </w:r>
    </w:p>
    <w:tbl>
      <w:tblPr>
        <w:tblStyle w:val="PlainTable2"/>
        <w:tblW w:type="auto" w:w="0"/>
        <w:tblLayout w:type="fixed"/>
        <w:tblLook w:firstColumn="1" w:firstRow="1" w:lastColumn="0" w:lastRow="0" w:noHBand="0" w:noVBand="1" w:val="04A0"/>
        <w:tblLayout w:type="fixed"/>
      </w:tblPr>
      <w:tblGrid>
        <w:gridCol w:w="1200"/>
        <w:gridCol w:w="1250"/>
        <w:gridCol w:w="987"/>
        <w:gridCol w:w="987"/>
        <w:gridCol w:w="987"/>
        <w:gridCol w:w="987"/>
        <w:gridCol w:w="987"/>
        <w:gridCol w:w="987"/>
        <w:gridCol w:w="988"/>
      </w:tblGrid>
      <w:tr>
        <w:trPr>
          <w:tblHeader/>
          <w:cantSplit/>
        </w:trPr>
        <w:tc>
          <w:tcPr>
            <w:tcW w:type="dxa" w:w="1200"/>
          </w:tcPr>
          <w:p>
            <w:r>
              <w:rPr>
                <w:sz w:val="20"/>
              </w:rPr>
              <w:t>Model</w:t>
            </w:r>
          </w:p>
        </w:tc>
        <w:tc>
          <w:tcPr>
            <w:tcW w:type="dxa" w:w="1250"/>
          </w:tcPr>
          <w:p>
            <w:r>
              <w:rPr>
                <w:sz w:val="20"/>
              </w:rPr>
              <w:t>Observable</w:t>
            </w:r>
          </w:p>
        </w:tc>
        <w:tc>
          <w:tcPr>
            <w:tcW w:type="dxa" w:w="987"/>
          </w:tcPr>
          <w:p>
            <w:r>
              <w:rPr>
                <w:sz w:val="20"/>
              </w:rPr>
              <w:t>Uniform [W]</w:t>
            </w:r>
          </w:p>
        </w:tc>
        <w:tc>
          <w:tcPr>
            <w:tcW w:type="dxa" w:w="987"/>
          </w:tcPr>
          <w:p>
            <w:r>
              <w:rPr>
                <w:sz w:val="20"/>
              </w:rPr>
              <w:t>NB-weighted [W]</w:t>
            </w:r>
          </w:p>
        </w:tc>
        <w:tc>
          <w:tcPr>
            <w:tcW w:type="dxa" w:w="987"/>
          </w:tcPr>
          <w:p>
            <w:r>
              <w:rPr>
                <w:sz w:val="20"/>
              </w:rPr>
              <w:t>Mixture [W]</w:t>
            </w:r>
          </w:p>
        </w:tc>
        <w:tc>
          <w:tcPr>
            <w:tcW w:type="dxa" w:w="987"/>
          </w:tcPr>
          <w:p>
            <w:r>
              <w:rPr>
                <w:sz w:val="20"/>
              </w:rPr>
              <w:t>Mixture [cert]</w:t>
            </w:r>
          </w:p>
        </w:tc>
        <w:tc>
          <w:tcPr>
            <w:tcW w:type="dxa" w:w="987"/>
          </w:tcPr>
          <w:p>
            <w:r>
              <w:rPr>
                <w:sz w:val="20"/>
              </w:rPr>
              <w:t>Coherent SSA</w:t>
            </w:r>
          </w:p>
        </w:tc>
        <w:tc>
          <w:tcPr>
            <w:tcW w:type="dxa" w:w="987"/>
          </w:tcPr>
          <w:p>
            <w:r>
              <w:rPr>
                <w:sz w:val="20"/>
              </w:rPr>
              <w:t>Lindblad</w:t>
            </w:r>
          </w:p>
        </w:tc>
        <w:tc>
          <w:tcPr>
            <w:tcW w:type="dxa" w:w="988"/>
          </w:tcPr>
          <w:p>
            <w:r>
              <w:rPr>
                <w:sz w:val="20"/>
              </w:rPr>
              <w:t>Smallest ratio [W]</w:t>
            </w:r>
          </w:p>
        </w:tc>
      </w:tr>
      <w:tr>
        <w:trPr>
          <w:cantSplit/>
        </w:trPr>
        <w:tc>
          <w:tcPr>
            <w:tcW w:type="dxa" w:w="1200"/>
          </w:tcPr>
          <w:p>
            <w:r>
              <w:rPr>
                <w:sz w:val="20"/>
              </w:rPr>
              <w:t>toggle switch</w:t>
            </w:r>
          </w:p>
        </w:tc>
        <w:tc>
          <w:tcPr>
            <w:tcW w:type="dxa" w:w="1250"/>
          </w:tcPr>
          <w:p>
            <w:r>
              <w:rPr>
                <w:sz w:val="20"/>
              </w:rPr>
              <w:t>total probability</w:t>
            </w:r>
          </w:p>
        </w:tc>
        <w:tc>
          <w:tcPr>
            <w:tcW w:type="dxa" w:w="987"/>
          </w:tcPr>
          <w:p>
            <w:r>
              <w:rPr>
                <w:sz w:val="20"/>
              </w:rPr>
              <w:t>8.3·10</w:t>
            </w:r>
            <w:r>
              <w:rPr>
                <w:sz w:val="20"/>
                <w:vertAlign w:val="superscript"/>
              </w:rPr>
              <w:t>14</w:t>
            </w:r>
          </w:p>
        </w:tc>
        <w:tc>
          <w:tcPr>
            <w:tcW w:type="dxa" w:w="987"/>
          </w:tcPr>
          <w:p>
            <w:r>
              <w:rPr>
                <w:sz w:val="20"/>
              </w:rPr>
              <w:t>6.8·10</w:t>
            </w:r>
            <w:r>
              <w:rPr>
                <w:sz w:val="20"/>
                <w:vertAlign w:val="superscript"/>
              </w:rPr>
              <w:t>16</w:t>
            </w:r>
          </w:p>
        </w:tc>
        <w:tc>
          <w:tcPr>
            <w:tcW w:type="dxa" w:w="987"/>
          </w:tcPr>
          <w:p>
            <w:r>
              <w:rPr>
                <w:sz w:val="20"/>
              </w:rPr>
              <w:t>4.3·10</w:t>
            </w:r>
            <w:r>
              <w:rPr>
                <w:sz w:val="20"/>
                <w:vertAlign w:val="superscript"/>
              </w:rPr>
              <w:t>17</w:t>
            </w:r>
          </w:p>
        </w:tc>
        <w:tc>
          <w:tcPr>
            <w:tcW w:type="dxa" w:w="987"/>
          </w:tcPr>
          <w:p>
            <w:r>
              <w:rPr>
                <w:sz w:val="20"/>
              </w:rPr>
              <w:t>1·10</w:t>
            </w:r>
            <w:r>
              <w:rPr>
                <w:sz w:val="20"/>
                <w:vertAlign w:val="superscript"/>
              </w:rPr>
              <w:t>25</w:t>
            </w:r>
          </w:p>
        </w:tc>
        <w:tc>
          <w:tcPr>
            <w:tcW w:type="dxa" w:w="987"/>
          </w:tcPr>
          <w:p>
            <w:r>
              <w:rPr>
                <w:sz w:val="20"/>
              </w:rPr>
              <w:t>1.2·10</w:t>
            </w:r>
            <w:r>
              <w:rPr>
                <w:sz w:val="20"/>
                <w:vertAlign w:val="superscript"/>
              </w:rPr>
              <w:t>9</w:t>
            </w:r>
          </w:p>
        </w:tc>
        <w:tc>
          <w:tcPr>
            <w:tcW w:type="dxa" w:w="987"/>
          </w:tcPr>
          <w:p>
            <w:r>
              <w:rPr>
                <w:sz w:val="20"/>
              </w:rPr>
              <w:t>4.1·10</w:t>
            </w:r>
            <w:r>
              <w:rPr>
                <w:sz w:val="20"/>
                <w:vertAlign w:val="superscript"/>
              </w:rPr>
              <w:t>8</w:t>
            </w:r>
          </w:p>
        </w:tc>
        <w:tc>
          <w:tcPr>
            <w:tcW w:type="dxa" w:w="988"/>
          </w:tcPr>
          <w:p>
            <w:r>
              <w:rPr>
                <w:sz w:val="20"/>
              </w:rPr>
              <w:t>7.1·10</w:t>
            </w:r>
            <w:r>
              <w:rPr>
                <w:sz w:val="20"/>
                <w:vertAlign w:val="superscript"/>
              </w:rPr>
              <w:t>5</w:t>
            </w:r>
          </w:p>
        </w:tc>
      </w:tr>
      <w:tr>
        <w:trPr>
          <w:cantSplit/>
        </w:trPr>
        <w:tc>
          <w:tcPr>
            <w:tcW w:type="dxa" w:w="1200"/>
          </w:tcPr>
          <w:p>
            <w:r>
              <w:rPr>
                <w:sz w:val="20"/>
              </w:rPr>
              <w:t>toggle switch</w:t>
            </w:r>
          </w:p>
        </w:tc>
        <w:tc>
          <w:tcPr>
            <w:tcW w:type="dxa" w:w="1250"/>
          </w:tcPr>
          <w:p>
            <w:r>
              <w:rPr>
                <w:sz w:val="20"/>
              </w:rPr>
              <w:t>tail probability</w:t>
            </w:r>
          </w:p>
        </w:tc>
        <w:tc>
          <w:tcPr>
            <w:tcW w:type="dxa" w:w="987"/>
          </w:tcPr>
          <w:p>
            <w:r>
              <w:rPr>
                <w:sz w:val="20"/>
              </w:rPr>
              <w:t>2.1·10</w:t>
            </w:r>
            <w:r>
              <w:rPr>
                <w:sz w:val="20"/>
                <w:vertAlign w:val="superscript"/>
              </w:rPr>
              <w:t>16</w:t>
            </w:r>
          </w:p>
        </w:tc>
        <w:tc>
          <w:tcPr>
            <w:tcW w:type="dxa" w:w="987"/>
          </w:tcPr>
          <w:p>
            <w:r>
              <w:rPr>
                <w:sz w:val="20"/>
              </w:rPr>
              <w:t>5.9·10</w:t>
            </w:r>
            <w:r>
              <w:rPr>
                <w:sz w:val="20"/>
                <w:vertAlign w:val="superscript"/>
              </w:rPr>
              <w:t>17</w:t>
            </w:r>
          </w:p>
        </w:tc>
        <w:tc>
          <w:tcPr>
            <w:tcW w:type="dxa" w:w="987"/>
          </w:tcPr>
          <w:p>
            <w:r>
              <w:rPr>
                <w:sz w:val="20"/>
              </w:rPr>
              <w:t>3.8·10</w:t>
            </w:r>
            <w:r>
              <w:rPr>
                <w:sz w:val="20"/>
                <w:vertAlign w:val="superscript"/>
              </w:rPr>
              <w:t>18</w:t>
            </w:r>
          </w:p>
        </w:tc>
        <w:tc>
          <w:tcPr>
            <w:tcW w:type="dxa" w:w="987"/>
          </w:tcPr>
          <w:p>
            <w:r>
              <w:rPr>
                <w:sz w:val="20"/>
              </w:rPr>
              <w:t>8.4·10</w:t>
            </w:r>
            <w:r>
              <w:rPr>
                <w:sz w:val="20"/>
                <w:vertAlign w:val="superscript"/>
              </w:rPr>
              <w:t>25</w:t>
            </w:r>
          </w:p>
        </w:tc>
        <w:tc>
          <w:tcPr>
            <w:tcW w:type="dxa" w:w="987"/>
          </w:tcPr>
          <w:p>
            <w:r>
              <w:rPr>
                <w:sz w:val="20"/>
              </w:rPr>
              <w:t>1.7·10</w:t>
            </w:r>
            <w:r>
              <w:rPr>
                <w:sz w:val="20"/>
                <w:vertAlign w:val="superscript"/>
              </w:rPr>
              <w:t>11</w:t>
            </w:r>
          </w:p>
        </w:tc>
        <w:tc>
          <w:tcPr>
            <w:tcW w:type="dxa" w:w="987"/>
          </w:tcPr>
          <w:p>
            <w:r>
              <w:rPr>
                <w:sz w:val="20"/>
              </w:rPr>
              <w:t>6.5·10</w:t>
            </w:r>
            <w:r>
              <w:rPr>
                <w:sz w:val="20"/>
                <w:vertAlign w:val="superscript"/>
              </w:rPr>
              <w:t>13</w:t>
            </w:r>
          </w:p>
        </w:tc>
        <w:tc>
          <w:tcPr>
            <w:tcW w:type="dxa" w:w="988"/>
          </w:tcPr>
          <w:p>
            <w:r>
              <w:rPr>
                <w:sz w:val="20"/>
              </w:rPr>
              <w:t>1.3·10</w:t>
            </w:r>
            <w:r>
              <w:rPr>
                <w:sz w:val="20"/>
                <w:vertAlign w:val="superscript"/>
              </w:rPr>
              <w:t>5</w:t>
            </w:r>
          </w:p>
        </w:tc>
      </w:tr>
      <w:tr>
        <w:trPr>
          <w:cantSplit/>
        </w:trPr>
        <w:tc>
          <w:tcPr>
            <w:tcW w:type="dxa" w:w="1200"/>
          </w:tcPr>
          <w:p>
            <w:r>
              <w:rPr>
                <w:sz w:val="20"/>
              </w:rPr>
              <w:t>Schlögl</w:t>
            </w:r>
          </w:p>
        </w:tc>
        <w:tc>
          <w:tcPr>
            <w:tcW w:type="dxa" w:w="1250"/>
          </w:tcPr>
          <w:p>
            <w:r>
              <w:rPr>
                <w:sz w:val="20"/>
              </w:rPr>
              <w:t>total probability</w:t>
            </w:r>
          </w:p>
        </w:tc>
        <w:tc>
          <w:tcPr>
            <w:tcW w:type="dxa" w:w="987"/>
          </w:tcPr>
          <w:p>
            <w:r>
              <w:rPr>
                <w:sz w:val="20"/>
              </w:rPr>
              <w:t>2.1·10</w:t>
            </w:r>
            <w:r>
              <w:rPr>
                <w:sz w:val="20"/>
                <w:vertAlign w:val="superscript"/>
              </w:rPr>
              <w:t>15</w:t>
            </w:r>
          </w:p>
        </w:tc>
        <w:tc>
          <w:tcPr>
            <w:tcW w:type="dxa" w:w="987"/>
          </w:tcPr>
          <w:p>
            <w:r>
              <w:rPr>
                <w:sz w:val="20"/>
              </w:rPr>
              <w:t>4.1·10</w:t>
            </w:r>
            <w:r>
              <w:rPr>
                <w:sz w:val="20"/>
                <w:vertAlign w:val="superscript"/>
              </w:rPr>
              <w:t>14</w:t>
            </w:r>
          </w:p>
        </w:tc>
        <w:tc>
          <w:tcPr>
            <w:tcW w:type="dxa" w:w="987"/>
          </w:tcPr>
          <w:p>
            <w:r>
              <w:rPr>
                <w:sz w:val="20"/>
              </w:rPr>
              <w:t>1.1·10</w:t>
            </w:r>
            <w:r>
              <w:rPr>
                <w:sz w:val="20"/>
                <w:vertAlign w:val="superscript"/>
              </w:rPr>
              <w:t>16</w:t>
            </w:r>
          </w:p>
        </w:tc>
        <w:tc>
          <w:tcPr>
            <w:tcW w:type="dxa" w:w="987"/>
          </w:tcPr>
          <w:p>
            <w:r>
              <w:rPr>
                <w:sz w:val="20"/>
              </w:rPr>
              <w:t>1.4·10</w:t>
            </w:r>
            <w:r>
              <w:rPr>
                <w:sz w:val="20"/>
                <w:vertAlign w:val="superscript"/>
              </w:rPr>
              <w:t>20</w:t>
            </w:r>
          </w:p>
        </w:tc>
        <w:tc>
          <w:tcPr>
            <w:tcW w:type="dxa" w:w="987"/>
          </w:tcPr>
          <w:p>
            <w:r>
              <w:rPr>
                <w:sz w:val="20"/>
              </w:rPr>
              <w:t>2.1·10</w:t>
            </w:r>
            <w:r>
              <w:rPr>
                <w:sz w:val="20"/>
                <w:vertAlign w:val="superscript"/>
              </w:rPr>
              <w:t>10</w:t>
            </w:r>
          </w:p>
        </w:tc>
        <w:tc>
          <w:tcPr>
            <w:tcW w:type="dxa" w:w="987"/>
          </w:tcPr>
          <w:p>
            <w:r>
              <w:rPr>
                <w:sz w:val="20"/>
              </w:rPr>
              <w:t>1.4·10</w:t>
            </w:r>
            <w:r>
              <w:rPr>
                <w:sz w:val="20"/>
                <w:vertAlign w:val="superscript"/>
              </w:rPr>
              <w:t>9</w:t>
            </w:r>
          </w:p>
        </w:tc>
        <w:tc>
          <w:tcPr>
            <w:tcW w:type="dxa" w:w="988"/>
          </w:tcPr>
          <w:p>
            <w:r>
              <w:rPr>
                <w:sz w:val="20"/>
              </w:rPr>
              <w:t>2·10</w:t>
            </w:r>
            <w:r>
              <w:rPr>
                <w:sz w:val="20"/>
                <w:vertAlign w:val="superscript"/>
              </w:rPr>
              <w:t>4</w:t>
            </w:r>
          </w:p>
        </w:tc>
      </w:tr>
      <w:tr>
        <w:trPr>
          <w:cantSplit/>
        </w:trPr>
        <w:tc>
          <w:tcPr>
            <w:tcW w:type="dxa" w:w="1200"/>
          </w:tcPr>
          <w:p>
            <w:r>
              <w:rPr>
                <w:sz w:val="20"/>
              </w:rPr>
              <w:t>Schlögl</w:t>
            </w:r>
          </w:p>
        </w:tc>
        <w:tc>
          <w:tcPr>
            <w:tcW w:type="dxa" w:w="1250"/>
          </w:tcPr>
          <w:p>
            <w:r>
              <w:rPr>
                <w:sz w:val="20"/>
              </w:rPr>
              <w:t>tail probability</w:t>
            </w:r>
          </w:p>
        </w:tc>
        <w:tc>
          <w:tcPr>
            <w:tcW w:type="dxa" w:w="987"/>
          </w:tcPr>
          <w:p>
            <w:r>
              <w:rPr>
                <w:sz w:val="20"/>
              </w:rPr>
              <w:t>5.4·10</w:t>
            </w:r>
            <w:r>
              <w:rPr>
                <w:sz w:val="20"/>
                <w:vertAlign w:val="superscript"/>
              </w:rPr>
              <w:t>16</w:t>
            </w:r>
          </w:p>
        </w:tc>
        <w:tc>
          <w:tcPr>
            <w:tcW w:type="dxa" w:w="987"/>
          </w:tcPr>
          <w:p>
            <w:r>
              <w:rPr>
                <w:sz w:val="20"/>
              </w:rPr>
              <w:t>1·10</w:t>
            </w:r>
            <w:r>
              <w:rPr>
                <w:sz w:val="20"/>
                <w:vertAlign w:val="superscript"/>
              </w:rPr>
              <w:t>15</w:t>
            </w:r>
          </w:p>
        </w:tc>
        <w:tc>
          <w:tcPr>
            <w:tcW w:type="dxa" w:w="987"/>
          </w:tcPr>
          <w:p>
            <w:r>
              <w:rPr>
                <w:sz w:val="20"/>
              </w:rPr>
              <w:t>4.3·10</w:t>
            </w:r>
            <w:r>
              <w:rPr>
                <w:sz w:val="20"/>
                <w:vertAlign w:val="superscript"/>
              </w:rPr>
              <w:t>16</w:t>
            </w:r>
          </w:p>
        </w:tc>
        <w:tc>
          <w:tcPr>
            <w:tcW w:type="dxa" w:w="987"/>
          </w:tcPr>
          <w:p>
            <w:r>
              <w:rPr>
                <w:sz w:val="20"/>
              </w:rPr>
              <w:t>5.1·10</w:t>
            </w:r>
            <w:r>
              <w:rPr>
                <w:sz w:val="20"/>
                <w:vertAlign w:val="superscript"/>
              </w:rPr>
              <w:t>20</w:t>
            </w:r>
          </w:p>
        </w:tc>
        <w:tc>
          <w:tcPr>
            <w:tcW w:type="dxa" w:w="987"/>
          </w:tcPr>
          <w:p>
            <w:r>
              <w:rPr>
                <w:sz w:val="20"/>
              </w:rPr>
              <w:t>2.7·10</w:t>
            </w:r>
            <w:r>
              <w:rPr>
                <w:sz w:val="20"/>
                <w:vertAlign w:val="superscript"/>
              </w:rPr>
              <w:t>12</w:t>
            </w:r>
          </w:p>
        </w:tc>
        <w:tc>
          <w:tcPr>
            <w:tcW w:type="dxa" w:w="987"/>
          </w:tcPr>
          <w:p>
            <w:r>
              <w:rPr>
                <w:sz w:val="20"/>
              </w:rPr>
              <w:t>4·10</w:t>
            </w:r>
            <w:r>
              <w:rPr>
                <w:sz w:val="20"/>
                <w:vertAlign w:val="superscript"/>
              </w:rPr>
              <w:t>14</w:t>
            </w:r>
          </w:p>
        </w:tc>
        <w:tc>
          <w:tcPr>
            <w:tcW w:type="dxa" w:w="988"/>
          </w:tcPr>
          <w:p>
            <w:r>
              <w:rPr>
                <w:sz w:val="20"/>
              </w:rPr>
              <w:t>3.7·10</w:t>
            </w:r>
            <w:r>
              <w:rPr>
                <w:sz w:val="20"/>
                <w:vertAlign w:val="superscript"/>
              </w:rPr>
              <w:t>2</w:t>
            </w:r>
          </w:p>
        </w:tc>
      </w:tr>
      <w:tr>
        <w:trPr>
          <w:cantSplit/>
        </w:trPr>
        <w:tc>
          <w:tcPr>
            <w:tcW w:type="dxa" w:w="1200"/>
          </w:tcPr>
          <w:p>
            <w:r>
              <w:rPr>
                <w:sz w:val="20"/>
              </w:rPr>
              <w:t>Michaelis–Menten</w:t>
            </w:r>
          </w:p>
        </w:tc>
        <w:tc>
          <w:tcPr>
            <w:tcW w:type="dxa" w:w="1250"/>
          </w:tcPr>
          <w:p>
            <w:r>
              <w:rPr>
                <w:sz w:val="20"/>
              </w:rPr>
              <w:t>total probability</w:t>
            </w:r>
          </w:p>
        </w:tc>
        <w:tc>
          <w:tcPr>
            <w:tcW w:type="dxa" w:w="987"/>
          </w:tcPr>
          <w:p>
            <w:r>
              <w:rPr>
                <w:sz w:val="20"/>
              </w:rPr>
              <w:t>4.4·10</w:t>
            </w:r>
            <w:r>
              <w:rPr>
                <w:sz w:val="20"/>
                <w:vertAlign w:val="superscript"/>
              </w:rPr>
              <w:t>16</w:t>
            </w:r>
          </w:p>
        </w:tc>
        <w:tc>
          <w:tcPr>
            <w:tcW w:type="dxa" w:w="987"/>
          </w:tcPr>
          <w:p>
            <w:r>
              <w:rPr>
                <w:sz w:val="20"/>
              </w:rPr>
              <w:t>7·10</w:t>
            </w:r>
            <w:r>
              <w:rPr>
                <w:sz w:val="20"/>
                <w:vertAlign w:val="superscript"/>
              </w:rPr>
              <w:t>14</w:t>
            </w:r>
          </w:p>
        </w:tc>
        <w:tc>
          <w:tcPr>
            <w:tcW w:type="dxa" w:w="987"/>
          </w:tcPr>
          <w:p>
            <w:r>
              <w:rPr>
                <w:sz w:val="20"/>
              </w:rPr>
              <w:t>2·10</w:t>
            </w:r>
            <w:r>
              <w:rPr>
                <w:sz w:val="20"/>
                <w:vertAlign w:val="superscript"/>
              </w:rPr>
              <w:t>15</w:t>
            </w:r>
          </w:p>
        </w:tc>
        <w:tc>
          <w:tcPr>
            <w:tcW w:type="dxa" w:w="987"/>
          </w:tcPr>
          <w:p>
            <w:r>
              <w:rPr>
                <w:sz w:val="20"/>
              </w:rPr>
              <w:t>1.1·10</w:t>
            </w:r>
            <w:r>
              <w:rPr>
                <w:sz w:val="20"/>
                <w:vertAlign w:val="superscript"/>
              </w:rPr>
              <w:t>67</w:t>
            </w:r>
          </w:p>
        </w:tc>
        <w:tc>
          <w:tcPr>
            <w:tcW w:type="dxa" w:w="987"/>
          </w:tcPr>
          <w:p>
            <w:r>
              <w:rPr>
                <w:sz w:val="20"/>
              </w:rPr>
              <w:t>8.8·10</w:t>
            </w:r>
            <w:r>
              <w:rPr>
                <w:sz w:val="20"/>
                <w:vertAlign w:val="superscript"/>
              </w:rPr>
              <w:t>9</w:t>
            </w:r>
          </w:p>
        </w:tc>
        <w:tc>
          <w:tcPr>
            <w:tcW w:type="dxa" w:w="987"/>
          </w:tcPr>
          <w:p>
            <w:r>
              <w:rPr>
                <w:sz w:val="20"/>
              </w:rPr>
              <w:t>1.4·10</w:t>
            </w:r>
            <w:r>
              <w:rPr>
                <w:sz w:val="20"/>
                <w:vertAlign w:val="superscript"/>
              </w:rPr>
              <w:t>9</w:t>
            </w:r>
          </w:p>
        </w:tc>
        <w:tc>
          <w:tcPr>
            <w:tcW w:type="dxa" w:w="988"/>
          </w:tcPr>
          <w:p>
            <w:r>
              <w:rPr>
                <w:sz w:val="20"/>
              </w:rPr>
              <w:t>7.9·10</w:t>
            </w:r>
            <w:r>
              <w:rPr>
                <w:sz w:val="20"/>
                <w:vertAlign w:val="superscript"/>
              </w:rPr>
              <w:t>4</w:t>
            </w:r>
          </w:p>
        </w:tc>
      </w:tr>
      <w:tr>
        <w:trPr>
          <w:cantSplit/>
        </w:trPr>
        <w:tc>
          <w:tcPr>
            <w:tcW w:type="dxa" w:w="1200"/>
          </w:tcPr>
          <w:p>
            <w:r>
              <w:rPr>
                <w:sz w:val="20"/>
              </w:rPr>
              <w:t>Michaelis–Menten</w:t>
            </w:r>
          </w:p>
        </w:tc>
        <w:tc>
          <w:tcPr>
            <w:tcW w:type="dxa" w:w="1250"/>
          </w:tcPr>
          <w:p>
            <w:r>
              <w:rPr>
                <w:sz w:val="20"/>
              </w:rPr>
              <w:t>tail probability</w:t>
            </w:r>
          </w:p>
        </w:tc>
        <w:tc>
          <w:tcPr>
            <w:tcW w:type="dxa" w:w="987"/>
          </w:tcPr>
          <w:p>
            <w:r>
              <w:rPr>
                <w:sz w:val="20"/>
              </w:rPr>
              <w:t>8.1·10</w:t>
            </w:r>
            <w:r>
              <w:rPr>
                <w:sz w:val="20"/>
                <w:vertAlign w:val="superscript"/>
              </w:rPr>
              <w:t>17</w:t>
            </w:r>
          </w:p>
        </w:tc>
        <w:tc>
          <w:tcPr>
            <w:tcW w:type="dxa" w:w="987"/>
          </w:tcPr>
          <w:p>
            <w:r>
              <w:rPr>
                <w:sz w:val="20"/>
              </w:rPr>
              <w:t>1.7·10</w:t>
            </w:r>
            <w:r>
              <w:rPr>
                <w:sz w:val="20"/>
                <w:vertAlign w:val="superscript"/>
              </w:rPr>
              <w:t>15</w:t>
            </w:r>
          </w:p>
        </w:tc>
        <w:tc>
          <w:tcPr>
            <w:tcW w:type="dxa" w:w="987"/>
          </w:tcPr>
          <w:p>
            <w:r>
              <w:rPr>
                <w:sz w:val="20"/>
              </w:rPr>
              <w:t>5.4·10</w:t>
            </w:r>
            <w:r>
              <w:rPr>
                <w:sz w:val="20"/>
                <w:vertAlign w:val="superscript"/>
              </w:rPr>
              <w:t>15</w:t>
            </w:r>
          </w:p>
        </w:tc>
        <w:tc>
          <w:tcPr>
            <w:tcW w:type="dxa" w:w="987"/>
          </w:tcPr>
          <w:p>
            <w:r>
              <w:rPr>
                <w:sz w:val="20"/>
              </w:rPr>
              <w:t>2.4·10</w:t>
            </w:r>
            <w:r>
              <w:rPr>
                <w:sz w:val="20"/>
                <w:vertAlign w:val="superscript"/>
              </w:rPr>
              <w:t>67</w:t>
            </w:r>
          </w:p>
        </w:tc>
        <w:tc>
          <w:tcPr>
            <w:tcW w:type="dxa" w:w="987"/>
          </w:tcPr>
          <w:p>
            <w:r>
              <w:rPr>
                <w:sz w:val="20"/>
              </w:rPr>
              <w:t>1.9·10</w:t>
            </w:r>
            <w:r>
              <w:rPr>
                <w:sz w:val="20"/>
                <w:vertAlign w:val="superscript"/>
              </w:rPr>
              <w:t>12</w:t>
            </w:r>
          </w:p>
        </w:tc>
        <w:tc>
          <w:tcPr>
            <w:tcW w:type="dxa" w:w="987"/>
          </w:tcPr>
          <w:p>
            <w:r>
              <w:rPr>
                <w:sz w:val="20"/>
              </w:rPr>
              <w:t>1.5·10</w:t>
            </w:r>
            <w:r>
              <w:rPr>
                <w:sz w:val="20"/>
                <w:vertAlign w:val="superscript"/>
              </w:rPr>
              <w:t>16</w:t>
            </w:r>
          </w:p>
        </w:tc>
        <w:tc>
          <w:tcPr>
            <w:tcW w:type="dxa" w:w="988"/>
          </w:tcPr>
          <w:p>
            <w:r>
              <w:rPr>
                <w:sz w:val="20"/>
              </w:rPr>
              <w:t>8.9·10</w:t>
            </w:r>
            <w:r>
              <w:rPr>
                <w:sz w:val="20"/>
                <w:vertAlign w:val="superscript"/>
              </w:rPr>
              <w:t>2</w:t>
            </w:r>
          </w:p>
        </w:tc>
      </w:tr>
      <w:tr>
        <w:trPr>
          <w:cantSplit/>
        </w:trPr>
        <w:tc>
          <w:tcPr>
            <w:tcW w:type="dxa" w:w="1200"/>
          </w:tcPr>
          <w:p>
            <w:r>
              <w:rPr>
                <w:sz w:val="20"/>
              </w:rPr>
              <w:t>self-repressor</w:t>
            </w:r>
          </w:p>
        </w:tc>
        <w:tc>
          <w:tcPr>
            <w:tcW w:type="dxa" w:w="1250"/>
          </w:tcPr>
          <w:p>
            <w:r>
              <w:rPr>
                <w:sz w:val="20"/>
              </w:rPr>
              <w:t>total probability</w:t>
            </w:r>
          </w:p>
        </w:tc>
        <w:tc>
          <w:tcPr>
            <w:tcW w:type="dxa" w:w="987"/>
          </w:tcPr>
          <w:p>
            <w:r>
              <w:rPr>
                <w:sz w:val="20"/>
              </w:rPr>
              <w:t>2·10</w:t>
            </w:r>
            <w:r>
              <w:rPr>
                <w:sz w:val="20"/>
                <w:vertAlign w:val="superscript"/>
              </w:rPr>
              <w:t>14</w:t>
            </w:r>
          </w:p>
        </w:tc>
        <w:tc>
          <w:tcPr>
            <w:tcW w:type="dxa" w:w="987"/>
          </w:tcPr>
          <w:p>
            <w:r>
              <w:rPr>
                <w:sz w:val="20"/>
              </w:rPr>
              <w:t>1.2·10</w:t>
            </w:r>
            <w:r>
              <w:rPr>
                <w:sz w:val="20"/>
                <w:vertAlign w:val="superscript"/>
              </w:rPr>
              <w:t>14</w:t>
            </w:r>
          </w:p>
        </w:tc>
        <w:tc>
          <w:tcPr>
            <w:tcW w:type="dxa" w:w="987"/>
          </w:tcPr>
          <w:p>
            <w:r>
              <w:rPr>
                <w:sz w:val="20"/>
              </w:rPr>
              <w:t>2.9·10</w:t>
            </w:r>
            <w:r>
              <w:rPr>
                <w:sz w:val="20"/>
                <w:vertAlign w:val="superscript"/>
              </w:rPr>
              <w:t>14</w:t>
            </w:r>
          </w:p>
        </w:tc>
        <w:tc>
          <w:tcPr>
            <w:tcW w:type="dxa" w:w="987"/>
          </w:tcPr>
          <w:p>
            <w:r>
              <w:rPr>
                <w:sz w:val="20"/>
              </w:rPr>
              <w:t>3.7·10</w:t>
            </w:r>
            <w:r>
              <w:rPr>
                <w:sz w:val="20"/>
                <w:vertAlign w:val="superscript"/>
              </w:rPr>
              <w:t>21</w:t>
            </w:r>
          </w:p>
        </w:tc>
        <w:tc>
          <w:tcPr>
            <w:tcW w:type="dxa" w:w="987"/>
          </w:tcPr>
          <w:p>
            <w:r>
              <w:rPr>
                <w:sz w:val="20"/>
              </w:rPr>
              <w:t>4.4·10</w:t>
            </w:r>
            <w:r>
              <w:rPr>
                <w:sz w:val="20"/>
                <w:vertAlign w:val="superscript"/>
              </w:rPr>
              <w:t>8</w:t>
            </w:r>
          </w:p>
        </w:tc>
        <w:tc>
          <w:tcPr>
            <w:tcW w:type="dxa" w:w="987"/>
          </w:tcPr>
          <w:p>
            <w:r>
              <w:rPr>
                <w:sz w:val="20"/>
              </w:rPr>
              <w:t>4.6·10</w:t>
            </w:r>
            <w:r>
              <w:rPr>
                <w:sz w:val="20"/>
                <w:vertAlign w:val="superscript"/>
              </w:rPr>
              <w:t>8</w:t>
            </w:r>
          </w:p>
        </w:tc>
        <w:tc>
          <w:tcPr>
            <w:tcW w:type="dxa" w:w="988"/>
          </w:tcPr>
          <w:p>
            <w:r>
              <w:rPr>
                <w:sz w:val="20"/>
              </w:rPr>
              <w:t>2.8·10</w:t>
            </w:r>
            <w:r>
              <w:rPr>
                <w:sz w:val="20"/>
                <w:vertAlign w:val="superscript"/>
              </w:rPr>
              <w:t>5</w:t>
            </w:r>
          </w:p>
        </w:tc>
      </w:tr>
      <w:tr>
        <w:trPr>
          <w:cantSplit/>
        </w:trPr>
        <w:tc>
          <w:tcPr>
            <w:tcW w:type="dxa" w:w="1200"/>
          </w:tcPr>
          <w:p>
            <w:r>
              <w:rPr>
                <w:sz w:val="20"/>
              </w:rPr>
              <w:t>self-repressor</w:t>
            </w:r>
          </w:p>
        </w:tc>
        <w:tc>
          <w:tcPr>
            <w:tcW w:type="dxa" w:w="1250"/>
          </w:tcPr>
          <w:p>
            <w:r>
              <w:rPr>
                <w:sz w:val="20"/>
              </w:rPr>
              <w:t>tail probability</w:t>
            </w:r>
          </w:p>
        </w:tc>
        <w:tc>
          <w:tcPr>
            <w:tcW w:type="dxa" w:w="987"/>
          </w:tcPr>
          <w:p>
            <w:r>
              <w:rPr>
                <w:sz w:val="20"/>
              </w:rPr>
              <w:t>1·10</w:t>
            </w:r>
            <w:r>
              <w:rPr>
                <w:sz w:val="20"/>
                <w:vertAlign w:val="superscript"/>
              </w:rPr>
              <w:t>16</w:t>
            </w:r>
          </w:p>
        </w:tc>
        <w:tc>
          <w:tcPr>
            <w:tcW w:type="dxa" w:w="987"/>
          </w:tcPr>
          <w:p>
            <w:r>
              <w:rPr>
                <w:sz w:val="20"/>
              </w:rPr>
              <w:t>4.6·10</w:t>
            </w:r>
            <w:r>
              <w:rPr>
                <w:sz w:val="20"/>
                <w:vertAlign w:val="superscript"/>
              </w:rPr>
              <w:t>14</w:t>
            </w:r>
          </w:p>
        </w:tc>
        <w:tc>
          <w:tcPr>
            <w:tcW w:type="dxa" w:w="987"/>
          </w:tcPr>
          <w:p>
            <w:r>
              <w:rPr>
                <w:sz w:val="20"/>
              </w:rPr>
              <w:t>1.2·10</w:t>
            </w:r>
            <w:r>
              <w:rPr>
                <w:sz w:val="20"/>
                <w:vertAlign w:val="superscript"/>
              </w:rPr>
              <w:t>15</w:t>
            </w:r>
          </w:p>
        </w:tc>
        <w:tc>
          <w:tcPr>
            <w:tcW w:type="dxa" w:w="987"/>
          </w:tcPr>
          <w:p>
            <w:r>
              <w:rPr>
                <w:sz w:val="20"/>
              </w:rPr>
              <w:t>1.2·10</w:t>
            </w:r>
            <w:r>
              <w:rPr>
                <w:sz w:val="20"/>
                <w:vertAlign w:val="superscript"/>
              </w:rPr>
              <w:t>22</w:t>
            </w:r>
          </w:p>
        </w:tc>
        <w:tc>
          <w:tcPr>
            <w:tcW w:type="dxa" w:w="987"/>
          </w:tcPr>
          <w:p>
            <w:r>
              <w:rPr>
                <w:sz w:val="20"/>
              </w:rPr>
              <w:t>1.1·10</w:t>
            </w:r>
            <w:r>
              <w:rPr>
                <w:sz w:val="20"/>
                <w:vertAlign w:val="superscript"/>
              </w:rPr>
              <w:t>11</w:t>
            </w:r>
          </w:p>
        </w:tc>
        <w:tc>
          <w:tcPr>
            <w:tcW w:type="dxa" w:w="987"/>
          </w:tcPr>
          <w:p>
            <w:r>
              <w:rPr>
                <w:sz w:val="20"/>
              </w:rPr>
              <w:t>1.4·10</w:t>
            </w:r>
            <w:r>
              <w:rPr>
                <w:sz w:val="20"/>
                <w:vertAlign w:val="superscript"/>
              </w:rPr>
              <w:t>15</w:t>
            </w:r>
          </w:p>
        </w:tc>
        <w:tc>
          <w:tcPr>
            <w:tcW w:type="dxa" w:w="988"/>
          </w:tcPr>
          <w:p>
            <w:r>
              <w:rPr>
                <w:sz w:val="20"/>
              </w:rPr>
              <w:t>4.2·10</w:t>
            </w:r>
            <w:r>
              <w:rPr>
                <w:sz w:val="20"/>
                <w:vertAlign w:val="superscript"/>
              </w:rPr>
              <w:t>3</w:t>
            </w:r>
          </w:p>
        </w:tc>
      </w:tr>
      <w:tr>
        <w:trPr>
          <w:cantSplit/>
        </w:trPr>
        <w:tc>
          <w:tcPr>
            <w:tcW w:type="dxa" w:w="1200"/>
          </w:tcPr>
          <w:p>
            <w:r>
              <w:rPr>
                <w:sz w:val="20"/>
              </w:rPr>
              <w:t>cascade d = 2</w:t>
            </w:r>
          </w:p>
        </w:tc>
        <w:tc>
          <w:tcPr>
            <w:tcW w:type="dxa" w:w="1250"/>
          </w:tcPr>
          <w:p>
            <w:r>
              <w:rPr>
                <w:sz w:val="20"/>
              </w:rPr>
              <w:t>total probability</w:t>
            </w:r>
          </w:p>
        </w:tc>
        <w:tc>
          <w:tcPr>
            <w:tcW w:type="dxa" w:w="987"/>
          </w:tcPr>
          <w:p>
            <w:r>
              <w:rPr>
                <w:sz w:val="20"/>
              </w:rPr>
              <w:t>3.1·10</w:t>
            </w:r>
            <w:r>
              <w:rPr>
                <w:sz w:val="20"/>
                <w:vertAlign w:val="superscript"/>
              </w:rPr>
              <w:t>13</w:t>
            </w:r>
          </w:p>
        </w:tc>
        <w:tc>
          <w:tcPr>
            <w:tcW w:type="dxa" w:w="987"/>
          </w:tcPr>
          <w:p>
            <w:r>
              <w:rPr>
                <w:sz w:val="20"/>
              </w:rPr>
              <w:t>7.2·10</w:t>
            </w:r>
            <w:r>
              <w:rPr>
                <w:sz w:val="20"/>
                <w:vertAlign w:val="superscript"/>
              </w:rPr>
              <w:t>12</w:t>
            </w:r>
          </w:p>
        </w:tc>
        <w:tc>
          <w:tcPr>
            <w:tcW w:type="dxa" w:w="987"/>
          </w:tcPr>
          <w:p>
            <w:r>
              <w:rPr>
                <w:sz w:val="20"/>
              </w:rPr>
              <w:t>3.1·10</w:t>
            </w:r>
            <w:r>
              <w:rPr>
                <w:sz w:val="20"/>
                <w:vertAlign w:val="superscript"/>
              </w:rPr>
              <w:t>13</w:t>
            </w:r>
          </w:p>
        </w:tc>
        <w:tc>
          <w:tcPr>
            <w:tcW w:type="dxa" w:w="987"/>
          </w:tcPr>
          <w:p>
            <w:r>
              <w:rPr>
                <w:sz w:val="20"/>
              </w:rPr>
              <w:t>1.8·10</w:t>
            </w:r>
            <w:r>
              <w:rPr>
                <w:sz w:val="20"/>
                <w:vertAlign w:val="superscript"/>
              </w:rPr>
              <w:t>17</w:t>
            </w:r>
          </w:p>
        </w:tc>
        <w:tc>
          <w:tcPr>
            <w:tcW w:type="dxa" w:w="987"/>
          </w:tcPr>
          <w:p>
            <w:r>
              <w:rPr>
                <w:sz w:val="20"/>
              </w:rPr>
              <w:t>3.7·10</w:t>
            </w:r>
            <w:r>
              <w:rPr>
                <w:sz w:val="20"/>
                <w:vertAlign w:val="superscript"/>
              </w:rPr>
              <w:t>7</w:t>
            </w:r>
          </w:p>
        </w:tc>
        <w:tc>
          <w:tcPr>
            <w:tcW w:type="dxa" w:w="987"/>
          </w:tcPr>
          <w:p>
            <w:r>
              <w:rPr>
                <w:sz w:val="20"/>
              </w:rPr>
              <w:t>3·10</w:t>
            </w:r>
            <w:r>
              <w:rPr>
                <w:sz w:val="20"/>
                <w:vertAlign w:val="superscript"/>
              </w:rPr>
              <w:t>7</w:t>
            </w:r>
          </w:p>
        </w:tc>
        <w:tc>
          <w:tcPr>
            <w:tcW w:type="dxa" w:w="988"/>
          </w:tcPr>
          <w:p>
            <w:r>
              <w:rPr>
                <w:sz w:val="20"/>
              </w:rPr>
              <w:t>1.9·10</w:t>
            </w:r>
            <w:r>
              <w:rPr>
                <w:sz w:val="20"/>
                <w:vertAlign w:val="superscript"/>
              </w:rPr>
              <w:t>5</w:t>
            </w:r>
          </w:p>
        </w:tc>
      </w:tr>
      <w:tr>
        <w:trPr>
          <w:cantSplit/>
        </w:trPr>
        <w:tc>
          <w:tcPr>
            <w:tcW w:type="dxa" w:w="1200"/>
          </w:tcPr>
          <w:p>
            <w:r>
              <w:rPr>
                <w:sz w:val="20"/>
              </w:rPr>
              <w:t>cascade d = 2</w:t>
            </w:r>
          </w:p>
        </w:tc>
        <w:tc>
          <w:tcPr>
            <w:tcW w:type="dxa" w:w="1250"/>
          </w:tcPr>
          <w:p>
            <w:r>
              <w:rPr>
                <w:sz w:val="20"/>
              </w:rPr>
              <w:t>tail probability</w:t>
            </w:r>
          </w:p>
        </w:tc>
        <w:tc>
          <w:tcPr>
            <w:tcW w:type="dxa" w:w="987"/>
          </w:tcPr>
          <w:p>
            <w:r>
              <w:rPr>
                <w:sz w:val="20"/>
              </w:rPr>
              <w:t>2.2·10</w:t>
            </w:r>
            <w:r>
              <w:rPr>
                <w:sz w:val="20"/>
                <w:vertAlign w:val="superscript"/>
              </w:rPr>
              <w:t>15</w:t>
            </w:r>
          </w:p>
        </w:tc>
        <w:tc>
          <w:tcPr>
            <w:tcW w:type="dxa" w:w="987"/>
          </w:tcPr>
          <w:p>
            <w:r>
              <w:rPr>
                <w:sz w:val="20"/>
              </w:rPr>
              <w:t>3.1·10</w:t>
            </w:r>
            <w:r>
              <w:rPr>
                <w:sz w:val="20"/>
                <w:vertAlign w:val="superscript"/>
              </w:rPr>
              <w:t>13</w:t>
            </w:r>
          </w:p>
        </w:tc>
        <w:tc>
          <w:tcPr>
            <w:tcW w:type="dxa" w:w="987"/>
          </w:tcPr>
          <w:p>
            <w:r>
              <w:rPr>
                <w:sz w:val="20"/>
              </w:rPr>
              <w:t>1.5·10</w:t>
            </w:r>
            <w:r>
              <w:rPr>
                <w:sz w:val="20"/>
                <w:vertAlign w:val="superscript"/>
              </w:rPr>
              <w:t>14</w:t>
            </w:r>
          </w:p>
        </w:tc>
        <w:tc>
          <w:tcPr>
            <w:tcW w:type="dxa" w:w="987"/>
          </w:tcPr>
          <w:p>
            <w:r>
              <w:rPr>
                <w:sz w:val="20"/>
              </w:rPr>
              <w:t>7.5·10</w:t>
            </w:r>
            <w:r>
              <w:rPr>
                <w:sz w:val="20"/>
                <w:vertAlign w:val="superscript"/>
              </w:rPr>
              <w:t>17</w:t>
            </w:r>
          </w:p>
        </w:tc>
        <w:tc>
          <w:tcPr>
            <w:tcW w:type="dxa" w:w="987"/>
          </w:tcPr>
          <w:p>
            <w:r>
              <w:rPr>
                <w:sz w:val="20"/>
              </w:rPr>
              <w:t>9.2·10</w:t>
            </w:r>
            <w:r>
              <w:rPr>
                <w:sz w:val="20"/>
                <w:vertAlign w:val="superscript"/>
              </w:rPr>
              <w:t>9</w:t>
            </w:r>
          </w:p>
        </w:tc>
        <w:tc>
          <w:tcPr>
            <w:tcW w:type="dxa" w:w="987"/>
          </w:tcPr>
          <w:p>
            <w:r>
              <w:rPr>
                <w:sz w:val="20"/>
              </w:rPr>
              <w:t>2.1·10</w:t>
            </w:r>
            <w:r>
              <w:rPr>
                <w:sz w:val="20"/>
                <w:vertAlign w:val="superscript"/>
              </w:rPr>
              <w:t>13</w:t>
            </w:r>
          </w:p>
        </w:tc>
        <w:tc>
          <w:tcPr>
            <w:tcW w:type="dxa" w:w="988"/>
          </w:tcPr>
          <w:p>
            <w:r>
              <w:rPr>
                <w:sz w:val="20"/>
              </w:rPr>
              <w:t>3.3·10</w:t>
            </w:r>
            <w:r>
              <w:rPr>
                <w:sz w:val="20"/>
                <w:vertAlign w:val="superscript"/>
              </w:rPr>
              <w:t>3</w:t>
            </w:r>
          </w:p>
        </w:tc>
      </w:tr>
      <w:tr>
        <w:trPr>
          <w:cantSplit/>
        </w:trPr>
        <w:tc>
          <w:tcPr>
            <w:tcW w:type="dxa" w:w="1200"/>
          </w:tcPr>
          <w:p>
            <w:r>
              <w:rPr>
                <w:sz w:val="20"/>
              </w:rPr>
              <w:t>cascade d = 3</w:t>
            </w:r>
          </w:p>
        </w:tc>
        <w:tc>
          <w:tcPr>
            <w:tcW w:type="dxa" w:w="1250"/>
          </w:tcPr>
          <w:p>
            <w:r>
              <w:rPr>
                <w:sz w:val="20"/>
              </w:rPr>
              <w:t>total probability</w:t>
            </w:r>
          </w:p>
        </w:tc>
        <w:tc>
          <w:tcPr>
            <w:tcW w:type="dxa" w:w="987"/>
          </w:tcPr>
          <w:p>
            <w:r>
              <w:rPr>
                <w:sz w:val="20"/>
              </w:rPr>
              <w:t>2.9·10</w:t>
            </w:r>
            <w:r>
              <w:rPr>
                <w:sz w:val="20"/>
                <w:vertAlign w:val="superscript"/>
              </w:rPr>
              <w:t>14</w:t>
            </w:r>
          </w:p>
        </w:tc>
        <w:tc>
          <w:tcPr>
            <w:tcW w:type="dxa" w:w="987"/>
          </w:tcPr>
          <w:p>
            <w:r>
              <w:rPr>
                <w:sz w:val="20"/>
              </w:rPr>
              <w:t>2.2·10</w:t>
            </w:r>
            <w:r>
              <w:rPr>
                <w:sz w:val="20"/>
                <w:vertAlign w:val="superscript"/>
              </w:rPr>
              <w:t>13</w:t>
            </w:r>
          </w:p>
        </w:tc>
        <w:tc>
          <w:tcPr>
            <w:tcW w:type="dxa" w:w="987"/>
          </w:tcPr>
          <w:p>
            <w:r>
              <w:rPr>
                <w:sz w:val="20"/>
              </w:rPr>
              <w:t>7.2·10</w:t>
            </w:r>
            <w:r>
              <w:rPr>
                <w:sz w:val="20"/>
                <w:vertAlign w:val="superscript"/>
              </w:rPr>
              <w:t>13</w:t>
            </w:r>
          </w:p>
        </w:tc>
        <w:tc>
          <w:tcPr>
            <w:tcW w:type="dxa" w:w="987"/>
          </w:tcPr>
          <w:p>
            <w:r>
              <w:rPr>
                <w:sz w:val="20"/>
              </w:rPr>
              <w:t>3.7·10</w:t>
            </w:r>
            <w:r>
              <w:rPr>
                <w:sz w:val="20"/>
                <w:vertAlign w:val="superscript"/>
              </w:rPr>
              <w:t>18</w:t>
            </w:r>
          </w:p>
        </w:tc>
        <w:tc>
          <w:tcPr>
            <w:tcW w:type="dxa" w:w="987"/>
          </w:tcPr>
          <w:p>
            <w:r>
              <w:rPr>
                <w:sz w:val="20"/>
              </w:rPr>
              <w:t>7.1·10</w:t>
            </w:r>
            <w:r>
              <w:rPr>
                <w:sz w:val="20"/>
                <w:vertAlign w:val="superscript"/>
              </w:rPr>
              <w:t>7</w:t>
            </w:r>
          </w:p>
        </w:tc>
        <w:tc>
          <w:tcPr>
            <w:tcW w:type="dxa" w:w="987"/>
          </w:tcPr>
          <w:p>
            <w:r>
              <w:rPr>
                <w:sz w:val="20"/>
              </w:rPr>
              <w:t>4.5·10</w:t>
            </w:r>
            <w:r>
              <w:rPr>
                <w:sz w:val="20"/>
                <w:vertAlign w:val="superscript"/>
              </w:rPr>
              <w:t>7</w:t>
            </w:r>
          </w:p>
        </w:tc>
        <w:tc>
          <w:tcPr>
            <w:tcW w:type="dxa" w:w="988"/>
          </w:tcPr>
          <w:p>
            <w:r>
              <w:rPr>
                <w:sz w:val="20"/>
              </w:rPr>
              <w:t>3.1·10</w:t>
            </w:r>
            <w:r>
              <w:rPr>
                <w:sz w:val="20"/>
                <w:vertAlign w:val="superscript"/>
              </w:rPr>
              <w:t>5</w:t>
            </w:r>
          </w:p>
        </w:tc>
      </w:tr>
      <w:tr>
        <w:trPr>
          <w:cantSplit/>
        </w:trPr>
        <w:tc>
          <w:tcPr>
            <w:tcW w:type="dxa" w:w="1200"/>
          </w:tcPr>
          <w:p>
            <w:r>
              <w:rPr>
                <w:sz w:val="20"/>
              </w:rPr>
              <w:t>cascade d = 3</w:t>
            </w:r>
          </w:p>
        </w:tc>
        <w:tc>
          <w:tcPr>
            <w:tcW w:type="dxa" w:w="1250"/>
          </w:tcPr>
          <w:p>
            <w:r>
              <w:rPr>
                <w:sz w:val="20"/>
              </w:rPr>
              <w:t>tail probability</w:t>
            </w:r>
          </w:p>
        </w:tc>
        <w:tc>
          <w:tcPr>
            <w:tcW w:type="dxa" w:w="987"/>
          </w:tcPr>
          <w:p>
            <w:r>
              <w:rPr>
                <w:sz w:val="20"/>
              </w:rPr>
              <w:t>1·10</w:t>
            </w:r>
            <w:r>
              <w:rPr>
                <w:sz w:val="20"/>
                <w:vertAlign w:val="superscript"/>
              </w:rPr>
              <w:t>16</w:t>
            </w:r>
          </w:p>
        </w:tc>
        <w:tc>
          <w:tcPr>
            <w:tcW w:type="dxa" w:w="987"/>
          </w:tcPr>
          <w:p>
            <w:r>
              <w:rPr>
                <w:sz w:val="20"/>
              </w:rPr>
              <w:t>6.7·10</w:t>
            </w:r>
            <w:r>
              <w:rPr>
                <w:sz w:val="20"/>
                <w:vertAlign w:val="superscript"/>
              </w:rPr>
              <w:t>13</w:t>
            </w:r>
          </w:p>
        </w:tc>
        <w:tc>
          <w:tcPr>
            <w:tcW w:type="dxa" w:w="987"/>
          </w:tcPr>
          <w:p>
            <w:r>
              <w:rPr>
                <w:sz w:val="20"/>
              </w:rPr>
              <w:t>2.4·10</w:t>
            </w:r>
            <w:r>
              <w:rPr>
                <w:sz w:val="20"/>
                <w:vertAlign w:val="superscript"/>
              </w:rPr>
              <w:t>14</w:t>
            </w:r>
          </w:p>
        </w:tc>
        <w:tc>
          <w:tcPr>
            <w:tcW w:type="dxa" w:w="987"/>
          </w:tcPr>
          <w:p>
            <w:r>
              <w:rPr>
                <w:sz w:val="20"/>
              </w:rPr>
              <w:t>1.2·10</w:t>
            </w:r>
            <w:r>
              <w:rPr>
                <w:sz w:val="20"/>
                <w:vertAlign w:val="superscript"/>
              </w:rPr>
              <w:t>19</w:t>
            </w:r>
          </w:p>
        </w:tc>
        <w:tc>
          <w:tcPr>
            <w:tcW w:type="dxa" w:w="987"/>
          </w:tcPr>
          <w:p>
            <w:r>
              <w:rPr>
                <w:sz w:val="20"/>
              </w:rPr>
              <w:t>1.2·10</w:t>
            </w:r>
            <w:r>
              <w:rPr>
                <w:sz w:val="20"/>
                <w:vertAlign w:val="superscript"/>
              </w:rPr>
              <w:t>10</w:t>
            </w:r>
          </w:p>
        </w:tc>
        <w:tc>
          <w:tcPr>
            <w:tcW w:type="dxa" w:w="987"/>
          </w:tcPr>
          <w:p>
            <w:r>
              <w:rPr>
                <w:sz w:val="20"/>
              </w:rPr>
              <w:t>1.5·10</w:t>
            </w:r>
            <w:r>
              <w:rPr>
                <w:sz w:val="20"/>
                <w:vertAlign w:val="superscript"/>
              </w:rPr>
              <w:t>13</w:t>
            </w:r>
          </w:p>
        </w:tc>
        <w:tc>
          <w:tcPr>
            <w:tcW w:type="dxa" w:w="988"/>
          </w:tcPr>
          <w:p>
            <w:r>
              <w:rPr>
                <w:sz w:val="20"/>
              </w:rPr>
              <w:t>5.6·10</w:t>
            </w:r>
            <w:r>
              <w:rPr>
                <w:sz w:val="20"/>
                <w:vertAlign w:val="superscript"/>
              </w:rPr>
              <w:t>3</w:t>
            </w:r>
          </w:p>
        </w:tc>
      </w:tr>
    </w:tbl>
    <w:p>
      <w:pPr/>
    </w:p>
    <w:p>
      <w:pPr>
        <w:pStyle w:val="Heading1"/>
        <w:spacing w:after="120" w:line="360" w:lineRule="auto"/>
      </w:pPr>
      <w:r>
        <w:rPr>
          <w:rFonts w:ascii="Times New Roman" w:hAnsi="Times New Roman"/>
        </w:rPr>
        <w:t>S6. Code and data</w:t>
      </w:r>
    </w:p>
    <w:p>
      <w:pPr>
        <w:spacing w:after="200" w:line="360" w:lineRule="auto"/>
        <w:jc w:val="both"/>
      </w:pPr>
      <w:r>
        <w:t>The code is organized by task. The package qcme contains the models, the finite state projection solver, the references, the certificates, the quantum circuits and the resource counts. The analysis scripts use the package in five parts. The readout part computes the readout factors of Figure 1 and Table 1 and the swap-test example of Table S4. The certificates part evaluates every reference on the toggle switch and the exact-reference certificate. The published-models part does the same on the published instances and splits the looseness of Table S5. The costs part produces the resource counts of Figure 3 and Table S6 and the Qualtran cross-check. The literature part produces Tables 2, S1 and S2 from the coded literature.</w:t>
      </w:r>
    </w:p>
    <w:p>
      <w:pPr>
        <w:spacing w:after="200" w:line="360" w:lineRule="auto"/>
        <w:jc w:val="both"/>
      </w:pPr>
      <w:r>
        <w:t>A single script runs these parts in order, regenerates every figure and table, and checks every number quoted in the main text and in this document against the stored results. Its quick mode recomputes the faster calculations from scratch and compares them with the stored results. A test suite checks the identities of Sections S2 and S4 numerically on small models. The repository README lists the commands and the expected running times.</w:t>
      </w:r>
    </w:p>
    <w:p>
      <w:pPr>
        <w:pStyle w:val="Heading1"/>
        <w:spacing w:after="120" w:line="360" w:lineRule="auto"/>
      </w:pPr>
      <w:r>
        <w:rPr>
          <w:rFonts w:ascii="Times New Roman" w:hAnsi="Times New Roman"/>
        </w:rPr>
        <w:t>References</w:t>
      </w:r>
    </w:p>
    <w:p>
      <w:pPr>
        <w:spacing w:after="200" w:line="360" w:lineRule="auto"/>
      </w:pPr>
      <w:r>
        <w:t>[1] Nayak, A. &amp; Wu, F. The quantum query complexity of approximating the median and related statistics. Proceedings of the thirty-first annual ACM symposium on Theory of Computing, 384–393 (1999).</w:t>
      </w:r>
    </w:p>
    <w:p>
      <w:pPr>
        <w:spacing w:after="200" w:line="360" w:lineRule="auto"/>
      </w:pPr>
      <w:r>
        <w:t>[2] Brassard, G., Høyer, P., Mosca, M. &amp; Tapp, A. Quantum amplitude amplification and estimation. Contemporary Mathematics 305, 53–74 (2002).</w:t>
      </w:r>
    </w:p>
    <w:p>
      <w:pPr>
        <w:spacing w:after="200" w:line="360" w:lineRule="auto"/>
      </w:pPr>
      <w:r>
        <w:t>[3] An, D., Liu, J. P., Wang, D. &amp; Zhao, Q. Quantum Differential Equation Solvers: Limitations and Fast-Forwarding. Communications in Mathematical Physics 406, 189 (2025).</w:t>
      </w:r>
    </w:p>
    <w:p>
      <w:pPr>
        <w:spacing w:after="200" w:line="360" w:lineRule="auto"/>
      </w:pPr>
      <w:r>
        <w:t>[4] Gupta, A., Mikelson, J. &amp; Khammash, M. A finite state projection algorithm for the stationary solution of the chemical master equation. The Journal of Chemical Physics 147, 154101 (2017).</w:t>
      </w:r>
    </w:p>
    <w:p>
      <w:pPr>
        <w:spacing w:after="200" w:line="360" w:lineRule="auto"/>
      </w:pPr>
      <w:r>
        <w:t>[5] Guseynov, N., Sanz, M., Rodríguez-Rozas, Á., Liu, N. &amp; Gonzalez-Conde, J. Quantum Algorithm for Local-Volatility Option Pricing via the Kolmogorov Equation. Preprint at https://arxiv.org/abs/2511.04942 (2025).</w:t>
      </w:r>
    </w:p>
    <w:p>
      <w:pPr>
        <w:spacing w:after="200" w:line="360" w:lineRule="auto"/>
      </w:pPr>
      <w:r>
        <w:t>[6] Yau, H. T. Relative entropy and hydrodynamics of Ginzburg-Landau models. Letters in Mathematical Physics 22, 63–80 (1991).</w:t>
      </w:r>
    </w:p>
    <w:p>
      <w:pPr>
        <w:spacing w:after="200" w:line="360" w:lineRule="auto"/>
      </w:pPr>
      <w:r>
        <w:t>[7] Kipnis, C. &amp; Landim, C. Scaling Limits of Interacting Particle Systems (Springer Berlin Heidelberg, 1999).</w:t>
      </w:r>
    </w:p>
    <w:p>
      <w:pPr>
        <w:spacing w:after="200" w:line="360" w:lineRule="auto"/>
      </w:pPr>
      <w:r>
        <w:t>[8] Fill, J. A. Eigenvalue Bounds on Convergence to Stationarity for Nonreversible Markov Chains, with an Application to the Exclusion Process. The Annals of Applied Probability 1 (1991).</w:t>
      </w:r>
    </w:p>
    <w:p>
      <w:pPr>
        <w:spacing w:after="200" w:line="360" w:lineRule="auto"/>
      </w:pPr>
      <w:r>
        <w:t>[9] Branicky, M. Multiple Lyapunov functions and other analysis tools for switched and hybrid systems. IEEE Transactions on Automatic Control 43, 475–482 (1998).</w:t>
      </w:r>
    </w:p>
    <w:p>
      <w:pPr>
        <w:spacing w:after="200" w:line="360" w:lineRule="auto"/>
      </w:pPr>
      <w:r>
        <w:t>[10] Hespanha, J. &amp; Morse, A. Stability of switched systems with average dwell-time. Proceedings of the 38th IEEE Conference on Decision and Control (Cat. No.99CH36304) 3, 2655–2660 (1999).</w:t>
      </w:r>
    </w:p>
    <w:p>
      <w:pPr>
        <w:spacing w:after="200" w:line="360" w:lineRule="auto"/>
      </w:pPr>
      <w:r>
        <w:t>[11] Söderlind, G. The logarithmic norm. History and modern theory. BIT Numerical Mathematics 46, 631–652 (2006).</w:t>
      </w:r>
    </w:p>
    <w:p>
      <w:pPr>
        <w:spacing w:after="200" w:line="360" w:lineRule="auto"/>
      </w:pPr>
      <w:r>
        <w:t>[12] Trefethen, L. N. &amp; Embree, M. Spectra and Pseudospectra (Princeton University Press, 2005).</w:t>
      </w:r>
    </w:p>
    <w:p>
      <w:pPr>
        <w:spacing w:after="200" w:line="360" w:lineRule="auto"/>
      </w:pPr>
      <w:r>
        <w:t>[13] An, D., Liu, J. P. &amp; Lin, L. Linear Combination of Hamiltonian Simulation for Nonunitary Dynamics with Optimal State Preparation Cost. Physical Review Letters 131, 150603 (2023).</w:t>
      </w:r>
    </w:p>
    <w:p>
      <w:pPr>
        <w:spacing w:after="200" w:line="360" w:lineRule="auto"/>
      </w:pPr>
      <w:r>
        <w:t>[14] Low, G. H. &amp; Somma, R. D. Optimal quantum simulation of linear non-unitary dynamics. Preprint at https://arxiv.org/abs/2508.19238 (2025).</w:t>
      </w:r>
    </w:p>
    <w:p>
      <w:pPr>
        <w:spacing w:after="200" w:line="360" w:lineRule="auto"/>
      </w:pPr>
      <w:r>
        <w:t>[15] Montanaro, A. Quantum speedup of Monte Carlo methods. Proceedings of the Royal Society A: Mathematical, Physical and Engineering Sciences 471, 20150301 (2015).</w:t>
      </w:r>
    </w:p>
    <w:p>
      <w:pPr>
        <w:spacing w:after="200" w:line="360" w:lineRule="auto"/>
      </w:pPr>
      <w:r>
        <w:t>[16] Ding, Z., Li, X. &amp; Lin, L. Simulating Open Quantum Systems Using Hamiltonian Simulations. PRX Quantum 5, 020332 (2024).</w:t>
      </w:r>
    </w:p>
    <w:p>
      <w:pPr>
        <w:spacing w:after="200" w:line="360" w:lineRule="auto"/>
      </w:pPr>
      <w:r>
        <w:t>[17] Harrigan, M. P. et al. Expressing and Analyzing Quantum Algorithms with Qualtran. Preprint at https://arxiv.org/abs/2409.04643 (2024).</w:t>
      </w:r>
    </w:p>
    <w:p>
      <w:pPr>
        <w:spacing w:after="200" w:line="360" w:lineRule="auto"/>
      </w:pPr>
      <w:r>
        <w:t>[18] Kabengele, T., Lokare, Y. M., Marston, J. B. &amp; Rubenstein, B. M. Modeling stochastic chemical kinetics on quantum computers. The Journal of Chemical Physics 164, 194117 (2026).</w:t>
      </w:r>
    </w:p>
    <w:p>
      <w:pPr>
        <w:spacing w:after="200" w:line="360" w:lineRule="auto"/>
      </w:pPr>
      <w:r>
        <w:t>[19] Yao, L. H. Digital quantum simulation of reaction–diffusion systems on lattice. The European Physical Journal B 98, 81 (2025).</w:t>
      </w:r>
    </w:p>
    <w:p>
      <w:pPr>
        <w:spacing w:after="200" w:line="360" w:lineRule="auto"/>
      </w:pPr>
      <w:r>
        <w:t>[20] Jin, S., Liu, N. &amp; Yu, Y. Quantum Simulation of the Fokker-Planck Equation via Schrödingerization. Communications in Computational Physics 39, 969–1001 (2026).</w:t>
      </w:r>
    </w:p>
    <w:p>
      <w:pPr>
        <w:spacing w:after="200" w:line="360" w:lineRule="auto"/>
      </w:pPr>
      <w:r>
        <w:t>[21] Tennie, F. &amp; Magri, L. Integration of the Fokker–Planck equation on quantum computers: a new path to modelling nonlinear dynamics. Proceedings of the Royal Society A: Mathematical, Physical and Engineering Sciences 481, 20250016 (2025).</w:t>
      </w:r>
    </w:p>
    <w:p>
      <w:pPr>
        <w:spacing w:after="200" w:line="360" w:lineRule="auto"/>
      </w:pPr>
      <w:r>
        <w:t>[22] Claudon, B., Piquemal, J. P. &amp; Monmarché, P. Quantum speedup for nonreversible Markov chains. Nature Communications 16, 10732 (2025).</w:t>
      </w:r>
    </w:p>
    <w:p>
      <w:pPr>
        <w:spacing w:after="200" w:line="360" w:lineRule="auto"/>
      </w:pPr>
      <w:r>
        <w:t>[23] Kharazi, T., Alkadri, A. M., Mandadapu, K. K. &amp; Whaley, K. B. Provable Quantum Speedups for Reaction-Rate Estimation in High-Dimensional Fokker-Planck Dynamics. PRX Quantum https://doi.org/10.1103/r888-s8t3 (2026).</w:t>
      </w:r>
    </w:p>
    <w:p>
      <w:pPr>
        <w:spacing w:after="200" w:line="360" w:lineRule="auto"/>
      </w:pPr>
      <w:r>
        <w:t>[24] Gnanasekaran, A., Surana, A. &amp; Sahai, T. Efficient Quantum Algorithms for Nonlinear Stochastic Dynamical Systems. 2023 IEEE International Conference on Quantum Computing and Engineering (QCE), 66–75 (2023).</w:t>
      </w:r>
    </w:p>
    <w:p>
      <w:pPr>
        <w:spacing w:after="200" w:line="360" w:lineRule="auto"/>
      </w:pPr>
      <w:r>
        <w:t>[25] Leng, J., Ding, Z., Chen, Z. &amp; Lin, L. Operator-level quantum acceleration of non-logconcave sampling. Proceedings of the National Academy of Sciences 123, e2512789123 (2026).</w:t>
      </w:r>
    </w:p>
    <w:p>
      <w:pPr>
        <w:spacing w:after="200" w:line="360" w:lineRule="auto"/>
      </w:pPr>
      <w:r>
        <w:t>[26] Zhang, J., Yang, Z., Meng, Z., Lu, Z. &amp; Yang, Y. Quantum computing of nonlinear reacting flows via the probability density function method. Proceedings of the Combustion Institute 42, 106601 (2026).</w:t>
      </w:r>
    </w:p>
    <w:p>
      <w:pPr>
        <w:spacing w:after="200" w:line="360" w:lineRule="auto"/>
      </w:pPr>
      <w:r>
        <w:t>[27] Gopalakrishnan Meena, M. et al. Exploring the use of quantum computing for facilitating spatially and temporally resolved models of a biological cell. Preprint at https://arxiv.org/abs/2607.27571 (2026).</w:t>
      </w:r>
    </w:p>
    <w:p>
      <w:pPr>
        <w:spacing w:after="200" w:line="360" w:lineRule="auto"/>
      </w:pPr>
      <w:r>
        <w:t>[28] Devereux, E. &amp; Datta, A. Quantum algorithms for solving a drift-diffusion equation: analysing circuit depths. Preprint at https://arxiv.org/abs/2509.21509 (2025).</w:t>
      </w:r>
    </w:p>
    <w:p>
      <w:pPr>
        <w:spacing w:after="200" w:line="360" w:lineRule="auto"/>
      </w:pPr>
      <w:r>
        <w:t>[29] Govaers, F. Quantum Prediction of Transport Dynamics in Discretized State Spaces. Preprint at https://arxiv.org/abs/2604.24161 (2026).</w:t>
      </w:r>
    </w:p>
    <w:p>
      <w:pPr>
        <w:spacing w:after="200" w:line="360" w:lineRule="auto"/>
      </w:pPr>
      <w:r>
        <w:t>[30] Hariharan, S., Schoutens, K., Kinge, S. &amp; Visscher, L. Quantum Multiscale Modeling: A Hierarchy of Algorithms for Complex Chemical Systems. Preprint at https://arxiv.org/abs/2607.11217 (2026).</w:t>
      </w:r>
    </w:p>
    <w:p>
      <w:pPr>
        <w:spacing w:after="200" w:line="360" w:lineRule="auto"/>
      </w:pPr>
      <w:r>
        <w:t>[31] Kuntz, J., Thomas, P., Stan, G. B. &amp; Barahona, M. Bounding the stationary distributions of the chemical master equation via mathematical programming. The Journal of Chemical Physics 151, 034109 (2019).</w:t>
      </w:r>
    </w:p>
    <w:p>
      <w:pPr>
        <w:spacing w:after="200" w:line="360" w:lineRule="auto"/>
      </w:pPr>
      <w:r>
        <w:t>[32] Jahnke, T. &amp; Huisinga, W. A Dynamical Low-Rank Approach to the Chemical Master Equation. Bulletin of Mathematical Biology 70, 2283–2302 (2008).</w:t>
      </w:r>
    </w:p>
    <w:p>
      <w:pPr>
        <w:spacing w:after="200" w:line="360" w:lineRule="auto"/>
      </w:pPr>
      <w:r>
        <w:t>[33] Tang, Y., Weng, J. &amp; Zhang, P. Neural-network solutions to stochastic reaction networks. Nature Machine Intelligence 5, 376–385 (2023).</w:t>
      </w:r>
    </w:p>
    <w:sectPr w:rsidR="00AA3F55" w:rsidRPr="00AA3F5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961734">
    <w:abstractNumId w:val="8"/>
  </w:num>
  <w:num w:numId="2" w16cid:durableId="492258546">
    <w:abstractNumId w:val="6"/>
  </w:num>
  <w:num w:numId="3" w16cid:durableId="920869858">
    <w:abstractNumId w:val="5"/>
  </w:num>
  <w:num w:numId="4" w16cid:durableId="2014527867">
    <w:abstractNumId w:val="4"/>
  </w:num>
  <w:num w:numId="5" w16cid:durableId="2060787481">
    <w:abstractNumId w:val="7"/>
  </w:num>
  <w:num w:numId="6" w16cid:durableId="1990211623">
    <w:abstractNumId w:val="3"/>
  </w:num>
  <w:num w:numId="7" w16cid:durableId="861091623">
    <w:abstractNumId w:val="2"/>
  </w:num>
  <w:num w:numId="8" w16cid:durableId="431365502">
    <w:abstractNumId w:val="1"/>
  </w:num>
  <w:num w:numId="9" w16cid:durableId="139863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7B7"/>
    <w:rsid w:val="00034616"/>
    <w:rsid w:val="00036519"/>
    <w:rsid w:val="000572B9"/>
    <w:rsid w:val="0006063C"/>
    <w:rsid w:val="0007021E"/>
    <w:rsid w:val="00075757"/>
    <w:rsid w:val="00093C79"/>
    <w:rsid w:val="000C3133"/>
    <w:rsid w:val="000C5941"/>
    <w:rsid w:val="000D6518"/>
    <w:rsid w:val="000E2AAC"/>
    <w:rsid w:val="00141E3B"/>
    <w:rsid w:val="0015074B"/>
    <w:rsid w:val="0018126E"/>
    <w:rsid w:val="001942E1"/>
    <w:rsid w:val="001A5BDF"/>
    <w:rsid w:val="001C64A7"/>
    <w:rsid w:val="001E20B2"/>
    <w:rsid w:val="002102A5"/>
    <w:rsid w:val="00232956"/>
    <w:rsid w:val="0023567B"/>
    <w:rsid w:val="00240941"/>
    <w:rsid w:val="0024283E"/>
    <w:rsid w:val="00253BD9"/>
    <w:rsid w:val="00295794"/>
    <w:rsid w:val="0029639D"/>
    <w:rsid w:val="002A2616"/>
    <w:rsid w:val="002D7E38"/>
    <w:rsid w:val="002E279B"/>
    <w:rsid w:val="003224B2"/>
    <w:rsid w:val="00326F90"/>
    <w:rsid w:val="00344581"/>
    <w:rsid w:val="003807E4"/>
    <w:rsid w:val="003A5720"/>
    <w:rsid w:val="003D2FD0"/>
    <w:rsid w:val="003D38DB"/>
    <w:rsid w:val="003E3ED4"/>
    <w:rsid w:val="003E7C4A"/>
    <w:rsid w:val="004026CD"/>
    <w:rsid w:val="00410909"/>
    <w:rsid w:val="0045127C"/>
    <w:rsid w:val="00451DB0"/>
    <w:rsid w:val="004534A1"/>
    <w:rsid w:val="00486691"/>
    <w:rsid w:val="004A2402"/>
    <w:rsid w:val="004A3FDE"/>
    <w:rsid w:val="004C46C8"/>
    <w:rsid w:val="004F1377"/>
    <w:rsid w:val="0051240D"/>
    <w:rsid w:val="00527F27"/>
    <w:rsid w:val="00543516"/>
    <w:rsid w:val="005546E8"/>
    <w:rsid w:val="00591ADC"/>
    <w:rsid w:val="0059494F"/>
    <w:rsid w:val="005C2CD7"/>
    <w:rsid w:val="005C7646"/>
    <w:rsid w:val="005F7BF2"/>
    <w:rsid w:val="0062500A"/>
    <w:rsid w:val="006A4A33"/>
    <w:rsid w:val="006D2EBE"/>
    <w:rsid w:val="006D3EFA"/>
    <w:rsid w:val="006F1334"/>
    <w:rsid w:val="0070397B"/>
    <w:rsid w:val="00704036"/>
    <w:rsid w:val="00730474"/>
    <w:rsid w:val="00781DFD"/>
    <w:rsid w:val="007C36B3"/>
    <w:rsid w:val="007C3988"/>
    <w:rsid w:val="007E6404"/>
    <w:rsid w:val="007E705A"/>
    <w:rsid w:val="007F0975"/>
    <w:rsid w:val="007F6E66"/>
    <w:rsid w:val="008001C2"/>
    <w:rsid w:val="00835DB4"/>
    <w:rsid w:val="00853001"/>
    <w:rsid w:val="00886CCE"/>
    <w:rsid w:val="00893B78"/>
    <w:rsid w:val="008A19AB"/>
    <w:rsid w:val="008D0E36"/>
    <w:rsid w:val="00932A33"/>
    <w:rsid w:val="00945A98"/>
    <w:rsid w:val="009716C0"/>
    <w:rsid w:val="00982C47"/>
    <w:rsid w:val="009936E8"/>
    <w:rsid w:val="009B0604"/>
    <w:rsid w:val="009B4265"/>
    <w:rsid w:val="00A01A36"/>
    <w:rsid w:val="00A45E1D"/>
    <w:rsid w:val="00A86207"/>
    <w:rsid w:val="00A87DB9"/>
    <w:rsid w:val="00A924BA"/>
    <w:rsid w:val="00AA1D8D"/>
    <w:rsid w:val="00AA33B0"/>
    <w:rsid w:val="00AA3F55"/>
    <w:rsid w:val="00AB0817"/>
    <w:rsid w:val="00B06450"/>
    <w:rsid w:val="00B11A02"/>
    <w:rsid w:val="00B15F75"/>
    <w:rsid w:val="00B259E4"/>
    <w:rsid w:val="00B47730"/>
    <w:rsid w:val="00B60D5D"/>
    <w:rsid w:val="00B73DCE"/>
    <w:rsid w:val="00B82758"/>
    <w:rsid w:val="00BC7E12"/>
    <w:rsid w:val="00BD4770"/>
    <w:rsid w:val="00C553B9"/>
    <w:rsid w:val="00C61824"/>
    <w:rsid w:val="00CA2243"/>
    <w:rsid w:val="00CB0664"/>
    <w:rsid w:val="00CB5ED8"/>
    <w:rsid w:val="00CC478C"/>
    <w:rsid w:val="00CD6D15"/>
    <w:rsid w:val="00D10AD3"/>
    <w:rsid w:val="00D2419F"/>
    <w:rsid w:val="00D246D5"/>
    <w:rsid w:val="00D55879"/>
    <w:rsid w:val="00D603AB"/>
    <w:rsid w:val="00D96AFD"/>
    <w:rsid w:val="00DB4CF0"/>
    <w:rsid w:val="00DC21EC"/>
    <w:rsid w:val="00DE5F55"/>
    <w:rsid w:val="00E114E8"/>
    <w:rsid w:val="00E44A37"/>
    <w:rsid w:val="00E50699"/>
    <w:rsid w:val="00E5734E"/>
    <w:rsid w:val="00E600AC"/>
    <w:rsid w:val="00E83842"/>
    <w:rsid w:val="00E927FE"/>
    <w:rsid w:val="00EA0574"/>
    <w:rsid w:val="00EA1404"/>
    <w:rsid w:val="00EA3531"/>
    <w:rsid w:val="00EC7E2D"/>
    <w:rsid w:val="00ED25F0"/>
    <w:rsid w:val="00ED37E4"/>
    <w:rsid w:val="00ED4C0B"/>
    <w:rsid w:val="00F24483"/>
    <w:rsid w:val="00F31F68"/>
    <w:rsid w:val="00F4484D"/>
    <w:rsid w:val="00F51BFB"/>
    <w:rsid w:val="00F5239C"/>
    <w:rsid w:val="00F62BE2"/>
    <w:rsid w:val="00F73776"/>
    <w:rsid w:val="00F814B5"/>
    <w:rsid w:val="00FC693F"/>
    <w:rsid w:val="00FD074D"/>
    <w:rsid w:val="00FD23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CACEF"/>
  <w14:defaultImageDpi w14:val="300"/>
  <w15:docId w15:val="{AFCC8862-3BF7-4A75-9BE3-63D0103D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character" w:styleId="PlaceholderText">
    <w:name w:val="Placeholder Text"/>
    <w:basedOn w:val="DefaultParagraphFont"/>
    <w:uiPriority w:val="99"/>
    <w:semiHidden/>
    <w:rsid w:val="00932A33"/>
    <w:rPr>
      <w:color w:val="666666"/>
    </w:rPr>
  </w:style>
  <w:style w:type="table" w:styleId="PlainTable2">
    <w:name w:val="Plain Table 2"/>
    <w:basedOn w:val="TableNormal"/>
    <w:uiPriority w:val="99"/>
    <w:rsid w:val="006D3E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A33B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37</Pages>
  <Words>10572</Words>
  <Characters>60266</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"Readout costs decide whether quantum computers can speed up stochastic simulation of gene networks"</dc:title>
  <dc:subject>Supplementary Information</dc:subject>
  <dc:creator>Aarush Das Bansiwal</dc:creator>
  <cp:keywords/>
  <dc:description/>
  <cp:lastModifiedBy>Aarush Das Bansiwal</cp:lastModifiedBy>
  <cp:revision>9</cp:revision>
  <cp:lastPrinted>2026-09-23T09:10:00Z</cp:lastPrinted>
  <dcterms:created xsi:type="dcterms:W3CDTF">2026-09-26T08:49:00Z</dcterms:created>
  <dcterms:modified xsi:type="dcterms:W3CDTF">2026-09-26T18:22:00Z</dcterms:modified>
  <cp:category/>
</cp:coreProperties>
</file>