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CONCLUSIONES (versión corregida)</w:t>
      </w:r>
    </w:p>
    <w:p>
      <w:pPr>
        <w:spacing w:after="200"/>
      </w:pPr>
      <w:r>
        <w:rPr>
          <w:i/>
          <w:sz w:val="20"/>
        </w:rPr>
        <w:t>Cada párrafo indica entre corchetes a qué Objetivo Específico responde; quítalo al pegar en el documento final, es solo para que verifiques la trazabilidad antes de pegar.</w:t>
      </w:r>
    </w:p>
    <w:p>
      <w:pPr>
        <w:spacing w:after="200" w:line="276" w:lineRule="auto"/>
        <w:jc w:val="both"/>
      </w:pPr>
      <w:r>
        <w:rPr>
          <w:sz w:val="22"/>
        </w:rPr>
        <w:t>Las conclusiones que siguen corresponden a este primer avance del proyecto y se sustentan únicamente en lo efectivamente implementado y verificado hasta la fecha; no deben interpretarse como un cierre del proyecto, dado que su desarrollo continúa durante las semanas restantes.</w:t>
      </w:r>
    </w:p>
    <w:p>
      <w:pPr>
        <w:spacing w:after="200" w:line="276" w:lineRule="auto"/>
        <w:jc w:val="both"/>
      </w:pPr>
      <w:r>
        <w:rPr>
          <w:sz w:val="22"/>
        </w:rPr>
        <w:t>[OE1] La revisión del estado del arte confirmó que ninguna de las ocho investigaciones analizadas integra, dentro de una misma plataforma, la adquisición y comparación de precios de múltiples fuentes con el registro histórico y la planificación de una compra completa: cada una atiende un componente por separado (búsqueda y geolocalización, adquisición y seguimiento de precios, digitalización de comprobantes, o recomendaciones), según se detalla en la síntesis de brechas de la Sección IV. Esta ausencia de integración en la literatura revisada es la que sustenta que el desarrollo de Convenia como plataforma unificada constituya un aporte real y no la repetición de una solución ya existente.</w:t>
      </w:r>
    </w:p>
    <w:p>
      <w:pPr>
        <w:spacing w:after="200" w:line="276" w:lineRule="auto"/>
        <w:jc w:val="both"/>
      </w:pPr>
      <w:r>
        <w:rPr>
          <w:sz w:val="22"/>
        </w:rPr>
        <w:t>[OE2] Diseñar el clasificador de categorías a partir de palabras clave de inclusión y exclusión, en lugar de una lista fija por sitio, permitió que la arquitectura de adquisición de datos operara sobre los cinco supermercados considerados (D1, Éxito, Carulla, Jumbo y Olímpica) sin necesidad de una lógica distinta por fuente. Esto se sostiene en que dicho clasificador se validó exitosamente frente a las categorías reales y heterogéneas de los tres supermercados que ya cuentan con datos ejecutados (D1, Éxito y Carulla), descartando en cada caso las categorías ajenas al dominio del proyecto sin haber sido programado específicamente para ese sitio.</w:t>
      </w:r>
    </w:p>
    <w:p>
      <w:pPr>
        <w:spacing w:after="200" w:line="276" w:lineRule="auto"/>
        <w:jc w:val="both"/>
      </w:pPr>
      <w:r>
        <w:rPr>
          <w:sz w:val="22"/>
        </w:rPr>
        <w:t>[OE2] La ausencia de un identificador único de producto (como un código de barras) en los datos de origen es una limitación real del dominio, no un detalle menor: obliga a que la homologación entre supermercados dependa por completo de una combinación de señales textuales (nombre, marca y cantidad), con el riesgo permanente de fusionar por error dos productos distintos. Los umbrales conservadores implementados responden directamente a ese riesgo, y su efectividad quedó sustentada en los casos verificados en el Resultado del Proyecto: productos con el mismo nombre pero distinta marca se descartan correctamente a pesar de su alta similitud textual, y productos frescos sin marca no se homologan cuando difieren en cantidad, lo que confirma que el algoritmo prioriza no fusionar antes que maximizar coincidencias.</w:t>
      </w:r>
    </w:p>
    <w:p>
      <w:pPr>
        <w:spacing w:after="200" w:line="276" w:lineRule="auto"/>
        <w:jc w:val="both"/>
      </w:pPr>
      <w:r>
        <w:rPr>
          <w:sz w:val="22"/>
        </w:rPr>
        <w:t>[OE2] Adoptar una arquitectura en capas, tanto en la exposición de datos como en la aplicación móvil, permite que la lógica de comparación de precios no necesite saber si un producto proviene de un único supermercado o ya fue homologado entre varios. Esta decisión de diseño es la que hace posible que, a la fecha de este avance, con la homologación todavía sin ejecutarse sobre la totalidad de los 2620 productos de fuente recolectados, la aplicación pueda mostrar sin errores tanto productos ya agrupados como productos aún sueltos, sin que uno de los dos casos rompa al otro.</w:t>
      </w:r>
    </w:p>
    <w:p>
      <w:pPr>
        <w:spacing w:after="200" w:line="276" w:lineRule="auto"/>
        <w:jc w:val="both"/>
      </w:pPr>
      <w:r>
        <w:rPr>
          <w:sz w:val="22"/>
        </w:rPr>
        <w:t>[OE3] Que ningún supermercado tenga un color propio en la interfaz, y que la paleta de marca se aplique de forma neutral a todas las pantallas, responde directamente al propósito del sistema: apoyar una decisión de compra, no favorecer visualmente a un establecimiento sobre otro antes de que el usuario compare los precios. La verificación de que este criterio se cumple en la práctica está en que el cambio se aplicó sobre la totalidad de las pantallas ya construidas modificando un único archivo de tokens visuales, sin excepciones ni colores sueltos que hubiera que corregir pantalla por pantalla.</w:t>
      </w:r>
    </w:p>
    <w:p>
      <w:pPr>
        <w:spacing w:after="200" w:line="276" w:lineRule="auto"/>
        <w:jc w:val="both"/>
      </w:pPr>
      <w:r>
        <w:rPr>
          <w:sz w:val="22"/>
        </w:rPr>
        <w:t>[OE4] Verificar el sistema mediante su ejecución real en un dispositivo, y no únicamente mediante la revisión del código o la compilación exitosa del proyecto, resultó indispensable y no un paso opcional: dos defectos de comportamiento (el filtro de supermercados fijo en Resultados y el bloqueo indefinido de la pantalla de Establecimientos ante una señal de GPS lenta) sólo se manifestaron al usar la aplicación en funcionamiento, y habrían permanecido sin corregir bajo una verificación limitada a que el proyecto compilara correctamente.</w:t>
      </w:r>
    </w:p>
    <w:p>
      <w:pPr>
        <w:spacing w:after="200" w:line="276" w:lineRule="auto"/>
        <w:jc w:val="both"/>
      </w:pPr>
      <w:r>
        <w:rPr>
          <w:sz w:val="22"/>
        </w:rPr>
        <w:t>[OE3] Reutilizar la matriz de precio por ítem y por supermercado ya calculada para el costo de una lista, en lugar de construir una fuente de datos independiente para la compra distribuida, permitió extender la comparación de precios del nivel de un solo producto al nivel de una lista completa sin duplicar el acceso a la base de datos. La utilidad real de esta funcionalidad quedó verificada con una lista de cinco productos homologados entre Carulla y Éxito (Tabla VII, Anexo C): distribuir la compra entre ambos supermercados resultó en un total de $106.885, frente a $117.390 de comprarla completa en Éxito, la tienda más barata disponible; la aplicación solo ofrece esta alternativa cuando representa un ahorro real, y su utilidad seguirá dependiendo de que exista más de un supermercado con precio disponible para al menos parte de los productos de la lista.</w:t>
      </w:r>
    </w:p>
    <w:p>
      <w:pPr>
        <w:spacing w:after="200" w:line="276" w:lineRule="auto"/>
        <w:jc w:val="both"/>
      </w:pPr>
      <w:r>
        <w:rPr>
          <w:sz w:val="22"/>
        </w:rPr>
        <w:t>En conjunto, los resultados obtenidos hasta este avance evidencian un cumplimiento parcial, pero más avanzado que en el avance anterior, de los cuatro objetivos específicos planteados; se trata de un primer avance, no del cierre del proyecto. El Objetivo Específico 1 se cumple en su componente de análisis del estado del arte, y el Objetivo Específico 2 se mantiene sustancialmente desarrollado, aunque la homologación entre supermercados todavía no cubre la totalidad de los datos recolectados. El Objetivo Específico 3 avanzó de forma concreta en la comparación de precios (agrupación real de productos homologados, historial de precios visual y compra distribuida en listas) y, por primera vez, en una experiencia de usuario e interfaz visual unificadas, aunque el historial de compras del propio usuario, la digitalización de comprobantes y la generación de recomendaciones todavía no se han desarrollado. El Objetivo Específico 4 se mantiene pendiente en su componente formal de pruebas de usabilidad, si bien la verificación funcional se amplió mediante pruebas dirigidas contra datos reales, incluyendo el análisis estático (flutter analyze) y las pruebas automatizadas (flutter test) de la aplicación móvil en cada cambio. La totalidad de estos elementos pendientes, junto con la ejecución completa de los conectores de Jumbo y Olímpica y la ampliación de la homologación sobre el resto de los datos recolectados, constituye el trabajo previsto para las semanas restantes del proyecto, y no un alcance adicional u opcional.</w:t>
      </w:r>
    </w:p>
    <w:p>
      <w:r>
        <w:br w:type="page"/>
      </w:r>
    </w:p>
    <w:p>
      <w:r>
        <w:rPr>
          <w:b/>
          <w:sz w:val="28"/>
        </w:rPr>
        <w:t>NUEVO — Agregar al Anexo C</w:t>
      </w:r>
    </w:p>
    <w:p>
      <w:r>
        <w:rPr>
          <w:b/>
          <w:sz w:val="22"/>
        </w:rPr>
        <w:t>TABLA VII. Lista utilizada para verificar la compra distribuida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Producto</w:t>
            </w:r>
          </w:p>
        </w:tc>
        <w:tc>
          <w:tcPr>
            <w:tcW w:type="dxa" w:w="2160"/>
          </w:tcPr>
          <w:p>
            <w:r>
              <w:t>Marca</w:t>
            </w:r>
          </w:p>
        </w:tc>
        <w:tc>
          <w:tcPr>
            <w:tcW w:type="dxa" w:w="2160"/>
          </w:tcPr>
          <w:p>
            <w:r>
              <w:t>Supermercado asignado</w:t>
            </w:r>
          </w:p>
        </w:tc>
        <w:tc>
          <w:tcPr>
            <w:tcW w:type="dxa" w:w="2160"/>
          </w:tcPr>
          <w:p>
            <w:r>
              <w:t>Precio</w:t>
            </w:r>
          </w:p>
        </w:tc>
      </w:tr>
      <w:tr>
        <w:tc>
          <w:tcPr>
            <w:tcW w:type="dxa" w:w="2160"/>
          </w:tcPr>
          <w:p>
            <w:r>
              <w:t>Chocolate CORONA tradicional pastillado (450 g)</w:t>
            </w:r>
          </w:p>
        </w:tc>
        <w:tc>
          <w:tcPr>
            <w:tcW w:type="dxa" w:w="2160"/>
          </w:tcPr>
          <w:p>
            <w:r>
              <w:t>CORONA</w:t>
            </w:r>
          </w:p>
        </w:tc>
        <w:tc>
          <w:tcPr>
            <w:tcW w:type="dxa" w:w="2160"/>
          </w:tcPr>
          <w:p>
            <w:r>
              <w:t>Carulla</w:t>
            </w:r>
          </w:p>
        </w:tc>
        <w:tc>
          <w:tcPr>
            <w:tcW w:type="dxa" w:w="2160"/>
          </w:tcPr>
          <w:p>
            <w:r>
              <w:t>$15.800</w:t>
            </w:r>
          </w:p>
        </w:tc>
      </w:tr>
      <w:tr>
        <w:tc>
          <w:tcPr>
            <w:tcW w:type="dxa" w:w="2160"/>
          </w:tcPr>
          <w:p>
            <w:r>
              <w:t>Galletas SALTIN NOEL tradicional x6 tacos (531 g)</w:t>
            </w:r>
          </w:p>
        </w:tc>
        <w:tc>
          <w:tcPr>
            <w:tcW w:type="dxa" w:w="2160"/>
          </w:tcPr>
          <w:p>
            <w:r>
              <w:t>SALTIN NOEL</w:t>
            </w:r>
          </w:p>
        </w:tc>
        <w:tc>
          <w:tcPr>
            <w:tcW w:type="dxa" w:w="2160"/>
          </w:tcPr>
          <w:p>
            <w:r>
              <w:t>Carulla</w:t>
            </w:r>
          </w:p>
        </w:tc>
        <w:tc>
          <w:tcPr>
            <w:tcW w:type="dxa" w:w="2160"/>
          </w:tcPr>
          <w:p>
            <w:r>
              <w:t>$7.425</w:t>
            </w:r>
          </w:p>
        </w:tc>
      </w:tr>
      <w:tr>
        <w:tc>
          <w:tcPr>
            <w:tcW w:type="dxa" w:w="2160"/>
          </w:tcPr>
          <w:p>
            <w:r>
              <w:t>Café JUAN VALDEZ molido (454 g)</w:t>
            </w:r>
          </w:p>
        </w:tc>
        <w:tc>
          <w:tcPr>
            <w:tcW w:type="dxa" w:w="2160"/>
          </w:tcPr>
          <w:p>
            <w:r>
              <w:t>JUAN VALDEZ</w:t>
            </w:r>
          </w:p>
        </w:tc>
        <w:tc>
          <w:tcPr>
            <w:tcW w:type="dxa" w:w="2160"/>
          </w:tcPr>
          <w:p>
            <w:r>
              <w:t>Carulla</w:t>
            </w:r>
          </w:p>
        </w:tc>
        <w:tc>
          <w:tcPr>
            <w:tcW w:type="dxa" w:w="2160"/>
          </w:tcPr>
          <w:p>
            <w:r>
              <w:t>$41.900</w:t>
            </w:r>
          </w:p>
        </w:tc>
      </w:tr>
      <w:tr>
        <w:tc>
          <w:tcPr>
            <w:tcW w:type="dxa" w:w="2160"/>
          </w:tcPr>
          <w:p>
            <w:r>
              <w:t>Café TOSTAO intenso tostado y molido (454 g)</w:t>
            </w:r>
          </w:p>
        </w:tc>
        <w:tc>
          <w:tcPr>
            <w:tcW w:type="dxa" w:w="2160"/>
          </w:tcPr>
          <w:p>
            <w:r>
              <w:t>TOSTAO</w:t>
            </w:r>
          </w:p>
        </w:tc>
        <w:tc>
          <w:tcPr>
            <w:tcW w:type="dxa" w:w="2160"/>
          </w:tcPr>
          <w:p>
            <w:r>
              <w:t>Éxito</w:t>
            </w:r>
          </w:p>
        </w:tc>
        <w:tc>
          <w:tcPr>
            <w:tcW w:type="dxa" w:w="2160"/>
          </w:tcPr>
          <w:p>
            <w:r>
              <w:t>$20.880</w:t>
            </w:r>
          </w:p>
        </w:tc>
      </w:tr>
      <w:tr>
        <w:tc>
          <w:tcPr>
            <w:tcW w:type="dxa" w:w="2160"/>
          </w:tcPr>
          <w:p>
            <w:r>
              <w:t>Café TOSTAO tostado y molido (454 g)</w:t>
            </w:r>
          </w:p>
        </w:tc>
        <w:tc>
          <w:tcPr>
            <w:tcW w:type="dxa" w:w="2160"/>
          </w:tcPr>
          <w:p>
            <w:r>
              <w:t>TOSTAO</w:t>
            </w:r>
          </w:p>
        </w:tc>
        <w:tc>
          <w:tcPr>
            <w:tcW w:type="dxa" w:w="2160"/>
          </w:tcPr>
          <w:p>
            <w:r>
              <w:t>Éxito</w:t>
            </w:r>
          </w:p>
        </w:tc>
        <w:tc>
          <w:tcPr>
            <w:tcW w:type="dxa" w:w="2160"/>
          </w:tcPr>
          <w:p>
            <w:r>
              <w:t>$20.880</w:t>
            </w:r>
          </w:p>
        </w:tc>
      </w:tr>
    </w:tbl>
    <w:p>
      <w:r>
        <w:rPr>
          <w:i/>
          <w:sz w:val="20"/>
        </w:rPr>
        <w:t>Total distribuido (Carulla + Éxito): $106.885. Total en la mejor tienda completa (Éxito): $117.390. Ahorro: $10.505. Lista creada y verificada mediante la API real de la aplicación (lista id 5, “Ejemplo Anexo - Compra Distribuida”).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