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sz w:val="32"/>
        </w:rPr>
        <w:t>Reemplazo completo — Metodología, Resultado, Conclusiones y Anexos</w:t>
      </w:r>
    </w:p>
    <w:p>
      <w:pPr>
        <w:spacing w:after="200"/>
      </w:pPr>
      <w:r>
        <w:rPr>
          <w:i/>
          <w:sz w:val="20"/>
        </w:rPr>
        <w:t>Versión definitiva. Anexo A = tabla comparativa de precios (evidencia real de la compra distribuida, verificada vía API contra la lista id 5 de la base de datos). Anexo B = tus 3 figuras de pseudocódigo.</w:t>
      </w:r>
    </w:p>
    <w:p>
      <w:pPr>
        <w:spacing w:after="200"/>
      </w:pPr>
      <w:r>
        <w:rPr>
          <w:b/>
          <w:sz w:val="32"/>
        </w:rPr>
        <w:t>METODOLOGÍA</w:t>
      </w:r>
    </w:p>
    <w:p>
      <w:pPr>
        <w:spacing w:after="200" w:line="276" w:lineRule="auto"/>
        <w:jc w:val="both"/>
      </w:pPr>
      <w:r>
        <w:rPr>
          <w:sz w:val="22"/>
        </w:rPr>
        <w:t>La planificación general del proyecto (alcance, cronograma, recursos, riesgos, calidad, comunicaciones y backlog priorizado) se estableció mediante la Estructura de Descomposición del Trabajo y el Plan Integrado de Gestión del Proyecto, descritos en las secciones anteriores (Tablas II a V). A continuación se describe la metodología técnica empleada para dar cumplimiento a los objetivos específicos, aplicando los conceptos definidos en la Sección V.</w:t>
      </w:r>
    </w:p>
    <w:p>
      <w:pPr>
        <w:spacing w:before="240" w:after="80"/>
      </w:pPr>
      <w:r>
        <w:rPr>
          <w:b/>
          <w:sz w:val="24"/>
        </w:rPr>
        <w:t>A. Adquisición de datos</w:t>
      </w:r>
    </w:p>
    <w:p>
      <w:pPr>
        <w:spacing w:after="200" w:line="276" w:lineRule="auto"/>
        <w:jc w:val="both"/>
      </w:pPr>
      <w:r>
        <w:rPr>
          <w:sz w:val="22"/>
        </w:rPr>
        <w:t>Para el Objetivo Específico 1 y como base del Objetivo Específico 2, la adquisición se implementó mediante un módulo de Web Scraping independiente por cada uno de los cinco supermercados considerados (D1, Éxito, Carulla, Jumbo y Olímpica), cada uno con una fase de descubrimiento de categorías y una fase de extracción de productos. Debido a que estos supermercados publican una gran variedad de categorías (muchas de ellas ajenas al propósito del sistema, como tecnología, electrodomésticos o licores), se diseñó un clasificador de categorías basado en palabras clave de inclusión (por ejemplo, “arroz”, “lácteo”, “aseo”) y de exclusión (por ejemplo, “tecnología”, “licor”, “moda”), en lugar de una lista fija de categorías o de un límite numérico arbitrario. Esta decisión metodológica busca que el criterio de relevancia no dependa de la estructura particular de un sitio web en un momento dado, sino de un vocabulario del dominio que puede ampliarse sin modificar la lógica de extracción.</w:t>
      </w:r>
    </w:p>
    <w:p>
      <w:pPr>
        <w:spacing w:before="240" w:after="80"/>
      </w:pPr>
      <w:r>
        <w:rPr>
          <w:b/>
          <w:sz w:val="24"/>
        </w:rPr>
        <w:t>B. Transformación y almacenamiento (ETL)</w:t>
      </w:r>
    </w:p>
    <w:p>
      <w:pPr>
        <w:spacing w:after="200" w:line="276" w:lineRule="auto"/>
        <w:jc w:val="both"/>
      </w:pPr>
      <w:r>
        <w:rPr>
          <w:sz w:val="22"/>
        </w:rPr>
        <w:t>Para el Objetivo Específico 2, se diseñó un proceso ETL independiente por supermercado que valida el archivo de origen, resuelve el supermercado y la categoría correspondientes, y registra o actualiza cada producto mediante una operación de tipo upsert sobre una restricción de unicidad definida por el supermercado y el identificador externo del producto. Cada observación de precio se registra como un nuevo dato histórico y no como un reemplazo del valor anterior, de manera que ejecutar el proceso varias veces sobre la misma información no genere duplicados ni pérdida de historial.</w:t>
      </w:r>
    </w:p>
    <w:p>
      <w:pPr>
        <w:spacing w:before="240" w:after="80"/>
      </w:pPr>
      <w:r>
        <w:rPr>
          <w:b/>
          <w:sz w:val="24"/>
        </w:rPr>
        <w:t>C. Homologación de productos</w:t>
      </w:r>
    </w:p>
    <w:p>
      <w:pPr>
        <w:spacing w:after="200" w:line="276" w:lineRule="auto"/>
        <w:jc w:val="both"/>
      </w:pPr>
      <w:r>
        <w:rPr>
          <w:sz w:val="22"/>
        </w:rPr>
        <w:t>Para complementar el almacenamiento estructurado, se diseñó un módulo de homologación posterior e independiente del ETL. Los productos sin coincidencia previa se agrupan primero por un dominio grueso de categoría (por ejemplo, lácteos, aseo o frutas y verduras), de manera que solo se comparen candidatos del mismo dominio. Dentro de cada grupo, se normalizan el nombre del producto (sin marca ni cantidad), la marca y la cantidad o unidad, y se calcula un puntaje que combina la similitud textual del nombre, la coincidencia de marca y la coincidencia de cantidad, según se detalla mediante pseudocódigo en la Figura B.1 (Anexo B). El resultado de la comparación se clasifica en tres estados (CONFIRMED, REVIEW o descartado) utilizando umbrales conservadores que privilegian no fusionar productos distintos antes que maximizar la cantidad de coincidencias encontradas.</w:t>
      </w:r>
    </w:p>
    <w:p>
      <w:pPr>
        <w:spacing w:before="240" w:after="80"/>
      </w:pPr>
      <w:r>
        <w:rPr>
          <w:b/>
          <w:sz w:val="24"/>
        </w:rPr>
        <w:t>D. Exposición de datos (API REST)</w:t>
      </w:r>
    </w:p>
    <w:p>
      <w:pPr>
        <w:spacing w:after="200" w:line="276" w:lineRule="auto"/>
        <w:jc w:val="both"/>
      </w:pPr>
      <w:r>
        <w:rPr>
          <w:sz w:val="22"/>
        </w:rPr>
        <w:t>Para el Objetivo Específico 2, los datos ya procesados y homologados se exponen mediante una API REST implementada siguiendo una arquitectura en capas: los controladores (routers) reciben las peticiones HTTP, los servicios concentran las reglas de negocio, como calcular el mejor precio disponible respetando la moneda, y los repositorios encapsulan el acceso a la base de datos relacional. Esta separación permite que la lógica de negocio no dependa de si un producto proviene de un único supermercado o ya fue homologado entre varios.</w:t>
      </w:r>
    </w:p>
    <w:p>
      <w:pPr>
        <w:spacing w:before="240" w:after="80"/>
      </w:pPr>
      <w:r>
        <w:rPr>
          <w:b/>
          <w:sz w:val="24"/>
        </w:rPr>
        <w:t>E. Desarrollo de la aplicación móvil</w:t>
      </w:r>
    </w:p>
    <w:p>
      <w:pPr>
        <w:spacing w:after="200" w:line="276" w:lineRule="auto"/>
        <w:jc w:val="both"/>
      </w:pPr>
      <w:r>
        <w:rPr>
          <w:sz w:val="22"/>
        </w:rPr>
        <w:t>Para los Objetivos Específicos 2 y 3, la aplicación móvil se desarrolló siguiendo la misma separación de responsabilidades que el backend: una capa de interfaz de usuario, una capa de estado y lógica de presentación, una capa de repositorio y una capa de servicio que concentra las llamadas HTTP. La interfaz se diseñó siguiendo un flujo de pantallas (inicio, búsqueda, resultados y comparación) y un sistema de diseño propio, de manera que la aplicación comunique claridad y neutralidad en la comparación de precios.</w:t>
      </w:r>
    </w:p>
    <w:p>
      <w:pPr>
        <w:spacing w:before="240" w:after="80"/>
      </w:pPr>
      <w:r>
        <w:rPr>
          <w:b/>
          <w:sz w:val="24"/>
        </w:rPr>
        <w:t>F. Evaluación</w:t>
      </w:r>
    </w:p>
    <w:p>
      <w:pPr>
        <w:spacing w:after="200" w:line="276" w:lineRule="auto"/>
        <w:jc w:val="both"/>
      </w:pPr>
      <w:r>
        <w:rPr>
          <w:sz w:val="22"/>
        </w:rPr>
        <w:t>Para el Objetivo Específico 4, se definieron pruebas funcionales (verificar que cada módulo produce el resultado esperado ante datos reales), pruebas de idempotencia (verificar que ejecutar un proceso más de una vez no altera el resultado) y pruebas de casos representativos para el módulo de homologación, cuyos resultados se detallan en Resultado del Proyecto.</w:t>
      </w:r>
    </w:p>
    <w:p>
      <w:pPr>
        <w:spacing w:before="240" w:after="80"/>
      </w:pPr>
      <w:r>
        <w:rPr>
          <w:b/>
          <w:sz w:val="24"/>
        </w:rPr>
        <w:t>G. Sistema de diseño visual</w:t>
      </w:r>
    </w:p>
    <w:p>
      <w:pPr>
        <w:spacing w:after="200" w:line="276" w:lineRule="auto"/>
        <w:jc w:val="both"/>
      </w:pPr>
      <w:r>
        <w:rPr>
          <w:sz w:val="22"/>
        </w:rPr>
        <w:t>Para el Objetivo Específico 3, la interfaz se diseñó a partir de un conjunto reducido de tokens visuales (una paleta de colores y dos familias tipográficas) definidos una sola vez como constantes y consumidos por todas las pantallas, en lugar de aplicar colores o tamaños de fuente de forma independiente en cada widget. Bajo este enfoque, los supermercados no reciben un color propio: se identifican únicamente por su nombre, de manera que ningún establecimiento resulte visualmente favorecido antes de que el usuario compare los precios.</w:t>
      </w:r>
    </w:p>
    <w:p>
      <w:pPr>
        <w:spacing w:before="240" w:after="80"/>
      </w:pPr>
      <w:r>
        <w:rPr>
          <w:b/>
          <w:sz w:val="24"/>
        </w:rPr>
        <w:t>H. Agrupación y ordenamiento del listado de resultados</w:t>
      </w:r>
    </w:p>
    <w:p>
      <w:pPr>
        <w:spacing w:after="200" w:line="276" w:lineRule="auto"/>
        <w:jc w:val="both"/>
      </w:pPr>
      <w:r>
        <w:rPr>
          <w:sz w:val="22"/>
        </w:rPr>
        <w:t>Para el Objetivo Específico 3, el listado de productos se modificó para aprovechar las coincidencias ya generadas por el módulo de homologación (subsección anterior): los productos de fuente cuya coincidencia fue clasificada como CONFIRMED se agrupan bajo su producto canónico, calculando el mejor precio disponible entre los supermercados que lo ofrecen; los productos que aún no tienen una coincidencia confirmada continúan listándose de forma individual, sin ocultarse. Ambos conjuntos se combinan mediante una única consulta que aplica el mismo criterio de orden (precio ascendente o fecha de observación más reciente) sobre el resultado combinado, de manera que la paginación no distinga entre productos agrupados y sueltos. El pseudocódigo de esta estrategia se presenta en la Figura B.2 (Anexo B).</w:t>
      </w:r>
    </w:p>
    <w:p>
      <w:pPr>
        <w:spacing w:before="240" w:after="80"/>
      </w:pPr>
      <w:r>
        <w:rPr>
          <w:b/>
          <w:sz w:val="24"/>
        </w:rPr>
        <w:t>I. Historial de precios</w:t>
      </w:r>
    </w:p>
    <w:p>
      <w:pPr>
        <w:spacing w:after="200" w:line="276" w:lineRule="auto"/>
        <w:jc w:val="both"/>
      </w:pPr>
      <w:r>
        <w:rPr>
          <w:sz w:val="22"/>
        </w:rPr>
        <w:t>Para el Objetivo Específico 3, se diseñó una agregación mensual del historial de precios de un producto (mínimo, máximo, promedio y número de observaciones por mes) calculada en la base de datos, complementada con una consulta de detalle que filtra las observaciones individuales de un mes específico. Los meses sin observaciones no se generan de forma artificial: únicamente se agregan y presentan los meses en los que existió al menos un dato real, de manera que la ausencia de información no se confunda visualmente con un precio de cero.</w:t>
      </w:r>
    </w:p>
    <w:p>
      <w:pPr>
        <w:spacing w:before="240" w:after="80"/>
      </w:pPr>
      <w:r>
        <w:rPr>
          <w:b/>
          <w:sz w:val="24"/>
        </w:rPr>
        <w:t>J. Compra distribuida en listas</w:t>
      </w:r>
    </w:p>
    <w:p>
      <w:pPr>
        <w:spacing w:after="200" w:line="276" w:lineRule="auto"/>
        <w:jc w:val="both"/>
      </w:pPr>
      <w:r>
        <w:rPr>
          <w:sz w:val="22"/>
        </w:rPr>
        <w:t>Para el Objetivo Específico 3, se diseñó una alternativa de compra distribuida que reutiliza la misma matriz de precio por ítem y por supermercado ya calculada para obtener el costo total de una lista: para cada ítem se selecciona el supermercado con el menor precio disponible, y los ítems se agrupan por supermercado para conformar las paradas de compra necesarias. Los ítems sin precio en ningún supermercado se reportan de forma independiente en lugar de omitirse o de asignárseles un valor arbitrario. El pseudocódigo de esta selección se presenta en la Figura B.3 (Anexo B).</w:t>
      </w:r>
    </w:p>
    <w:p>
      <w:r>
        <w:br w:type="page"/>
      </w:r>
    </w:p>
    <w:p>
      <w:pPr>
        <w:spacing w:after="200"/>
      </w:pPr>
      <w:r>
        <w:rPr>
          <w:b/>
          <w:sz w:val="32"/>
        </w:rPr>
        <w:t>RESULTADO DEL PROYECTO</w:t>
      </w:r>
    </w:p>
    <w:p>
      <w:pPr>
        <w:spacing w:after="200" w:line="276" w:lineRule="auto"/>
        <w:jc w:val="both"/>
      </w:pPr>
      <w:r>
        <w:rPr>
          <w:sz w:val="22"/>
        </w:rPr>
        <w:t>A partir de la metodología descrita, se construyó de manera incremental un primer flujo funcional del sistema (supermercados, categorías relevantes, productos, homologación, API y aplicación móvil), correspondiente a este primer avance del proyecto y no a su versión final. A continuación se presenta, para cada componente, lo que se implementó hasta la fecha y el resultado obtenido al ejecutarlo con datos reales; los componentes y funcionalidades que aún no se han abordado se detallan en las Conclusiones, junto con el trabajo previsto para las semanas restantes del proyecto.</w:t>
      </w:r>
    </w:p>
    <w:p>
      <w:pPr>
        <w:spacing w:before="240" w:after="80"/>
      </w:pPr>
      <w:r>
        <w:rPr>
          <w:b/>
          <w:sz w:val="24"/>
        </w:rPr>
        <w:t>A. Adquisición de datos</w:t>
      </w:r>
    </w:p>
    <w:p>
      <w:pPr>
        <w:spacing w:after="200" w:line="276" w:lineRule="auto"/>
        <w:jc w:val="both"/>
      </w:pPr>
      <w:r>
        <w:rPr>
          <w:sz w:val="22"/>
        </w:rPr>
        <w:t>Se implementaron los módulos de Web Scraping de los cinco supermercados considerados. Hasta el momento se ejecutaron contra los sitios reales de D1, Éxito y Carulla, obteniendo datos reales de productos y precios; los conectores de Jumbo y Olímpica ya están implementados, pero todavía no se han ejecutado en este ambiente. El clasificador de categorías descrito en la Metodología se validó comparando sus decisiones con las categorías reales encontradas: en el sitio de Éxito, de más de cien categorías candidatas descubiertas (en su mayoría colecciones promocionales de tecnología, vinos, moda y electrodomésticos), únicamente ocho correspondían a la vertical de supermercado (lácteos, aseo del hogar, bebidas, despensa, frutas y verduras, y carnes), siendo estas las aceptadas por el clasificador. En el sitio de D1, de sus categorías principales, el clasificador descartó correctamente la categoría de artículos misceláneos no alimentarios, conservando las siete categorías de alimentación y aseo del hogar.</w:t>
      </w:r>
    </w:p>
    <w:p>
      <w:pPr>
        <w:spacing w:after="200" w:line="276" w:lineRule="auto"/>
        <w:jc w:val="both"/>
      </w:pPr>
      <w:r>
        <w:rPr>
          <w:sz w:val="22"/>
        </w:rPr>
        <w:t>Durante esta etapa se detectaron y corrigieron dos errores no evidentes hasta ejecutar el proceso con categorías reales: primero, la consulta al catálogo de Éxito para categorías identificadas por una ruta de navegación no puede enviarse como un filtro dentro de la petición, sino que debe formar parte de la propia dirección de la solicitud; segundo, la categoría más específica de un producto corresponde al primer elemento, y no al último, de la lista de categorías devuelta por el catálogo. Ambos errores habrían impedido, de no corregirse, que el clasificador de categorías operara sobre información representativa del producto.</w:t>
      </w:r>
    </w:p>
    <w:p>
      <w:pPr>
        <w:spacing w:before="240" w:after="80"/>
      </w:pPr>
      <w:r>
        <w:rPr>
          <w:b/>
          <w:sz w:val="24"/>
        </w:rPr>
        <w:t>B. Transformación y almacenamiento (ETL)</w:t>
      </w:r>
    </w:p>
    <w:p>
      <w:pPr>
        <w:spacing w:after="200" w:line="276" w:lineRule="auto"/>
        <w:jc w:val="both"/>
      </w:pPr>
      <w:r>
        <w:rPr>
          <w:sz w:val="22"/>
        </w:rPr>
        <w:t>Se ejecutó el proceso ETL sobre los datos ya filtrados por el clasificador de categorías, confirmando su idempotencia: una segunda ejecución sobre el mismo archivo de origen actualizó los productos existentes sin insertar duplicados ni generar observaciones de precio repetidas para la misma fecha de extracción.</w:t>
      </w:r>
    </w:p>
    <w:p>
      <w:pPr>
        <w:spacing w:before="240" w:after="80"/>
      </w:pPr>
      <w:r>
        <w:rPr>
          <w:b/>
          <w:sz w:val="24"/>
        </w:rPr>
        <w:t>C. Homologación de productos</w:t>
      </w:r>
    </w:p>
    <w:p>
      <w:pPr>
        <w:spacing w:after="200" w:line="276" w:lineRule="auto"/>
        <w:jc w:val="both"/>
      </w:pPr>
      <w:r>
        <w:rPr>
          <w:sz w:val="22"/>
        </w:rPr>
        <w:t>Se implementó el módulo de homologación descrito en la Metodología y se validó su comportamiento con casos representativos. Dos productos con el mismo nombre, marca y cantidad se clasifican correctamente como CONFIRMED. Dos productos con el mismo nombre pero distinta marca (por ejemplo, arroz de una marca frente a arroz de otra marca) se descartan correctamente a pesar de su alta similitud textual, evitando una coincidencia incorrecta. Asimismo, dos productos frescos sin marca (como distintas variedades o presentaciones de un mismo vegetal) tampoco se homologan cuando su nombre o su cantidad difieren, lo que confirma que el algoritmo no fuerza coincidencias de baja confianza incluso en ausencia de una marca que lo respalde.</w:t>
      </w:r>
    </w:p>
    <w:p>
      <w:pPr>
        <w:spacing w:before="240" w:after="80"/>
      </w:pPr>
      <w:r>
        <w:rPr>
          <w:b/>
          <w:sz w:val="24"/>
        </w:rPr>
        <w:t>D. Exposición de datos (API REST)</w:t>
      </w:r>
    </w:p>
    <w:p>
      <w:pPr>
        <w:spacing w:after="200" w:line="276" w:lineRule="auto"/>
        <w:jc w:val="both"/>
      </w:pPr>
      <w:r>
        <w:rPr>
          <w:sz w:val="22"/>
        </w:rPr>
        <w:t>Se implementó una API REST con los siguientes recursos: verificación del estado del servicio; listado y búsqueda paginada de productos; detalle de un producto; listado de precios disponibles por supermercado; y comparación de precios, con identificación del mejor precio disponible y del ahorro correspondiente. La API se documentó de forma automática y se verificó su funcionamiento contra datos reales cargados en la base de datos.</w:t>
      </w:r>
    </w:p>
    <w:p>
      <w:pPr>
        <w:spacing w:before="240" w:after="80"/>
      </w:pPr>
      <w:r>
        <w:rPr>
          <w:b/>
          <w:sz w:val="24"/>
        </w:rPr>
        <w:t>E. Aplicación móvil</w:t>
      </w:r>
    </w:p>
    <w:p>
      <w:pPr>
        <w:spacing w:after="200" w:line="276" w:lineRule="auto"/>
        <w:jc w:val="both"/>
      </w:pPr>
      <w:r>
        <w:rPr>
          <w:sz w:val="22"/>
        </w:rPr>
        <w:t>Se desarrolló una aplicación móvil con el flujo de pantallas inicio, búsqueda, resultados y comparación, incluyendo los estados obligatorios de carga, resultado vacío y error de conexión, y un sistema de diseño propio (colores, tipografía y componentes) orientado a transmitir claridad y neutralidad en la comparación de precios, en lugar de una experiencia de tienda en línea. La aplicación consulta la API mediante una dirección configurable, de manera que pueda apuntar a distintos entornos sin modificar el código.</w:t>
      </w:r>
    </w:p>
    <w:p>
      <w:pPr>
        <w:spacing w:after="200" w:line="276" w:lineRule="auto"/>
        <w:jc w:val="both"/>
      </w:pPr>
      <w:r>
        <w:rPr>
          <w:sz w:val="22"/>
        </w:rPr>
        <w:t>Cabe precisar que, al cierre de este avance, la cobertura de la homologación entre supermercados (556 productos canónicos, 1028 coincidencias confirmadas sobre un total de 2620 productos de fuente activos, ya con tres supermercados con datos reales) no aumentó respecto del avance anterior; el cambio incorporado en esta etapa fue que el listado de Resultados pasó a aprovechar esa información para agrupar productos automáticamente, en lugar de exponerla únicamente en el detalle de un producto ya identificado. En consecuencia, la mayoría de los productos recolectados continúa presentándose de forma individual, y la agrupación se ampliará de forma automática, sin cambios adicionales en la aplicación móvil, a medida que la homologación se ejecute sobre un mayor volumen de datos.</w:t>
      </w:r>
    </w:p>
    <w:p>
      <w:pPr>
        <w:spacing w:before="240" w:after="80"/>
      </w:pPr>
      <w:r>
        <w:rPr>
          <w:b/>
          <w:sz w:val="24"/>
        </w:rPr>
        <w:t>F. Corrección de defectos detectados mediante el uso de la aplicación</w:t>
      </w:r>
    </w:p>
    <w:p>
      <w:pPr>
        <w:spacing w:after="200" w:line="276" w:lineRule="auto"/>
        <w:jc w:val="both"/>
      </w:pPr>
      <w:r>
        <w:rPr>
          <w:sz w:val="22"/>
        </w:rPr>
        <w:t>La puesta en funcionamiento de la aplicación en un dispositivo real, y no sólo su compilación, permitió identificar dos defectos que no eran evidentes a partir de la sola revisión del código. Primero, el listado de Resultados filtraba los productos mediante un criterio fijo de dos supermercados con etiquetas literales (“Mejor en D1”, “Mejor en Éxito”), que dejaba de ser válido en cuanto se disponía de un tercer supermercado con datos reales; se reemplazó por un criterio de orden (precio o fecha de observación más reciente) independiente del número de supermercados disponibles. Segundo, la pantalla de Establecimientos consultaba la ubicación del dispositivo sin un límite de tiempo definido, de modo que, ante una señal de GPS lenta o inexistente, como ocurre típicamente en un emulador, la pantalla permanecía cargando de forma indefinida en lugar de mostrar un error; se corrigió agregando un límite de tiempo a la consulta y un estado explícito de error con opción de reintentar. Ambos defectos habrían permanecido sin corregir bajo una verificación limitada a que el proyecto compilara correctamente.</w:t>
      </w:r>
    </w:p>
    <w:p>
      <w:pPr>
        <w:spacing w:before="240" w:after="80"/>
      </w:pPr>
      <w:r>
        <w:rPr>
          <w:b/>
          <w:sz w:val="24"/>
        </w:rPr>
        <w:t>G. Rediseño del detalle de producto y lenguaje de la interfaz</w:t>
      </w:r>
    </w:p>
    <w:p>
      <w:pPr>
        <w:spacing w:after="200" w:line="276" w:lineRule="auto"/>
        <w:jc w:val="both"/>
      </w:pPr>
      <w:r>
        <w:rPr>
          <w:sz w:val="22"/>
        </w:rPr>
        <w:t>Se revisó el lenguaje empleado en el detalle de un producto para que no implicara información que el sistema no tiene. La categoría, que hasta este avance se mostraba como la ruta técnica publicada por el sitio de origen (por ejemplo, “/Despensa/Granos/Arroz/”), se reemplaza ahora por una etiqueta en español dirigida al consumidor (por ejemplo, “Despensa”), obtenida a partir del mismo clasificador de categorías descrito en la Metodología, sin agregar una fuente de datos adicional. El título de la sección de precios pasó a depender del número real de ofertas con dato: se muestra “Disponibilidad” cuando sólo existe una oferta y “Precios registrados” cuando existen dos o más, en lugar de un título fijo (“Todas las ofertas”) que sugeria una comparación inexistente cuando sólo había un dato disponible; adicionalmente, las filas sin dato dejaron de mostrarse cuando el producto tiene cero o una oferta real, para no añadir ruido visual en los casos (todavía mayoritarios) donde el producto no está homologado entre supermercados.</w:t>
      </w:r>
    </w:p>
    <w:p>
      <w:pPr>
        <w:spacing w:before="240" w:after="80"/>
      </w:pPr>
      <w:r>
        <w:rPr>
          <w:b/>
          <w:sz w:val="24"/>
        </w:rPr>
        <w:t>H. Historial de precios visual</w:t>
      </w:r>
    </w:p>
    <w:p>
      <w:pPr>
        <w:spacing w:after="200" w:line="276" w:lineRule="auto"/>
        <w:jc w:val="both"/>
      </w:pPr>
      <w:r>
        <w:rPr>
          <w:sz w:val="22"/>
        </w:rPr>
        <w:t>Se implementó la agregación mensual descrita en la Metodología y se construyó una representación de barras (una por mes con dato real, con altura proporcional al precio promedio de ese mes) que, al tocarse, despliega el detalle del mes correspondiente: precio mínimo, máximo, promedio, número de observaciones y la lista de observaciones individuales con su fecha. La altura de cada barra se normalizó contra el máximo histórico completo del producto, y no contra el mes visible, de manera que la comparación entre meses sea correcta incluso cuando sólo se muestra un subconjunto de ellos. Esta vista responde directamente a si el precio actual de un producto es o no un valor habitual dentro de su propio historial, en lugar de limitarse a mostrarlo como un dato aislado.</w:t>
      </w:r>
    </w:p>
    <w:p>
      <w:pPr>
        <w:spacing w:before="240" w:after="80"/>
      </w:pPr>
      <w:r>
        <w:rPr>
          <w:b/>
          <w:sz w:val="24"/>
        </w:rPr>
        <w:t>I. Compra distribuida en listas</w:t>
      </w:r>
    </w:p>
    <w:p>
      <w:pPr>
        <w:spacing w:after="200" w:line="276" w:lineRule="auto"/>
        <w:jc w:val="both"/>
      </w:pPr>
      <w:r>
        <w:rPr>
          <w:sz w:val="22"/>
        </w:rPr>
        <w:t>Se implementó la alternativa de compra distribuida descrita en la Metodología y se verificó mediante una lista real creada a través de la API del sistema, compuesta por cinco productos ya homologados entre Carulla y Éxito, detallados en la Tabla VI (Anexo A). El costo de comprar la lista completa en la tienda más barata disponible (Éxito) fue de $117.390, mientras que distribuirla entre Carulla y Éxito, comprando cada producto en el supermercado donde su precio es menor, arrojó un total de $106.885, un ahorro de $10.505. La aplicación sólo muestra esta alternativa cuando efectivamente representa un ahorro frente a comprar la lista completa en una sola tienda; si ninguna combinación resulta más barata que la mejor tienda completa, la alternativa no se ofrece. El estado de completitud de cada supermercado frente a una lista (cuántos de sus productos tienen precio disponible) se elevó de una nota secundaria a una etiqueta visible, para no comparar por error el total de una tienda incompleta contra el de una tienda completa.</w:t>
      </w:r>
    </w:p>
    <w:p>
      <w:pPr>
        <w:spacing w:before="240" w:after="80"/>
      </w:pPr>
      <w:r>
        <w:rPr>
          <w:b/>
          <w:sz w:val="24"/>
        </w:rPr>
        <w:t>J. Cercanía y tiempo estimado a pie</w:t>
      </w:r>
    </w:p>
    <w:p>
      <w:pPr>
        <w:spacing w:after="200" w:line="276" w:lineRule="auto"/>
        <w:jc w:val="both"/>
      </w:pPr>
      <w:r>
        <w:rPr>
          <w:sz w:val="22"/>
        </w:rPr>
        <w:t>Se agregó al cálculo de distancia ya existente una estimación del tiempo a pie hacia un establecimiento cercano, a partir de una velocidad de caminata configurable (4.5 km/h por defecto). Debido a que la tabla de establecimientos físicos aún no cuenta con datos reales cargados, este cálculo y el criterio de orden por cercanía en Resultados quedan implementados pero deshabilitados en la interfaz, con una explicación visible del motivo, en lugar de mostrarse con datos vacíos o simulados.</w:t>
      </w:r>
    </w:p>
    <w:p>
      <w:r>
        <w:br w:type="page"/>
      </w:r>
    </w:p>
    <w:p>
      <w:pPr>
        <w:spacing w:after="200"/>
      </w:pPr>
      <w:r>
        <w:rPr>
          <w:b/>
          <w:sz w:val="32"/>
        </w:rPr>
        <w:t>CONCLUSIONES</w:t>
      </w:r>
    </w:p>
    <w:p>
      <w:pPr>
        <w:spacing w:after="200" w:line="276" w:lineRule="auto"/>
        <w:jc w:val="both"/>
      </w:pPr>
      <w:r>
        <w:rPr>
          <w:sz w:val="22"/>
        </w:rPr>
        <w:t>Las conclusiones que siguen corresponden a este primer avance del proyecto y se sustentan únicamente en lo efectivamente implementado y verificado hasta la fecha; no deben interpretarse como un cierre del proyecto, dado que su desarrollo continúa durante las semanas restantes.</w:t>
      </w:r>
    </w:p>
    <w:p>
      <w:pPr>
        <w:spacing w:after="200" w:line="276" w:lineRule="auto"/>
        <w:jc w:val="both"/>
      </w:pPr>
      <w:r>
        <w:rPr>
          <w:sz w:val="22"/>
        </w:rPr>
        <w:t>La revisión del estado del arte confirmó que ninguna de las ocho investigaciones analizadas integra, dentro de una misma plataforma, la adquisición y comparación de precios de múltiples fuentes con el registro histórico y la planificación de una compra completa: cada una atiende un componente por separado (búsqueda y geolocalización, adquisición y seguimiento de precios, digitalización de comprobantes, o recomendaciones), según se detalla en la síntesis de brechas de la Sección IV. Esta ausencia de integración en la literatura revisada es la que sustenta que el desarrollo de Convenia como plataforma unificada constituya un aporte real y no la repetición de una solución ya existente.</w:t>
      </w:r>
    </w:p>
    <w:p>
      <w:pPr>
        <w:spacing w:after="200" w:line="276" w:lineRule="auto"/>
        <w:jc w:val="both"/>
      </w:pPr>
      <w:r>
        <w:rPr>
          <w:sz w:val="22"/>
        </w:rPr>
        <w:t>Diseñar el clasificador de categorías a partir de palabras clave de inclusión y exclusión, en lugar de una lista fija por sitio, permitió que la arquitectura de adquisición de datos operara sobre los cinco supermercados considerados (D1, Éxito, Carulla, Jumbo y Olímpica) sin necesidad de una lógica distinta por fuente. Esto se sostiene en que dicho clasificador se validó exitosamente frente a las categorías reales y heterogéneas de los tres supermercados que ya cuentan con datos ejecutados (D1, Éxito y Carulla), descartando en cada caso las categorías ajenas al dominio del proyecto sin haber sido programado específicamente para ese sitio.</w:t>
      </w:r>
    </w:p>
    <w:p>
      <w:pPr>
        <w:spacing w:after="200" w:line="276" w:lineRule="auto"/>
        <w:jc w:val="both"/>
      </w:pPr>
      <w:r>
        <w:rPr>
          <w:sz w:val="22"/>
        </w:rPr>
        <w:t>La ausencia de un identificador único de producto (como un código de barras) en los datos de origen es una limitación real del dominio, no un detalle menor: obliga a que la homologación entre supermercados dependa por completo de una combinación de señales textuales (nombre, marca y cantidad), con el riesgo permanente de fusionar por error dos productos distintos. Los umbrales conservadores implementados responden directamente a ese riesgo, y su efectividad quedó sustentada en los casos verificados en el Resultado del Proyecto: productos con el mismo nombre pero distinta marca se descartan correctamente a pesar de su alta similitud textual, y productos frescos sin marca no se homologan cuando difieren en cantidad, lo que confirma que el algoritmo prioriza no fusionar antes que maximizar coincidencias.</w:t>
      </w:r>
    </w:p>
    <w:p>
      <w:pPr>
        <w:spacing w:after="200" w:line="276" w:lineRule="auto"/>
        <w:jc w:val="both"/>
      </w:pPr>
      <w:r>
        <w:rPr>
          <w:sz w:val="22"/>
        </w:rPr>
        <w:t>Adoptar una arquitectura en capas, tanto en la exposición de datos como en la aplicación móvil, permite que la lógica de comparación de precios no necesite saber si un producto proviene de un único supermercado o ya fue homologado entre varios. Esta decisión de diseño es la que hace posible que, a la fecha de este avance, con la homologación todavía sin ejecutarse sobre la totalidad de los 2620 productos de fuente recolectados, la aplicación pueda mostrar sin errores tanto productos ya agrupados como productos aún sueltos, sin que uno de los dos casos rompa al otro.</w:t>
      </w:r>
    </w:p>
    <w:p>
      <w:pPr>
        <w:spacing w:after="200" w:line="276" w:lineRule="auto"/>
        <w:jc w:val="both"/>
      </w:pPr>
      <w:r>
        <w:rPr>
          <w:sz w:val="22"/>
        </w:rPr>
        <w:t>Que ningún supermercado tenga un color propio en la interfaz, y que la paleta de marca se aplique de forma neutral a todas las pantallas, responde directamente al propósito del sistema: apoyar una decisión de compra, no favorecer visualmente a un establecimiento sobre otro antes de que el usuario compare los precios. La verificación de que este criterio se cumple en la práctica está en que el cambio se aplicó sobre la totalidad de las pantallas ya construidas modificando un único archivo de tokens visuales, sin excepciones ni colores sueltos que hubiera que corregir pantalla por pantalla.</w:t>
      </w:r>
    </w:p>
    <w:p>
      <w:pPr>
        <w:spacing w:after="200" w:line="276" w:lineRule="auto"/>
        <w:jc w:val="both"/>
      </w:pPr>
      <w:r>
        <w:rPr>
          <w:sz w:val="22"/>
        </w:rPr>
        <w:t>Verificar el sistema mediante su ejecución real en un dispositivo, y no únicamente mediante la revisión del código o la compilación exitosa del proyecto, resultó indispensable y no un paso opcional: dos defectos de comportamiento (el filtro de supermercados fijo en Resultados y el bloqueo indefinido de la pantalla de Establecimientos ante una señal de GPS lenta) sólo se manifestaron al usar la aplicación en funcionamiento, y habrían permanecido sin corregir bajo una verificación limitada a que el proyecto compilara correctamente.</w:t>
      </w:r>
    </w:p>
    <w:p>
      <w:pPr>
        <w:spacing w:after="200" w:line="276" w:lineRule="auto"/>
        <w:jc w:val="both"/>
      </w:pPr>
      <w:r>
        <w:rPr>
          <w:sz w:val="22"/>
        </w:rPr>
        <w:t>Reutilizar la matriz de precio por ítem y por supermercado ya calculada para el costo de una lista, en lugar de construir una fuente de datos independiente para la compra distribuida, permitió extender la comparación de precios del nivel de un solo producto al nivel de una lista completa sin duplicar el acceso a la base de datos. La utilidad real de esta funcionalidad quedó verificada con la lista de cinco productos homologados entre Carulla y Éxito detallada en la Tabla VI (Anexo A): distribuir la compra entre ambos supermercados resultó en un total de $106.885, frente a $117.390 de comprarla completa en Éxito, la tienda más barata disponible; la aplicación solo ofrece esta alternativa cuando representa un ahorro real, y su utilidad seguirá dependiendo de que exista más de un supermercado con precio disponible para al menos parte de los productos de la lista.</w:t>
      </w:r>
    </w:p>
    <w:p>
      <w:pPr>
        <w:spacing w:after="200" w:line="276" w:lineRule="auto"/>
        <w:jc w:val="both"/>
      </w:pPr>
      <w:r>
        <w:rPr>
          <w:sz w:val="22"/>
        </w:rPr>
        <w:t>En conjunto, los resultados obtenidos hasta este avance evidencian un cumplimiento parcial, pero más avanzado que en el avance anterior, de los cuatro objetivos específicos planteados; se trata de un primer avance, no del cierre del proyecto. El Objetivo Específico 1 se cumple en su componente de análisis del estado del arte, y el Objetivo Específico 2 se mantiene sustancialmente desarrollado, aunque la homologación entre supermercados todavía no cubre la totalidad de los datos recolectados. El Objetivo Específico 3 avanzó de forma concreta en la comparación de precios (agrupación real de productos homologados, historial de precios visual y compra distribuida en listas) y, por primera vez, en una experiencia de usuario e interfaz visual unificadas, aunque el historial de compras del propio usuario, la digitalización de comprobantes y la generación de recomendaciones todavía no se han desarrollado. El Objetivo Específico 4 se mantiene pendiente en su componente formal de pruebas de usabilidad, si bien la verificación funcional se amplió mediante pruebas dirigidas contra datos reales, incluyendo el análisis estático (flutter analyze) y las pruebas automatizadas (flutter test) de la aplicación móvil en cada cambio. La totalidad de estos elementos pendientes, junto con la ejecución completa de los conectores de Jumbo y Olímpica y la ampliación de la homologación sobre el resto de los datos recolectados, constituye el trabajo previsto para las semanas restantes del proyecto, y no un alcance adicional u opcional.</w:t>
      </w:r>
    </w:p>
    <w:p>
      <w:r>
        <w:br w:type="page"/>
      </w:r>
    </w:p>
    <w:p>
      <w:pPr>
        <w:spacing w:after="200"/>
      </w:pPr>
      <w:r>
        <w:rPr>
          <w:b/>
          <w:sz w:val="32"/>
        </w:rPr>
        <w:t>ANEXOS</w:t>
      </w:r>
    </w:p>
    <w:p>
      <w:pPr>
        <w:spacing w:after="200"/>
      </w:pPr>
      <w:r>
        <w:rPr>
          <w:b/>
          <w:sz w:val="32"/>
        </w:rPr>
        <w:t>Anexo A. Evidencia de la Compra Distribuida (Producto)</w:t>
      </w:r>
    </w:p>
    <w:p>
      <w:pPr>
        <w:spacing w:after="200" w:line="276" w:lineRule="auto"/>
        <w:jc w:val="both"/>
      </w:pPr>
      <w:r>
        <w:rPr>
          <w:sz w:val="22"/>
        </w:rPr>
        <w:t>Este anexo presenta la lista de productos utilizada para verificar la funcionalidad de compra distribuida, referenciada desde la Metodología, el Resultado del Proyecto y las Conclusiones. La lista se creó y se consultó directamente contra la API real del sistema (no es un cálculo hipotético): los cinco productos ya estaban homologados entre Carulla y Éxito antes de esta prueba, con precios reales obtenidos por los scrapers del proyecto.</w:t>
      </w:r>
    </w:p>
    <w:p>
      <w:pPr>
        <w:spacing w:before="160" w:after="120"/>
        <w:jc w:val="center"/>
      </w:pPr>
      <w:r>
        <w:rPr>
          <w:b/>
          <w:sz w:val="20"/>
        </w:rPr>
        <w:t>TABLA VI. Lista utilizada para verificar la compra distribuida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Producto</w:t>
            </w:r>
          </w:p>
        </w:tc>
        <w:tc>
          <w:tcPr>
            <w:tcW w:type="dxa" w:w="2160"/>
          </w:tcPr>
          <w:p>
            <w:r>
              <w:t>Marca</w:t>
            </w:r>
          </w:p>
        </w:tc>
        <w:tc>
          <w:tcPr>
            <w:tcW w:type="dxa" w:w="2160"/>
          </w:tcPr>
          <w:p>
            <w:r>
              <w:t>Supermercado asignado</w:t>
            </w:r>
          </w:p>
        </w:tc>
        <w:tc>
          <w:tcPr>
            <w:tcW w:type="dxa" w:w="2160"/>
          </w:tcPr>
          <w:p>
            <w:r>
              <w:t>Precio</w:t>
            </w:r>
          </w:p>
        </w:tc>
      </w:tr>
      <w:tr>
        <w:tc>
          <w:tcPr>
            <w:tcW w:type="dxa" w:w="2160"/>
          </w:tcPr>
          <w:p>
            <w:r>
              <w:t>Chocolate Corona tradicional pastillado (450 g)</w:t>
            </w:r>
          </w:p>
        </w:tc>
        <w:tc>
          <w:tcPr>
            <w:tcW w:type="dxa" w:w="2160"/>
          </w:tcPr>
          <w:p>
            <w:r>
              <w:t>Corona</w:t>
            </w:r>
          </w:p>
        </w:tc>
        <w:tc>
          <w:tcPr>
            <w:tcW w:type="dxa" w:w="2160"/>
          </w:tcPr>
          <w:p>
            <w:r>
              <w:t>Carulla</w:t>
            </w:r>
          </w:p>
        </w:tc>
        <w:tc>
          <w:tcPr>
            <w:tcW w:type="dxa" w:w="2160"/>
          </w:tcPr>
          <w:p>
            <w:r>
              <w:t>$15.800</w:t>
            </w:r>
          </w:p>
        </w:tc>
      </w:tr>
      <w:tr>
        <w:tc>
          <w:tcPr>
            <w:tcW w:type="dxa" w:w="2160"/>
          </w:tcPr>
          <w:p>
            <w:r>
              <w:t>Galletas Saltín Noel tradicional x6 tacos (531 g)</w:t>
            </w:r>
          </w:p>
        </w:tc>
        <w:tc>
          <w:tcPr>
            <w:tcW w:type="dxa" w:w="2160"/>
          </w:tcPr>
          <w:p>
            <w:r>
              <w:t>Saltín Noel</w:t>
            </w:r>
          </w:p>
        </w:tc>
        <w:tc>
          <w:tcPr>
            <w:tcW w:type="dxa" w:w="2160"/>
          </w:tcPr>
          <w:p>
            <w:r>
              <w:t>Carulla</w:t>
            </w:r>
          </w:p>
        </w:tc>
        <w:tc>
          <w:tcPr>
            <w:tcW w:type="dxa" w:w="2160"/>
          </w:tcPr>
          <w:p>
            <w:r>
              <w:t>$7.425</w:t>
            </w:r>
          </w:p>
        </w:tc>
      </w:tr>
      <w:tr>
        <w:tc>
          <w:tcPr>
            <w:tcW w:type="dxa" w:w="2160"/>
          </w:tcPr>
          <w:p>
            <w:r>
              <w:t>Café Juan Valdez molido (454 g)</w:t>
            </w:r>
          </w:p>
        </w:tc>
        <w:tc>
          <w:tcPr>
            <w:tcW w:type="dxa" w:w="2160"/>
          </w:tcPr>
          <w:p>
            <w:r>
              <w:t>Juan Valdez</w:t>
            </w:r>
          </w:p>
        </w:tc>
        <w:tc>
          <w:tcPr>
            <w:tcW w:type="dxa" w:w="2160"/>
          </w:tcPr>
          <w:p>
            <w:r>
              <w:t>Carulla</w:t>
            </w:r>
          </w:p>
        </w:tc>
        <w:tc>
          <w:tcPr>
            <w:tcW w:type="dxa" w:w="2160"/>
          </w:tcPr>
          <w:p>
            <w:r>
              <w:t>$41.900</w:t>
            </w:r>
          </w:p>
        </w:tc>
      </w:tr>
      <w:tr>
        <w:tc>
          <w:tcPr>
            <w:tcW w:type="dxa" w:w="2160"/>
          </w:tcPr>
          <w:p>
            <w:r>
              <w:t>Café Tostao intenso tostado y molido (454 g)</w:t>
            </w:r>
          </w:p>
        </w:tc>
        <w:tc>
          <w:tcPr>
            <w:tcW w:type="dxa" w:w="2160"/>
          </w:tcPr>
          <w:p>
            <w:r>
              <w:t>Tostao</w:t>
            </w:r>
          </w:p>
        </w:tc>
        <w:tc>
          <w:tcPr>
            <w:tcW w:type="dxa" w:w="2160"/>
          </w:tcPr>
          <w:p>
            <w:r>
              <w:t>Éxito</w:t>
            </w:r>
          </w:p>
        </w:tc>
        <w:tc>
          <w:tcPr>
            <w:tcW w:type="dxa" w:w="2160"/>
          </w:tcPr>
          <w:p>
            <w:r>
              <w:t>$20.880</w:t>
            </w:r>
          </w:p>
        </w:tc>
      </w:tr>
      <w:tr>
        <w:tc>
          <w:tcPr>
            <w:tcW w:type="dxa" w:w="2160"/>
          </w:tcPr>
          <w:p>
            <w:r>
              <w:t>Café Tostao tostado y molido (454 g)</w:t>
            </w:r>
          </w:p>
        </w:tc>
        <w:tc>
          <w:tcPr>
            <w:tcW w:type="dxa" w:w="2160"/>
          </w:tcPr>
          <w:p>
            <w:r>
              <w:t>Tostao</w:t>
            </w:r>
          </w:p>
        </w:tc>
        <w:tc>
          <w:tcPr>
            <w:tcW w:type="dxa" w:w="2160"/>
          </w:tcPr>
          <w:p>
            <w:r>
              <w:t>Éxito</w:t>
            </w:r>
          </w:p>
        </w:tc>
        <w:tc>
          <w:tcPr>
            <w:tcW w:type="dxa" w:w="2160"/>
          </w:tcPr>
          <w:p>
            <w:r>
              <w:t>$20.880</w:t>
            </w:r>
          </w:p>
        </w:tc>
      </w:tr>
    </w:tbl>
    <w:p>
      <w:pPr>
        <w:spacing w:after="200"/>
      </w:pPr>
      <w:r>
        <w:rPr>
          <w:i/>
          <w:sz w:val="20"/>
        </w:rPr>
        <w:t>Total distribuido (Carulla + Éxito): $106.885. Total en la mejor tienda completa (Éxito): $117.390. Ahorro: $10.505. Verificado mediante la API real del sistema (lista id 5 de la base de datos, “Ejemplo Anexo - Compra Distribuida”).</w:t>
      </w:r>
    </w:p>
    <w:p>
      <w:r>
        <w:br w:type="page"/>
      </w:r>
    </w:p>
    <w:p>
      <w:pPr>
        <w:spacing w:after="200"/>
      </w:pPr>
      <w:r>
        <w:rPr>
          <w:b/>
          <w:sz w:val="32"/>
        </w:rPr>
        <w:t>Anexo B. Artefactos Técnicos del Producto (Producto)</w:t>
      </w:r>
    </w:p>
    <w:p>
      <w:pPr>
        <w:spacing w:after="200" w:line="276" w:lineRule="auto"/>
        <w:jc w:val="both"/>
      </w:pPr>
      <w:r>
        <w:rPr>
          <w:sz w:val="22"/>
        </w:rPr>
        <w:t>Este anexo presenta, en pseudocódigo, tres piezas de lógica implementadas para dar cumplimiento a los objetivos específicos: la función de comparación de productos del módulo de homologación (Figura B.1), la estrategia de agrupación y orden del listado de resultados (Figura B.2) y la selección de compra distribuida en listas (Figura B.3); las tres se describen y referencian desde la Metodología y el Resultado del Proyecto.</w:t>
      </w:r>
    </w:p>
    <w:p>
      <w:pPr>
        <w:spacing w:after="200"/>
      </w:pPr>
      <w:r>
        <w:rPr>
          <w:i/>
          <w:sz w:val="20"/>
        </w:rPr>
        <w:t>--&gt; Aquí va tu Imagen 1 (la que ya tienes). Debajo de ella escribe:</w:t>
      </w:r>
    </w:p>
    <w:p>
      <w:pPr>
        <w:spacing w:before="160" w:after="120"/>
        <w:jc w:val="center"/>
      </w:pPr>
      <w:r>
        <w:rPr>
          <w:b/>
          <w:sz w:val="20"/>
        </w:rPr>
        <w:t>Figura B.1. Pseudocódigo de la función de comparación de productos</w:t>
      </w:r>
    </w:p>
    <w:p>
      <w:pPr>
        <w:spacing w:after="200"/>
      </w:pPr>
      <w:r>
        <w:rPr>
          <w:i/>
          <w:sz w:val="20"/>
        </w:rPr>
        <w:t>--&gt; Aquí va tu Imagen 2. Debajo de ella escribe:</w:t>
      </w:r>
    </w:p>
    <w:p>
      <w:pPr>
        <w:spacing w:before="160" w:after="120"/>
        <w:jc w:val="center"/>
      </w:pPr>
      <w:r>
        <w:rPr>
          <w:b/>
          <w:sz w:val="20"/>
        </w:rPr>
        <w:t>Figura B.2. Pseudocódigo de la agrupación y orden del listado de resultados</w:t>
      </w:r>
    </w:p>
    <w:p>
      <w:pPr>
        <w:spacing w:after="200"/>
      </w:pPr>
      <w:r>
        <w:rPr>
          <w:i/>
          <w:sz w:val="20"/>
        </w:rPr>
        <w:t>--&gt; Aquí va tu Imagen 3. Debajo de ella escribe:</w:t>
      </w:r>
    </w:p>
    <w:p>
      <w:pPr>
        <w:spacing w:before="160" w:after="120"/>
        <w:jc w:val="center"/>
      </w:pPr>
      <w:r>
        <w:rPr>
          <w:b/>
          <w:sz w:val="20"/>
        </w:rPr>
        <w:t>Figura B.3. Pseudocódigo de la selección de compra distribuida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