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8D" w:rsidRPr="008C148D" w:rsidRDefault="008C148D" w:rsidP="00170859">
      <w:pPr>
        <w:jc w:val="center"/>
      </w:pPr>
      <w:bookmarkStart w:id="0" w:name="_GoBack"/>
      <w:r w:rsidRPr="008C148D">
        <w:rPr>
          <w:noProof/>
          <w:lang w:val="en-GB" w:eastAsia="en-GB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E4329C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QE 2D Data </w:t>
      </w:r>
      <w:r w:rsidRPr="00E4329C">
        <w:rPr>
          <w:sz w:val="48"/>
          <w:szCs w:val="48"/>
        </w:rPr>
        <w:t>Visualisation</w:t>
      </w:r>
      <w:r w:rsidR="00C5704E"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  <w:r>
        <w:rPr>
          <w:sz w:val="48"/>
          <w:szCs w:val="48"/>
        </w:rPr>
        <w:t>s Specification</w:t>
      </w:r>
    </w:p>
    <w:p w:rsidR="00FB4AD2" w:rsidRDefault="00FB4AD2" w:rsidP="00170859">
      <w:pPr>
        <w:jc w:val="center"/>
      </w:pPr>
      <w:r>
        <w:t>Andrew Starritt</w:t>
      </w:r>
    </w:p>
    <w:p w:rsidR="00170859" w:rsidRDefault="00F247C6" w:rsidP="00170859">
      <w:pPr>
        <w:jc w:val="center"/>
      </w:pPr>
      <w:r>
        <w:t>3</w:t>
      </w:r>
      <w:r>
        <w:rPr>
          <w:vertAlign w:val="superscript"/>
        </w:rPr>
        <w:t>rd</w:t>
      </w:r>
      <w:r w:rsidR="009A2A07">
        <w:rPr>
          <w:vertAlign w:val="superscript"/>
        </w:rPr>
        <w:t xml:space="preserve"> </w:t>
      </w:r>
      <w:r>
        <w:t>November</w:t>
      </w:r>
      <w:r w:rsidR="006B260E">
        <w:t xml:space="preserve"> </w:t>
      </w:r>
      <w:r w:rsidR="00FC334A">
        <w:t>20</w:t>
      </w:r>
      <w:r>
        <w:t>20</w:t>
      </w:r>
    </w:p>
    <w:p w:rsidR="00916341" w:rsidRDefault="00916341" w:rsidP="00916341"/>
    <w:p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247C6">
        <w:rPr>
          <w:rFonts w:ascii="Calibri" w:eastAsia="Times New Roman" w:hAnsi="Calibri" w:cs="Courier New"/>
        </w:rPr>
        <w:t>2020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C3141" w:rsidRDefault="001C3141">
          <w:pPr>
            <w:pStyle w:val="TOCHeading"/>
          </w:pPr>
          <w:r>
            <w:t>Contents</w:t>
          </w:r>
        </w:p>
        <w:p w:rsidR="00BA74B3" w:rsidRDefault="00FD7585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55308318" w:history="1">
            <w:r w:rsidR="00BA74B3" w:rsidRPr="0095364A">
              <w:rPr>
                <w:rStyle w:val="Hyperlink"/>
                <w:noProof/>
              </w:rPr>
              <w:t>Introduction</w:t>
            </w:r>
            <w:r w:rsidR="00BA74B3">
              <w:rPr>
                <w:noProof/>
                <w:webHidden/>
              </w:rPr>
              <w:tab/>
            </w:r>
            <w:r w:rsidR="00BA74B3">
              <w:rPr>
                <w:noProof/>
                <w:webHidden/>
              </w:rPr>
              <w:fldChar w:fldCharType="begin"/>
            </w:r>
            <w:r w:rsidR="00BA74B3">
              <w:rPr>
                <w:noProof/>
                <w:webHidden/>
              </w:rPr>
              <w:instrText xml:space="preserve"> PAGEREF _Toc55308318 \h </w:instrText>
            </w:r>
            <w:r w:rsidR="00BA74B3">
              <w:rPr>
                <w:noProof/>
                <w:webHidden/>
              </w:rPr>
            </w:r>
            <w:r w:rsidR="00BA74B3">
              <w:rPr>
                <w:noProof/>
                <w:webHidden/>
              </w:rPr>
              <w:fldChar w:fldCharType="separate"/>
            </w:r>
            <w:r w:rsidR="00BA74B3">
              <w:rPr>
                <w:noProof/>
                <w:webHidden/>
              </w:rPr>
              <w:t>4</w:t>
            </w:r>
            <w:r w:rsidR="00BA74B3"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19" w:history="1">
            <w:r w:rsidRPr="0095364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0" w:history="1">
            <w:r w:rsidRPr="0095364A">
              <w:rPr>
                <w:rStyle w:val="Hyperlink"/>
                <w:noProof/>
              </w:rPr>
              <w:t>QEAbstract2DData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1" w:history="1">
            <w:r w:rsidRPr="0095364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2" w:history="1">
            <w:r w:rsidRPr="0095364A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3" w:history="1">
            <w:r w:rsidRPr="0095364A">
              <w:rPr>
                <w:rStyle w:val="Hyperlink"/>
                <w:noProof/>
              </w:rPr>
              <w:t>dataVariable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4" w:history="1">
            <w:r w:rsidRPr="0095364A">
              <w:rPr>
                <w:rStyle w:val="Hyperlink"/>
                <w:noProof/>
              </w:rPr>
              <w:t>widthVariable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5" w:history="1">
            <w:r w:rsidRPr="0095364A">
              <w:rPr>
                <w:rStyle w:val="Hyperlink"/>
                <w:noProof/>
              </w:rPr>
              <w:t>variableSubstitutions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6" w:history="1">
            <w:r w:rsidRPr="0095364A">
              <w:rPr>
                <w:rStyle w:val="Hyperlink"/>
                <w:noProof/>
              </w:rPr>
              <w:t>dataWidth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7" w:history="1">
            <w:r w:rsidRPr="0095364A">
              <w:rPr>
                <w:rStyle w:val="Hyperlink"/>
                <w:noProof/>
              </w:rPr>
              <w:t>dataFormat :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8" w:history="1">
            <w:r w:rsidRPr="0095364A">
              <w:rPr>
                <w:rStyle w:val="Hyperlink"/>
                <w:noProof/>
              </w:rPr>
              <w:t>numberOfSets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29" w:history="1">
            <w:r w:rsidRPr="0095364A">
              <w:rPr>
                <w:rStyle w:val="Hyperlink"/>
                <w:noProof/>
              </w:rPr>
              <w:t>autoScale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0" w:history="1">
            <w:r w:rsidRPr="0095364A">
              <w:rPr>
                <w:rStyle w:val="Hyperlink"/>
                <w:noProof/>
              </w:rPr>
              <w:t>minimum :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1" w:history="1">
            <w:r w:rsidRPr="0095364A">
              <w:rPr>
                <w:rStyle w:val="Hyperlink"/>
                <w:noProof/>
              </w:rPr>
              <w:t>maximum :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2" w:history="1">
            <w:r w:rsidRPr="0095364A">
              <w:rPr>
                <w:rStyle w:val="Hyperlink"/>
                <w:noProof/>
              </w:rPr>
              <w:t>QESpectrogram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3" w:history="1">
            <w:r w:rsidRPr="0095364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4" w:history="1">
            <w:r w:rsidRPr="0095364A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5" w:history="1">
            <w:r w:rsidRPr="0095364A">
              <w:rPr>
                <w:rStyle w:val="Hyperlink"/>
                <w:noProof/>
              </w:rPr>
              <w:t>useFalseColour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6" w:history="1">
            <w:r w:rsidRPr="0095364A">
              <w:rPr>
                <w:rStyle w:val="Hyperlink"/>
                <w:noProof/>
              </w:rPr>
              <w:t>scaleWrap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7" w:history="1">
            <w:r w:rsidRPr="0095364A">
              <w:rPr>
                <w:rStyle w:val="Hyperlink"/>
                <w:noProof/>
              </w:rPr>
              <w:t>orientation : Qt::Orientation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8" w:history="1">
            <w:r w:rsidRPr="0095364A">
              <w:rPr>
                <w:rStyle w:val="Hyperlink"/>
                <w:noProof/>
              </w:rPr>
              <w:t>QESurface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39" w:history="1">
            <w:r w:rsidRPr="0095364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0" w:history="1">
            <w:r w:rsidRPr="0095364A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1" w:history="1">
            <w:r w:rsidRPr="0095364A">
              <w:rPr>
                <w:rStyle w:val="Hyperlink"/>
                <w:noProof/>
              </w:rPr>
              <w:t>text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2" w:history="1">
            <w:r w:rsidRPr="0095364A">
              <w:rPr>
                <w:rStyle w:val="Hyperlink"/>
                <w:noProof/>
              </w:rPr>
              <w:t>QEWaterfall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3" w:history="1">
            <w:r w:rsidRPr="0095364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4" w:history="1">
            <w:r w:rsidRPr="0095364A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2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5" w:history="1">
            <w:r w:rsidRPr="0095364A">
              <w:rPr>
                <w:rStyle w:val="Hyperlink"/>
                <w:noProof/>
              </w:rPr>
              <w:t>angle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6" w:history="1">
            <w:r w:rsidRPr="0095364A">
              <w:rPr>
                <w:rStyle w:val="Hyperlink"/>
                <w:noProof/>
              </w:rPr>
              <w:t>traceGap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7" w:history="1">
            <w:r w:rsidRPr="0095364A">
              <w:rPr>
                <w:rStyle w:val="Hyperlink"/>
                <w:noProof/>
              </w:rPr>
              <w:t>traceWidth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8" w:history="1">
            <w:r w:rsidRPr="0095364A">
              <w:rPr>
                <w:rStyle w:val="Hyperlink"/>
                <w:noProof/>
              </w:rPr>
              <w:t>traceColour : QColor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4B3" w:rsidRDefault="00BA74B3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55308349" w:history="1">
            <w:r w:rsidRPr="0095364A">
              <w:rPr>
                <w:rStyle w:val="Hyperlink"/>
                <w:noProof/>
              </w:rPr>
              <w:t>mutableHue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41" w:rsidRDefault="00FD7585">
          <w:r>
            <w:lastRenderedPageBreak/>
            <w:fldChar w:fldCharType="end"/>
          </w:r>
        </w:p>
      </w:sdtContent>
    </w:sdt>
    <w:p w:rsidR="008C148D" w:rsidRDefault="008C148D">
      <w:pPr>
        <w:sectPr w:rsidR="008C148D" w:rsidSect="0052491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0859" w:rsidRDefault="00170859" w:rsidP="00170859">
      <w:pPr>
        <w:pStyle w:val="Heading1"/>
      </w:pPr>
      <w:bookmarkStart w:id="1" w:name="_Ref342384189"/>
      <w:bookmarkStart w:id="2" w:name="_Toc55308318"/>
      <w:r>
        <w:lastRenderedPageBreak/>
        <w:t>Introduction</w:t>
      </w:r>
      <w:bookmarkEnd w:id="1"/>
      <w:bookmarkEnd w:id="2"/>
    </w:p>
    <w:p w:rsidR="00236B6B" w:rsidRDefault="00236B6B" w:rsidP="00236B6B">
      <w:r>
        <w:t xml:space="preserve">This document describes in detail the QE2DDataVisualisation widgets (strictly speaking, we should call these widget classes, but the term “widget” is often used through-out this document) which are </w:t>
      </w:r>
      <w:r w:rsidR="001A3A49">
        <w:t xml:space="preserve">group </w:t>
      </w:r>
      <w:r>
        <w:t>of three EPICS aware widgets provided by the EPICS Qt, aka QE, Framework.</w:t>
      </w:r>
    </w:p>
    <w:p w:rsidR="00236B6B" w:rsidRDefault="00236B6B" w:rsidP="00236B6B">
      <w:r>
        <w:t>This document was created as a separate widget specification document. The main reason for this is ease of maintenance and avoiding editing large and unwieldy word documents.</w:t>
      </w:r>
    </w:p>
    <w:p w:rsidR="00523C55" w:rsidRDefault="00236B6B" w:rsidP="00236B6B">
      <w:r>
        <w:t>The QE Framework is distributed under the GNU Lesser General Public License version 3, distributed with the framework in the file LICENSE. It may also be obtained from here</w:t>
      </w:r>
      <w:r w:rsidR="00503EAD">
        <w:t xml:space="preserve">: </w:t>
      </w:r>
      <w:hyperlink r:id="rId11" w:history="1">
        <w:r w:rsidR="00F15CBE">
          <w:rPr>
            <w:rStyle w:val="Hyperlink"/>
          </w:rPr>
          <w:t>http://www.gnu.org/licenses/lgpl-3.0-standalone.html</w:t>
        </w:r>
      </w:hyperlink>
    </w:p>
    <w:p w:rsidR="004939B2" w:rsidRDefault="0032316B" w:rsidP="00816937">
      <w:pPr>
        <w:pStyle w:val="Heading1"/>
      </w:pPr>
      <w:bookmarkStart w:id="3" w:name="_Toc55308319"/>
      <w:r>
        <w:t>Descript</w:t>
      </w:r>
      <w:r w:rsidR="003905FF">
        <w:t>ion</w:t>
      </w:r>
      <w:bookmarkEnd w:id="3"/>
    </w:p>
    <w:p w:rsidR="00034932" w:rsidRDefault="00034932" w:rsidP="00034932">
      <w:r>
        <w:t>The QE2DDataVisualisation widgets allow the presentation of 2D data to the user using one of three widgets described below, each presenting the data in a different format. While there are three distinct widgets (as opposed to a single widget type that could morph into each format), each use the same data model by inheriting from a common abstract widget, QEAbstract2DData, also described below.</w:t>
      </w:r>
    </w:p>
    <w:p w:rsidR="00034932" w:rsidRDefault="00034932" w:rsidP="00034932">
      <w:pPr>
        <w:pStyle w:val="Heading1"/>
      </w:pPr>
      <w:bookmarkStart w:id="4" w:name="__RefHeading___Toc477_2825637425"/>
      <w:bookmarkStart w:id="5" w:name="_Toc55308320"/>
      <w:bookmarkEnd w:id="4"/>
      <w:r>
        <w:t>QEAbstract2DData</w:t>
      </w:r>
      <w:bookmarkEnd w:id="5"/>
    </w:p>
    <w:p w:rsidR="00034932" w:rsidRDefault="00034932" w:rsidP="00034932">
      <w:pPr>
        <w:pStyle w:val="Heading2"/>
      </w:pPr>
      <w:bookmarkStart w:id="6" w:name="__RefHeading___Toc500_2825637425"/>
      <w:bookmarkStart w:id="7" w:name="_Toc55308321"/>
      <w:bookmarkEnd w:id="6"/>
      <w:r>
        <w:t>Description</w:t>
      </w:r>
      <w:bookmarkEnd w:id="7"/>
    </w:p>
    <w:p w:rsidR="00034932" w:rsidRDefault="001B11A3" w:rsidP="00034932">
      <w:r>
        <w:t>The</w:t>
      </w:r>
      <w:r w:rsidR="00034932">
        <w:t xml:space="preserve"> QEAbstract2DData widget is the bas</w:t>
      </w:r>
      <w:r w:rsidR="001A3A49">
        <w:t xml:space="preserve">e class for the QESpectrogram, </w:t>
      </w:r>
      <w:r w:rsidR="00B3631C">
        <w:t>QESurface and</w:t>
      </w:r>
      <w:r w:rsidR="00034932">
        <w:t xml:space="preserve"> QEWaterfall widgets and itself directly inherits from the QEFrame widget. It could be used as the base class for other widgets providing some 2D data representation.</w:t>
      </w:r>
    </w:p>
    <w:p w:rsidR="00034932" w:rsidRDefault="00034932" w:rsidP="00034932">
      <w:r>
        <w:t xml:space="preserve">This class manages the PV data and its organisation into “rows” and “cols”. This widget can handle arrays of any numeric data type. It also provides a number of </w:t>
      </w:r>
      <w:r w:rsidR="00B3631C">
        <w:t>protected utility methods available to QESpectrogram, QESurface and</w:t>
      </w:r>
      <w:r>
        <w:t xml:space="preserve"> </w:t>
      </w:r>
      <w:r w:rsidR="00B3631C">
        <w:t>QEWaterfall to extract the data and data attributes.</w:t>
      </w:r>
    </w:p>
    <w:p w:rsidR="00034932" w:rsidRDefault="00B3631C" w:rsidP="00034932">
      <w:r>
        <w:t>Depending on the value of the</w:t>
      </w:r>
      <w:r w:rsidR="00034932">
        <w:t xml:space="preserve"> </w:t>
      </w:r>
      <w:r w:rsidR="00034932" w:rsidRPr="00A100D5">
        <w:rPr>
          <w:i/>
        </w:rPr>
        <w:t>dataFormat</w:t>
      </w:r>
      <w:r w:rsidR="00034932">
        <w:t xml:space="preserve"> property, the data is interpreted as either a 1D data array or a 2D data array.</w:t>
      </w:r>
    </w:p>
    <w:p w:rsidR="00034932" w:rsidRDefault="00034932" w:rsidP="00034932">
      <w:r>
        <w:t xml:space="preserve">When </w:t>
      </w:r>
      <w:r w:rsidR="00B3631C">
        <w:t xml:space="preserve">the </w:t>
      </w:r>
      <w:r w:rsidRPr="00A100D5">
        <w:rPr>
          <w:i/>
        </w:rPr>
        <w:t>dataFormat</w:t>
      </w:r>
      <w:r>
        <w:t xml:space="preserve"> </w:t>
      </w:r>
      <w:r w:rsidR="00B3631C">
        <w:t xml:space="preserve">property </w:t>
      </w:r>
      <w:r>
        <w:t xml:space="preserve">is </w:t>
      </w:r>
      <w:r w:rsidRPr="00B3631C">
        <w:rPr>
          <w:i/>
        </w:rPr>
        <w:t>array2D</w:t>
      </w:r>
      <w:r>
        <w:t xml:space="preserve">, a width must be provided, either via the </w:t>
      </w:r>
      <w:r w:rsidRPr="00A100D5">
        <w:rPr>
          <w:i/>
        </w:rPr>
        <w:t>widthVariable</w:t>
      </w:r>
      <w:r>
        <w:t xml:space="preserve"> (primary source) or via the </w:t>
      </w:r>
      <w:r w:rsidRPr="00A100D5">
        <w:rPr>
          <w:i/>
        </w:rPr>
        <w:t>dataWidth</w:t>
      </w:r>
      <w:r>
        <w:t xml:space="preserve"> property (secondary source). The width defines the number of “columns” and is used to break the </w:t>
      </w:r>
      <w:r w:rsidR="00B3631C">
        <w:t xml:space="preserve">source </w:t>
      </w:r>
      <w:r>
        <w:t xml:space="preserve">data up into “rows”.  The number of “rows” is calculated from the number of elements in the </w:t>
      </w:r>
      <w:r w:rsidRPr="00A100D5">
        <w:rPr>
          <w:i/>
        </w:rPr>
        <w:t>dataVariable</w:t>
      </w:r>
      <w:r>
        <w:t xml:space="preserve"> process variable.</w:t>
      </w:r>
    </w:p>
    <w:p w:rsidR="004A067C" w:rsidRDefault="00B3631C" w:rsidP="00B3631C">
      <w:r>
        <w:t>When</w:t>
      </w:r>
      <w:r w:rsidR="00034932">
        <w:t xml:space="preserve"> </w:t>
      </w:r>
      <w:r>
        <w:t xml:space="preserve">the </w:t>
      </w:r>
      <w:r w:rsidR="00034932" w:rsidRPr="00A100D5">
        <w:rPr>
          <w:i/>
        </w:rPr>
        <w:t>dataFormat</w:t>
      </w:r>
      <w:r w:rsidR="00034932">
        <w:t xml:space="preserve"> </w:t>
      </w:r>
      <w:r>
        <w:t xml:space="preserve">property </w:t>
      </w:r>
      <w:r w:rsidR="00034932">
        <w:t xml:space="preserve">is </w:t>
      </w:r>
      <w:r w:rsidR="00034932" w:rsidRPr="00B3631C">
        <w:rPr>
          <w:i/>
        </w:rPr>
        <w:t>array1D</w:t>
      </w:r>
      <w:r w:rsidR="00034932">
        <w:t>, a width is not required and a</w:t>
      </w:r>
      <w:r>
        <w:t xml:space="preserve">ny width value is ignored. The </w:t>
      </w:r>
      <w:r w:rsidR="00034932">
        <w:t xml:space="preserve">number of “columns” is just the number of elements in the </w:t>
      </w:r>
      <w:r w:rsidR="00034932" w:rsidRPr="00A100D5">
        <w:rPr>
          <w:i/>
        </w:rPr>
        <w:t>dataVar</w:t>
      </w:r>
      <w:r w:rsidRPr="00A100D5">
        <w:rPr>
          <w:i/>
        </w:rPr>
        <w:t>iable</w:t>
      </w:r>
      <w:r>
        <w:t xml:space="preserve"> process variable, and the</w:t>
      </w:r>
      <w:r w:rsidR="00034932">
        <w:t xml:space="preserve"> number of “rows” is defined by the </w:t>
      </w:r>
      <w:r w:rsidR="00034932" w:rsidRPr="00A100D5">
        <w:rPr>
          <w:i/>
        </w:rPr>
        <w:t>numberOfSets</w:t>
      </w:r>
      <w:r w:rsidR="00034932">
        <w:t xml:space="preserve"> property. In this mode, the </w:t>
      </w:r>
      <w:r>
        <w:t xml:space="preserve">QEAbstract2DData widget </w:t>
      </w:r>
      <w:r w:rsidR="00034932">
        <w:t xml:space="preserve">accumulates data sets on a FIFO bases (not dis-similar to the compress record in circular buffer mode) </w:t>
      </w:r>
      <w:r>
        <w:lastRenderedPageBreak/>
        <w:t xml:space="preserve">up-to a maximum of </w:t>
      </w:r>
      <w:r w:rsidR="00034932" w:rsidRPr="00A100D5">
        <w:rPr>
          <w:i/>
        </w:rPr>
        <w:t>numberOfSets</w:t>
      </w:r>
      <w:r w:rsidR="00034932">
        <w:t xml:space="preserve"> “rows” of data. The accumulated data is then treated as a 2D array of data.</w:t>
      </w:r>
    </w:p>
    <w:p w:rsidR="00034932" w:rsidRDefault="004A067C" w:rsidP="00B3631C">
      <w:r>
        <w:t>T</w:t>
      </w:r>
      <w:r w:rsidR="00A100D5">
        <w:t>he</w:t>
      </w:r>
      <w:r w:rsidR="00B3631C">
        <w:t xml:space="preserve"> widget provides no means to accumulate scalar</w:t>
      </w:r>
      <w:r w:rsidR="00A100D5">
        <w:t xml:space="preserve"> data</w:t>
      </w:r>
      <w:r w:rsidR="00B3631C">
        <w:t>; such functionality would have to be provided by an IOC.</w:t>
      </w:r>
    </w:p>
    <w:p w:rsidR="004A067C" w:rsidRDefault="004A067C" w:rsidP="00B3631C">
      <w:r>
        <w:t xml:space="preserve">The widget triggers a display update each time it receives a </w:t>
      </w:r>
      <w:r w:rsidRPr="004A067C">
        <w:rPr>
          <w:i/>
        </w:rPr>
        <w:t>dataVariable</w:t>
      </w:r>
      <w:r>
        <w:t xml:space="preserve"> update irrespective of the duration since the last update. Any decimation and/or updating at a fixed interval </w:t>
      </w:r>
      <w:proofErr w:type="spellStart"/>
      <w:r>
        <w:t>functionalityis</w:t>
      </w:r>
      <w:proofErr w:type="spellEnd"/>
      <w:r>
        <w:t xml:space="preserve"> beyond the scope of this widget and must be provided by an IOC.</w:t>
      </w:r>
    </w:p>
    <w:p w:rsidR="00034932" w:rsidRDefault="00034932" w:rsidP="00034932">
      <w:pPr>
        <w:pStyle w:val="Heading2"/>
      </w:pPr>
      <w:bookmarkStart w:id="8" w:name="__RefHeading___Toc479_2825637425"/>
      <w:bookmarkStart w:id="9" w:name="_Toc55308322"/>
      <w:bookmarkEnd w:id="8"/>
      <w:r>
        <w:t>Properties</w:t>
      </w:r>
      <w:bookmarkEnd w:id="9"/>
    </w:p>
    <w:p w:rsidR="00034932" w:rsidRDefault="00034932" w:rsidP="00034932">
      <w:pPr>
        <w:pStyle w:val="Heading3"/>
      </w:pPr>
      <w:bookmarkStart w:id="10" w:name="__RefHeading___Toc897_1117627534"/>
      <w:bookmarkStart w:id="11" w:name="_Toc55308323"/>
      <w:bookmarkEnd w:id="10"/>
      <w:proofErr w:type="gramStart"/>
      <w:r>
        <w:t>dataVariable :</w:t>
      </w:r>
      <w:proofErr w:type="gramEnd"/>
      <w:r>
        <w:t xml:space="preserve"> QString</w:t>
      </w:r>
      <w:bookmarkEnd w:id="11"/>
    </w:p>
    <w:p w:rsidR="00034932" w:rsidRDefault="00034932" w:rsidP="00034932">
      <w:r>
        <w:t>This defines the process variable name that provides the data.</w:t>
      </w:r>
    </w:p>
    <w:p w:rsidR="00034932" w:rsidRDefault="00034932" w:rsidP="00034932">
      <w:pPr>
        <w:pStyle w:val="Heading3"/>
      </w:pPr>
      <w:bookmarkStart w:id="12" w:name="__RefHeading___Toc899_1117627534"/>
      <w:bookmarkStart w:id="13" w:name="_Toc55308324"/>
      <w:bookmarkEnd w:id="12"/>
      <w:proofErr w:type="gramStart"/>
      <w:r>
        <w:t>widthVariable :</w:t>
      </w:r>
      <w:proofErr w:type="gramEnd"/>
      <w:r>
        <w:t xml:space="preserve"> QString</w:t>
      </w:r>
      <w:bookmarkEnd w:id="13"/>
    </w:p>
    <w:p w:rsidR="00034932" w:rsidRDefault="00034932" w:rsidP="00034932">
      <w:r>
        <w:t xml:space="preserve">This defines the process variable name that provides the data width (optional, </w:t>
      </w:r>
      <w:r w:rsidR="004360D3">
        <w:t xml:space="preserve">as the value </w:t>
      </w:r>
      <w:r>
        <w:t>can be pr</w:t>
      </w:r>
      <w:r w:rsidR="00A100D5">
        <w:t xml:space="preserve">ovided </w:t>
      </w:r>
      <w:r w:rsidR="004360D3">
        <w:t xml:space="preserve">using the </w:t>
      </w:r>
      <w:r w:rsidR="004360D3" w:rsidRPr="004360D3">
        <w:rPr>
          <w:i/>
        </w:rPr>
        <w:t>dataWidth</w:t>
      </w:r>
      <w:r w:rsidR="00A100D5">
        <w:t xml:space="preserve"> property). A </w:t>
      </w:r>
      <w:r>
        <w:t xml:space="preserve">data width is </w:t>
      </w:r>
      <w:r w:rsidR="004360D3">
        <w:t xml:space="preserve">only </w:t>
      </w:r>
      <w:r>
        <w:t xml:space="preserve">needed when the data format is </w:t>
      </w:r>
      <w:r w:rsidR="004360D3" w:rsidRPr="004360D3">
        <w:rPr>
          <w:i/>
        </w:rPr>
        <w:t>array</w:t>
      </w:r>
      <w:r w:rsidRPr="004360D3">
        <w:rPr>
          <w:i/>
        </w:rPr>
        <w:t>2D</w:t>
      </w:r>
      <w:r>
        <w:t>.</w:t>
      </w:r>
    </w:p>
    <w:p w:rsidR="00034932" w:rsidRDefault="00034932" w:rsidP="00034932">
      <w:pPr>
        <w:pStyle w:val="Heading3"/>
      </w:pPr>
      <w:bookmarkStart w:id="14" w:name="__RefHeading___Toc901_1117627534"/>
      <w:bookmarkStart w:id="15" w:name="_Toc55308325"/>
      <w:bookmarkEnd w:id="14"/>
      <w:proofErr w:type="gramStart"/>
      <w:r>
        <w:t>variableSubstitutions :</w:t>
      </w:r>
      <w:proofErr w:type="gramEnd"/>
      <w:r>
        <w:t xml:space="preserve"> QString</w:t>
      </w:r>
      <w:bookmarkEnd w:id="15"/>
    </w:p>
    <w:p w:rsidR="00034932" w:rsidRDefault="00034932" w:rsidP="00034932">
      <w:r>
        <w:t xml:space="preserve">This defines the default substitutions that are applied to </w:t>
      </w:r>
      <w:r w:rsidR="00A100D5">
        <w:t>both</w:t>
      </w:r>
      <w:r>
        <w:t xml:space="preserve"> variable names.</w:t>
      </w:r>
    </w:p>
    <w:p w:rsidR="00034932" w:rsidRDefault="00034932" w:rsidP="00034932">
      <w:pPr>
        <w:pStyle w:val="Heading3"/>
      </w:pPr>
      <w:bookmarkStart w:id="16" w:name="__RefHeading___Toc903_1117627534"/>
      <w:bookmarkStart w:id="17" w:name="_Toc55308326"/>
      <w:bookmarkEnd w:id="16"/>
      <w:proofErr w:type="gramStart"/>
      <w:r>
        <w:t>dataWidth :</w:t>
      </w:r>
      <w:proofErr w:type="gramEnd"/>
      <w:r>
        <w:t xml:space="preserve"> int</w:t>
      </w:r>
      <w:bookmarkEnd w:id="17"/>
    </w:p>
    <w:p w:rsidR="00034932" w:rsidRDefault="00034932" w:rsidP="00034932">
      <w:proofErr w:type="gramStart"/>
      <w:r>
        <w:rPr>
          <w:i/>
          <w:iCs/>
        </w:rPr>
        <w:t>allowed</w:t>
      </w:r>
      <w:proofErr w:type="gramEnd"/>
      <w:r>
        <w:rPr>
          <w:i/>
          <w:iCs/>
        </w:rPr>
        <w:t xml:space="preserve"> range:</w:t>
      </w:r>
      <w:r>
        <w:t xml:space="preserve"> &gt;= 1</w:t>
      </w:r>
      <w:r>
        <w:br/>
      </w:r>
      <w:r>
        <w:rPr>
          <w:i/>
        </w:rPr>
        <w:t>default value:</w:t>
      </w:r>
      <w:r>
        <w:t xml:space="preserve"> 100</w:t>
      </w:r>
      <w:r>
        <w:br/>
        <w:t xml:space="preserve">This provides a data width values, which is used only if the  </w:t>
      </w:r>
      <w:r w:rsidRPr="00A100D5">
        <w:rPr>
          <w:i/>
        </w:rPr>
        <w:t>widthVariable</w:t>
      </w:r>
      <w:r>
        <w:t xml:space="preserve"> is undefined.</w:t>
      </w:r>
    </w:p>
    <w:p w:rsidR="00034932" w:rsidRDefault="00034932" w:rsidP="00034932">
      <w:pPr>
        <w:pStyle w:val="Heading3"/>
      </w:pPr>
      <w:bookmarkStart w:id="18" w:name="__RefHeading___Toc911_1117627534"/>
      <w:bookmarkStart w:id="19" w:name="_Toc55308327"/>
      <w:bookmarkEnd w:id="18"/>
      <w:proofErr w:type="gramStart"/>
      <w:r>
        <w:t>dataFormat :</w:t>
      </w:r>
      <w:proofErr w:type="gramEnd"/>
      <w:r>
        <w:t xml:space="preserve"> enum</w:t>
      </w:r>
      <w:bookmarkEnd w:id="19"/>
    </w:p>
    <w:p w:rsidR="00034932" w:rsidRDefault="00034932" w:rsidP="00034932">
      <w:proofErr w:type="gramStart"/>
      <w:r>
        <w:rPr>
          <w:i/>
          <w:iCs/>
        </w:rPr>
        <w:t>allowed</w:t>
      </w:r>
      <w:proofErr w:type="gramEnd"/>
      <w:r>
        <w:rPr>
          <w:i/>
          <w:iCs/>
        </w:rPr>
        <w:t xml:space="preserve"> values:</w:t>
      </w:r>
      <w:r>
        <w:t xml:space="preserve"> array1D, array2D</w:t>
      </w:r>
      <w:r>
        <w:br/>
      </w:r>
      <w:r>
        <w:rPr>
          <w:i/>
          <w:iCs/>
        </w:rPr>
        <w:t>default value:</w:t>
      </w:r>
      <w:r>
        <w:t xml:space="preserve"> array2D</w:t>
      </w:r>
    </w:p>
    <w:p w:rsidR="00034932" w:rsidRDefault="00034932" w:rsidP="00034932">
      <w:r>
        <w:t>This controls how the data is interpreted.</w:t>
      </w:r>
    </w:p>
    <w:p w:rsidR="00034932" w:rsidRDefault="00034932" w:rsidP="00034932">
      <w:pPr>
        <w:pStyle w:val="Heading3"/>
      </w:pPr>
      <w:bookmarkStart w:id="20" w:name="__RefHeading___Toc913_1117627534"/>
      <w:bookmarkStart w:id="21" w:name="_Toc55308328"/>
      <w:bookmarkEnd w:id="20"/>
      <w:proofErr w:type="gramStart"/>
      <w:r>
        <w:t>numberOfSets</w:t>
      </w:r>
      <w:r w:rsidR="000D32AF">
        <w:t xml:space="preserve"> </w:t>
      </w:r>
      <w:r>
        <w:t>:</w:t>
      </w:r>
      <w:proofErr w:type="gramEnd"/>
      <w:r>
        <w:t xml:space="preserve"> int</w:t>
      </w:r>
      <w:bookmarkEnd w:id="21"/>
    </w:p>
    <w:p w:rsidR="00034932" w:rsidRDefault="00034932" w:rsidP="00034932">
      <w:proofErr w:type="gramStart"/>
      <w:r>
        <w:rPr>
          <w:i/>
        </w:rPr>
        <w:t>allowed</w:t>
      </w:r>
      <w:proofErr w:type="gramEnd"/>
      <w:r>
        <w:rPr>
          <w:i/>
        </w:rPr>
        <w:t xml:space="preserve"> range:</w:t>
      </w:r>
      <w:r>
        <w:t xml:space="preserve"> 1 to 1024</w:t>
      </w:r>
      <w:r>
        <w:br/>
      </w:r>
      <w:r>
        <w:rPr>
          <w:i/>
        </w:rPr>
        <w:t>default value:</w:t>
      </w:r>
      <w:r>
        <w:t xml:space="preserve"> 40</w:t>
      </w:r>
    </w:p>
    <w:p w:rsidR="00034932" w:rsidRDefault="00034932" w:rsidP="00034932">
      <w:r>
        <w:t>This controls the number of data sets to be accumulated if/when the</w:t>
      </w:r>
      <w:r w:rsidR="004360D3">
        <w:t xml:space="preserve"> dataFormat is defined to be </w:t>
      </w:r>
      <w:r w:rsidR="004360D3" w:rsidRPr="004360D3">
        <w:rPr>
          <w:i/>
        </w:rPr>
        <w:t>arr</w:t>
      </w:r>
      <w:r w:rsidRPr="004360D3">
        <w:rPr>
          <w:i/>
        </w:rPr>
        <w:t>ay1D</w:t>
      </w:r>
      <w:r>
        <w:t>.</w:t>
      </w:r>
    </w:p>
    <w:p w:rsidR="00034932" w:rsidRDefault="00034932" w:rsidP="00034932">
      <w:pPr>
        <w:pStyle w:val="Heading3"/>
      </w:pPr>
      <w:bookmarkStart w:id="22" w:name="__RefHeading___Toc929_1117627534"/>
      <w:bookmarkStart w:id="23" w:name="_Toc55308329"/>
      <w:bookmarkEnd w:id="22"/>
      <w:proofErr w:type="gramStart"/>
      <w:r>
        <w:t>autoScale :</w:t>
      </w:r>
      <w:proofErr w:type="gramEnd"/>
      <w:r>
        <w:t xml:space="preserve"> bool</w:t>
      </w:r>
      <w:bookmarkEnd w:id="23"/>
    </w:p>
    <w:p w:rsidR="00034932" w:rsidRDefault="00034932" w:rsidP="00034932">
      <w:proofErr w:type="gramStart"/>
      <w:r>
        <w:rPr>
          <w:i/>
        </w:rPr>
        <w:t>default</w:t>
      </w:r>
      <w:proofErr w:type="gramEnd"/>
      <w:r>
        <w:rPr>
          <w:i/>
        </w:rPr>
        <w:t xml:space="preserve"> value:</w:t>
      </w:r>
      <w:r>
        <w:t xml:space="preserve"> true</w:t>
      </w:r>
    </w:p>
    <w:p w:rsidR="00034932" w:rsidRDefault="00034932" w:rsidP="00034932">
      <w:r>
        <w:t>When set true, the widget will use the minimum and maximum values extract form the PV data sets to scale the widget when rendering the data</w:t>
      </w:r>
      <w:r w:rsidR="00A100D5">
        <w:t xml:space="preserve"> to the </w:t>
      </w:r>
      <w:proofErr w:type="gramStart"/>
      <w:r w:rsidR="00A100D5">
        <w:t>user</w:t>
      </w:r>
      <w:r>
        <w:t>.</w:t>
      </w:r>
      <w:proofErr w:type="gramEnd"/>
    </w:p>
    <w:p w:rsidR="00034932" w:rsidRDefault="00034932" w:rsidP="00034932">
      <w:pPr>
        <w:pStyle w:val="Heading3"/>
      </w:pPr>
      <w:bookmarkStart w:id="24" w:name="__RefHeading___Toc907_1117627534"/>
      <w:bookmarkStart w:id="25" w:name="_Toc55308330"/>
      <w:bookmarkEnd w:id="24"/>
      <w:proofErr w:type="gramStart"/>
      <w:r>
        <w:t>minimum :</w:t>
      </w:r>
      <w:proofErr w:type="gramEnd"/>
      <w:r>
        <w:t xml:space="preserve"> double</w:t>
      </w:r>
      <w:bookmarkEnd w:id="25"/>
    </w:p>
    <w:p w:rsidR="00034932" w:rsidRDefault="00034932" w:rsidP="00034932"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value:</w:t>
      </w:r>
      <w:r>
        <w:t xml:space="preserve"> 0.0</w:t>
      </w:r>
    </w:p>
    <w:p w:rsidR="00034932" w:rsidRDefault="00034932" w:rsidP="00034932">
      <w:r>
        <w:lastRenderedPageBreak/>
        <w:t xml:space="preserve">This defines the minimum value to be used when rendering the data if </w:t>
      </w:r>
      <w:r w:rsidRPr="00A100D5">
        <w:rPr>
          <w:i/>
        </w:rPr>
        <w:t>autoScale</w:t>
      </w:r>
      <w:r>
        <w:t xml:space="preserve"> is set false. The</w:t>
      </w:r>
      <w:r w:rsidR="00A100D5">
        <w:t xml:space="preserve"> widget ensures that </w:t>
      </w:r>
      <w:r w:rsidR="00A100D5" w:rsidRPr="004360D3">
        <w:rPr>
          <w:i/>
        </w:rPr>
        <w:t>maximum</w:t>
      </w:r>
      <w:r w:rsidR="00A100D5">
        <w:t xml:space="preserve"> &gt;=</w:t>
      </w:r>
      <w:r>
        <w:t xml:space="preserve"> </w:t>
      </w:r>
      <w:r w:rsidRPr="004360D3">
        <w:rPr>
          <w:i/>
        </w:rPr>
        <w:t>minimum</w:t>
      </w:r>
      <w:r>
        <w:t xml:space="preserve"> + 0.001 at all times.</w:t>
      </w:r>
    </w:p>
    <w:p w:rsidR="00034932" w:rsidRDefault="000D32AF" w:rsidP="00034932">
      <w:pPr>
        <w:pStyle w:val="Heading3"/>
      </w:pPr>
      <w:bookmarkStart w:id="26" w:name="__RefHeading___Toc909_1117627534"/>
      <w:bookmarkStart w:id="27" w:name="_Toc55308331"/>
      <w:bookmarkEnd w:id="26"/>
      <w:proofErr w:type="gramStart"/>
      <w:r>
        <w:t xml:space="preserve">maximum </w:t>
      </w:r>
      <w:r w:rsidR="00034932">
        <w:t>:</w:t>
      </w:r>
      <w:proofErr w:type="gramEnd"/>
      <w:r w:rsidR="00034932">
        <w:t xml:space="preserve"> double</w:t>
      </w:r>
      <w:bookmarkEnd w:id="27"/>
    </w:p>
    <w:p w:rsidR="00034932" w:rsidRDefault="00034932" w:rsidP="00034932"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value:</w:t>
      </w:r>
      <w:r>
        <w:t xml:space="preserve"> 255.0</w:t>
      </w:r>
    </w:p>
    <w:p w:rsidR="00034932" w:rsidRDefault="00034932" w:rsidP="00034932">
      <w:r>
        <w:t>This defines the maximum value to be used when rendering the data if autoScale is set false.</w:t>
      </w:r>
    </w:p>
    <w:p w:rsidR="00034932" w:rsidRDefault="00034932" w:rsidP="00034932">
      <w:pPr>
        <w:pStyle w:val="Heading1"/>
      </w:pPr>
      <w:bookmarkStart w:id="28" w:name="__RefHeading___Toc481_2825637425"/>
      <w:bookmarkStart w:id="29" w:name="_Toc55308332"/>
      <w:bookmarkEnd w:id="28"/>
      <w:r>
        <w:t>QESpectrogram</w:t>
      </w:r>
      <w:bookmarkEnd w:id="29"/>
    </w:p>
    <w:p w:rsidR="00034932" w:rsidRDefault="00034932" w:rsidP="00034932">
      <w:pPr>
        <w:pStyle w:val="Heading2"/>
      </w:pPr>
      <w:bookmarkStart w:id="30" w:name="__RefHeading___Toc502_2825637425"/>
      <w:bookmarkStart w:id="31" w:name="_Toc55308333"/>
      <w:bookmarkEnd w:id="30"/>
      <w:r>
        <w:t>Description</w:t>
      </w:r>
      <w:bookmarkEnd w:id="31"/>
    </w:p>
    <w:p w:rsidR="000D32AF" w:rsidRDefault="00A100D5" w:rsidP="00A100D5">
      <w:r>
        <w:t xml:space="preserve">The QESpectrogram presents </w:t>
      </w:r>
      <w:r w:rsidR="004A067C">
        <w:t>the data to the users by assigning a colour (grey scale or false colour) to each element of the 2D array of data.</w:t>
      </w:r>
      <w:r w:rsidR="004360D3">
        <w:t xml:space="preserve"> Each element is presented in a grid of “pixels”.</w:t>
      </w:r>
      <w:r w:rsidR="000D32AF">
        <w:t xml:space="preserve"> See the example in Figure 1 below.</w:t>
      </w:r>
    </w:p>
    <w:p w:rsidR="00A100D5" w:rsidRDefault="004360D3" w:rsidP="00A100D5">
      <w:r>
        <w:t xml:space="preserve">When the </w:t>
      </w:r>
      <w:r w:rsidRPr="000D32AF">
        <w:rPr>
          <w:i/>
        </w:rPr>
        <w:t>dataFormat</w:t>
      </w:r>
      <w:r>
        <w:t xml:space="preserve"> is </w:t>
      </w:r>
      <w:r w:rsidRPr="000D32AF">
        <w:rPr>
          <w:i/>
        </w:rPr>
        <w:t>array1D</w:t>
      </w:r>
      <w:r>
        <w:t>, the data accu</w:t>
      </w:r>
      <w:r w:rsidR="000D32AF">
        <w:t>mulates</w:t>
      </w:r>
      <w:r>
        <w:t xml:space="preserve"> downwards until full</w:t>
      </w:r>
      <w:r w:rsidR="000D32AF">
        <w:t xml:space="preserve">, and then scrolls up 1 row at a time as each new data set arrives, i.e. oldest data at the top, newest data at the bottom. If the </w:t>
      </w:r>
      <w:r w:rsidR="000D32AF" w:rsidRPr="000D32AF">
        <w:rPr>
          <w:i/>
        </w:rPr>
        <w:t>orientation</w:t>
      </w:r>
      <w:r w:rsidR="000D32AF">
        <w:t xml:space="preserve"> property is set to </w:t>
      </w:r>
      <w:r w:rsidR="000D32AF" w:rsidRPr="000D32AF">
        <w:rPr>
          <w:i/>
        </w:rPr>
        <w:t>Horizontal</w:t>
      </w:r>
      <w:r w:rsidR="000D32AF">
        <w:t>, then this becomes: the data accumulates left-to-right until full, and then scrolls left 1 column at a time as each new data set arrives, i.e. oldest data on the left, newest data on the right.</w:t>
      </w:r>
    </w:p>
    <w:p w:rsidR="00034932" w:rsidRDefault="000D32AF" w:rsidP="00034932">
      <w:r>
        <w:t>As the mouse moves over the QESpectrogram widget, a readout message is display</w:t>
      </w:r>
      <w:r w:rsidR="002225EA">
        <w:t>ed</w:t>
      </w:r>
      <w:r>
        <w:t xml:space="preserve"> on the status bar showing the row, column and the </w:t>
      </w:r>
      <w:r w:rsidR="002225EA">
        <w:t>data element</w:t>
      </w:r>
      <w:r>
        <w:t xml:space="preserve"> value.</w:t>
      </w:r>
      <w:r>
        <w:br/>
      </w:r>
    </w:p>
    <w:p w:rsidR="00034932" w:rsidRDefault="00034932" w:rsidP="00034932">
      <w:pPr>
        <w:jc w:val="center"/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4CA7C7C5" wp14:editId="5BA7B3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2059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1 – QESpectrogram – data format: array1D, </w:t>
      </w:r>
      <w:r w:rsidR="004A067C">
        <w:t xml:space="preserve">and is approx. 50% </w:t>
      </w:r>
      <w:r>
        <w:t>full</w:t>
      </w:r>
    </w:p>
    <w:p w:rsidR="00034932" w:rsidRDefault="00034932" w:rsidP="00034932">
      <w:pPr>
        <w:pStyle w:val="Heading2"/>
      </w:pPr>
    </w:p>
    <w:p w:rsidR="00034932" w:rsidRDefault="00034932" w:rsidP="00034932">
      <w:r>
        <w:t xml:space="preserve">Note: this widget may be used to display a mono </w:t>
      </w:r>
      <w:r w:rsidR="000D32AF">
        <w:t>image;</w:t>
      </w:r>
      <w:r>
        <w:t xml:space="preserve"> however it would have non</w:t>
      </w:r>
      <w:r w:rsidR="000D32AF">
        <w:t>e</w:t>
      </w:r>
      <w:r>
        <w:t xml:space="preserve"> of the additional functionality provided by the QEImage widget.</w:t>
      </w:r>
    </w:p>
    <w:p w:rsidR="00034932" w:rsidRDefault="00034932" w:rsidP="00034932"/>
    <w:p w:rsidR="00034932" w:rsidRDefault="00034932" w:rsidP="00034932">
      <w:pPr>
        <w:pStyle w:val="Heading2"/>
      </w:pPr>
      <w:bookmarkStart w:id="32" w:name="__RefHeading___Toc483_2825637425"/>
      <w:bookmarkStart w:id="33" w:name="_Toc55308334"/>
      <w:bookmarkEnd w:id="32"/>
      <w:r>
        <w:lastRenderedPageBreak/>
        <w:t>Properties</w:t>
      </w:r>
      <w:bookmarkEnd w:id="33"/>
    </w:p>
    <w:p w:rsidR="00034932" w:rsidRDefault="000D32AF" w:rsidP="00034932">
      <w:pPr>
        <w:pStyle w:val="Heading3"/>
      </w:pPr>
      <w:bookmarkStart w:id="34" w:name="__RefHeading___Toc939_1117627534"/>
      <w:bookmarkStart w:id="35" w:name="_Toc55308335"/>
      <w:bookmarkEnd w:id="34"/>
      <w:proofErr w:type="gramStart"/>
      <w:r>
        <w:t xml:space="preserve">useFalseColour </w:t>
      </w:r>
      <w:r w:rsidR="00034932">
        <w:t>:</w:t>
      </w:r>
      <w:proofErr w:type="gramEnd"/>
      <w:r w:rsidR="00034932">
        <w:t xml:space="preserve"> bool</w:t>
      </w:r>
      <w:bookmarkEnd w:id="35"/>
    </w:p>
    <w:p w:rsidR="00034932" w:rsidRDefault="00034932" w:rsidP="00034932"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value:</w:t>
      </w:r>
      <w:r>
        <w:t xml:space="preserve"> true</w:t>
      </w:r>
    </w:p>
    <w:p w:rsidR="00034932" w:rsidRDefault="00034932" w:rsidP="00034932">
      <w:r>
        <w:t xml:space="preserve">The data may be displayed using a mono-chrome </w:t>
      </w:r>
      <w:r w:rsidR="00AF110B">
        <w:t>grey scale (when false)</w:t>
      </w:r>
      <w:r>
        <w:t xml:space="preserve"> or using false colour when true. The false colour mapping is identical to that used by QEImage when </w:t>
      </w:r>
      <w:proofErr w:type="spellStart"/>
      <w:r w:rsidRPr="00AF110B">
        <w:rPr>
          <w:i/>
        </w:rPr>
        <w:t>scaleWrap</w:t>
      </w:r>
      <w:proofErr w:type="spellEnd"/>
      <w:r w:rsidR="00AF110B">
        <w:t xml:space="preserve"> property i</w:t>
      </w:r>
      <w:r>
        <w:t>s set to 1.</w:t>
      </w:r>
    </w:p>
    <w:p w:rsidR="00034932" w:rsidRDefault="00034932" w:rsidP="00034932">
      <w:r>
        <w:t>The input data under-goes a linear mapping such that the minimum  data value (as defined or as extracted fro</w:t>
      </w:r>
      <w:r w:rsidR="00AF110B">
        <w:t>m the data when</w:t>
      </w:r>
      <w:r>
        <w:t xml:space="preserve"> </w:t>
      </w:r>
      <w:r w:rsidRPr="00AF110B">
        <w:rPr>
          <w:i/>
        </w:rPr>
        <w:t>autoScale</w:t>
      </w:r>
      <w:r>
        <w:t xml:space="preserve"> set true) is mapped to 0, while the maximum data value (as defined </w:t>
      </w:r>
      <w:r w:rsidR="00AF110B">
        <w:t>or as extracted from the data when</w:t>
      </w:r>
      <w:r>
        <w:t xml:space="preserve"> </w:t>
      </w:r>
      <w:r w:rsidRPr="00AF110B">
        <w:rPr>
          <w:i/>
        </w:rPr>
        <w:t>autoScale</w:t>
      </w:r>
      <w:r>
        <w:t xml:space="preserve"> set true) is mapped to 255. Any values outside of this range are clamped to be in the range 0 to 255.</w:t>
      </w:r>
    </w:p>
    <w:p w:rsidR="00034932" w:rsidRDefault="000D32AF" w:rsidP="00034932">
      <w:pPr>
        <w:pStyle w:val="Heading3"/>
      </w:pPr>
      <w:bookmarkStart w:id="36" w:name="__RefHeading___Toc941_1117627534"/>
      <w:bookmarkStart w:id="37" w:name="_Toc55308336"/>
      <w:bookmarkEnd w:id="36"/>
      <w:proofErr w:type="spellStart"/>
      <w:proofErr w:type="gramStart"/>
      <w:r>
        <w:t>scaleWrap</w:t>
      </w:r>
      <w:proofErr w:type="spellEnd"/>
      <w:r>
        <w:t xml:space="preserve"> </w:t>
      </w:r>
      <w:r w:rsidR="00034932">
        <w:t>:</w:t>
      </w:r>
      <w:proofErr w:type="gramEnd"/>
      <w:r w:rsidR="00034932">
        <w:t xml:space="preserve"> int</w:t>
      </w:r>
      <w:bookmarkEnd w:id="37"/>
      <w:r w:rsidR="00034932">
        <w:t xml:space="preserve"> </w:t>
      </w:r>
    </w:p>
    <w:p w:rsidR="00034932" w:rsidRDefault="00034932" w:rsidP="00034932">
      <w:proofErr w:type="gramStart"/>
      <w:r>
        <w:rPr>
          <w:i/>
          <w:iCs/>
        </w:rPr>
        <w:t>allowed</w:t>
      </w:r>
      <w:proofErr w:type="gramEnd"/>
      <w:r>
        <w:rPr>
          <w:i/>
          <w:iCs/>
        </w:rPr>
        <w:t xml:space="preserve"> range:</w:t>
      </w:r>
      <w:r>
        <w:t xml:space="preserve"> 1 to 10</w:t>
      </w:r>
      <w:r>
        <w:br/>
      </w:r>
      <w:r>
        <w:rPr>
          <w:i/>
          <w:iCs/>
        </w:rPr>
        <w:t>default value:</w:t>
      </w:r>
      <w:r>
        <w:t xml:space="preserve"> 1</w:t>
      </w:r>
    </w:p>
    <w:p w:rsidR="00034932" w:rsidRDefault="00034932" w:rsidP="00034932">
      <w:r>
        <w:t xml:space="preserve">When set to a value more than 1, say 3, the mapping is adjusted such that the range of values is a wrapped sequence of values in the range </w:t>
      </w:r>
      <w:proofErr w:type="gramStart"/>
      <w:r>
        <w:t>0 ..</w:t>
      </w:r>
      <w:proofErr w:type="gramEnd"/>
      <w:r>
        <w:t xml:space="preserve"> 255</w:t>
      </w:r>
      <w:proofErr w:type="gramStart"/>
      <w:r>
        <w:t>,  i.e</w:t>
      </w:r>
      <w:proofErr w:type="gramEnd"/>
      <w:r>
        <w:t xml:space="preserve">.: 0 .. 224, </w:t>
      </w:r>
      <w:proofErr w:type="gramStart"/>
      <w:r>
        <w:t>32 .. </w:t>
      </w:r>
      <w:proofErr w:type="gramEnd"/>
      <w:r>
        <w:t xml:space="preserve">224, </w:t>
      </w:r>
      <w:proofErr w:type="gramStart"/>
      <w:r>
        <w:t>32 .. </w:t>
      </w:r>
      <w:proofErr w:type="gramEnd"/>
      <w:r>
        <w:t>255</w:t>
      </w:r>
    </w:p>
    <w:p w:rsidR="00034932" w:rsidRDefault="00034932" w:rsidP="00034932">
      <w:r>
        <w:t>This is perhaps more useful when using false colour and allows each colour t</w:t>
      </w:r>
      <w:r w:rsidR="00AF110B">
        <w:t>o</w:t>
      </w:r>
      <w:r>
        <w:t xml:space="preserve"> be used more than once; and while wrapping up-to to 10 times </w:t>
      </w:r>
      <w:r>
        <w:rPr>
          <w:i/>
          <w:iCs/>
        </w:rPr>
        <w:t>is</w:t>
      </w:r>
      <w:r>
        <w:t xml:space="preserve"> allowed, more than 2 or 3 times is probably more than enough.</w:t>
      </w:r>
    </w:p>
    <w:p w:rsidR="00034932" w:rsidRDefault="000D32AF" w:rsidP="00034932">
      <w:pPr>
        <w:pStyle w:val="Heading3"/>
      </w:pPr>
      <w:bookmarkStart w:id="38" w:name="__RefHeading___Toc943_1117627534"/>
      <w:bookmarkStart w:id="39" w:name="_Toc55308337"/>
      <w:bookmarkEnd w:id="38"/>
      <w:proofErr w:type="gramStart"/>
      <w:r>
        <w:t xml:space="preserve">orientation </w:t>
      </w:r>
      <w:r w:rsidR="00034932">
        <w:t>:</w:t>
      </w:r>
      <w:proofErr w:type="gramEnd"/>
      <w:r w:rsidR="00034932">
        <w:t xml:space="preserve"> Qt::Orientation</w:t>
      </w:r>
      <w:bookmarkEnd w:id="39"/>
    </w:p>
    <w:p w:rsidR="00034932" w:rsidRDefault="00034932" w:rsidP="00034932">
      <w:proofErr w:type="gramStart"/>
      <w:r>
        <w:rPr>
          <w:i/>
          <w:iCs/>
        </w:rPr>
        <w:t>allowed</w:t>
      </w:r>
      <w:proofErr w:type="gramEnd"/>
      <w:r>
        <w:rPr>
          <w:i/>
          <w:iCs/>
        </w:rPr>
        <w:t xml:space="preserve"> values:</w:t>
      </w:r>
      <w:r>
        <w:t xml:space="preserve"> Horizontal, Vertical</w:t>
      </w:r>
      <w:r>
        <w:br/>
      </w:r>
      <w:r>
        <w:rPr>
          <w:i/>
          <w:iCs/>
        </w:rPr>
        <w:t>default value:</w:t>
      </w:r>
      <w:r>
        <w:t xml:space="preserve">  Horizontal</w:t>
      </w:r>
    </w:p>
    <w:p w:rsidR="00034932" w:rsidRDefault="00AF110B" w:rsidP="00034932">
      <w:r>
        <w:t>This</w:t>
      </w:r>
      <w:r w:rsidR="00034932">
        <w:t xml:space="preserve"> controls the display orientation of the data “rows”.</w:t>
      </w:r>
    </w:p>
    <w:p w:rsidR="00AF110B" w:rsidRDefault="00AF110B" w:rsidP="00034932"/>
    <w:p w:rsidR="007D18E1" w:rsidRDefault="007D18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__RefHeading___Toc462_2354794882"/>
      <w:bookmarkEnd w:id="40"/>
      <w:r>
        <w:br w:type="page"/>
      </w:r>
    </w:p>
    <w:p w:rsidR="00034932" w:rsidRDefault="00034932" w:rsidP="00034932">
      <w:pPr>
        <w:pStyle w:val="Heading2"/>
      </w:pPr>
      <w:bookmarkStart w:id="41" w:name="_Toc55308338"/>
      <w:r>
        <w:lastRenderedPageBreak/>
        <w:t>QESurface</w:t>
      </w:r>
      <w:bookmarkEnd w:id="41"/>
    </w:p>
    <w:p w:rsidR="00034932" w:rsidRDefault="00034932" w:rsidP="00034932">
      <w:pPr>
        <w:pStyle w:val="Heading2"/>
      </w:pPr>
      <w:bookmarkStart w:id="42" w:name="__RefHeading___Toc504_2825637425"/>
      <w:bookmarkStart w:id="43" w:name="_Toc55308339"/>
      <w:bookmarkEnd w:id="42"/>
      <w:r>
        <w:t>Description</w:t>
      </w:r>
      <w:bookmarkEnd w:id="43"/>
    </w:p>
    <w:p w:rsidR="00034932" w:rsidRDefault="00AF110B" w:rsidP="00034932">
      <w:r>
        <w:t xml:space="preserve">The QESurface widget </w:t>
      </w:r>
      <w:r w:rsidR="00034932">
        <w:t>display</w:t>
      </w:r>
      <w:r>
        <w:t xml:space="preserve">s the data using Qt’s </w:t>
      </w:r>
      <w:r w:rsidR="00034932">
        <w:t>QE3DSurface functionality. The widget is shown on the form as a push button, which launches a separate window displaying the data when clicked. See the example in Figure 2 below.</w:t>
      </w:r>
    </w:p>
    <w:p w:rsidR="00034932" w:rsidRDefault="00034932" w:rsidP="00034932">
      <w:pPr>
        <w:jc w:val="center"/>
      </w:pPr>
      <w:r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4BB118E6" wp14:editId="641512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4911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2 – QESurface – data format: array1D</w:t>
      </w:r>
    </w:p>
    <w:p w:rsidR="00034932" w:rsidRDefault="002225EA" w:rsidP="00034932">
      <w:r w:rsidRPr="002225EA">
        <w:rPr>
          <w:b/>
          <w:bCs/>
          <w:i/>
        </w:rPr>
        <w:t>To do</w:t>
      </w:r>
      <w:r w:rsidR="00034932">
        <w:t>: Figure out how to scale o</w:t>
      </w:r>
      <w:r w:rsidR="007D18E1">
        <w:t>ne or both of the horizontal ax</w:t>
      </w:r>
      <w:r w:rsidR="00034932">
        <w:t xml:space="preserve">es. </w:t>
      </w:r>
    </w:p>
    <w:p w:rsidR="00034932" w:rsidRDefault="00034932" w:rsidP="00034932">
      <w:r w:rsidRPr="002225EA">
        <w:rPr>
          <w:b/>
          <w:i/>
        </w:rPr>
        <w:t>Note</w:t>
      </w:r>
      <w:r>
        <w:t>: The QESurface widget is none function</w:t>
      </w:r>
      <w:r w:rsidR="002225EA">
        <w:t>al</w:t>
      </w:r>
      <w:r>
        <w:t xml:space="preserve"> in Qt4, in that it exist</w:t>
      </w:r>
      <w:r w:rsidR="002225EA">
        <w:t>s</w:t>
      </w:r>
      <w:r>
        <w:t xml:space="preserve"> and will not break, but it does not display the surface.</w:t>
      </w:r>
      <w:r w:rsidR="007D18E1">
        <w:t xml:space="preserve"> A debug message is output to this effect when the widget initialises.</w:t>
      </w:r>
    </w:p>
    <w:p w:rsidR="00034932" w:rsidRDefault="00034932" w:rsidP="00034932">
      <w:pPr>
        <w:pStyle w:val="Heading2"/>
      </w:pPr>
      <w:bookmarkStart w:id="44" w:name="__RefHeading___Toc487_2825637425"/>
      <w:bookmarkStart w:id="45" w:name="_Toc55308340"/>
      <w:bookmarkEnd w:id="44"/>
      <w:r>
        <w:t>Properties</w:t>
      </w:r>
      <w:bookmarkEnd w:id="45"/>
    </w:p>
    <w:p w:rsidR="00034932" w:rsidRDefault="00034932" w:rsidP="00034932">
      <w:pPr>
        <w:pStyle w:val="Heading3"/>
      </w:pPr>
      <w:bookmarkStart w:id="46" w:name="__RefHeading___Toc945_1117627534"/>
      <w:bookmarkStart w:id="47" w:name="_Toc55308341"/>
      <w:bookmarkEnd w:id="46"/>
      <w:proofErr w:type="gramStart"/>
      <w:r>
        <w:t>text :</w:t>
      </w:r>
      <w:proofErr w:type="gramEnd"/>
      <w:r>
        <w:t xml:space="preserve"> QString</w:t>
      </w:r>
      <w:bookmarkEnd w:id="47"/>
    </w:p>
    <w:p w:rsidR="00034932" w:rsidRDefault="00034932" w:rsidP="00034932"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value</w:t>
      </w:r>
      <w:r>
        <w:t>: “Show 3D Surf</w:t>
      </w:r>
      <w:r w:rsidR="007D18E1">
        <w:t>ace”  or  if using Qt4 “Requires</w:t>
      </w:r>
      <w:r>
        <w:t xml:space="preserve"> Qt5” </w:t>
      </w:r>
    </w:p>
    <w:p w:rsidR="00034932" w:rsidRDefault="00034932" w:rsidP="00034932">
      <w:r>
        <w:t>This property defines the text on the button that launches a separate window that show</w:t>
      </w:r>
      <w:r w:rsidR="007D18E1">
        <w:t>s</w:t>
      </w:r>
      <w:r>
        <w:t xml:space="preserve"> the 3D surface.</w:t>
      </w:r>
    </w:p>
    <w:p w:rsidR="00034932" w:rsidRDefault="00034932" w:rsidP="007D18E1">
      <w:pPr>
        <w:pStyle w:val="Heading1"/>
      </w:pPr>
      <w:bookmarkStart w:id="48" w:name="__RefHeading___Toc489_2825637425"/>
      <w:bookmarkStart w:id="49" w:name="_Toc55308342"/>
      <w:bookmarkEnd w:id="48"/>
      <w:r>
        <w:lastRenderedPageBreak/>
        <w:t>QEWaterfall</w:t>
      </w:r>
      <w:bookmarkEnd w:id="49"/>
    </w:p>
    <w:p w:rsidR="00034932" w:rsidRDefault="00034932" w:rsidP="00034932">
      <w:pPr>
        <w:pStyle w:val="Heading2"/>
      </w:pPr>
      <w:bookmarkStart w:id="50" w:name="__RefHeading___Toc506_2825637425"/>
      <w:bookmarkStart w:id="51" w:name="_Toc55308343"/>
      <w:bookmarkEnd w:id="50"/>
      <w:r>
        <w:t>Description</w:t>
      </w:r>
      <w:bookmarkEnd w:id="51"/>
    </w:p>
    <w:p w:rsidR="007D18E1" w:rsidRDefault="007D18E1" w:rsidP="007D18E1">
      <w:r>
        <w:t>The QEWaterfall presents the data to the users as a set of line traces, not dissimilar to the QEPlotter widget, except that each row is offset upwards and leftward. See the example in Figure 3 below.</w:t>
      </w:r>
    </w:p>
    <w:p w:rsidR="007D18E1" w:rsidRDefault="007D18E1" w:rsidP="007D18E1">
      <w:r>
        <w:t xml:space="preserve">When the </w:t>
      </w:r>
      <w:r w:rsidRPr="000D32AF">
        <w:rPr>
          <w:i/>
        </w:rPr>
        <w:t>dataFormat</w:t>
      </w:r>
      <w:r>
        <w:t xml:space="preserve"> is </w:t>
      </w:r>
      <w:r w:rsidRPr="000D32AF">
        <w:rPr>
          <w:i/>
        </w:rPr>
        <w:t>array1D</w:t>
      </w:r>
      <w:r>
        <w:t>, the data accumulates downwards until full, and then scrolls backwards 1 row at a time as each new data set arrives, i.e. oldest data at the back, and newest data at the front.</w:t>
      </w:r>
    </w:p>
    <w:p w:rsidR="002225EA" w:rsidRPr="007D18E1" w:rsidRDefault="002225EA" w:rsidP="007D18E1">
      <w:r>
        <w:t>As the mouse moves over the QEWaterfall widget, a readout message is displayed on the status bar showing the row, column and the data element value.</w:t>
      </w:r>
    </w:p>
    <w:p w:rsidR="00034932" w:rsidRDefault="00034932" w:rsidP="00034932"/>
    <w:p w:rsidR="00034932" w:rsidRDefault="00034932" w:rsidP="00034932">
      <w:pPr>
        <w:jc w:val="center"/>
      </w:pPr>
      <w:r>
        <w:rPr>
          <w:noProof/>
          <w:lang w:val="en-GB" w:eastAsia="en-GB"/>
        </w:rPr>
        <w:drawing>
          <wp:anchor distT="0" distB="0" distL="0" distR="0" simplePos="0" relativeHeight="251660288" behindDoc="0" locked="0" layoutInCell="1" allowOverlap="1" wp14:anchorId="1774E997" wp14:editId="7B31F4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1742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3: QEWaterfall</w:t>
      </w:r>
    </w:p>
    <w:p w:rsidR="00034932" w:rsidRDefault="00034932" w:rsidP="00034932"/>
    <w:p w:rsidR="00034932" w:rsidRDefault="00034932" w:rsidP="00034932">
      <w:pPr>
        <w:pStyle w:val="Heading2"/>
      </w:pPr>
      <w:bookmarkStart w:id="52" w:name="__RefHeading___Toc464_2354794882"/>
      <w:bookmarkStart w:id="53" w:name="_Toc7121713"/>
      <w:bookmarkStart w:id="54" w:name="_Toc55308344"/>
      <w:bookmarkEnd w:id="52"/>
      <w:bookmarkEnd w:id="53"/>
      <w:r>
        <w:t>Properties</w:t>
      </w:r>
      <w:bookmarkEnd w:id="54"/>
    </w:p>
    <w:p w:rsidR="00034932" w:rsidRDefault="00034932" w:rsidP="00034932">
      <w:pPr>
        <w:pStyle w:val="Heading2"/>
      </w:pPr>
      <w:bookmarkStart w:id="55" w:name="__RefHeading___Toc466_2354794882"/>
      <w:bookmarkStart w:id="56" w:name="_Toc55308345"/>
      <w:bookmarkEnd w:id="55"/>
      <w:proofErr w:type="gramStart"/>
      <w:r>
        <w:t>angle :</w:t>
      </w:r>
      <w:proofErr w:type="gramEnd"/>
      <w:r>
        <w:t xml:space="preserve"> int</w:t>
      </w:r>
      <w:bookmarkEnd w:id="56"/>
    </w:p>
    <w:p w:rsidR="00034932" w:rsidRDefault="00034932" w:rsidP="00034932">
      <w:bookmarkStart w:id="57" w:name="__DdeLink__460_2354794882"/>
      <w:proofErr w:type="gramStart"/>
      <w:r>
        <w:rPr>
          <w:i/>
          <w:iCs/>
        </w:rPr>
        <w:t>allowed</w:t>
      </w:r>
      <w:proofErr w:type="gramEnd"/>
      <w:r>
        <w:rPr>
          <w:i/>
          <w:iCs/>
        </w:rPr>
        <w:t xml:space="preserve"> range:</w:t>
      </w:r>
      <w:r>
        <w:t xml:space="preserve"> 0 – 90</w:t>
      </w:r>
      <w:r>
        <w:br/>
      </w:r>
      <w:r>
        <w:rPr>
          <w:i/>
          <w:iCs/>
        </w:rPr>
        <w:t>default value:</w:t>
      </w:r>
      <w:bookmarkEnd w:id="57"/>
      <w:r>
        <w:t xml:space="preserve"> 30</w:t>
      </w:r>
    </w:p>
    <w:p w:rsidR="00034932" w:rsidRDefault="00034932" w:rsidP="00034932">
      <w:r>
        <w:t>This property specified the row/time axis</w:t>
      </w:r>
      <w:r w:rsidR="00637FA6">
        <w:t xml:space="preserve"> </w:t>
      </w:r>
      <w:r>
        <w:t>from the vertical</w:t>
      </w:r>
      <w:r w:rsidR="00637FA6">
        <w:t xml:space="preserve"> in degrees</w:t>
      </w:r>
      <w:r>
        <w:t>.</w:t>
      </w:r>
      <w:r w:rsidR="007D18E1">
        <w:t xml:space="preserve"> In the example above, the angle was set to 45. </w:t>
      </w:r>
    </w:p>
    <w:p w:rsidR="00637FA6" w:rsidRDefault="00637FA6" w:rsidP="00637FA6">
      <w:pPr>
        <w:pStyle w:val="Heading3"/>
      </w:pPr>
      <w:bookmarkStart w:id="58" w:name="_Toc55308346"/>
      <w:proofErr w:type="gramStart"/>
      <w:r>
        <w:t>traceGap :</w:t>
      </w:r>
      <w:proofErr w:type="gramEnd"/>
      <w:r>
        <w:t xml:space="preserve"> int</w:t>
      </w:r>
      <w:bookmarkEnd w:id="58"/>
    </w:p>
    <w:p w:rsidR="00637FA6" w:rsidRDefault="00637FA6" w:rsidP="00637FA6">
      <w:proofErr w:type="gramStart"/>
      <w:r>
        <w:rPr>
          <w:i/>
          <w:iCs/>
        </w:rPr>
        <w:t>allowed</w:t>
      </w:r>
      <w:proofErr w:type="gramEnd"/>
      <w:r>
        <w:rPr>
          <w:i/>
          <w:iCs/>
        </w:rPr>
        <w:t xml:space="preserve"> range:</w:t>
      </w:r>
      <w:r>
        <w:t xml:space="preserve"> 1 – 40</w:t>
      </w:r>
      <w:r>
        <w:br/>
      </w:r>
      <w:r>
        <w:rPr>
          <w:i/>
          <w:iCs/>
        </w:rPr>
        <w:t>default value:</w:t>
      </w:r>
      <w:r>
        <w:t xml:space="preserve"> 5</w:t>
      </w:r>
    </w:p>
    <w:p w:rsidR="00637FA6" w:rsidRDefault="00637FA6" w:rsidP="00637FA6">
      <w:r>
        <w:t xml:space="preserve">This property defines the gap between traces in pixels. The </w:t>
      </w:r>
      <w:r w:rsidRPr="00637FA6">
        <w:rPr>
          <w:i/>
        </w:rPr>
        <w:t>angle</w:t>
      </w:r>
      <w:r>
        <w:t xml:space="preserve"> and </w:t>
      </w:r>
      <w:r w:rsidRPr="00637FA6">
        <w:rPr>
          <w:i/>
        </w:rPr>
        <w:t>traceGap</w:t>
      </w:r>
      <w:r>
        <w:t xml:space="preserve"> properties define the offset applied to each row, namely:   </w:t>
      </w:r>
      <w:r w:rsidRPr="00637FA6">
        <w:rPr>
          <w:i/>
        </w:rPr>
        <w:t>traceGap</w:t>
      </w:r>
      <w:r>
        <w:t xml:space="preserve"> * sin (</w:t>
      </w:r>
      <w:r w:rsidRPr="00637FA6">
        <w:rPr>
          <w:i/>
        </w:rPr>
        <w:t>angle</w:t>
      </w:r>
      <w:r>
        <w:t xml:space="preserve">), </w:t>
      </w:r>
      <w:r w:rsidRPr="00637FA6">
        <w:rPr>
          <w:i/>
        </w:rPr>
        <w:t>traceGap</w:t>
      </w:r>
      <w:r>
        <w:t xml:space="preserve"> * cos (</w:t>
      </w:r>
      <w:r w:rsidRPr="00637FA6">
        <w:rPr>
          <w:i/>
        </w:rPr>
        <w:t>angle</w:t>
      </w:r>
      <w:r>
        <w:t>).</w:t>
      </w:r>
    </w:p>
    <w:p w:rsidR="00637FA6" w:rsidRDefault="00637FA6" w:rsidP="00637FA6">
      <w:pPr>
        <w:pStyle w:val="Heading3"/>
      </w:pPr>
      <w:bookmarkStart w:id="59" w:name="_Toc55308347"/>
      <w:proofErr w:type="spellStart"/>
      <w:proofErr w:type="gramStart"/>
      <w:r>
        <w:lastRenderedPageBreak/>
        <w:t>traceWidth</w:t>
      </w:r>
      <w:proofErr w:type="spellEnd"/>
      <w:r>
        <w:t xml:space="preserve"> :</w:t>
      </w:r>
      <w:proofErr w:type="gramEnd"/>
      <w:r>
        <w:t xml:space="preserve"> int</w:t>
      </w:r>
      <w:bookmarkEnd w:id="59"/>
    </w:p>
    <w:p w:rsidR="00637FA6" w:rsidRDefault="00637FA6" w:rsidP="00637FA6">
      <w:proofErr w:type="gramStart"/>
      <w:r>
        <w:rPr>
          <w:i/>
          <w:iCs/>
        </w:rPr>
        <w:t>allowed</w:t>
      </w:r>
      <w:proofErr w:type="gramEnd"/>
      <w:r>
        <w:rPr>
          <w:i/>
          <w:iCs/>
        </w:rPr>
        <w:t xml:space="preserve"> range:</w:t>
      </w:r>
      <w:r>
        <w:t xml:space="preserve"> 0 – 10</w:t>
      </w:r>
      <w:r>
        <w:br/>
      </w:r>
      <w:r>
        <w:rPr>
          <w:i/>
          <w:iCs/>
        </w:rPr>
        <w:t>default value:</w:t>
      </w:r>
      <w:r>
        <w:t xml:space="preserve"> 1</w:t>
      </w:r>
    </w:p>
    <w:p w:rsidR="00637FA6" w:rsidRDefault="00637FA6" w:rsidP="00034932">
      <w:r>
        <w:t>This property defines the trace, i.e. pen, width.  A value of 0 is best guess, currently always 1.</w:t>
      </w:r>
    </w:p>
    <w:p w:rsidR="00034932" w:rsidRDefault="00034932" w:rsidP="00034932">
      <w:pPr>
        <w:pStyle w:val="Heading3"/>
      </w:pPr>
      <w:bookmarkStart w:id="60" w:name="__RefHeading___Toc495_2825637425"/>
      <w:bookmarkStart w:id="61" w:name="_Toc55308348"/>
      <w:bookmarkEnd w:id="60"/>
      <w:proofErr w:type="spellStart"/>
      <w:proofErr w:type="gramStart"/>
      <w:r>
        <w:t>traceColour</w:t>
      </w:r>
      <w:proofErr w:type="spellEnd"/>
      <w:r>
        <w:t xml:space="preserve"> :</w:t>
      </w:r>
      <w:proofErr w:type="gramEnd"/>
      <w:r>
        <w:t xml:space="preserve"> QColor</w:t>
      </w:r>
      <w:bookmarkEnd w:id="61"/>
    </w:p>
    <w:p w:rsidR="00034932" w:rsidRDefault="00034932" w:rsidP="00034932"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value:</w:t>
      </w:r>
      <w:r>
        <w:t xml:space="preserve"> dark blue</w:t>
      </w:r>
    </w:p>
    <w:p w:rsidR="00034932" w:rsidRDefault="00034932" w:rsidP="00034932">
      <w:r>
        <w:t>This property defines the colour of the trace.</w:t>
      </w:r>
    </w:p>
    <w:p w:rsidR="00034932" w:rsidRDefault="00034932" w:rsidP="00034932">
      <w:pPr>
        <w:pStyle w:val="Heading3"/>
      </w:pPr>
      <w:bookmarkStart w:id="62" w:name="__RefHeading___Toc497_2825637425"/>
      <w:bookmarkStart w:id="63" w:name="_Toc55308349"/>
      <w:bookmarkEnd w:id="62"/>
      <w:proofErr w:type="spellStart"/>
      <w:proofErr w:type="gramStart"/>
      <w:r>
        <w:t>mutableHue</w:t>
      </w:r>
      <w:proofErr w:type="spellEnd"/>
      <w:r>
        <w:t xml:space="preserve"> :</w:t>
      </w:r>
      <w:proofErr w:type="gramEnd"/>
      <w:r>
        <w:t xml:space="preserve"> bool</w:t>
      </w:r>
      <w:bookmarkEnd w:id="63"/>
    </w:p>
    <w:p w:rsidR="00034932" w:rsidRDefault="00034932" w:rsidP="00034932">
      <w:proofErr w:type="gramStart"/>
      <w:r>
        <w:rPr>
          <w:i/>
          <w:iCs/>
        </w:rPr>
        <w:t>default</w:t>
      </w:r>
      <w:proofErr w:type="gramEnd"/>
      <w:r>
        <w:rPr>
          <w:i/>
          <w:iCs/>
        </w:rPr>
        <w:t xml:space="preserve"> value:</w:t>
      </w:r>
      <w:r>
        <w:t xml:space="preserve"> false</w:t>
      </w:r>
    </w:p>
    <w:p w:rsidR="00034932" w:rsidRDefault="00034932" w:rsidP="00034932">
      <w:r>
        <w:t>When set true, the hue of the colour is advance</w:t>
      </w:r>
      <w:r w:rsidR="002225EA">
        <w:t>d</w:t>
      </w:r>
      <w:r>
        <w:t xml:space="preserve"> by 12 </w:t>
      </w:r>
      <w:r w:rsidR="002225EA">
        <w:t xml:space="preserve">modulo 360 </w:t>
      </w:r>
      <w:r>
        <w:t>for each row of data, as illustrated in the example above.</w:t>
      </w:r>
    </w:p>
    <w:p w:rsidR="00523C55" w:rsidRDefault="00523C55" w:rsidP="00523C55">
      <w:bookmarkStart w:id="64" w:name="__RefHeading___Toc947_1117627534"/>
      <w:bookmarkEnd w:id="64"/>
      <w:bookmarkEnd w:id="0"/>
    </w:p>
    <w:sectPr w:rsidR="00523C55" w:rsidSect="0052491A">
      <w:headerReference w:type="default" r:id="rId15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2AF" w:rsidRDefault="000D32AF" w:rsidP="001C3141">
      <w:pPr>
        <w:spacing w:after="0" w:line="240" w:lineRule="auto"/>
      </w:pPr>
      <w:r>
        <w:separator/>
      </w:r>
    </w:p>
  </w:endnote>
  <w:endnote w:type="continuationSeparator" w:id="0">
    <w:p w:rsidR="000D32AF" w:rsidRDefault="000D32AF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2AF" w:rsidRDefault="000D32AF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0D32AF" w:rsidRPr="00FA1D46" w:rsidTr="00906165">
      <w:tc>
        <w:tcPr>
          <w:tcW w:w="643" w:type="pct"/>
        </w:tcPr>
        <w:p w:rsidR="000D32AF" w:rsidRPr="00FA1D46" w:rsidRDefault="000D32AF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0D32AF" w:rsidRPr="00FA1D46" w:rsidRDefault="000D32AF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0D32AF" w:rsidRPr="00FA1D46" w:rsidRDefault="000D32AF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0D32AF" w:rsidRPr="00FA1D46" w:rsidRDefault="000D32AF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0D32AF" w:rsidRPr="00FA1D46" w:rsidRDefault="000D32AF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:rsidR="000D32AF" w:rsidRPr="00FA1D46" w:rsidRDefault="000D32AF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:rsidR="000D32AF" w:rsidRPr="00FA1D46" w:rsidRDefault="000D32AF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BA74B3">
            <w:rPr>
              <w:noProof/>
              <w:color w:val="747476"/>
              <w:sz w:val="18"/>
            </w:rPr>
            <w:t>2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BA74B3">
            <w:rPr>
              <w:noProof/>
              <w:color w:val="747476"/>
              <w:sz w:val="18"/>
            </w:rPr>
            <w:t>10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0D32AF" w:rsidRDefault="000D32AF" w:rsidP="008C148D">
    <w:pPr>
      <w:pStyle w:val="Footer"/>
    </w:pPr>
  </w:p>
  <w:p w:rsidR="000D32AF" w:rsidRDefault="000D32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2AF" w:rsidRDefault="000D32AF" w:rsidP="001C3141">
      <w:pPr>
        <w:spacing w:after="0" w:line="240" w:lineRule="auto"/>
      </w:pPr>
      <w:r>
        <w:separator/>
      </w:r>
    </w:p>
  </w:footnote>
  <w:footnote w:type="continuationSeparator" w:id="0">
    <w:p w:rsidR="000D32AF" w:rsidRDefault="000D32AF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2" w:type="pct"/>
      <w:tblLook w:val="00A0" w:firstRow="1" w:lastRow="0" w:firstColumn="1" w:lastColumn="0" w:noHBand="0" w:noVBand="0"/>
    </w:tblPr>
    <w:tblGrid>
      <w:gridCol w:w="5976"/>
      <w:gridCol w:w="3500"/>
    </w:tblGrid>
    <w:tr w:rsidR="000D32AF" w:rsidTr="00906165">
      <w:tc>
        <w:tcPr>
          <w:tcW w:w="3153" w:type="pct"/>
          <w:vAlign w:val="bottom"/>
        </w:tcPr>
        <w:p w:rsidR="000D32AF" w:rsidRPr="0043764B" w:rsidRDefault="000D32AF" w:rsidP="00B7489B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QE2DDataVisualisation Specification</w:t>
          </w:r>
        </w:p>
      </w:tc>
      <w:tc>
        <w:tcPr>
          <w:tcW w:w="1847" w:type="pct"/>
        </w:tcPr>
        <w:p w:rsidR="000D32AF" w:rsidRDefault="000D32AF" w:rsidP="00906165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5930D152" wp14:editId="40DB1EB7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32AF" w:rsidRDefault="000D32AF">
    <w:pPr>
      <w:pStyle w:val="Header"/>
    </w:pPr>
    <w:r>
      <w:rPr>
        <w:noProof/>
        <w:lang w:val="en-GB" w:eastAsia="en-GB"/>
      </w:rPr>
      <w:drawing>
        <wp:anchor distT="0" distB="180340" distL="114300" distR="114300" simplePos="0" relativeHeight="251661312" behindDoc="1" locked="0" layoutInCell="1" allowOverlap="1" wp14:anchorId="313629D9" wp14:editId="05F03BBC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932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32AF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A49"/>
    <w:rsid w:val="001A3D40"/>
    <w:rsid w:val="001A4757"/>
    <w:rsid w:val="001A5810"/>
    <w:rsid w:val="001A62D9"/>
    <w:rsid w:val="001B0CE3"/>
    <w:rsid w:val="001B11A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5EA"/>
    <w:rsid w:val="00222617"/>
    <w:rsid w:val="002241A7"/>
    <w:rsid w:val="002242A9"/>
    <w:rsid w:val="0022549D"/>
    <w:rsid w:val="00232946"/>
    <w:rsid w:val="00234568"/>
    <w:rsid w:val="002348A1"/>
    <w:rsid w:val="002359C3"/>
    <w:rsid w:val="002369E9"/>
    <w:rsid w:val="00236B6B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360D3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73B6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2BDF"/>
    <w:rsid w:val="004939B2"/>
    <w:rsid w:val="004947D2"/>
    <w:rsid w:val="004964C7"/>
    <w:rsid w:val="00497149"/>
    <w:rsid w:val="004979DE"/>
    <w:rsid w:val="004A067C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37FA6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18E1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165E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00D5"/>
    <w:rsid w:val="00A12A64"/>
    <w:rsid w:val="00A137CD"/>
    <w:rsid w:val="00A13C14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110B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31C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489B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A74B3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376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329C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7C6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nu.org/licenses/lgpl-3.0-standalon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88EC8-A644-41E1-8810-6D7EEAF1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10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12082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Rhyder</dc:creator>
  <cp:lastModifiedBy>Andrew Starritt</cp:lastModifiedBy>
  <cp:revision>193</cp:revision>
  <cp:lastPrinted>2018-12-12T00:31:00Z</cp:lastPrinted>
  <dcterms:created xsi:type="dcterms:W3CDTF">2016-06-07T02:25:00Z</dcterms:created>
  <dcterms:modified xsi:type="dcterms:W3CDTF">2020-11-03T04:05:00Z</dcterms:modified>
</cp:coreProperties>
</file>