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1A365D"/>
          <w:sz w:val="44"/>
        </w:rPr>
        <w:t>TECHNICAL ANALYSIS REPORT</w:t>
      </w:r>
    </w:p>
    <w:p>
      <w:pPr>
        <w:spacing w:after="240"/>
      </w:pPr>
      <w:r>
        <w:rPr>
          <w:rFonts w:ascii="Calibri" w:hAnsi="Calibri"/>
          <w:i/>
          <w:color w:val="2B6CB0"/>
          <w:sz w:val="24"/>
        </w:rPr>
        <w:t>Sentiment Radar: Financial Intelligence Platform</w:t>
      </w:r>
    </w:p>
    <w:p>
      <w:pPr>
        <w:spacing w:before="160" w:after="80"/>
      </w:pPr>
      <w:r>
        <w:rPr>
          <w:b/>
          <w:color w:val="1A365D"/>
          <w:sz w:val="26"/>
        </w:rPr>
        <w:t>1. Executive &amp; Functional Overview</w:t>
      </w:r>
    </w:p>
    <w:p>
      <w:r>
        <w:t>The evaluated script is a high-performance desktop application styled as 'Sentiment Radar.' It acts as an automated news aggregator, natural language processing (NLP) analyzer, and real-time interactive charting dashboard. By tapping into live market data feeds and central bank disclosures, it evaluates macro-environmental sentiment, isolates systemic risk signals, and maps named corporate/economic entities via a highly modernized graphical user interface built on CustomTkinter.</w:t>
      </w:r>
    </w:p>
    <w:p>
      <w:pPr>
        <w:spacing w:before="200" w:after="80"/>
      </w:pPr>
      <w:r>
        <w:rPr>
          <w:b/>
          <w:color w:val="1A365D"/>
          <w:sz w:val="26"/>
        </w:rPr>
        <w:t>2. Engine Architecture &amp; Decoupled Pipelines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2592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1A365D"/>
                <w:sz w:val="19"/>
              </w:rPr>
              <w:t>Data Retrieval</w:t>
              <w:br/>
              <w:t>(NewsFetcher)</w:t>
            </w:r>
          </w:p>
        </w:tc>
        <w:tc>
          <w:tcPr>
            <w:tcW w:type="dxa" w:w="7920"/>
            <w:tcBorders>
              <w:top w:val="none"/>
              <w:left w:val="single" w:sz="6" w:space="0" w:color="E2E8F0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19"/>
              </w:rPr>
              <w:t>Establishes multi-channel automated RSS streaming with Yahoo Finance, Business Standard, Economic Times, RBI, and SEBI. Features an offline fallback subsystem leveraging hardcoded historical sample vectors during network drops.</w:t>
            </w:r>
          </w:p>
        </w:tc>
      </w:tr>
      <w:tr>
        <w:tc>
          <w:tcPr>
            <w:tcW w:type="dxa" w:w="2592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1A365D"/>
                <w:sz w:val="19"/>
              </w:rPr>
              <w:t>NLP Sentiment</w:t>
              <w:br/>
              <w:t>(SentimentEngine)</w:t>
            </w:r>
          </w:p>
        </w:tc>
        <w:tc>
          <w:tcPr>
            <w:tcW w:type="dxa" w:w="7920"/>
            <w:tcBorders>
              <w:top w:val="none"/>
              <w:left w:val="single" w:sz="6" w:space="0" w:color="E2E8F0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19"/>
              </w:rPr>
              <w:t>Calculates mathematical polarity profiles scaled from -100 (Extremely Bearish) to +100 (Extremely Bullish). Features an intelligent tiered fallback layer: matches NLTK VADER first, drops to TextBlob second, and engages a custom text-token keyword matrix third.</w:t>
            </w:r>
          </w:p>
        </w:tc>
      </w:tr>
      <w:tr>
        <w:tc>
          <w:tcPr>
            <w:tcW w:type="dxa" w:w="2592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1A365D"/>
                <w:sz w:val="19"/>
              </w:rPr>
              <w:t>Policy Analysis</w:t>
              <w:br/>
              <w:t>(PolicyMoodAnalyzer)</w:t>
            </w:r>
          </w:p>
        </w:tc>
        <w:tc>
          <w:tcPr>
            <w:tcW w:type="dxa" w:w="7920"/>
            <w:tcBorders>
              <w:top w:val="none"/>
              <w:left w:val="single" w:sz="6" w:space="0" w:color="E2E8F0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19"/>
              </w:rPr>
              <w:t>Scans semantic vectors for central bank alignment. Isolates Hawkish signals (inflation, tightening, rate hike) against Dovish indicators (growth support, accommodative, rate cut) to calculate monetary tone and confidence parameters.</w:t>
            </w:r>
          </w:p>
        </w:tc>
      </w:tr>
      <w:tr>
        <w:tc>
          <w:tcPr>
            <w:tcW w:type="dxa" w:w="2592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1A365D"/>
                <w:sz w:val="19"/>
              </w:rPr>
              <w:t>Entity Extraction</w:t>
              <w:br/>
              <w:t>(EntityExtractor)</w:t>
            </w:r>
          </w:p>
        </w:tc>
        <w:tc>
          <w:tcPr>
            <w:tcW w:type="dxa" w:w="7920"/>
            <w:tcBorders>
              <w:top w:val="none"/>
              <w:left w:val="single" w:sz="6" w:space="0" w:color="E2E8F0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19"/>
              </w:rPr>
              <w:t>Implements deterministic regex indexing combined with uppercase validation arrays to automatically extract up to 12 major corporate tickers, market indices, currencies, and regulatory entities (e.g., NVIDIA, NIFTY, RBI, FOMC).</w:t>
            </w:r>
          </w:p>
        </w:tc>
      </w:tr>
    </w:tbl>
    <w:p>
      <w:pPr>
        <w:spacing w:before="240" w:after="80"/>
      </w:pPr>
      <w:r>
        <w:rPr>
          <w:b/>
          <w:color w:val="1A365D"/>
          <w:sz w:val="26"/>
        </w:rPr>
        <w:t>3. GUI Workspace &amp; Data Visualizations</w:t>
      </w:r>
    </w:p>
    <w:p>
      <w:r>
        <w:t>The dashboard establishes a highly responsive dual-panel workspace rendered native inside Matplotlib and CustomTkinter canvases:</w:t>
      </w:r>
    </w:p>
    <w:p>
      <w:pPr>
        <w:pStyle w:val="ListBullet"/>
      </w:pPr>
      <w:r>
        <w:rPr>
          <w:b/>
        </w:rPr>
        <w:t xml:space="preserve">Chronological News Stream (Left Panel): </w:t>
      </w:r>
      <w:r>
        <w:t>Generates structured data cards for each headline, containing real-time visual color badges (Green for positive sentiment, Red for negative), publishing source tags, and unified timestamps.</w:t>
      </w:r>
    </w:p>
    <w:p>
      <w:pPr>
        <w:pStyle w:val="ListBullet"/>
      </w:pPr>
      <w:r>
        <w:rPr>
          <w:b/>
        </w:rPr>
        <w:t xml:space="preserve">Interactive Analytics Suite (Right Panel): </w:t>
      </w:r>
      <w:r>
        <w:t>Renders a multi-chart canvas dynamically tracking macro market posture. This includes a Market Mood Donut Chart (distribution breakdown), an Area Timeline Graph (historical trajectory tracking), a Horizontal Bar Chart (volume/momentum pressure metrics), and a consolidated data grid showing technical stats and active engine backends.</w:t>
      </w:r>
    </w:p>
    <w:p>
      <w:pPr>
        <w:pStyle w:val="ListBullet"/>
      </w:pPr>
      <w:r>
        <w:rPr>
          <w:b/>
        </w:rPr>
        <w:t xml:space="preserve">Granular Investigation Sub-View: </w:t>
      </w:r>
      <w:r>
        <w:t>Clicking a news object triggers an animated frame transition. It hides standard analytics to display the article's complete body payload, interactive web-routing hyperlinks, automated chip-tags for entities, and an explicit multi-axis Polar Radar Chart measuring multi-dimensional impact metrics.</w:t>
      </w:r>
    </w:p>
    <w:p>
      <w:pPr>
        <w:spacing w:before="200" w:after="80"/>
      </w:pPr>
      <w:r>
        <w:rPr>
          <w:b/>
          <w:color w:val="1A365D"/>
          <w:sz w:val="26"/>
        </w:rPr>
        <w:t>4. OOP Class Blueprint Registry</w:t>
      </w:r>
    </w:p>
    <w:p>
      <w:r>
        <w:t>The source script is structurally rigid, leveraging 6 custom Object-Oriented classes: 1) NewsItem: Core data descriptor for individual payloads; 2) SentimentEngine: Scaled polarity scorer; 3) PolicyMoodAnalyzer: Hawkish/Dovish token validator; 4) EntityExtractor: RegEx subject indexer; 5) NewsFetcher: The multi-threaded XML request session manager; and 6) SentimentRadarApp: The Tkinter window master.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Calibri" w:hAnsi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