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center"/>
      </w:pPr>
      <w:r>
        <w:rPr>
          <w:rFonts w:ascii="Calibri" w:cs="Calibri" w:eastAsia="Calibri" w:hAnsi="Calibri"/>
          <w:b/>
          <w:bCs/>
          <w:color w:val="1F3864"/>
          <w:sz w:val="52"/>
          <w:szCs w:val="52"/>
        </w:rPr>
        <w:t xml:space="preserve">CUADERNO DE MACROECONOMÍA</w:t>
      </w:r>
    </w:p>
    <w:p>
      <w:pPr>
        <w:spacing w:after="400"/>
        <w:jc w:val="center"/>
      </w:pPr>
      <w:r>
        <w:rPr>
          <w:rFonts w:ascii="Calibri" w:cs="Calibri" w:eastAsia="Calibri" w:hAnsi="Calibri"/>
          <w:color w:val="2E5496"/>
          <w:sz w:val="30"/>
          <w:szCs w:val="30"/>
        </w:rPr>
        <w:t xml:space="preserve">Unidad I — Fundamentos y medición</w:t>
      </w:r>
    </w:p>
    <w:p>
      <w:pPr>
        <w:spacing w:after="120"/>
        <w:jc w:val="center"/>
      </w:pPr>
      <w:r>
        <w:rPr>
          <w:rFonts w:ascii="Calibri" w:cs="Calibri" w:eastAsia="Calibri" w:hAnsi="Calibri"/>
          <w:i/>
          <w:iCs/>
          <w:color w:val="595959"/>
          <w:sz w:val="22"/>
          <w:szCs w:val="22"/>
        </w:rPr>
        <w:t xml:space="preserve">Apuntes de clase consolidados con las Sesiones 1 a 4, ampliados</w:t>
      </w:r>
    </w:p>
    <w:p>
      <w:pPr>
        <w:spacing w:after="900"/>
        <w:jc w:val="center"/>
      </w:pPr>
      <w:r>
        <w:rPr>
          <w:rFonts w:ascii="Calibri" w:cs="Calibri" w:eastAsia="Calibri" w:hAnsi="Calibri"/>
          <w:i/>
          <w:iCs/>
          <w:color w:val="595959"/>
          <w:sz w:val="22"/>
          <w:szCs w:val="22"/>
        </w:rPr>
        <w:t xml:space="preserve">con teoría complementaria, ejercicios resueltos y datos verificados de Bolivia</w:t>
      </w:r>
    </w:p>
    <w:p>
      <w:pPr>
        <w:spacing w:after="60"/>
        <w:jc w:val="center"/>
      </w:pPr>
      <w:r>
        <w:rPr>
          <w:rFonts w:ascii="Calibri" w:cs="Calibri" w:eastAsia="Calibri" w:hAnsi="Calibri"/>
          <w:color w:val="404040"/>
          <w:sz w:val="20"/>
          <w:szCs w:val="20"/>
        </w:rPr>
        <w:t xml:space="preserve">Macroeconomía y Empresa · Gonzalo Chávez A.</w:t>
      </w:r>
    </w:p>
    <w:p>
      <w:pPr>
        <w:spacing w:after="60"/>
        <w:jc w:val="center"/>
      </w:pPr>
      <w:r>
        <w:rPr>
          <w:rFonts w:ascii="Calibri" w:cs="Calibri" w:eastAsia="Calibri" w:hAnsi="Calibri"/>
          <w:color w:val="404040"/>
          <w:sz w:val="20"/>
          <w:szCs w:val="20"/>
        </w:rPr>
        <w:t xml:space="preserve">Bibliografía base: Mankiw, cap. 1–2 · Blanchard, cap. 1–2</w:t>
      </w:r>
    </w:p>
    <w:p>
      <w:pPr>
        <w:spacing w:after="0"/>
        <w:jc w:val="center"/>
      </w:pPr>
      <w:r>
        <w:rPr>
          <w:rFonts w:ascii="Calibri" w:cs="Calibri" w:eastAsia="Calibri" w:hAnsi="Calibri"/>
          <w:color w:val="404040"/>
          <w:sz w:val="20"/>
          <w:szCs w:val="20"/>
        </w:rPr>
        <w:t xml:space="preserve">Datos verificados al 3 de septiembre de 2026</w:t>
      </w:r>
    </w:p>
    <w:p>
      <w:r>
        <w:br w:type="page"/>
      </w:r>
    </w:p>
    <w:p>
      <w:pPr>
        <w:pStyle w:val="Heading1"/>
        <w:spacing w:after="180" w:before="0"/>
      </w:pPr>
      <w:r>
        <w:rPr>
          <w:rFonts w:ascii="Calibri" w:cs="Calibri" w:eastAsia="Calibri" w:hAnsi="Calibri"/>
          <w:b/>
          <w:bCs/>
          <w:color w:val="1F3864"/>
          <w:sz w:val="32"/>
          <w:szCs w:val="32"/>
        </w:rPr>
        <w:t xml:space="preserve">Índice</w:t>
      </w:r>
    </w:p>
    <w:p>
      <w:pPr>
        <w:spacing w:after="50"/>
        <w:ind w:left="0"/>
      </w:pPr>
      <w:r>
        <w:rPr>
          <w:rFonts w:ascii="Calibri" w:cs="Calibri" w:eastAsia="Calibri" w:hAnsi="Calibri"/>
          <w:b/>
          <w:bCs/>
          <w:color w:val="1F3864"/>
          <w:sz w:val="21"/>
          <w:szCs w:val="21"/>
        </w:rPr>
        <w:t xml:space="preserve">Cómo usar este cuaderno</w:t>
      </w:r>
    </w:p>
    <w:p>
      <w:pPr>
        <w:spacing w:after="50"/>
        <w:ind w:left="0"/>
      </w:pPr>
      <w:r>
        <w:rPr>
          <w:rFonts w:ascii="Calibri" w:cs="Calibri" w:eastAsia="Calibri" w:hAnsi="Calibri"/>
          <w:b/>
          <w:bCs/>
          <w:color w:val="1F3864"/>
          <w:sz w:val="21"/>
          <w:szCs w:val="21"/>
        </w:rPr>
        <w:t xml:space="preserve">Parte I · Fundamentos: qué estudia la macroeconomía</w:t>
      </w:r>
    </w:p>
    <w:p>
      <w:pPr>
        <w:spacing w:after="6"/>
        <w:ind w:left="460"/>
      </w:pPr>
      <w:r>
        <w:rPr>
          <w:rFonts w:ascii="Calibri" w:cs="Calibri" w:eastAsia="Calibri" w:hAnsi="Calibri"/>
          <w:b w:val="false"/>
          <w:bCs w:val="false"/>
          <w:color w:val="404040"/>
          <w:sz w:val="19"/>
          <w:szCs w:val="19"/>
        </w:rPr>
        <w:t xml:space="preserve">1.1 Definición y contraste con la microeconomía</w:t>
      </w:r>
    </w:p>
    <w:p>
      <w:pPr>
        <w:spacing w:after="6"/>
        <w:ind w:left="460"/>
      </w:pPr>
      <w:r>
        <w:rPr>
          <w:rFonts w:ascii="Calibri" w:cs="Calibri" w:eastAsia="Calibri" w:hAnsi="Calibri"/>
          <w:b w:val="false"/>
          <w:bCs w:val="false"/>
          <w:color w:val="404040"/>
          <w:sz w:val="19"/>
          <w:szCs w:val="19"/>
        </w:rPr>
        <w:t xml:space="preserve">1.2 Las tres preguntas centrales</w:t>
      </w:r>
    </w:p>
    <w:p>
      <w:pPr>
        <w:spacing w:after="6"/>
        <w:ind w:left="460"/>
      </w:pPr>
      <w:r>
        <w:rPr>
          <w:rFonts w:ascii="Calibri" w:cs="Calibri" w:eastAsia="Calibri" w:hAnsi="Calibri"/>
          <w:b w:val="false"/>
          <w:bCs w:val="false"/>
          <w:color w:val="404040"/>
          <w:sz w:val="19"/>
          <w:szCs w:val="19"/>
        </w:rPr>
        <w:t xml:space="preserve">1.3 Breve historia del pensamiento macroeconómico</w:t>
      </w:r>
    </w:p>
    <w:p>
      <w:pPr>
        <w:spacing w:after="6"/>
        <w:ind w:left="460"/>
      </w:pPr>
      <w:r>
        <w:rPr>
          <w:rFonts w:ascii="Calibri" w:cs="Calibri" w:eastAsia="Calibri" w:hAnsi="Calibri"/>
          <w:b w:val="false"/>
          <w:bCs w:val="false"/>
          <w:color w:val="404040"/>
          <w:sz w:val="19"/>
          <w:szCs w:val="19"/>
        </w:rPr>
        <w:t xml:space="preserve">1.4 Corto, mediano y largo plazo</w:t>
      </w:r>
    </w:p>
    <w:p>
      <w:pPr>
        <w:spacing w:after="6"/>
        <w:ind w:left="460"/>
      </w:pPr>
      <w:r>
        <w:rPr>
          <w:rFonts w:ascii="Calibri" w:cs="Calibri" w:eastAsia="Calibri" w:hAnsi="Calibri"/>
          <w:b w:val="false"/>
          <w:bCs w:val="false"/>
          <w:color w:val="404040"/>
          <w:sz w:val="19"/>
          <w:szCs w:val="19"/>
        </w:rPr>
        <w:t xml:space="preserve">1.5 Economía cerrada y economía abierta</w:t>
      </w:r>
    </w:p>
    <w:p>
      <w:pPr>
        <w:spacing w:after="6"/>
        <w:ind w:left="460"/>
      </w:pPr>
      <w:r>
        <w:rPr>
          <w:rFonts w:ascii="Calibri" w:cs="Calibri" w:eastAsia="Calibri" w:hAnsi="Calibri"/>
          <w:b w:val="false"/>
          <w:bCs w:val="false"/>
          <w:color w:val="404040"/>
          <w:sz w:val="19"/>
          <w:szCs w:val="19"/>
        </w:rPr>
        <w:t xml:space="preserve">1.6 Modelos, supuestos y el rol de la teoría</w:t>
      </w:r>
    </w:p>
    <w:p>
      <w:pPr>
        <w:spacing w:after="6"/>
        <w:ind w:left="460"/>
      </w:pPr>
      <w:r>
        <w:rPr>
          <w:rFonts w:ascii="Calibri" w:cs="Calibri" w:eastAsia="Calibri" w:hAnsi="Calibri"/>
          <w:b w:val="false"/>
          <w:bCs w:val="false"/>
          <w:color w:val="404040"/>
          <w:sz w:val="19"/>
          <w:szCs w:val="19"/>
        </w:rPr>
        <w:t xml:space="preserve">1.7 Bolivia como caso de estudio</w:t>
      </w:r>
    </w:p>
    <w:p>
      <w:pPr>
        <w:spacing w:after="6"/>
        <w:ind w:left="460"/>
      </w:pPr>
      <w:r>
        <w:rPr>
          <w:rFonts w:ascii="Calibri" w:cs="Calibri" w:eastAsia="Calibri" w:hAnsi="Calibri"/>
          <w:b w:val="false"/>
          <w:bCs w:val="false"/>
          <w:color w:val="404040"/>
          <w:sz w:val="19"/>
          <w:szCs w:val="19"/>
        </w:rPr>
        <w:t xml:space="preserve">1.8 Mapa del curso</w:t>
      </w:r>
    </w:p>
    <w:p>
      <w:pPr>
        <w:spacing w:after="50"/>
        <w:ind w:left="0"/>
      </w:pPr>
      <w:r>
        <w:rPr>
          <w:rFonts w:ascii="Calibri" w:cs="Calibri" w:eastAsia="Calibri" w:hAnsi="Calibri"/>
          <w:b/>
          <w:bCs/>
          <w:color w:val="1F3864"/>
          <w:sz w:val="21"/>
          <w:szCs w:val="21"/>
        </w:rPr>
        <w:t xml:space="preserve">Parte II · Medición del PIB</w:t>
      </w:r>
    </w:p>
    <w:p>
      <w:pPr>
        <w:spacing w:after="6"/>
        <w:ind w:left="460"/>
      </w:pPr>
      <w:r>
        <w:rPr>
          <w:rFonts w:ascii="Calibri" w:cs="Calibri" w:eastAsia="Calibri" w:hAnsi="Calibri"/>
          <w:b w:val="false"/>
          <w:bCs w:val="false"/>
          <w:color w:val="404040"/>
          <w:sz w:val="19"/>
          <w:szCs w:val="19"/>
        </w:rPr>
        <w:t xml:space="preserve">2.1 Qué es el Producto Interno Bruto</w:t>
      </w:r>
    </w:p>
    <w:p>
      <w:pPr>
        <w:spacing w:after="6"/>
        <w:ind w:left="460"/>
      </w:pPr>
      <w:r>
        <w:rPr>
          <w:rFonts w:ascii="Calibri" w:cs="Calibri" w:eastAsia="Calibri" w:hAnsi="Calibri"/>
          <w:b w:val="false"/>
          <w:bCs w:val="false"/>
          <w:color w:val="404040"/>
          <w:sz w:val="19"/>
          <w:szCs w:val="19"/>
        </w:rPr>
        <w:t xml:space="preserve">2.2 Bienes finales y bienes intermedios</w:t>
      </w:r>
    </w:p>
    <w:p>
      <w:pPr>
        <w:spacing w:after="6"/>
        <w:ind w:left="460"/>
      </w:pPr>
      <w:r>
        <w:rPr>
          <w:rFonts w:ascii="Calibri" w:cs="Calibri" w:eastAsia="Calibri" w:hAnsi="Calibri"/>
          <w:b w:val="false"/>
          <w:bCs w:val="false"/>
          <w:color w:val="404040"/>
          <w:sz w:val="19"/>
          <w:szCs w:val="19"/>
        </w:rPr>
        <w:t xml:space="preserve">2.3 El flujo circular de la renta</w:t>
      </w:r>
    </w:p>
    <w:p>
      <w:pPr>
        <w:spacing w:after="6"/>
        <w:ind w:left="460"/>
      </w:pPr>
      <w:r>
        <w:rPr>
          <w:rFonts w:ascii="Calibri" w:cs="Calibri" w:eastAsia="Calibri" w:hAnsi="Calibri"/>
          <w:b w:val="false"/>
          <w:bCs w:val="false"/>
          <w:color w:val="404040"/>
          <w:sz w:val="19"/>
          <w:szCs w:val="19"/>
        </w:rPr>
        <w:t xml:space="preserve">2.4 El enfoque del gasto</w:t>
      </w:r>
    </w:p>
    <w:p>
      <w:pPr>
        <w:spacing w:after="6"/>
        <w:ind w:left="460"/>
      </w:pPr>
      <w:r>
        <w:rPr>
          <w:rFonts w:ascii="Calibri" w:cs="Calibri" w:eastAsia="Calibri" w:hAnsi="Calibri"/>
          <w:b w:val="false"/>
          <w:bCs w:val="false"/>
          <w:color w:val="404040"/>
          <w:sz w:val="19"/>
          <w:szCs w:val="19"/>
        </w:rPr>
        <w:t xml:space="preserve">2.5 Caso aplicado: la economía de Catania</w:t>
      </w:r>
    </w:p>
    <w:p>
      <w:pPr>
        <w:spacing w:after="6"/>
        <w:ind w:left="460"/>
      </w:pPr>
      <w:r>
        <w:rPr>
          <w:rFonts w:ascii="Calibri" w:cs="Calibri" w:eastAsia="Calibri" w:hAnsi="Calibri"/>
          <w:b w:val="false"/>
          <w:bCs w:val="false"/>
          <w:color w:val="404040"/>
          <w:sz w:val="19"/>
          <w:szCs w:val="19"/>
        </w:rPr>
        <w:t xml:space="preserve">2.6 PIB y PNB: territorio o nacionalidad</w:t>
      </w:r>
    </w:p>
    <w:p>
      <w:pPr>
        <w:spacing w:after="6"/>
        <w:ind w:left="460"/>
      </w:pPr>
      <w:r>
        <w:rPr>
          <w:rFonts w:ascii="Calibri" w:cs="Calibri" w:eastAsia="Calibri" w:hAnsi="Calibri"/>
          <w:b w:val="false"/>
          <w:bCs w:val="false"/>
          <w:color w:val="404040"/>
          <w:sz w:val="19"/>
          <w:szCs w:val="19"/>
        </w:rPr>
        <w:t xml:space="preserve">2.7 El enfoque del ingreso</w:t>
      </w:r>
    </w:p>
    <w:p>
      <w:pPr>
        <w:spacing w:after="6"/>
        <w:ind w:left="460"/>
      </w:pPr>
      <w:r>
        <w:rPr>
          <w:rFonts w:ascii="Calibri" w:cs="Calibri" w:eastAsia="Calibri" w:hAnsi="Calibri"/>
          <w:b w:val="false"/>
          <w:bCs w:val="false"/>
          <w:color w:val="404040"/>
          <w:sz w:val="19"/>
          <w:szCs w:val="19"/>
        </w:rPr>
        <w:t xml:space="preserve">2.8 El enfoque de la producción y la equivalencia de los tres</w:t>
      </w:r>
    </w:p>
    <w:p>
      <w:pPr>
        <w:spacing w:after="6"/>
        <w:ind w:left="460"/>
      </w:pPr>
      <w:r>
        <w:rPr>
          <w:rFonts w:ascii="Calibri" w:cs="Calibri" w:eastAsia="Calibri" w:hAnsi="Calibri"/>
          <w:b w:val="false"/>
          <w:bCs w:val="false"/>
          <w:color w:val="404040"/>
          <w:sz w:val="19"/>
          <w:szCs w:val="19"/>
        </w:rPr>
        <w:t xml:space="preserve">2.9 Precios de mercado y costo de factores</w:t>
      </w:r>
    </w:p>
    <w:p>
      <w:pPr>
        <w:spacing w:after="6"/>
        <w:ind w:left="460"/>
      </w:pPr>
      <w:r>
        <w:rPr>
          <w:rFonts w:ascii="Calibri" w:cs="Calibri" w:eastAsia="Calibri" w:hAnsi="Calibri"/>
          <w:b w:val="false"/>
          <w:bCs w:val="false"/>
          <w:color w:val="404040"/>
          <w:sz w:val="19"/>
          <w:szCs w:val="19"/>
        </w:rPr>
        <w:t xml:space="preserve">2.10 Caso aplicado: la cadena de valor de la quinua</w:t>
      </w:r>
    </w:p>
    <w:p>
      <w:pPr>
        <w:spacing w:after="50"/>
        <w:ind w:left="0"/>
      </w:pPr>
      <w:r>
        <w:rPr>
          <w:rFonts w:ascii="Calibri" w:cs="Calibri" w:eastAsia="Calibri" w:hAnsi="Calibri"/>
          <w:b/>
          <w:bCs/>
          <w:color w:val="1F3864"/>
          <w:sz w:val="21"/>
          <w:szCs w:val="21"/>
        </w:rPr>
        <w:t xml:space="preserve">Parte III · PIB nominal, PIB real y el deflactor</w:t>
      </w:r>
    </w:p>
    <w:p>
      <w:pPr>
        <w:spacing w:after="6"/>
        <w:ind w:left="460"/>
      </w:pPr>
      <w:r>
        <w:rPr>
          <w:rFonts w:ascii="Calibri" w:cs="Calibri" w:eastAsia="Calibri" w:hAnsi="Calibri"/>
          <w:b w:val="false"/>
          <w:bCs w:val="false"/>
          <w:color w:val="404040"/>
          <w:sz w:val="19"/>
          <w:szCs w:val="19"/>
        </w:rPr>
        <w:t xml:space="preserve">3.1 El problema que hay que resolver</w:t>
      </w:r>
    </w:p>
    <w:p>
      <w:pPr>
        <w:spacing w:after="6"/>
        <w:ind w:left="460"/>
      </w:pPr>
      <w:r>
        <w:rPr>
          <w:rFonts w:ascii="Calibri" w:cs="Calibri" w:eastAsia="Calibri" w:hAnsi="Calibri"/>
          <w:b w:val="false"/>
          <w:bCs w:val="false"/>
          <w:color w:val="404040"/>
          <w:sz w:val="19"/>
          <w:szCs w:val="19"/>
        </w:rPr>
        <w:t xml:space="preserve">3.2 El Trigal a lo largo de tres años</w:t>
      </w:r>
    </w:p>
    <w:p>
      <w:pPr>
        <w:spacing w:after="6"/>
        <w:ind w:left="460"/>
      </w:pPr>
      <w:r>
        <w:rPr>
          <w:rFonts w:ascii="Calibri" w:cs="Calibri" w:eastAsia="Calibri" w:hAnsi="Calibri"/>
          <w:b w:val="false"/>
          <w:bCs w:val="false"/>
          <w:color w:val="404040"/>
          <w:sz w:val="19"/>
          <w:szCs w:val="19"/>
        </w:rPr>
        <w:t xml:space="preserve">3.3 El deflactor del PIB</w:t>
      </w:r>
    </w:p>
    <w:p>
      <w:pPr>
        <w:spacing w:after="6"/>
        <w:ind w:left="460"/>
      </w:pPr>
      <w:r>
        <w:rPr>
          <w:rFonts w:ascii="Calibri" w:cs="Calibri" w:eastAsia="Calibri" w:hAnsi="Calibri"/>
          <w:b w:val="false"/>
          <w:bCs w:val="false"/>
          <w:color w:val="404040"/>
          <w:sz w:val="19"/>
          <w:szCs w:val="19"/>
        </w:rPr>
        <w:t xml:space="preserve">3.4 El problema del año base</w:t>
      </w:r>
    </w:p>
    <w:p>
      <w:pPr>
        <w:spacing w:after="6"/>
        <w:ind w:left="460"/>
      </w:pPr>
      <w:r>
        <w:rPr>
          <w:rFonts w:ascii="Calibri" w:cs="Calibri" w:eastAsia="Calibri" w:hAnsi="Calibri"/>
          <w:b w:val="false"/>
          <w:bCs w:val="false"/>
          <w:color w:val="404040"/>
          <w:sz w:val="19"/>
          <w:szCs w:val="19"/>
        </w:rPr>
        <w:t xml:space="preserve">3.5 Deflactor del PIB e IPC: no son lo mismo</w:t>
      </w:r>
    </w:p>
    <w:p>
      <w:pPr>
        <w:spacing w:after="6"/>
        <w:ind w:left="460"/>
      </w:pPr>
      <w:r>
        <w:rPr>
          <w:rFonts w:ascii="Calibri" w:cs="Calibri" w:eastAsia="Calibri" w:hAnsi="Calibri"/>
          <w:b w:val="false"/>
          <w:bCs w:val="false"/>
          <w:color w:val="404040"/>
          <w:sz w:val="19"/>
          <w:szCs w:val="19"/>
        </w:rPr>
        <w:t xml:space="preserve">3.6 Caso boliviano: 1985, cuando los precios se dispararon</w:t>
      </w:r>
    </w:p>
    <w:p>
      <w:pPr>
        <w:spacing w:after="50"/>
        <w:ind w:left="0"/>
      </w:pPr>
      <w:r>
        <w:rPr>
          <w:rFonts w:ascii="Calibri" w:cs="Calibri" w:eastAsia="Calibri" w:hAnsi="Calibri"/>
          <w:b/>
          <w:bCs/>
          <w:color w:val="1F3864"/>
          <w:sz w:val="21"/>
          <w:szCs w:val="21"/>
        </w:rPr>
        <w:t xml:space="preserve">Parte IV · Nivel de precios, IPC y mercado laboral</w:t>
      </w:r>
    </w:p>
    <w:p>
      <w:pPr>
        <w:spacing w:after="6"/>
        <w:ind w:left="460"/>
      </w:pPr>
      <w:r>
        <w:rPr>
          <w:rFonts w:ascii="Calibri" w:cs="Calibri" w:eastAsia="Calibri" w:hAnsi="Calibri"/>
          <w:b w:val="false"/>
          <w:bCs w:val="false"/>
          <w:color w:val="404040"/>
          <w:sz w:val="19"/>
          <w:szCs w:val="19"/>
        </w:rPr>
        <w:t xml:space="preserve">4.1 El Índice de Precios al Consumidor</w:t>
      </w:r>
    </w:p>
    <w:p>
      <w:pPr>
        <w:spacing w:after="6"/>
        <w:ind w:left="460"/>
      </w:pPr>
      <w:r>
        <w:rPr>
          <w:rFonts w:ascii="Calibri" w:cs="Calibri" w:eastAsia="Calibri" w:hAnsi="Calibri"/>
          <w:b w:val="false"/>
          <w:bCs w:val="false"/>
          <w:color w:val="404040"/>
          <w:sz w:val="19"/>
          <w:szCs w:val="19"/>
        </w:rPr>
        <w:t xml:space="preserve">4.2 La inflación y sus tres formas de medirla</w:t>
      </w:r>
    </w:p>
    <w:p>
      <w:pPr>
        <w:spacing w:after="6"/>
        <w:ind w:left="460"/>
      </w:pPr>
      <w:r>
        <w:rPr>
          <w:rFonts w:ascii="Calibri" w:cs="Calibri" w:eastAsia="Calibri" w:hAnsi="Calibri"/>
          <w:b w:val="false"/>
          <w:bCs w:val="false"/>
          <w:color w:val="404040"/>
          <w:sz w:val="19"/>
          <w:szCs w:val="19"/>
        </w:rPr>
        <w:t xml:space="preserve">4.3 Mercado laboral: PEA y tasa de desempleo</w:t>
      </w:r>
    </w:p>
    <w:p>
      <w:pPr>
        <w:spacing w:after="50"/>
        <w:ind w:left="0"/>
      </w:pPr>
      <w:r>
        <w:rPr>
          <w:rFonts w:ascii="Calibri" w:cs="Calibri" w:eastAsia="Calibri" w:hAnsi="Calibri"/>
          <w:b/>
          <w:bCs/>
          <w:color w:val="1F3864"/>
          <w:sz w:val="21"/>
          <w:szCs w:val="21"/>
        </w:rPr>
        <w:t xml:space="preserve">Parte V · Dinero, inflación y dolarización</w:t>
      </w:r>
    </w:p>
    <w:p>
      <w:pPr>
        <w:spacing w:after="6"/>
        <w:ind w:left="460"/>
      </w:pPr>
      <w:r>
        <w:rPr>
          <w:rFonts w:ascii="Calibri" w:cs="Calibri" w:eastAsia="Calibri" w:hAnsi="Calibri"/>
          <w:b w:val="false"/>
          <w:bCs w:val="false"/>
          <w:color w:val="404040"/>
          <w:sz w:val="19"/>
          <w:szCs w:val="19"/>
        </w:rPr>
        <w:t xml:space="preserve">5.1 Emisión monetaria e impuesto inflacionario</w:t>
      </w:r>
    </w:p>
    <w:p>
      <w:pPr>
        <w:spacing w:after="6"/>
        <w:ind w:left="460"/>
      </w:pPr>
      <w:r>
        <w:rPr>
          <w:rFonts w:ascii="Calibri" w:cs="Calibri" w:eastAsia="Calibri" w:hAnsi="Calibri"/>
          <w:b w:val="false"/>
          <w:bCs w:val="false"/>
          <w:color w:val="404040"/>
          <w:sz w:val="19"/>
          <w:szCs w:val="19"/>
        </w:rPr>
        <w:t xml:space="preserve">5.2 Demanda de dinero e inflación</w:t>
      </w:r>
    </w:p>
    <w:p>
      <w:pPr>
        <w:spacing w:after="6"/>
        <w:ind w:left="460"/>
      </w:pPr>
      <w:r>
        <w:rPr>
          <w:rFonts w:ascii="Calibri" w:cs="Calibri" w:eastAsia="Calibri" w:hAnsi="Calibri"/>
          <w:b w:val="false"/>
          <w:bCs w:val="false"/>
          <w:color w:val="404040"/>
          <w:sz w:val="19"/>
          <w:szCs w:val="19"/>
        </w:rPr>
        <w:t xml:space="preserve">5.3 El límite del financiamiento vía emisión</w:t>
      </w:r>
    </w:p>
    <w:p>
      <w:pPr>
        <w:spacing w:after="6"/>
        <w:ind w:left="460"/>
      </w:pPr>
      <w:r>
        <w:rPr>
          <w:rFonts w:ascii="Calibri" w:cs="Calibri" w:eastAsia="Calibri" w:hAnsi="Calibri"/>
          <w:b w:val="false"/>
          <w:bCs w:val="false"/>
          <w:color w:val="404040"/>
          <w:sz w:val="19"/>
          <w:szCs w:val="19"/>
        </w:rPr>
        <w:t xml:space="preserve">5.4 Hiperinflación</w:t>
      </w:r>
    </w:p>
    <w:p>
      <w:pPr>
        <w:spacing w:after="6"/>
        <w:ind w:left="460"/>
      </w:pPr>
      <w:r>
        <w:rPr>
          <w:rFonts w:ascii="Calibri" w:cs="Calibri" w:eastAsia="Calibri" w:hAnsi="Calibri"/>
          <w:b w:val="false"/>
          <w:bCs w:val="false"/>
          <w:color w:val="404040"/>
          <w:sz w:val="19"/>
          <w:szCs w:val="19"/>
        </w:rPr>
        <w:t xml:space="preserve">5.5 Dolarización y la experiencia boliviana</w:t>
      </w:r>
    </w:p>
    <w:p>
      <w:pPr>
        <w:spacing w:after="50"/>
        <w:ind w:left="0"/>
      </w:pPr>
      <w:r>
        <w:rPr>
          <w:rFonts w:ascii="Calibri" w:cs="Calibri" w:eastAsia="Calibri" w:hAnsi="Calibri"/>
          <w:b/>
          <w:bCs/>
          <w:color w:val="1F3864"/>
          <w:sz w:val="21"/>
          <w:szCs w:val="21"/>
        </w:rPr>
        <w:t xml:space="preserve">Parte VI · IS-LM y el Fondo Monetario Internacional</w:t>
      </w:r>
    </w:p>
    <w:p>
      <w:pPr>
        <w:spacing w:after="6"/>
        <w:ind w:left="460"/>
      </w:pPr>
      <w:r>
        <w:rPr>
          <w:rFonts w:ascii="Calibri" w:cs="Calibri" w:eastAsia="Calibri" w:hAnsi="Calibri"/>
          <w:b w:val="false"/>
          <w:bCs w:val="false"/>
          <w:color w:val="404040"/>
          <w:sz w:val="19"/>
          <w:szCs w:val="19"/>
        </w:rPr>
        <w:t xml:space="preserve">6.1 El modelo IS-LM: visión general</w:t>
      </w:r>
    </w:p>
    <w:p>
      <w:pPr>
        <w:spacing w:after="6"/>
        <w:ind w:left="460"/>
      </w:pPr>
      <w:r>
        <w:rPr>
          <w:rFonts w:ascii="Calibri" w:cs="Calibri" w:eastAsia="Calibri" w:hAnsi="Calibri"/>
          <w:b w:val="false"/>
          <w:bCs w:val="false"/>
          <w:color w:val="404040"/>
          <w:sz w:val="19"/>
          <w:szCs w:val="19"/>
        </w:rPr>
        <w:t xml:space="preserve">6.2 FMI: cuotas y Derechos Especiales de Giro</w:t>
      </w:r>
    </w:p>
    <w:p>
      <w:pPr>
        <w:spacing w:after="50"/>
        <w:ind w:left="0"/>
      </w:pPr>
      <w:r>
        <w:rPr>
          <w:rFonts w:ascii="Calibri" w:cs="Calibri" w:eastAsia="Calibri" w:hAnsi="Calibri"/>
          <w:b/>
          <w:bCs/>
          <w:color w:val="1F3864"/>
          <w:sz w:val="21"/>
          <w:szCs w:val="21"/>
        </w:rPr>
        <w:t xml:space="preserve">Parte VII · Bolivia hoy: los datos, con fuente</w:t>
      </w:r>
    </w:p>
    <w:p>
      <w:pPr>
        <w:spacing w:after="6"/>
        <w:ind w:left="460"/>
      </w:pPr>
      <w:r>
        <w:rPr>
          <w:rFonts w:ascii="Calibri" w:cs="Calibri" w:eastAsia="Calibri" w:hAnsi="Calibri"/>
          <w:b w:val="false"/>
          <w:bCs w:val="false"/>
          <w:color w:val="404040"/>
          <w:sz w:val="19"/>
          <w:szCs w:val="19"/>
        </w:rPr>
        <w:t xml:space="preserve">7.1 Tablero de indicadores</w:t>
      </w:r>
    </w:p>
    <w:p>
      <w:pPr>
        <w:spacing w:after="6"/>
        <w:ind w:left="460"/>
      </w:pPr>
      <w:r>
        <w:rPr>
          <w:rFonts w:ascii="Calibri" w:cs="Calibri" w:eastAsia="Calibri" w:hAnsi="Calibri"/>
          <w:b w:val="false"/>
          <w:bCs w:val="false"/>
          <w:color w:val="404040"/>
          <w:sz w:val="19"/>
          <w:szCs w:val="19"/>
        </w:rPr>
        <w:t xml:space="preserve">7.2 Cronología reciente</w:t>
      </w:r>
    </w:p>
    <w:p>
      <w:pPr>
        <w:spacing w:after="6"/>
        <w:ind w:left="460"/>
      </w:pPr>
      <w:r>
        <w:rPr>
          <w:rFonts w:ascii="Calibri" w:cs="Calibri" w:eastAsia="Calibri" w:hAnsi="Calibri"/>
          <w:b w:val="false"/>
          <w:bCs w:val="false"/>
          <w:color w:val="404040"/>
          <w:sz w:val="19"/>
          <w:szCs w:val="19"/>
        </w:rPr>
        <w:t xml:space="preserve">7.3 Ejercicio de auditoría: cuando las fuentes no coinciden</w:t>
      </w:r>
    </w:p>
    <w:p>
      <w:pPr>
        <w:spacing w:after="50"/>
        <w:ind w:left="0"/>
      </w:pPr>
      <w:r>
        <w:rPr>
          <w:rFonts w:ascii="Calibri" w:cs="Calibri" w:eastAsia="Calibri" w:hAnsi="Calibri"/>
          <w:b/>
          <w:bCs/>
          <w:color w:val="1F3864"/>
          <w:sz w:val="21"/>
          <w:szCs w:val="21"/>
        </w:rPr>
        <w:t xml:space="preserve">Parte VIII · Ejercicios resueltos (7 ejercicios)</w:t>
      </w:r>
    </w:p>
    <w:p>
      <w:pPr>
        <w:spacing w:after="50"/>
        <w:ind w:left="0"/>
      </w:pPr>
      <w:r>
        <w:rPr>
          <w:rFonts w:ascii="Calibri" w:cs="Calibri" w:eastAsia="Calibri" w:hAnsi="Calibri"/>
          <w:b/>
          <w:bCs/>
          <w:color w:val="1F3864"/>
          <w:sz w:val="21"/>
          <w:szCs w:val="21"/>
        </w:rPr>
        <w:t xml:space="preserve">Parte IX · Síntesis, formulario y autoevaluación</w:t>
      </w:r>
    </w:p>
    <w:p>
      <w:pPr>
        <w:spacing w:after="6"/>
        <w:ind w:left="460"/>
      </w:pPr>
      <w:r>
        <w:rPr>
          <w:rFonts w:ascii="Calibri" w:cs="Calibri" w:eastAsia="Calibri" w:hAnsi="Calibri"/>
          <w:b w:val="false"/>
          <w:bCs w:val="false"/>
          <w:color w:val="404040"/>
          <w:sz w:val="19"/>
          <w:szCs w:val="19"/>
        </w:rPr>
        <w:t xml:space="preserve">9.1 Mapa de relaciones: las cadenas causales</w:t>
      </w:r>
    </w:p>
    <w:p>
      <w:pPr>
        <w:spacing w:after="6"/>
        <w:ind w:left="460"/>
      </w:pPr>
      <w:r>
        <w:rPr>
          <w:rFonts w:ascii="Calibri" w:cs="Calibri" w:eastAsia="Calibri" w:hAnsi="Calibri"/>
          <w:b w:val="false"/>
          <w:bCs w:val="false"/>
          <w:color w:val="404040"/>
          <w:sz w:val="19"/>
          <w:szCs w:val="19"/>
        </w:rPr>
        <w:t xml:space="preserve">9.2 Formulario</w:t>
      </w:r>
    </w:p>
    <w:p>
      <w:pPr>
        <w:spacing w:after="6"/>
        <w:ind w:left="460"/>
      </w:pPr>
      <w:r>
        <w:rPr>
          <w:rFonts w:ascii="Calibri" w:cs="Calibri" w:eastAsia="Calibri" w:hAnsi="Calibri"/>
          <w:b w:val="false"/>
          <w:bCs w:val="false"/>
          <w:color w:val="404040"/>
          <w:sz w:val="19"/>
          <w:szCs w:val="19"/>
        </w:rPr>
        <w:t xml:space="preserve">9.3 Errores frecuentes, consolidados</w:t>
      </w:r>
    </w:p>
    <w:p>
      <w:pPr>
        <w:spacing w:after="6"/>
        <w:ind w:left="460"/>
      </w:pPr>
      <w:r>
        <w:rPr>
          <w:rFonts w:ascii="Calibri" w:cs="Calibri" w:eastAsia="Calibri" w:hAnsi="Calibri"/>
          <w:b w:val="false"/>
          <w:bCs w:val="false"/>
          <w:color w:val="404040"/>
          <w:sz w:val="19"/>
          <w:szCs w:val="19"/>
        </w:rPr>
        <w:t xml:space="preserve">9.4 Autoevaluación</w:t>
      </w:r>
    </w:p>
    <w:p>
      <w:pPr>
        <w:spacing w:after="6"/>
        <w:ind w:left="460"/>
      </w:pPr>
      <w:r>
        <w:rPr>
          <w:rFonts w:ascii="Calibri" w:cs="Calibri" w:eastAsia="Calibri" w:hAnsi="Calibri"/>
          <w:b w:val="false"/>
          <w:bCs w:val="false"/>
          <w:color w:val="404040"/>
          <w:sz w:val="19"/>
          <w:szCs w:val="19"/>
        </w:rPr>
        <w:t xml:space="preserve">9.5 Qué viene en la Sesión 5</w:t>
      </w:r>
    </w:p>
    <w:p>
      <w:pPr>
        <w:spacing w:after="6"/>
        <w:ind w:left="460"/>
      </w:pPr>
      <w:r>
        <w:rPr>
          <w:rFonts w:ascii="Calibri" w:cs="Calibri" w:eastAsia="Calibri" w:hAnsi="Calibri"/>
          <w:b w:val="false"/>
          <w:bCs w:val="false"/>
          <w:color w:val="404040"/>
          <w:sz w:val="19"/>
          <w:szCs w:val="19"/>
        </w:rPr>
        <w:t xml:space="preserve">Nota metodológica y fuentes</w:t>
      </w:r>
    </w:p>
    <w:p>
      <w:r>
        <w:br w:type="page"/>
      </w:r>
    </w:p>
    <w:p>
      <w:pPr>
        <w:pStyle w:val="Heading1"/>
        <w:spacing w:after="200" w:before="400"/>
      </w:pPr>
      <w:r>
        <w:rPr>
          <w:rFonts w:ascii="Calibri" w:cs="Calibri" w:eastAsia="Calibri" w:hAnsi="Calibri"/>
          <w:b/>
          <w:bCs/>
          <w:color w:val="1F3864"/>
          <w:sz w:val="32"/>
          <w:szCs w:val="32"/>
        </w:rPr>
        <w:t xml:space="preserve">Cómo usar este cuaderno</w:t>
      </w:r>
    </w:p>
    <w:p>
      <w:pPr>
        <w:spacing w:after="140" w:line="276"/>
        <w:jc w:val="both"/>
      </w:pPr>
      <w:r>
        <w:rPr>
          <w:rFonts w:ascii="Calibri" w:cs="Calibri" w:eastAsia="Calibri" w:hAnsi="Calibri"/>
          <w:color w:val="000000"/>
          <w:sz w:val="21"/>
          <w:szCs w:val="21"/>
        </w:rPr>
        <w:t xml:space="preserve">Este documento fusiona tres materiales: el cuaderno de apuntes que ya tenías, las diapositivas de las Sesiones 1 a 4, y contenido complementario que no estaba en ninguno de los dos. Todo lo que proviene de tus apuntes o de las diapositivas está redactado sin marca. Todo lo que se agregó está señalado.</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1984"/>
        <w:gridCol w:w="7036"/>
      </w:tblGrid>
      <w:tr>
        <w:trPr>
          <w:tblHeader/>
        </w:trPr>
        <w:tc>
          <w:tcPr>
            <w:tcW w:type="dxa" w:w="198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Marca</w:t>
            </w:r>
          </w:p>
        </w:tc>
        <w:tc>
          <w:tcPr>
            <w:tcW w:type="dxa" w:w="7036"/>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Qué significa</w:t>
            </w:r>
          </w:p>
        </w:tc>
      </w:tr>
      <w:tr>
        <w:trPr>
          <w:tblHeader w:val="false"/>
        </w:trPr>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Texto sin marca</w:t>
            </w:r>
          </w:p>
        </w:tc>
        <w:tc>
          <w:tcPr>
            <w:tcW w:type="dxa" w:w="703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Proviene de tus apuntes o de las diapositivas del curso. Puede estar reordenado o mejor redactado, pero la sustancia es del material original.</w:t>
            </w:r>
          </w:p>
        </w:tc>
      </w:tr>
      <w:tr>
        <w:trPr>
          <w:tblHeader w:val="false"/>
        </w:trPr>
        <w:tc>
          <w:tcPr>
            <w:tcW w:type="dxa" w:w="1984"/>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[AÑADIDO]</w:t>
            </w:r>
          </w:p>
        </w:tc>
        <w:tc>
          <w:tcPr>
            <w:tcW w:type="dxa" w:w="7036"/>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Contenido que no estaba en tu material: fórmulas complementarias, demostraciones, matices técnicos, ejercicios resueltos y datos de coyuntura. Es lo que deberías contrastar con tu docente antes de darlo por examinable.</w:t>
            </w:r>
          </w:p>
        </w:tc>
      </w:tr>
      <w:tr>
        <w:trPr>
          <w:tblHeader w:val="false"/>
        </w:trPr>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Recuadro ámbar</w:t>
            </w:r>
          </w:p>
        </w:tc>
        <w:tc>
          <w:tcPr>
            <w:tcW w:type="dxa" w:w="703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Idea clave: lo que hay que entender sí o sí de esa sección.</w:t>
            </w:r>
          </w:p>
        </w:tc>
      </w:tr>
      <w:tr>
        <w:trPr>
          <w:tblHeader w:val="false"/>
        </w:trPr>
        <w:tc>
          <w:tcPr>
            <w:tcW w:type="dxa" w:w="1984"/>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Recuadro rojo</w:t>
            </w:r>
          </w:p>
        </w:tc>
        <w:tc>
          <w:tcPr>
            <w:tcW w:type="dxa" w:w="7036"/>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Error frecuente. Son las trampas que el curso marca explícitamente y las que suelen costar puntos en examen.</w:t>
            </w:r>
          </w:p>
        </w:tc>
      </w:tr>
      <w:tr>
        <w:trPr>
          <w:tblHeader w:val="false"/>
        </w:trPr>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Recuadro gris</w:t>
            </w:r>
          </w:p>
        </w:tc>
        <w:tc>
          <w:tcPr>
            <w:tcW w:type="dxa" w:w="703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Nota de método o advertencia sobre los datos.</w:t>
            </w:r>
          </w:p>
        </w:tc>
      </w:tr>
    </w:tbl>
    <w:p>
      <w:pPr>
        <w:spacing w:after="200"/>
      </w:pPr>
    </w:p>
    <w:tbl>
      <w:tblPr>
        <w:tblW w:type="dxa" w:w="9020"/>
        <w:tblBorders>
          <w:top w:val="single" w:color="BFBFBF" w:sz="2"/>
          <w:left w:val="single" w:color="808080" w:sz="14"/>
          <w:bottom w:val="single" w:color="BFBFBF" w:sz="2"/>
          <w:right w:val="single" w:color="BFBFBF" w:sz="2"/>
          <w:insideH w:val="none"/>
          <w:insideV w:val="none"/>
        </w:tblBorders>
      </w:tblPr>
      <w:tblGrid>
        <w:gridCol w:w="9020"/>
      </w:tblGrid>
      <w:tr>
        <w:tc>
          <w:tcPr>
            <w:tcW w:type="dxa" w:w="9020"/>
            <w:shd w:fill="F2F2F2"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Sobre los datos bolivianos</w:t>
            </w:r>
          </w:p>
          <w:p>
            <w:pPr>
              <w:spacing w:after="80" w:line="276"/>
              <w:jc w:val="both"/>
            </w:pPr>
            <w:r>
              <w:rPr>
                <w:rFonts w:ascii="Calibri" w:cs="Calibri" w:eastAsia="Calibri" w:hAnsi="Calibri"/>
                <w:color w:val="000000"/>
                <w:sz w:val="21"/>
                <w:szCs w:val="21"/>
              </w:rPr>
              <w:t xml:space="preserve">Todas las cifras de Bolivia llevan fuente e institución. Cuando dos fuentes reputables discrepan, se muestran </w:t>
            </w:r>
            <w:r>
              <w:rPr>
                <w:rFonts w:ascii="Calibri" w:cs="Calibri" w:eastAsia="Calibri" w:hAnsi="Calibri"/>
                <w:i/>
                <w:iCs/>
                <w:color w:val="000000"/>
                <w:sz w:val="21"/>
                <w:szCs w:val="21"/>
              </w:rPr>
              <w:t xml:space="preserve">ambas</w:t>
            </w:r>
            <w:r>
              <w:rPr>
                <w:rFonts w:ascii="Calibri" w:cs="Calibri" w:eastAsia="Calibri" w:hAnsi="Calibri"/>
                <w:color w:val="000000"/>
                <w:sz w:val="21"/>
                <w:szCs w:val="21"/>
              </w:rPr>
              <w:t xml:space="preserve"> en lugar de elegir una: aprender a leer esa discrepancia es parte del oficio, y la Parte VII incluye un ejercicio específico sobre ello.</w:t>
            </w:r>
          </w:p>
          <w:p>
            <w:pPr>
              <w:spacing w:after="0" w:line="276"/>
              <w:jc w:val="both"/>
            </w:pPr>
            <w:r>
              <w:rPr>
                <w:rFonts w:ascii="Calibri" w:cs="Calibri" w:eastAsia="Calibri" w:hAnsi="Calibri"/>
                <w:color w:val="000000"/>
                <w:sz w:val="21"/>
                <w:szCs w:val="21"/>
              </w:rPr>
              <w:t xml:space="preserve">Las fuentes utilizadas son INE, BCB, Ministerio de Economía y Finanzas Públicas, FMI, Banco Mundial, CEPAL y Fundación Milenio.</w:t>
            </w:r>
          </w:p>
        </w:tc>
      </w:tr>
    </w:tbl>
    <w:p>
      <w:r>
        <w:br w:type="page"/>
      </w:r>
    </w:p>
    <w:p>
      <w:pPr>
        <w:pStyle w:val="Heading1"/>
        <w:spacing w:after="200" w:before="400"/>
      </w:pPr>
      <w:r>
        <w:rPr>
          <w:rFonts w:ascii="Calibri" w:cs="Calibri" w:eastAsia="Calibri" w:hAnsi="Calibri"/>
          <w:b/>
          <w:bCs/>
          <w:color w:val="1F3864"/>
          <w:sz w:val="32"/>
          <w:szCs w:val="32"/>
        </w:rPr>
        <w:t xml:space="preserve">Parte I · Fundamentos: qué estudia la macroeconomía</w:t>
      </w:r>
    </w:p>
    <w:p>
      <w:pPr>
        <w:spacing w:after="140" w:line="276"/>
        <w:jc w:val="both"/>
      </w:pPr>
      <w:r>
        <w:rPr>
          <w:rFonts w:ascii="Calibri" w:cs="Calibri" w:eastAsia="Calibri" w:hAnsi="Calibri"/>
          <w:i/>
          <w:iCs/>
          <w:color w:val="000000"/>
          <w:sz w:val="21"/>
          <w:szCs w:val="21"/>
        </w:rPr>
        <w:t xml:space="preserve">Corresponde a la Sesión 1 y a la sección 1 de tus apuntes.</w:t>
      </w:r>
    </w:p>
    <w:p>
      <w:pPr>
        <w:pStyle w:val="Heading2"/>
        <w:spacing w:after="140" w:before="320"/>
      </w:pPr>
      <w:r>
        <w:rPr>
          <w:rFonts w:ascii="Calibri" w:cs="Calibri" w:eastAsia="Calibri" w:hAnsi="Calibri"/>
          <w:b/>
          <w:bCs/>
          <w:color w:val="1F3864"/>
          <w:sz w:val="26"/>
          <w:szCs w:val="26"/>
        </w:rPr>
        <w:t xml:space="preserve">1.1 Definición y contraste con la microeconomía</w:t>
      </w:r>
    </w:p>
    <w:p>
      <w:pPr>
        <w:spacing w:after="140" w:line="276"/>
        <w:jc w:val="both"/>
      </w:pPr>
      <w:r>
        <w:rPr>
          <w:rFonts w:ascii="Calibri" w:cs="Calibri" w:eastAsia="Calibri" w:hAnsi="Calibri"/>
          <w:color w:val="000000"/>
          <w:sz w:val="21"/>
          <w:szCs w:val="21"/>
        </w:rPr>
        <w:t xml:space="preserve">La macroeconomía estudia el funcionamiento de la economía como un todo: el nivel agregado de producción, el empleo y los precios de un país. La diferencia con la microeconomía no es de tema sino de </w:t>
      </w:r>
      <w:r>
        <w:rPr>
          <w:rFonts w:ascii="Calibri" w:cs="Calibri" w:eastAsia="Calibri" w:hAnsi="Calibri"/>
          <w:i/>
          <w:iCs/>
          <w:color w:val="000000"/>
          <w:sz w:val="21"/>
          <w:szCs w:val="21"/>
        </w:rPr>
        <w:t xml:space="preserve">nivel de agregación</w:t>
      </w:r>
      <w:r>
        <w:rPr>
          <w:rFonts w:ascii="Calibri" w:cs="Calibri" w:eastAsia="Calibri" w:hAnsi="Calibri"/>
          <w:color w:val="000000"/>
          <w:sz w:val="21"/>
          <w:szCs w:val="21"/>
        </w:rPr>
        <w:t xml:space="preserve">: la micro pregunta por qué sube el precio de la quinua; la macro pregunta por qué sube el nivel general de precios.</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1624"/>
        <w:gridCol w:w="3698"/>
        <w:gridCol w:w="3698"/>
      </w:tblGrid>
      <w:tr>
        <w:trPr>
          <w:tblHeader/>
        </w:trPr>
        <w:tc>
          <w:tcPr>
            <w:tcW w:type="dxa" w:w="162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Dimensión</w:t>
            </w:r>
          </w:p>
        </w:tc>
        <w:tc>
          <w:tcPr>
            <w:tcW w:type="dxa" w:w="3698"/>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Microeconomía</w:t>
            </w:r>
          </w:p>
        </w:tc>
        <w:tc>
          <w:tcPr>
            <w:tcW w:type="dxa" w:w="3698"/>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Macroeconomía</w:t>
            </w:r>
          </w:p>
        </w:tc>
      </w:tr>
      <w:tr>
        <w:trPr>
          <w:tblHeader w:val="false"/>
        </w:trPr>
        <w:tc>
          <w:tcPr>
            <w:tcW w:type="dxa" w:w="162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Unidad de análisis</w:t>
            </w:r>
          </w:p>
        </w:tc>
        <w:tc>
          <w:tcPr>
            <w:tcW w:type="dxa" w:w="3698"/>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Hogares y empresas individuales</w:t>
            </w:r>
          </w:p>
        </w:tc>
        <w:tc>
          <w:tcPr>
            <w:tcW w:type="dxa" w:w="3698"/>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La economía como un todo (agregados)</w:t>
            </w:r>
          </w:p>
        </w:tc>
      </w:tr>
      <w:tr>
        <w:trPr>
          <w:tblHeader w:val="false"/>
        </w:trPr>
        <w:tc>
          <w:tcPr>
            <w:tcW w:type="dxa" w:w="1624"/>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Pregunta típica</w:t>
            </w:r>
          </w:p>
        </w:tc>
        <w:tc>
          <w:tcPr>
            <w:tcW w:type="dxa" w:w="3698"/>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¿Por qué sube el precio de la quinua?</w:t>
            </w:r>
          </w:p>
        </w:tc>
        <w:tc>
          <w:tcPr>
            <w:tcW w:type="dxa" w:w="3698"/>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¿Por qué sube el nivel general de precios?</w:t>
            </w:r>
          </w:p>
        </w:tc>
      </w:tr>
      <w:tr>
        <w:trPr>
          <w:tblHeader w:val="false"/>
        </w:trPr>
        <w:tc>
          <w:tcPr>
            <w:tcW w:type="dxa" w:w="162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Variables clave</w:t>
            </w:r>
          </w:p>
        </w:tc>
        <w:tc>
          <w:tcPr>
            <w:tcW w:type="dxa" w:w="3698"/>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Precio y cantidad de un bien</w:t>
            </w:r>
          </w:p>
        </w:tc>
        <w:tc>
          <w:tcPr>
            <w:tcW w:type="dxa" w:w="3698"/>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PIB, inflación, desempleo, tipo de cambio</w:t>
            </w:r>
          </w:p>
        </w:tc>
      </w:tr>
      <w:tr>
        <w:trPr>
          <w:tblHeader w:val="false"/>
        </w:trPr>
        <w:tc>
          <w:tcPr>
            <w:tcW w:type="dxa" w:w="1624"/>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Horizonte típico</w:t>
            </w:r>
          </w:p>
        </w:tc>
        <w:tc>
          <w:tcPr>
            <w:tcW w:type="dxa" w:w="3698"/>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Decisiones cotidianas</w:t>
            </w:r>
          </w:p>
        </w:tc>
        <w:tc>
          <w:tcPr>
            <w:tcW w:type="dxa" w:w="3698"/>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Ciclos y tendencias de años o décadas</w:t>
            </w:r>
          </w:p>
        </w:tc>
      </w:tr>
      <w:tr>
        <w:trPr>
          <w:tblHeader w:val="false"/>
        </w:trPr>
        <w:tc>
          <w:tcPr>
            <w:tcW w:type="dxa" w:w="162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Rol del Estado</w:t>
            </w:r>
          </w:p>
        </w:tc>
        <w:tc>
          <w:tcPr>
            <w:tcW w:type="dxa" w:w="3698"/>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Regulación de mercados específicos</w:t>
            </w:r>
          </w:p>
        </w:tc>
        <w:tc>
          <w:tcPr>
            <w:tcW w:type="dxa" w:w="3698"/>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Política fiscal, monetaria y cambiaria</w:t>
            </w:r>
          </w:p>
        </w:tc>
      </w:tr>
    </w:tbl>
    <w:p>
      <w:pPr>
        <w:spacing w:after="20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El agregado no es la suma de las partes</w:t>
            </w:r>
          </w:p>
          <w:p>
            <w:pPr>
              <w:spacing w:after="80" w:line="276"/>
              <w:jc w:val="both"/>
            </w:pPr>
            <w:r>
              <w:rPr>
                <w:rFonts w:ascii="Calibri" w:cs="Calibri" w:eastAsia="Calibri" w:hAnsi="Calibri"/>
                <w:color w:val="000000"/>
                <w:sz w:val="21"/>
                <w:szCs w:val="21"/>
              </w:rPr>
              <w:t xml:space="preserve">Un error conceptual frecuente al empezar es pensar que la macro es "micro sumada". No lo es, y el ejemplo canónico es la </w:t>
            </w:r>
            <w:r>
              <w:rPr>
                <w:rFonts w:ascii="Calibri" w:cs="Calibri" w:eastAsia="Calibri" w:hAnsi="Calibri"/>
                <w:i/>
                <w:iCs/>
                <w:color w:val="000000"/>
                <w:sz w:val="21"/>
                <w:szCs w:val="21"/>
              </w:rPr>
              <w:t xml:space="preserve">paradoja del ahorro</w:t>
            </w:r>
            <w:r>
              <w:rPr>
                <w:rFonts w:ascii="Calibri" w:cs="Calibri" w:eastAsia="Calibri" w:hAnsi="Calibri"/>
                <w:color w:val="000000"/>
                <w:sz w:val="21"/>
                <w:szCs w:val="21"/>
              </w:rPr>
              <w:t xml:space="preserve">: si un hogar ahorra más, mejora su posición; si </w:t>
            </w:r>
            <w:r>
              <w:rPr>
                <w:rFonts w:ascii="Calibri" w:cs="Calibri" w:eastAsia="Calibri" w:hAnsi="Calibri"/>
                <w:i/>
                <w:iCs/>
                <w:color w:val="000000"/>
                <w:sz w:val="21"/>
                <w:szCs w:val="21"/>
              </w:rPr>
              <w:t xml:space="preserve">todos</w:t>
            </w:r>
            <w:r>
              <w:rPr>
                <w:rFonts w:ascii="Calibri" w:cs="Calibri" w:eastAsia="Calibri" w:hAnsi="Calibri"/>
                <w:color w:val="000000"/>
                <w:sz w:val="21"/>
                <w:szCs w:val="21"/>
              </w:rPr>
              <w:t xml:space="preserve"> los hogares ahorran más al mismo tiempo, cae el consumo agregado, cae la producción y el ingreso puede terminar bajando tanto que el ahorro total no aumente.</w:t>
            </w:r>
          </w:p>
          <w:p>
            <w:pPr>
              <w:spacing w:after="0" w:line="276"/>
              <w:jc w:val="both"/>
            </w:pPr>
            <w:r>
              <w:rPr>
                <w:rFonts w:ascii="Calibri" w:cs="Calibri" w:eastAsia="Calibri" w:hAnsi="Calibri"/>
                <w:color w:val="000000"/>
                <w:sz w:val="21"/>
                <w:szCs w:val="21"/>
              </w:rPr>
              <w:t xml:space="preserve">Lo que es cierto para el individuo puede ser falso para el conjunto. Esa es la razón de fondo por la que la macroeconomía existe como disciplina separada.</w:t>
            </w:r>
          </w:p>
        </w:tc>
      </w:tr>
    </w:tbl>
    <w:p>
      <w:pPr>
        <w:pStyle w:val="Heading2"/>
        <w:spacing w:after="140" w:before="320"/>
      </w:pPr>
      <w:r>
        <w:rPr>
          <w:rFonts w:ascii="Calibri" w:cs="Calibri" w:eastAsia="Calibri" w:hAnsi="Calibri"/>
          <w:b/>
          <w:bCs/>
          <w:color w:val="1F3864"/>
          <w:sz w:val="26"/>
          <w:szCs w:val="26"/>
        </w:rPr>
        <w:t xml:space="preserve">1.2 Las tres preguntas centrales</w:t>
      </w:r>
    </w:p>
    <w:p>
      <w:pPr>
        <w:spacing w:after="140" w:line="276"/>
        <w:jc w:val="both"/>
      </w:pPr>
      <w:r>
        <w:rPr>
          <w:rFonts w:ascii="Calibri" w:cs="Calibri" w:eastAsia="Calibri" w:hAnsi="Calibri"/>
          <w:color w:val="000000"/>
          <w:sz w:val="21"/>
          <w:szCs w:val="21"/>
        </w:rPr>
        <w:t xml:space="preserve">Todo el curso gira alrededor de tres variables. Conviene memorizar el mapa porque organiza las siete unidades:</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1082"/>
        <w:gridCol w:w="2706"/>
        <w:gridCol w:w="2526"/>
        <w:gridCol w:w="2706"/>
      </w:tblGrid>
      <w:tr>
        <w:trPr>
          <w:tblHeader/>
        </w:trPr>
        <w:tc>
          <w:tcPr>
            <w:tcW w:type="dxa" w:w="1082"/>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Símbolo</w:t>
            </w:r>
          </w:p>
        </w:tc>
        <w:tc>
          <w:tcPr>
            <w:tcW w:type="dxa" w:w="2706"/>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Pregunta</w:t>
            </w:r>
          </w:p>
        </w:tc>
        <w:tc>
          <w:tcPr>
            <w:tcW w:type="dxa" w:w="2526"/>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Variable</w:t>
            </w:r>
          </w:p>
        </w:tc>
        <w:tc>
          <w:tcPr>
            <w:tcW w:type="dxa" w:w="2706"/>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Unidad</w:t>
            </w:r>
          </w:p>
        </w:tc>
      </w:tr>
      <w:tr>
        <w:trPr>
          <w:tblHeader w:val="false"/>
        </w:trPr>
        <w:tc>
          <w:tcPr>
            <w:tcW w:type="dxa" w:w="1082"/>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PIB</w:t>
            </w:r>
          </w:p>
        </w:tc>
        <w:tc>
          <w:tcPr>
            <w:tcW w:type="dxa" w:w="270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¿Cuánto se produce?</w:t>
            </w:r>
          </w:p>
        </w:tc>
        <w:tc>
          <w:tcPr>
            <w:tcW w:type="dxa" w:w="252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Producción / PIB</w:t>
            </w:r>
          </w:p>
        </w:tc>
        <w:tc>
          <w:tcPr>
            <w:tcW w:type="dxa" w:w="270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Unidad I (Sesiones 1–6)</w:t>
            </w:r>
          </w:p>
        </w:tc>
      </w:tr>
      <w:tr>
        <w:trPr>
          <w:tblHeader w:val="false"/>
        </w:trPr>
        <w:tc>
          <w:tcPr>
            <w:tcW w:type="dxa" w:w="1082"/>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u</w:t>
            </w:r>
          </w:p>
        </w:tc>
        <w:tc>
          <w:tcPr>
            <w:tcW w:type="dxa" w:w="2706"/>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¿Cuánta gente trabaja?</w:t>
            </w:r>
          </w:p>
        </w:tc>
        <w:tc>
          <w:tcPr>
            <w:tcW w:type="dxa" w:w="2526"/>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Empleo y desempleo</w:t>
            </w:r>
          </w:p>
        </w:tc>
        <w:tc>
          <w:tcPr>
            <w:tcW w:type="dxa" w:w="2706"/>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Unidad II (Sesiones 7–9)</w:t>
            </w:r>
          </w:p>
        </w:tc>
      </w:tr>
      <w:tr>
        <w:trPr>
          <w:tblHeader w:val="false"/>
        </w:trPr>
        <w:tc>
          <w:tcPr>
            <w:tcW w:type="dxa" w:w="1082"/>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π</w:t>
            </w:r>
          </w:p>
        </w:tc>
        <w:tc>
          <w:tcPr>
            <w:tcW w:type="dxa" w:w="270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¿Cuánto suben los precios?</w:t>
            </w:r>
          </w:p>
        </w:tc>
        <w:tc>
          <w:tcPr>
            <w:tcW w:type="dxa" w:w="252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Inflación</w:t>
            </w:r>
          </w:p>
        </w:tc>
        <w:tc>
          <w:tcPr>
            <w:tcW w:type="dxa" w:w="270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Unidad III (Sesiones 10–13)</w:t>
            </w:r>
          </w:p>
        </w:tc>
      </w:tr>
      <w:tr>
        <w:trPr>
          <w:tblHeader w:val="false"/>
        </w:trPr>
        <w:tc>
          <w:tcPr>
            <w:tcW w:type="dxa" w:w="1082"/>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e</w:t>
            </w:r>
          </w:p>
        </w:tc>
        <w:tc>
          <w:tcPr>
            <w:tcW w:type="dxa" w:w="2706"/>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¿A qué precio está el dólar?</w:t>
            </w:r>
          </w:p>
        </w:tc>
        <w:tc>
          <w:tcPr>
            <w:tcW w:type="dxa" w:w="2526"/>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Tipo de cambio nominal y real</w:t>
            </w:r>
          </w:p>
        </w:tc>
        <w:tc>
          <w:tcPr>
            <w:tcW w:type="dxa" w:w="2706"/>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Unidad VI (Sesiones 25–29)</w:t>
            </w:r>
          </w:p>
        </w:tc>
      </w:tr>
    </w:tbl>
    <w:p>
      <w:pPr>
        <w:spacing w:after="200"/>
      </w:pPr>
    </w:p>
    <w:p>
      <w:pPr>
        <w:pStyle w:val="Heading3"/>
        <w:spacing w:after="120" w:before="240"/>
      </w:pPr>
      <w:r>
        <w:rPr>
          <w:rFonts w:ascii="Calibri" w:cs="Calibri" w:eastAsia="Calibri" w:hAnsi="Calibri"/>
          <w:b/>
          <w:bCs/>
          <w:color w:val="2E5496"/>
          <w:sz w:val="23"/>
          <w:szCs w:val="23"/>
        </w:rPr>
        <w:t xml:space="preserve">Leer un titular como economista</w:t>
      </w:r>
    </w:p>
    <w:p>
      <w:pPr>
        <w:spacing w:after="140" w:line="276"/>
        <w:jc w:val="both"/>
      </w:pPr>
      <w:r>
        <w:rPr>
          <w:rFonts w:ascii="Calibri" w:cs="Calibri" w:eastAsia="Calibri" w:hAnsi="Calibri"/>
          <w:color w:val="000000"/>
          <w:sz w:val="21"/>
          <w:szCs w:val="21"/>
        </w:rPr>
        <w:t xml:space="preserve">Ejemplo trabajado en clase: </w:t>
      </w:r>
      <w:r>
        <w:rPr>
          <w:rFonts w:ascii="Calibri" w:cs="Calibri" w:eastAsia="Calibri" w:hAnsi="Calibri"/>
          <w:i/>
          <w:iCs/>
          <w:color w:val="000000"/>
          <w:sz w:val="21"/>
          <w:szCs w:val="21"/>
        </w:rPr>
        <w:t xml:space="preserve">"El Banco Central sube la tasa de interés mientras la inflación se acelera y el desempleo se mantiene bajo."</w:t>
      </w:r>
      <w:r>
        <w:rPr>
          <w:rFonts w:ascii="Calibri" w:cs="Calibri" w:eastAsia="Calibri" w:hAnsi="Calibri"/>
          <w:color w:val="000000"/>
          <w:sz w:val="21"/>
          <w:szCs w:val="21"/>
        </w:rPr>
        <w:t xml:space="preserve"> Un titular de una línea contiene tres unidades del curso:</w:t>
      </w:r>
    </w:p>
    <w:p>
      <w:pPr>
        <w:pStyle w:val="ListParagraph"/>
        <w:numPr>
          <w:ilvl w:val="0"/>
          <w:numId w:val="1"/>
        </w:numPr>
        <w:spacing w:after="70" w:line="276"/>
      </w:pPr>
      <w:r>
        <w:rPr>
          <w:rFonts w:ascii="Calibri" w:cs="Calibri" w:eastAsia="Calibri" w:hAnsi="Calibri"/>
          <w:b/>
          <w:bCs/>
          <w:color w:val="000000"/>
          <w:sz w:val="21"/>
          <w:szCs w:val="21"/>
        </w:rPr>
        <w:t xml:space="preserve">Tasa de interés</w:t>
      </w:r>
      <w:r>
        <w:rPr>
          <w:rFonts w:ascii="Calibri" w:cs="Calibri" w:eastAsia="Calibri" w:hAnsi="Calibri"/>
          <w:color w:val="000000"/>
          <w:sz w:val="21"/>
          <w:szCs w:val="21"/>
        </w:rPr>
        <w:t xml:space="preserve"> → instrumento de política monetaria (Unidad V, modelo IS-LM).</w:t>
      </w:r>
    </w:p>
    <w:p>
      <w:pPr>
        <w:pStyle w:val="ListParagraph"/>
        <w:numPr>
          <w:ilvl w:val="0"/>
          <w:numId w:val="1"/>
        </w:numPr>
        <w:spacing w:after="70" w:line="276"/>
      </w:pPr>
      <w:r>
        <w:rPr>
          <w:rFonts w:ascii="Calibri" w:cs="Calibri" w:eastAsia="Calibri" w:hAnsi="Calibri"/>
          <w:b/>
          <w:bCs/>
          <w:color w:val="000000"/>
          <w:sz w:val="21"/>
          <w:szCs w:val="21"/>
        </w:rPr>
        <w:t xml:space="preserve">Inflación</w:t>
      </w:r>
      <w:r>
        <w:rPr>
          <w:rFonts w:ascii="Calibri" w:cs="Calibri" w:eastAsia="Calibri" w:hAnsi="Calibri"/>
          <w:color w:val="000000"/>
          <w:sz w:val="21"/>
          <w:szCs w:val="21"/>
        </w:rPr>
        <w:t xml:space="preserve"> → variable de la Unidad III.</w:t>
      </w:r>
    </w:p>
    <w:p>
      <w:pPr>
        <w:pStyle w:val="ListParagraph"/>
        <w:numPr>
          <w:ilvl w:val="0"/>
          <w:numId w:val="1"/>
        </w:numPr>
        <w:spacing w:after="70" w:line="276"/>
      </w:pPr>
      <w:r>
        <w:rPr>
          <w:rFonts w:ascii="Calibri" w:cs="Calibri" w:eastAsia="Calibri" w:hAnsi="Calibri"/>
          <w:b/>
          <w:bCs/>
          <w:color w:val="000000"/>
          <w:sz w:val="21"/>
          <w:szCs w:val="21"/>
        </w:rPr>
        <w:t xml:space="preserve">Desempleo</w:t>
      </w:r>
      <w:r>
        <w:rPr>
          <w:rFonts w:ascii="Calibri" w:cs="Calibri" w:eastAsia="Calibri" w:hAnsi="Calibri"/>
          <w:color w:val="000000"/>
          <w:sz w:val="21"/>
          <w:szCs w:val="21"/>
        </w:rPr>
        <w:t xml:space="preserve"> → variable de la Unidad II.</w:t>
      </w:r>
    </w:p>
    <w:p>
      <w:pPr>
        <w:pStyle w:val="Heading2"/>
        <w:spacing w:after="140" w:before="320"/>
      </w:pPr>
      <w:r>
        <w:rPr>
          <w:rFonts w:ascii="Calibri" w:cs="Calibri" w:eastAsia="Calibri" w:hAnsi="Calibri"/>
          <w:b/>
          <w:bCs/>
          <w:color w:val="1F3864"/>
          <w:sz w:val="26"/>
          <w:szCs w:val="26"/>
        </w:rPr>
        <w:t xml:space="preserve">1.3 Breve historia del pensamiento macroeconómico</w:t>
      </w:r>
    </w:p>
    <w:p>
      <w:pPr>
        <w:spacing w:after="140" w:line="276"/>
        <w:jc w:val="both"/>
      </w:pPr>
      <w:r>
        <w:rPr>
          <w:rFonts w:ascii="Calibri" w:cs="Calibri" w:eastAsia="Calibri" w:hAnsi="Calibri"/>
          <w:color w:val="000000"/>
          <w:sz w:val="21"/>
          <w:szCs w:val="21"/>
        </w:rPr>
        <w:t xml:space="preserve">La macroeconomía moderna nace de un fracaso teórico concreto, y conviene recordar la secuencia porque explica por qué el curso está partido en corto y largo plazo.</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1984"/>
        <w:gridCol w:w="7036"/>
      </w:tblGrid>
      <w:tr>
        <w:trPr>
          <w:tblHeader/>
        </w:trPr>
        <w:tc>
          <w:tcPr>
            <w:tcW w:type="dxa" w:w="198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Momento</w:t>
            </w:r>
          </w:p>
        </w:tc>
        <w:tc>
          <w:tcPr>
            <w:tcW w:type="dxa" w:w="7036"/>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Idea dominante o hecho</w:t>
            </w:r>
          </w:p>
        </w:tc>
      </w:tr>
      <w:tr>
        <w:trPr>
          <w:tblHeader w:val="false"/>
        </w:trPr>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Escuela clásica</w:t>
            </w:r>
          </w:p>
        </w:tc>
        <w:tc>
          <w:tcPr>
            <w:tcW w:type="dxa" w:w="703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Los mercados se autorregulan. Ley de Say: toda oferta crea su propia demanda. El desempleo prolongado no debería existir.</w:t>
            </w:r>
          </w:p>
        </w:tc>
      </w:tr>
      <w:tr>
        <w:trPr>
          <w:tblHeader w:val="false"/>
        </w:trPr>
        <w:tc>
          <w:tcPr>
            <w:tcW w:type="dxa" w:w="1984"/>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1929</w:t>
            </w:r>
          </w:p>
        </w:tc>
        <w:tc>
          <w:tcPr>
            <w:tcW w:type="dxa" w:w="7036"/>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Crac bursátil en Estados Unidos: comienza la Gran Depresión.</w:t>
            </w:r>
          </w:p>
        </w:tc>
      </w:tr>
      <w:tr>
        <w:trPr>
          <w:tblHeader w:val="false"/>
        </w:trPr>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1930–1933</w:t>
            </w:r>
          </w:p>
        </w:tc>
        <w:tc>
          <w:tcPr>
            <w:tcW w:type="dxa" w:w="703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El desempleo en EE. UU. supera el 25%. La teoría clásica no logra explicarlo ni resolverlo.</w:t>
            </w:r>
          </w:p>
        </w:tc>
      </w:tr>
      <w:tr>
        <w:trPr>
          <w:tblHeader w:val="false"/>
        </w:trPr>
        <w:tc>
          <w:tcPr>
            <w:tcW w:type="dxa" w:w="1984"/>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1936 — Keynes</w:t>
            </w:r>
          </w:p>
        </w:tc>
        <w:tc>
          <w:tcPr>
            <w:tcW w:type="dxa" w:w="7036"/>
            <w:shd w:fill="FAFAFA" w:val="clear"/>
            <w:tcMar>
              <w:top w:type="dxa" w:w="90"/>
              <w:left w:type="dxa" w:w="130"/>
              <w:bottom w:type="dxa" w:w="90"/>
              <w:right w:type="dxa" w:w="130"/>
            </w:tcMar>
          </w:tcPr>
          <w:p>
            <w:pPr>
              <w:spacing w:after="0" w:line="260"/>
              <w:jc w:val="left"/>
            </w:pPr>
            <w:r>
              <w:rPr>
                <w:rFonts w:ascii="Calibri" w:cs="Calibri" w:eastAsia="Calibri" w:hAnsi="Calibri"/>
                <w:i/>
                <w:iCs/>
                <w:color w:val="000000"/>
                <w:sz w:val="19"/>
                <w:szCs w:val="19"/>
              </w:rPr>
              <w:t xml:space="preserve">Teoría general de la ocupación, el interés y el dinero</w:t>
            </w:r>
            <w:r>
              <w:rPr>
                <w:rFonts w:ascii="Calibri" w:cs="Calibri" w:eastAsia="Calibri" w:hAnsi="Calibri"/>
                <w:color w:val="000000"/>
                <w:sz w:val="19"/>
                <w:szCs w:val="19"/>
              </w:rPr>
              <w:t xml:space="preserve">. La demanda agregada, y no solo la oferta, determina producción y empleo en el corto plazo. Precios y salarios pueden ser rígidos.</w:t>
            </w:r>
          </w:p>
        </w:tc>
      </w:tr>
      <w:tr>
        <w:trPr>
          <w:tblHeader w:val="false"/>
        </w:trPr>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Posguerra</w:t>
            </w:r>
          </w:p>
        </w:tc>
        <w:tc>
          <w:tcPr>
            <w:tcW w:type="dxa" w:w="703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Síntesis neoclásica: corto plazo keynesiano + largo plazo clásico. Es el andamiaje de este curso.</w:t>
            </w:r>
          </w:p>
        </w:tc>
      </w:tr>
      <w:tr>
        <w:trPr>
          <w:tblHeader w:val="false"/>
        </w:trPr>
        <w:tc>
          <w:tcPr>
            <w:tcW w:type="dxa" w:w="1984"/>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Décadas siguientes</w:t>
            </w:r>
          </w:p>
        </w:tc>
        <w:tc>
          <w:tcPr>
            <w:tcW w:type="dxa" w:w="7036"/>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Monetarismo (Friedman) y nuevos debates sobre inflación (Unidad III).</w:t>
            </w:r>
          </w:p>
        </w:tc>
      </w:tr>
      <w:tr>
        <w:trPr>
          <w:tblHeader w:val="false"/>
        </w:trPr>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Desde América Latina</w:t>
            </w:r>
          </w:p>
        </w:tc>
        <w:tc>
          <w:tcPr>
            <w:tcW w:type="dxa" w:w="703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Estructuralismo de la CEPAL (Prebisch): lectura propia de la región (Sesión 12).</w:t>
            </w:r>
          </w:p>
        </w:tc>
      </w:tr>
    </w:tbl>
    <w:p>
      <w:pPr>
        <w:spacing w:after="20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Por qué esto importa para el examen</w:t>
            </w:r>
          </w:p>
          <w:p>
            <w:pPr>
              <w:spacing w:after="80" w:line="276"/>
              <w:jc w:val="both"/>
            </w:pPr>
            <w:r>
              <w:rPr>
                <w:rFonts w:ascii="Calibri" w:cs="Calibri" w:eastAsia="Calibri" w:hAnsi="Calibri"/>
                <w:color w:val="000000"/>
                <w:sz w:val="21"/>
                <w:szCs w:val="21"/>
              </w:rPr>
              <w:t xml:space="preserve">La distinción clásico/keynesiano no es historia decorativa: es </w:t>
            </w:r>
            <w:r>
              <w:rPr>
                <w:rFonts w:ascii="Calibri" w:cs="Calibri" w:eastAsia="Calibri" w:hAnsi="Calibri"/>
                <w:i/>
                <w:iCs/>
                <w:color w:val="000000"/>
                <w:sz w:val="21"/>
                <w:szCs w:val="21"/>
              </w:rPr>
              <w:t xml:space="preserve">la razón</w:t>
            </w:r>
            <w:r>
              <w:rPr>
                <w:rFonts w:ascii="Calibri" w:cs="Calibri" w:eastAsia="Calibri" w:hAnsi="Calibri"/>
                <w:color w:val="000000"/>
                <w:sz w:val="21"/>
                <w:szCs w:val="21"/>
              </w:rPr>
              <w:t xml:space="preserve"> de que el curso separe horizontes temporales. La síntesis neoclásica dice, en una frase, que ambos bandos tenían razón pero sobre plazos distintos. Keynes describe bien lo que pasa cuando los precios todavía no se ajustaron; los clásicos describen bien el punto de llegada una vez que sí se ajustaron.</w:t>
            </w:r>
          </w:p>
          <w:p>
            <w:pPr>
              <w:spacing w:after="0" w:line="276"/>
              <w:jc w:val="both"/>
            </w:pPr>
            <w:r>
              <w:rPr>
                <w:rFonts w:ascii="Calibri" w:cs="Calibri" w:eastAsia="Calibri" w:hAnsi="Calibri"/>
                <w:color w:val="000000"/>
                <w:sz w:val="21"/>
                <w:szCs w:val="21"/>
              </w:rPr>
              <w:t xml:space="preserve">Si te preguntan "¿es cierto que la política monetaria no afecta la producción?", la respuesta correcta empieza con "¿en qué plazo?".</w:t>
            </w:r>
          </w:p>
        </w:tc>
      </w:tr>
    </w:tbl>
    <w:p>
      <w:pPr>
        <w:pStyle w:val="Heading2"/>
        <w:spacing w:after="140" w:before="320"/>
      </w:pPr>
      <w:r>
        <w:rPr>
          <w:rFonts w:ascii="Calibri" w:cs="Calibri" w:eastAsia="Calibri" w:hAnsi="Calibri"/>
          <w:b/>
          <w:bCs/>
          <w:color w:val="1F3864"/>
          <w:sz w:val="26"/>
          <w:szCs w:val="26"/>
        </w:rPr>
        <w:t xml:space="preserve">1.4 Corto, mediano y largo plazo</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1443"/>
        <w:gridCol w:w="1804"/>
        <w:gridCol w:w="3067"/>
        <w:gridCol w:w="2706"/>
      </w:tblGrid>
      <w:tr>
        <w:trPr>
          <w:tblHeader/>
        </w:trPr>
        <w:tc>
          <w:tcPr>
            <w:tcW w:type="dxa" w:w="1443"/>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Plazo</w:t>
            </w:r>
          </w:p>
        </w:tc>
        <w:tc>
          <w:tcPr>
            <w:tcW w:type="dxa" w:w="180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Duración</w:t>
            </w:r>
          </w:p>
        </w:tc>
        <w:tc>
          <w:tcPr>
            <w:tcW w:type="dxa" w:w="3067"/>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Qué domina</w:t>
            </w:r>
          </w:p>
        </w:tc>
        <w:tc>
          <w:tcPr>
            <w:tcW w:type="dxa" w:w="2706"/>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Herramienta del curso</w:t>
            </w:r>
          </w:p>
        </w:tc>
      </w:tr>
      <w:tr>
        <w:trPr>
          <w:tblHeader w:val="false"/>
        </w:trPr>
        <w:tc>
          <w:tcPr>
            <w:tcW w:type="dxa" w:w="1443"/>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Corto plazo</w:t>
            </w:r>
          </w:p>
        </w:tc>
        <w:tc>
          <w:tcPr>
            <w:tcW w:type="dxa" w:w="180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De un año a otro</w:t>
            </w:r>
          </w:p>
        </w:tc>
        <w:tc>
          <w:tcPr>
            <w:tcW w:type="dxa" w:w="3067"/>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La demanda agregada. Precios rígidos.</w:t>
            </w:r>
          </w:p>
        </w:tc>
        <w:tc>
          <w:tcPr>
            <w:tcW w:type="dxa" w:w="270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Modelo IS-LM (Unidad V)</w:t>
            </w:r>
          </w:p>
        </w:tc>
      </w:tr>
      <w:tr>
        <w:trPr>
          <w:tblHeader w:val="false"/>
        </w:trPr>
        <w:tc>
          <w:tcPr>
            <w:tcW w:type="dxa" w:w="1443"/>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Mediano plazo</w:t>
            </w:r>
          </w:p>
        </w:tc>
        <w:tc>
          <w:tcPr>
            <w:tcW w:type="dxa" w:w="1804"/>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Una década aprox.</w:t>
            </w:r>
          </w:p>
        </w:tc>
        <w:tc>
          <w:tcPr>
            <w:tcW w:type="dxa" w:w="3067"/>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Los precios se ajustan.</w:t>
            </w:r>
          </w:p>
        </w:tc>
        <w:tc>
          <w:tcPr>
            <w:tcW w:type="dxa" w:w="2706"/>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Desempleo e inflación (Unidades II–III)</w:t>
            </w:r>
          </w:p>
        </w:tc>
      </w:tr>
      <w:tr>
        <w:trPr>
          <w:tblHeader w:val="false"/>
        </w:trPr>
        <w:tc>
          <w:tcPr>
            <w:tcW w:type="dxa" w:w="1443"/>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Largo plazo</w:t>
            </w:r>
          </w:p>
        </w:tc>
        <w:tc>
          <w:tcPr>
            <w:tcW w:type="dxa" w:w="180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Medio siglo o más</w:t>
            </w:r>
          </w:p>
        </w:tc>
        <w:tc>
          <w:tcPr>
            <w:tcW w:type="dxa" w:w="3067"/>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La oferta: capital, trabajo, tecnología.</w:t>
            </w:r>
          </w:p>
        </w:tc>
        <w:tc>
          <w:tcPr>
            <w:tcW w:type="dxa" w:w="270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Crecimiento, Solow (Unidad IV)</w:t>
            </w:r>
          </w:p>
        </w:tc>
      </w:tr>
    </w:tbl>
    <w:p>
      <w:pPr>
        <w:spacing w:after="200"/>
      </w:pPr>
    </w:p>
    <w:tbl>
      <w:tblPr>
        <w:tblW w:type="dxa" w:w="9020"/>
        <w:tblBorders>
          <w:top w:val="single" w:color="BFBFBF" w:sz="2"/>
          <w:left w:val="single" w:color="BF9000" w:sz="14"/>
          <w:bottom w:val="single" w:color="BFBFBF" w:sz="2"/>
          <w:right w:val="single" w:color="BFBFBF" w:sz="2"/>
          <w:insideH w:val="none"/>
          <w:insideV w:val="none"/>
        </w:tblBorders>
      </w:tblPr>
      <w:tblGrid>
        <w:gridCol w:w="9020"/>
      </w:tblGrid>
      <w:tr>
        <w:tc>
          <w:tcPr>
            <w:tcW w:type="dxa" w:w="9020"/>
            <w:shd w:fill="FFF2CC"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Idea clave</w:t>
            </w:r>
          </w:p>
          <w:p>
            <w:pPr>
              <w:spacing w:after="0" w:line="276"/>
              <w:jc w:val="both"/>
            </w:pPr>
            <w:r>
              <w:rPr>
                <w:rFonts w:ascii="Calibri" w:cs="Calibri" w:eastAsia="Calibri" w:hAnsi="Calibri"/>
                <w:color w:val="000000"/>
                <w:sz w:val="21"/>
                <w:szCs w:val="21"/>
              </w:rPr>
              <w:t xml:space="preserve">Ubicar un fenómeno en el plazo correcto es la primera decisión analítica ante cualquier pregunta macro. La misma medida —por ejemplo, una expansión monetaria— tiene efectos </w:t>
            </w:r>
            <w:r>
              <w:rPr>
                <w:rFonts w:ascii="Calibri" w:cs="Calibri" w:eastAsia="Calibri" w:hAnsi="Calibri"/>
                <w:i/>
                <w:iCs/>
                <w:color w:val="000000"/>
                <w:sz w:val="21"/>
                <w:szCs w:val="21"/>
              </w:rPr>
              <w:t xml:space="preserve">distintos y hasta opuestos</w:t>
            </w:r>
            <w:r>
              <w:rPr>
                <w:rFonts w:ascii="Calibri" w:cs="Calibri" w:eastAsia="Calibri" w:hAnsi="Calibri"/>
                <w:color w:val="000000"/>
                <w:sz w:val="21"/>
                <w:szCs w:val="21"/>
              </w:rPr>
              <w:t xml:space="preserve"> según el horizonte en el que se la evalúe.</w:t>
            </w:r>
          </w:p>
        </w:tc>
      </w:tr>
    </w:tbl>
    <w:p>
      <w:pPr>
        <w:pStyle w:val="Heading2"/>
        <w:spacing w:after="140" w:before="320"/>
      </w:pPr>
      <w:r>
        <w:rPr>
          <w:rFonts w:ascii="Calibri" w:cs="Calibri" w:eastAsia="Calibri" w:hAnsi="Calibri"/>
          <w:b/>
          <w:bCs/>
          <w:color w:val="1F3864"/>
          <w:sz w:val="26"/>
          <w:szCs w:val="26"/>
        </w:rPr>
        <w:t xml:space="preserve">1.5 Economía cerrada y economía abierta</w:t>
      </w:r>
    </w:p>
    <w:p>
      <w:pPr>
        <w:spacing w:after="140" w:line="276"/>
        <w:jc w:val="both"/>
      </w:pPr>
      <w:r>
        <w:rPr>
          <w:rFonts w:ascii="Calibri" w:cs="Calibri" w:eastAsia="Calibri" w:hAnsi="Calibri"/>
          <w:color w:val="000000"/>
          <w:sz w:val="21"/>
          <w:szCs w:val="21"/>
        </w:rPr>
        <w:t xml:space="preserve">Es el concepto que da nombre al curso y el supuesto que se irá relajando a lo largo del semestre.</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1624"/>
        <w:gridCol w:w="3698"/>
        <w:gridCol w:w="3698"/>
      </w:tblGrid>
      <w:tr>
        <w:trPr>
          <w:tblHeader/>
        </w:trPr>
        <w:tc>
          <w:tcPr>
            <w:tcW w:type="dxa" w:w="1624"/>
            <w:shd w:fill="D9E2F3" w:val="clear"/>
            <w:tcMar>
              <w:top w:type="dxa" w:w="90"/>
              <w:left w:type="dxa" w:w="130"/>
              <w:bottom w:type="dxa" w:w="90"/>
              <w:right w:type="dxa" w:w="130"/>
            </w:tcMar>
          </w:tcPr>
          <w:p>
            <w:pPr>
              <w:spacing w:after="0" w:line="260"/>
              <w:jc w:val="left"/>
            </w:pPr>
          </w:p>
        </w:tc>
        <w:tc>
          <w:tcPr>
            <w:tcW w:type="dxa" w:w="3698"/>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Economía cerrada</w:t>
            </w:r>
          </w:p>
        </w:tc>
        <w:tc>
          <w:tcPr>
            <w:tcW w:type="dxa" w:w="3698"/>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Economía abierta</w:t>
            </w:r>
          </w:p>
        </w:tc>
      </w:tr>
      <w:tr>
        <w:trPr>
          <w:tblHeader w:val="false"/>
        </w:trPr>
        <w:tc>
          <w:tcPr>
            <w:tcW w:type="dxa" w:w="162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Comercio</w:t>
            </w:r>
          </w:p>
        </w:tc>
        <w:tc>
          <w:tcPr>
            <w:tcW w:type="dxa" w:w="3698"/>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No comercia bienes ni activos con el resto del mundo</w:t>
            </w:r>
          </w:p>
        </w:tc>
        <w:tc>
          <w:tcPr>
            <w:tcW w:type="dxa" w:w="3698"/>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Comercia bienes, servicios y activos financieros</w:t>
            </w:r>
          </w:p>
        </w:tc>
      </w:tr>
      <w:tr>
        <w:trPr>
          <w:tblHeader w:val="false"/>
        </w:trPr>
        <w:tc>
          <w:tcPr>
            <w:tcW w:type="dxa" w:w="1624"/>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Identidad del producto</w:t>
            </w:r>
          </w:p>
        </w:tc>
        <w:tc>
          <w:tcPr>
            <w:tcW w:type="dxa" w:w="3698"/>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Y = C + I + G</w:t>
            </w:r>
          </w:p>
        </w:tc>
        <w:tc>
          <w:tcPr>
            <w:tcW w:type="dxa" w:w="3698"/>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Y = C + I + G + (X − M)</w:t>
            </w:r>
          </w:p>
        </w:tc>
      </w:tr>
      <w:tr>
        <w:trPr>
          <w:tblHeader w:val="false"/>
        </w:trPr>
        <w:tc>
          <w:tcPr>
            <w:tcW w:type="dxa" w:w="162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Qué aporta</w:t>
            </w:r>
          </w:p>
        </w:tc>
        <w:tc>
          <w:tcPr>
            <w:tcW w:type="dxa" w:w="3698"/>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Simplificación útil para introducir conceptos (Unidad V)</w:t>
            </w:r>
          </w:p>
        </w:tc>
        <w:tc>
          <w:tcPr>
            <w:tcW w:type="dxa" w:w="3698"/>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Introduce el tipo de cambio y la balanza de pagos (Unidad VI)</w:t>
            </w:r>
          </w:p>
        </w:tc>
      </w:tr>
    </w:tbl>
    <w:p>
      <w:pPr>
        <w:spacing w:after="200"/>
      </w:pPr>
    </w:p>
    <w:p>
      <w:pPr>
        <w:pStyle w:val="Heading3"/>
        <w:spacing w:after="120" w:before="240"/>
      </w:pPr>
      <w:r>
        <w:rPr>
          <w:rFonts w:ascii="Calibri" w:cs="Calibri" w:eastAsia="Calibri" w:hAnsi="Calibri"/>
          <w:b/>
          <w:bCs/>
          <w:color w:val="2E5496"/>
          <w:sz w:val="23"/>
          <w:szCs w:val="23"/>
        </w:rPr>
        <w:t xml:space="preserve">¿Por qué importa la apertura en el caso boliviano?</w:t>
      </w:r>
    </w:p>
    <w:p>
      <w:pPr>
        <w:pStyle w:val="ListParagraph"/>
        <w:numPr>
          <w:ilvl w:val="0"/>
          <w:numId w:val="1"/>
        </w:numPr>
        <w:spacing w:after="70" w:line="276"/>
      </w:pPr>
      <w:r>
        <w:rPr>
          <w:rFonts w:ascii="Calibri" w:cs="Calibri" w:eastAsia="Calibri" w:hAnsi="Calibri"/>
          <w:b/>
          <w:bCs/>
          <w:color w:val="000000"/>
          <w:sz w:val="21"/>
          <w:szCs w:val="21"/>
        </w:rPr>
        <w:t xml:space="preserve">Comercio.</w:t>
      </w:r>
      <w:r>
        <w:rPr>
          <w:rFonts w:ascii="Calibri" w:cs="Calibri" w:eastAsia="Calibri" w:hAnsi="Calibri"/>
          <w:color w:val="000000"/>
          <w:sz w:val="21"/>
          <w:szCs w:val="21"/>
        </w:rPr>
        <w:t xml:space="preserve"> Bolivia exporta gas, minerales, soya y quinua; importa combustibles, bienes de capital y tecnología.</w:t>
      </w:r>
    </w:p>
    <w:p>
      <w:pPr>
        <w:pStyle w:val="ListParagraph"/>
        <w:numPr>
          <w:ilvl w:val="0"/>
          <w:numId w:val="1"/>
        </w:numPr>
        <w:spacing w:after="70" w:line="276"/>
      </w:pPr>
      <w:r>
        <w:rPr>
          <w:rFonts w:ascii="Calibri" w:cs="Calibri" w:eastAsia="Calibri" w:hAnsi="Calibri"/>
          <w:b/>
          <w:bCs/>
          <w:color w:val="000000"/>
          <w:sz w:val="21"/>
          <w:szCs w:val="21"/>
        </w:rPr>
        <w:t xml:space="preserve">Capital.</w:t>
      </w:r>
      <w:r>
        <w:rPr>
          <w:rFonts w:ascii="Calibri" w:cs="Calibri" w:eastAsia="Calibri" w:hAnsi="Calibri"/>
          <w:color w:val="000000"/>
          <w:sz w:val="21"/>
          <w:szCs w:val="21"/>
        </w:rPr>
        <w:t xml:space="preserve"> Las decisiones de inversión extranjera y de deuda externa afectan directamente el producto interno.</w:t>
      </w:r>
    </w:p>
    <w:p>
      <w:pPr>
        <w:pStyle w:val="ListParagraph"/>
        <w:numPr>
          <w:ilvl w:val="0"/>
          <w:numId w:val="1"/>
        </w:numPr>
        <w:spacing w:after="70" w:line="276"/>
      </w:pPr>
      <w:r>
        <w:rPr>
          <w:rFonts w:ascii="Calibri" w:cs="Calibri" w:eastAsia="Calibri" w:hAnsi="Calibri"/>
          <w:b/>
          <w:bCs/>
          <w:color w:val="000000"/>
          <w:sz w:val="21"/>
          <w:szCs w:val="21"/>
        </w:rPr>
        <w:t xml:space="preserve">Tipo de cambio.</w:t>
      </w:r>
      <w:r>
        <w:rPr>
          <w:rFonts w:ascii="Calibri" w:cs="Calibri" w:eastAsia="Calibri" w:hAnsi="Calibri"/>
          <w:color w:val="000000"/>
          <w:sz w:val="21"/>
          <w:szCs w:val="21"/>
        </w:rPr>
        <w:t xml:space="preserve"> El precio del boliviano frente al dólar transmite los choques externos hacia los precios internos.</w:t>
      </w:r>
    </w:p>
    <w:p>
      <w:pPr>
        <w:pStyle w:val="Heading2"/>
        <w:spacing w:after="140" w:before="320"/>
      </w:pPr>
      <w:r>
        <w:rPr>
          <w:rFonts w:ascii="Calibri" w:cs="Calibri" w:eastAsia="Calibri" w:hAnsi="Calibri"/>
          <w:b/>
          <w:bCs/>
          <w:color w:val="1F3864"/>
          <w:sz w:val="26"/>
          <w:szCs w:val="26"/>
        </w:rPr>
        <w:t xml:space="preserve">1.6 Modelos, supuestos y el rol de la teoría</w:t>
      </w:r>
    </w:p>
    <w:p>
      <w:pPr>
        <w:spacing w:after="140" w:line="276"/>
        <w:jc w:val="both"/>
      </w:pPr>
      <w:r>
        <w:rPr>
          <w:rFonts w:ascii="Calibri" w:cs="Calibri" w:eastAsia="Calibri" w:hAnsi="Calibri"/>
          <w:i/>
          <w:iCs/>
          <w:color w:val="000000"/>
          <w:sz w:val="21"/>
          <w:szCs w:val="21"/>
        </w:rPr>
        <w:t xml:space="preserve">"El mapa no es el territorio."</w:t>
      </w:r>
      <w:r>
        <w:rPr>
          <w:rFonts w:ascii="Calibri" w:cs="Calibri" w:eastAsia="Calibri" w:hAnsi="Calibri"/>
          <w:color w:val="000000"/>
          <w:sz w:val="21"/>
          <w:szCs w:val="21"/>
        </w:rPr>
        <w:t xml:space="preserve"> Un buen modelo simplifica deliberadamente la realidad para iluminar un mecanismo, no para describirlo todo.</w:t>
      </w:r>
    </w:p>
    <w:p>
      <w:pPr>
        <w:pStyle w:val="ListParagraph"/>
        <w:numPr>
          <w:ilvl w:val="0"/>
          <w:numId w:val="1"/>
        </w:numPr>
        <w:spacing w:after="70" w:line="276"/>
      </w:pPr>
      <w:r>
        <w:rPr>
          <w:rFonts w:ascii="Calibri" w:cs="Calibri" w:eastAsia="Calibri" w:hAnsi="Calibri"/>
          <w:color w:val="000000"/>
          <w:sz w:val="21"/>
          <w:szCs w:val="21"/>
        </w:rPr>
        <w:t xml:space="preserve">Todo modelo parte de supuestos explícitos (por ejemplo, precios rígidos en el corto plazo).</w:t>
      </w:r>
    </w:p>
    <w:p>
      <w:pPr>
        <w:pStyle w:val="ListParagraph"/>
        <w:numPr>
          <w:ilvl w:val="0"/>
          <w:numId w:val="1"/>
        </w:numPr>
        <w:spacing w:after="70" w:line="276"/>
      </w:pPr>
      <w:r>
        <w:rPr>
          <w:rFonts w:ascii="Calibri" w:cs="Calibri" w:eastAsia="Calibri" w:hAnsi="Calibri"/>
          <w:color w:val="000000"/>
          <w:sz w:val="21"/>
          <w:szCs w:val="21"/>
        </w:rPr>
        <w:t xml:space="preserve">Los supuestos no son "verdaderos" o "falsos" en abstracto: son más o menos </w:t>
      </w:r>
      <w:r>
        <w:rPr>
          <w:rFonts w:ascii="Calibri" w:cs="Calibri" w:eastAsia="Calibri" w:hAnsi="Calibri"/>
          <w:i/>
          <w:iCs/>
          <w:color w:val="000000"/>
          <w:sz w:val="21"/>
          <w:szCs w:val="21"/>
        </w:rPr>
        <w:t xml:space="preserve">útiles</w:t>
      </w:r>
      <w:r>
        <w:rPr>
          <w:rFonts w:ascii="Calibri" w:cs="Calibri" w:eastAsia="Calibri" w:hAnsi="Calibri"/>
          <w:color w:val="000000"/>
          <w:sz w:val="21"/>
          <w:szCs w:val="21"/>
        </w:rPr>
        <w:t xml:space="preserve"> según la pregunta que se quiera responder.</w:t>
      </w:r>
    </w:p>
    <w:p>
      <w:pPr>
        <w:pStyle w:val="ListParagraph"/>
        <w:numPr>
          <w:ilvl w:val="0"/>
          <w:numId w:val="1"/>
        </w:numPr>
        <w:spacing w:after="70" w:line="276"/>
      </w:pPr>
      <w:r>
        <w:rPr>
          <w:rFonts w:ascii="Calibri" w:cs="Calibri" w:eastAsia="Calibri" w:hAnsi="Calibri"/>
          <w:color w:val="000000"/>
          <w:sz w:val="21"/>
          <w:szCs w:val="21"/>
        </w:rPr>
        <w:t xml:space="preserve">A lo largo del curso se relajan progresivamente: economía cerrada → abierta; precios fijos → flexibles.</w:t>
      </w:r>
    </w:p>
    <w:p>
      <w:pPr>
        <w:spacing w:after="12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El ejercicio de los supuestos, resuelto</w:t>
            </w:r>
          </w:p>
          <w:p>
            <w:pPr>
              <w:spacing w:after="80" w:line="276"/>
              <w:jc w:val="both"/>
            </w:pPr>
            <w:r>
              <w:rPr>
                <w:rFonts w:ascii="Calibri" w:cs="Calibri" w:eastAsia="Calibri" w:hAnsi="Calibri"/>
                <w:color w:val="000000"/>
                <w:sz w:val="21"/>
                <w:szCs w:val="21"/>
              </w:rPr>
              <w:t xml:space="preserve">La actividad de clase pide listar los supuestos implícitos en esta afirmación: </w:t>
            </w:r>
            <w:r>
              <w:rPr>
                <w:rFonts w:ascii="Calibri" w:cs="Calibri" w:eastAsia="Calibri" w:hAnsi="Calibri"/>
                <w:i/>
                <w:iCs/>
                <w:color w:val="000000"/>
                <w:sz w:val="21"/>
                <w:szCs w:val="21"/>
              </w:rPr>
              <w:t xml:space="preserve">"Si el BCB reduce la tasa de referencia, el crédito se abarata, la inversión aumenta y el producto crece."</w:t>
            </w:r>
            <w:r>
              <w:rPr>
                <w:rFonts w:ascii="Calibri" w:cs="Calibri" w:eastAsia="Calibri" w:hAnsi="Calibri"/>
                <w:color w:val="000000"/>
                <w:sz w:val="21"/>
                <w:szCs w:val="21"/>
              </w:rPr>
              <w:t xml:space="preserve"> Los supuestos escondidos son al menos seis:</w:t>
            </w:r>
          </w:p>
          <w:p>
            <w:pPr>
              <w:spacing w:after="80" w:line="276"/>
              <w:jc w:val="both"/>
            </w:pPr>
            <w:r>
              <w:rPr>
                <w:rFonts w:ascii="Calibri" w:cs="Calibri" w:eastAsia="Calibri" w:hAnsi="Calibri"/>
                <w:b/>
                <w:bCs/>
                <w:color w:val="000000"/>
                <w:sz w:val="21"/>
                <w:szCs w:val="21"/>
              </w:rPr>
              <w:t xml:space="preserve">1.</w:t>
            </w:r>
            <w:r>
              <w:rPr>
                <w:rFonts w:ascii="Calibri" w:cs="Calibri" w:eastAsia="Calibri" w:hAnsi="Calibri"/>
                <w:color w:val="000000"/>
                <w:sz w:val="21"/>
                <w:szCs w:val="21"/>
              </w:rPr>
              <w:t xml:space="preserve"> Que la tasa de referencia del BCB se transmite efectivamente a las tasas que cobran los bancos comerciales (</w:t>
            </w:r>
            <w:r>
              <w:rPr>
                <w:rFonts w:ascii="Calibri" w:cs="Calibri" w:eastAsia="Calibri" w:hAnsi="Calibri"/>
                <w:i/>
                <w:iCs/>
                <w:color w:val="000000"/>
                <w:sz w:val="21"/>
                <w:szCs w:val="21"/>
              </w:rPr>
              <w:t xml:space="preserve">transmisión monetaria</w:t>
            </w:r>
            <w:r>
              <w:rPr>
                <w:rFonts w:ascii="Calibri" w:cs="Calibri" w:eastAsia="Calibri" w:hAnsi="Calibri"/>
                <w:color w:val="000000"/>
                <w:sz w:val="21"/>
                <w:szCs w:val="21"/>
              </w:rPr>
              <w:t xml:space="preserve">).</w:t>
            </w:r>
          </w:p>
          <w:p>
            <w:pPr>
              <w:spacing w:after="80" w:line="276"/>
              <w:jc w:val="both"/>
            </w:pPr>
            <w:r>
              <w:rPr>
                <w:rFonts w:ascii="Calibri" w:cs="Calibri" w:eastAsia="Calibri" w:hAnsi="Calibri"/>
                <w:b/>
                <w:bCs/>
                <w:color w:val="000000"/>
                <w:sz w:val="21"/>
                <w:szCs w:val="21"/>
              </w:rPr>
              <w:t xml:space="preserve">2.</w:t>
            </w:r>
            <w:r>
              <w:rPr>
                <w:rFonts w:ascii="Calibri" w:cs="Calibri" w:eastAsia="Calibri" w:hAnsi="Calibri"/>
                <w:color w:val="000000"/>
                <w:sz w:val="21"/>
                <w:szCs w:val="21"/>
              </w:rPr>
              <w:t xml:space="preserve"> Que existe demanda de crédito reprimida esperando tasas más bajas, y no una restricción de oferta por otro motivo.</w:t>
            </w:r>
          </w:p>
          <w:p>
            <w:pPr>
              <w:spacing w:after="80" w:line="276"/>
              <w:jc w:val="both"/>
            </w:pPr>
            <w:r>
              <w:rPr>
                <w:rFonts w:ascii="Calibri" w:cs="Calibri" w:eastAsia="Calibri" w:hAnsi="Calibri"/>
                <w:b/>
                <w:bCs/>
                <w:color w:val="000000"/>
                <w:sz w:val="21"/>
                <w:szCs w:val="21"/>
              </w:rPr>
              <w:t xml:space="preserve">3.</w:t>
            </w:r>
            <w:r>
              <w:rPr>
                <w:rFonts w:ascii="Calibri" w:cs="Calibri" w:eastAsia="Calibri" w:hAnsi="Calibri"/>
                <w:color w:val="000000"/>
                <w:sz w:val="21"/>
                <w:szCs w:val="21"/>
              </w:rPr>
              <w:t xml:space="preserve"> Que la inversión responde a la tasa de interés y no principalmente a las expectativas o a la incertidumbre.</w:t>
            </w:r>
          </w:p>
          <w:p>
            <w:pPr>
              <w:spacing w:after="80" w:line="276"/>
              <w:jc w:val="both"/>
            </w:pPr>
            <w:r>
              <w:rPr>
                <w:rFonts w:ascii="Calibri" w:cs="Calibri" w:eastAsia="Calibri" w:hAnsi="Calibri"/>
                <w:b/>
                <w:bCs/>
                <w:color w:val="000000"/>
                <w:sz w:val="21"/>
                <w:szCs w:val="21"/>
              </w:rPr>
              <w:t xml:space="preserve">4.</w:t>
            </w:r>
            <w:r>
              <w:rPr>
                <w:rFonts w:ascii="Calibri" w:cs="Calibri" w:eastAsia="Calibri" w:hAnsi="Calibri"/>
                <w:color w:val="000000"/>
                <w:sz w:val="21"/>
                <w:szCs w:val="21"/>
              </w:rPr>
              <w:t xml:space="preserve"> Que hay capacidad productiva ociosa: si la economía ya está al límite, más demanda genera precios, no cantidades.</w:t>
            </w:r>
          </w:p>
          <w:p>
            <w:pPr>
              <w:spacing w:after="80" w:line="276"/>
              <w:jc w:val="both"/>
            </w:pPr>
            <w:r>
              <w:rPr>
                <w:rFonts w:ascii="Calibri" w:cs="Calibri" w:eastAsia="Calibri" w:hAnsi="Calibri"/>
                <w:b/>
                <w:bCs/>
                <w:color w:val="000000"/>
                <w:sz w:val="21"/>
                <w:szCs w:val="21"/>
              </w:rPr>
              <w:t xml:space="preserve">5.</w:t>
            </w:r>
            <w:r>
              <w:rPr>
                <w:rFonts w:ascii="Calibri" w:cs="Calibri" w:eastAsia="Calibri" w:hAnsi="Calibri"/>
                <w:color w:val="000000"/>
                <w:sz w:val="21"/>
                <w:szCs w:val="21"/>
              </w:rPr>
              <w:t xml:space="preserve"> Que la economía es cerrada, o que el tipo de cambio no reacciona. En una economía abierta con escasez de divisas, bajar tasas puede acelerar la salida de capitales y depreciar la moneda.</w:t>
            </w:r>
          </w:p>
          <w:p>
            <w:pPr>
              <w:spacing w:after="80" w:line="276"/>
              <w:jc w:val="both"/>
            </w:pPr>
            <w:r>
              <w:rPr>
                <w:rFonts w:ascii="Calibri" w:cs="Calibri" w:eastAsia="Calibri" w:hAnsi="Calibri"/>
                <w:b/>
                <w:bCs/>
                <w:color w:val="000000"/>
                <w:sz w:val="21"/>
                <w:szCs w:val="21"/>
              </w:rPr>
              <w:t xml:space="preserve">6.</w:t>
            </w:r>
            <w:r>
              <w:rPr>
                <w:rFonts w:ascii="Calibri" w:cs="Calibri" w:eastAsia="Calibri" w:hAnsi="Calibri"/>
                <w:color w:val="000000"/>
                <w:sz w:val="21"/>
                <w:szCs w:val="21"/>
              </w:rPr>
              <w:t xml:space="preserve"> Que los precios están dados en el corto plazo.</w:t>
            </w:r>
          </w:p>
          <w:p>
            <w:pPr>
              <w:spacing w:after="0" w:line="276"/>
              <w:jc w:val="both"/>
            </w:pPr>
            <w:r>
              <w:rPr>
                <w:rFonts w:ascii="Calibri" w:cs="Calibri" w:eastAsia="Calibri" w:hAnsi="Calibri"/>
                <w:color w:val="000000"/>
                <w:sz w:val="21"/>
                <w:szCs w:val="21"/>
              </w:rPr>
              <w:t xml:space="preserve">Para la Bolivia de 2025–2026 los supuestos 4 y 5 son los más cuestionables: con restricción de divisas y presiones cambiarias, la cadena "tasa baja → inversión → producto" opera mucho peor que en el manual.</w:t>
            </w:r>
          </w:p>
        </w:tc>
      </w:tr>
    </w:tbl>
    <w:p>
      <w:pPr>
        <w:pStyle w:val="Heading2"/>
        <w:spacing w:after="140" w:before="320"/>
      </w:pPr>
      <w:r>
        <w:rPr>
          <w:rFonts w:ascii="Calibri" w:cs="Calibri" w:eastAsia="Calibri" w:hAnsi="Calibri"/>
          <w:b/>
          <w:bCs/>
          <w:color w:val="1F3864"/>
          <w:sz w:val="26"/>
          <w:szCs w:val="26"/>
        </w:rPr>
        <w:t xml:space="preserve">1.7 Bolivia como caso de estudio</w:t>
      </w:r>
    </w:p>
    <w:p>
      <w:pPr>
        <w:spacing w:after="140" w:line="276"/>
        <w:jc w:val="both"/>
      </w:pPr>
      <w:r>
        <w:rPr>
          <w:rFonts w:ascii="Calibri" w:cs="Calibri" w:eastAsia="Calibri" w:hAnsi="Calibri"/>
          <w:color w:val="000000"/>
          <w:sz w:val="21"/>
          <w:szCs w:val="21"/>
        </w:rPr>
        <w:t xml:space="preserve">El curso usa Bolivia no como anécdota sino como aplicación. Las razones son tres: es una economía </w:t>
      </w:r>
      <w:r>
        <w:rPr>
          <w:rFonts w:ascii="Calibri" w:cs="Calibri" w:eastAsia="Calibri" w:hAnsi="Calibri"/>
          <w:b/>
          <w:bCs/>
          <w:color w:val="000000"/>
          <w:sz w:val="21"/>
          <w:szCs w:val="21"/>
        </w:rPr>
        <w:t xml:space="preserve">pequeña</w:t>
      </w:r>
      <w:r>
        <w:rPr>
          <w:rFonts w:ascii="Calibri" w:cs="Calibri" w:eastAsia="Calibri" w:hAnsi="Calibri"/>
          <w:color w:val="000000"/>
          <w:sz w:val="21"/>
          <w:szCs w:val="21"/>
        </w:rPr>
        <w:t xml:space="preserve"> (tomadora de precios internacionales, no puede influir sobre ellos); tiene </w:t>
      </w:r>
      <w:r>
        <w:rPr>
          <w:rFonts w:ascii="Calibri" w:cs="Calibri" w:eastAsia="Calibri" w:hAnsi="Calibri"/>
          <w:b/>
          <w:bCs/>
          <w:color w:val="000000"/>
          <w:sz w:val="21"/>
          <w:szCs w:val="21"/>
        </w:rPr>
        <w:t xml:space="preserve">alta dependencia</w:t>
      </w:r>
      <w:r>
        <w:rPr>
          <w:rFonts w:ascii="Calibri" w:cs="Calibri" w:eastAsia="Calibri" w:hAnsi="Calibri"/>
          <w:color w:val="000000"/>
          <w:sz w:val="21"/>
          <w:szCs w:val="21"/>
        </w:rPr>
        <w:t xml:space="preserve"> de materias primas y del dólar estadounidense; y tiene una historia con </w:t>
      </w:r>
      <w:r>
        <w:rPr>
          <w:rFonts w:ascii="Calibri" w:cs="Calibri" w:eastAsia="Calibri" w:hAnsi="Calibri"/>
          <w:b/>
          <w:bCs/>
          <w:color w:val="000000"/>
          <w:sz w:val="21"/>
          <w:szCs w:val="21"/>
        </w:rPr>
        <w:t xml:space="preserve">episodios extremos</w:t>
      </w:r>
      <w:r>
        <w:rPr>
          <w:rFonts w:ascii="Calibri" w:cs="Calibri" w:eastAsia="Calibri" w:hAnsi="Calibri"/>
          <w:color w:val="000000"/>
          <w:sz w:val="21"/>
          <w:szCs w:val="21"/>
        </w:rPr>
        <w:t xml:space="preserve"> que funcionan como laboratorio natural.</w:t>
      </w:r>
    </w:p>
    <w:p>
      <w:pPr>
        <w:spacing w:after="120"/>
      </w:pPr>
    </w:p>
    <w:p>
      <w:pPr>
        <w:pStyle w:val="Heading3"/>
        <w:spacing w:after="120" w:before="240"/>
      </w:pPr>
      <w:r>
        <w:rPr>
          <w:rFonts w:ascii="Calibri" w:cs="Calibri" w:eastAsia="Calibri" w:hAnsi="Calibri"/>
          <w:b/>
          <w:bCs/>
          <w:color w:val="2E5496"/>
          <w:sz w:val="23"/>
          <w:szCs w:val="23"/>
        </w:rPr>
        <w:t xml:space="preserve">Línea de tiempo de los grandes choques</w:t>
      </w:r>
    </w:p>
    <w:tbl>
      <w:tblPr>
        <w:tblW w:type="dxa" w:w="9020"/>
        <w:tblBorders>
          <w:top w:val="single" w:color="1F3864" w:sz="4"/>
          <w:left w:val="none"/>
          <w:bottom w:val="single" w:color="1F3864" w:sz="4"/>
          <w:right w:val="none"/>
          <w:insideH w:val="single" w:color="D0D0D0" w:sz="1"/>
          <w:insideV w:val="single" w:color="D0D0D0" w:sz="1"/>
        </w:tblBorders>
      </w:tblPr>
      <w:tblGrid>
        <w:gridCol w:w="1353"/>
        <w:gridCol w:w="1984"/>
        <w:gridCol w:w="5683"/>
      </w:tblGrid>
      <w:tr>
        <w:trPr>
          <w:tblHeader/>
        </w:trPr>
        <w:tc>
          <w:tcPr>
            <w:tcW w:type="dxa" w:w="1353"/>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Período</w:t>
            </w:r>
          </w:p>
        </w:tc>
        <w:tc>
          <w:tcPr>
            <w:tcW w:type="dxa" w:w="198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Episodio</w:t>
            </w:r>
          </w:p>
        </w:tc>
        <w:tc>
          <w:tcPr>
            <w:tcW w:type="dxa" w:w="5683"/>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Contenido</w:t>
            </w:r>
          </w:p>
        </w:tc>
      </w:tr>
      <w:tr>
        <w:trPr>
          <w:tblHeader w:val="false"/>
        </w:trPr>
        <w:tc>
          <w:tcPr>
            <w:tcW w:type="dxa" w:w="1353"/>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1985</w:t>
            </w:r>
          </w:p>
        </w:tc>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Hiperinflación</w:t>
            </w:r>
          </w:p>
        </w:tc>
        <w:tc>
          <w:tcPr>
            <w:tcW w:type="dxa" w:w="5683"/>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Pico de inflación histórica; Decreto Supremo 21060 y estabilización.</w:t>
            </w:r>
          </w:p>
        </w:tc>
      </w:tr>
      <w:tr>
        <w:trPr>
          <w:tblHeader w:val="false"/>
        </w:trPr>
        <w:tc>
          <w:tcPr>
            <w:tcW w:type="dxa" w:w="1353"/>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2006–2014</w:t>
            </w:r>
          </w:p>
        </w:tc>
        <w:tc>
          <w:tcPr>
            <w:tcW w:type="dxa" w:w="1984"/>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Bonanza</w:t>
            </w:r>
          </w:p>
        </w:tc>
        <w:tc>
          <w:tcPr>
            <w:tcW w:type="dxa" w:w="5683"/>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Auge de precios internacionales de materias primas (gas, minerales).</w:t>
            </w:r>
          </w:p>
        </w:tc>
      </w:tr>
      <w:tr>
        <w:trPr>
          <w:tblHeader w:val="false"/>
        </w:trPr>
        <w:tc>
          <w:tcPr>
            <w:tcW w:type="dxa" w:w="1353"/>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2014–2015</w:t>
            </w:r>
          </w:p>
        </w:tc>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Fin del súper-ciclo</w:t>
            </w:r>
          </w:p>
        </w:tc>
        <w:tc>
          <w:tcPr>
            <w:tcW w:type="dxa" w:w="5683"/>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Caída de precios internacionales; desaceleración.</w:t>
            </w:r>
          </w:p>
        </w:tc>
      </w:tr>
      <w:tr>
        <w:trPr>
          <w:tblHeader w:val="false"/>
        </w:trPr>
        <w:tc>
          <w:tcPr>
            <w:tcW w:type="dxa" w:w="1353"/>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2023–2026</w:t>
            </w:r>
          </w:p>
        </w:tc>
        <w:tc>
          <w:tcPr>
            <w:tcW w:type="dxa" w:w="1984"/>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Crisis cambiaria</w:t>
            </w:r>
          </w:p>
        </w:tc>
        <w:tc>
          <w:tcPr>
            <w:tcW w:type="dxa" w:w="5683"/>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Escasez de dólares, tipo de cambio paralelo y proceso de estabilización.</w:t>
            </w:r>
          </w:p>
        </w:tc>
      </w:tr>
    </w:tbl>
    <w:p>
      <w:pPr>
        <w:spacing w:after="20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La cuarta etapa, actualizada al cierre de este cuaderno</w:t>
            </w:r>
          </w:p>
          <w:p>
            <w:pPr>
              <w:spacing w:after="80" w:line="276"/>
              <w:jc w:val="both"/>
            </w:pPr>
            <w:r>
              <w:rPr>
                <w:rFonts w:ascii="Calibri" w:cs="Calibri" w:eastAsia="Calibri" w:hAnsi="Calibri"/>
                <w:color w:val="000000"/>
                <w:sz w:val="21"/>
                <w:szCs w:val="21"/>
              </w:rPr>
              <w:t xml:space="preserve">Las diapositivas cierran la línea de tiempo en un genérico "2023–2026". Lo ocurrido desde entonces conviene tenerlo fechado, porque será material de examen y de discusión:</w:t>
            </w:r>
          </w:p>
          <w:p>
            <w:pPr>
              <w:spacing w:after="80" w:line="276"/>
              <w:jc w:val="both"/>
            </w:pPr>
            <w:r>
              <w:rPr>
                <w:rFonts w:ascii="Calibri" w:cs="Calibri" w:eastAsia="Calibri" w:hAnsi="Calibri"/>
                <w:b/>
                <w:bCs/>
                <w:color w:val="000000"/>
                <w:sz w:val="21"/>
                <w:szCs w:val="21"/>
              </w:rPr>
              <w:t xml:space="preserve">8 de noviembre de 2025</w:t>
            </w:r>
            <w:r>
              <w:rPr>
                <w:rFonts w:ascii="Calibri" w:cs="Calibri" w:eastAsia="Calibri" w:hAnsi="Calibri"/>
                <w:color w:val="000000"/>
                <w:sz w:val="21"/>
                <w:szCs w:val="21"/>
              </w:rPr>
              <w:t xml:space="preserve"> — Cambio de gobierno: asume Rodrigo Paz.</w:t>
            </w:r>
          </w:p>
          <w:p>
            <w:pPr>
              <w:spacing w:after="80" w:line="276"/>
              <w:jc w:val="both"/>
            </w:pPr>
            <w:r>
              <w:rPr>
                <w:rFonts w:ascii="Calibri" w:cs="Calibri" w:eastAsia="Calibri" w:hAnsi="Calibri"/>
                <w:b/>
                <w:bCs/>
                <w:color w:val="000000"/>
                <w:sz w:val="21"/>
                <w:szCs w:val="21"/>
              </w:rPr>
              <w:t xml:space="preserve">17 de diciembre de 2025</w:t>
            </w:r>
            <w:r>
              <w:rPr>
                <w:rFonts w:ascii="Calibri" w:cs="Calibri" w:eastAsia="Calibri" w:hAnsi="Calibri"/>
                <w:color w:val="000000"/>
                <w:sz w:val="21"/>
                <w:szCs w:val="21"/>
              </w:rPr>
              <w:t xml:space="preserve"> — Se decreta emergencia económica, financiera, energética y social. Entre otras medidas se retira la subvención a los principales carburantes (Decreto Supremo 5503).</w:t>
            </w:r>
          </w:p>
          <w:p>
            <w:pPr>
              <w:spacing w:after="80" w:line="276"/>
              <w:jc w:val="both"/>
            </w:pPr>
            <w:r>
              <w:rPr>
                <w:rFonts w:ascii="Calibri" w:cs="Calibri" w:eastAsia="Calibri" w:hAnsi="Calibri"/>
                <w:b/>
                <w:bCs/>
                <w:color w:val="000000"/>
                <w:sz w:val="21"/>
                <w:szCs w:val="21"/>
              </w:rPr>
              <w:t xml:space="preserve">Cierre de 2025</w:t>
            </w:r>
            <w:r>
              <w:rPr>
                <w:rFonts w:ascii="Calibri" w:cs="Calibri" w:eastAsia="Calibri" w:hAnsi="Calibri"/>
                <w:color w:val="000000"/>
                <w:sz w:val="21"/>
                <w:szCs w:val="21"/>
              </w:rPr>
              <w:t xml:space="preserve"> — La inflación acumulada del año llega a 20,40%, la más alta desde 1988 (INE, 6 de enero de 2026).</w:t>
            </w:r>
          </w:p>
          <w:p>
            <w:pPr>
              <w:spacing w:after="80" w:line="276"/>
              <w:jc w:val="both"/>
            </w:pPr>
            <w:r>
              <w:rPr>
                <w:rFonts w:ascii="Calibri" w:cs="Calibri" w:eastAsia="Calibri" w:hAnsi="Calibri"/>
                <w:b/>
                <w:bCs/>
                <w:color w:val="000000"/>
                <w:sz w:val="21"/>
                <w:szCs w:val="21"/>
              </w:rPr>
              <w:t xml:space="preserve">26 de junio de 2026</w:t>
            </w:r>
            <w:r>
              <w:rPr>
                <w:rFonts w:ascii="Calibri" w:cs="Calibri" w:eastAsia="Calibri" w:hAnsi="Calibri"/>
                <w:color w:val="000000"/>
                <w:sz w:val="21"/>
                <w:szCs w:val="21"/>
              </w:rPr>
              <w:t xml:space="preserve"> — Bolivia abandona el tipo de cambio fijo y transita a un </w:t>
            </w:r>
            <w:r>
              <w:rPr>
                <w:rFonts w:ascii="Calibri" w:cs="Calibri" w:eastAsia="Calibri" w:hAnsi="Calibri"/>
                <w:b/>
                <w:bCs/>
                <w:color w:val="000000"/>
                <w:sz w:val="21"/>
                <w:szCs w:val="21"/>
              </w:rPr>
              <w:t xml:space="preserve">régimen cambiario flexible</w:t>
            </w:r>
            <w:r>
              <w:rPr>
                <w:rFonts w:ascii="Calibri" w:cs="Calibri" w:eastAsia="Calibri" w:hAnsi="Calibri"/>
                <w:color w:val="000000"/>
                <w:sz w:val="21"/>
                <w:szCs w:val="21"/>
              </w:rPr>
              <w:t xml:space="preserve"> (Resolución Ministerial 245/2026 y Resolución de Directorio 88/2026 del BCB). Es uno de los cambios de régimen más relevantes en décadas.</w:t>
            </w:r>
          </w:p>
          <w:p>
            <w:pPr>
              <w:spacing w:after="80" w:line="276"/>
              <w:jc w:val="both"/>
            </w:pPr>
            <w:r>
              <w:rPr>
                <w:rFonts w:ascii="Calibri" w:cs="Calibri" w:eastAsia="Calibri" w:hAnsi="Calibri"/>
                <w:b/>
                <w:bCs/>
                <w:color w:val="000000"/>
                <w:sz w:val="21"/>
                <w:szCs w:val="21"/>
              </w:rPr>
              <w:t xml:space="preserve">Agosto de 2026</w:t>
            </w:r>
            <w:r>
              <w:rPr>
                <w:rFonts w:ascii="Calibri" w:cs="Calibri" w:eastAsia="Calibri" w:hAnsi="Calibri"/>
                <w:color w:val="000000"/>
                <w:sz w:val="21"/>
                <w:szCs w:val="21"/>
              </w:rPr>
              <w:t xml:space="preserve"> — El BCB publica su primer </w:t>
            </w:r>
            <w:r>
              <w:rPr>
                <w:rFonts w:ascii="Calibri" w:cs="Calibri" w:eastAsia="Calibri" w:hAnsi="Calibri"/>
                <w:i/>
                <w:iCs/>
                <w:color w:val="000000"/>
                <w:sz w:val="21"/>
                <w:szCs w:val="21"/>
              </w:rPr>
              <w:t xml:space="preserve">Reporte de Inflación y Política Monetaria</w:t>
            </w:r>
            <w:r>
              <w:rPr>
                <w:rFonts w:ascii="Calibri" w:cs="Calibri" w:eastAsia="Calibri" w:hAnsi="Calibri"/>
                <w:color w:val="000000"/>
                <w:sz w:val="21"/>
                <w:szCs w:val="21"/>
              </w:rPr>
              <w:t xml:space="preserve"> (RIPoM), en el marco de un nuevo esquema de política monetaria en el que la base monetaria pasa a ser el ancla nominal.</w:t>
            </w:r>
          </w:p>
          <w:p>
            <w:pPr>
              <w:spacing w:after="0" w:line="276"/>
              <w:jc w:val="both"/>
            </w:pPr>
            <w:r>
              <w:rPr>
                <w:rFonts w:ascii="Calibri" w:cs="Calibri" w:eastAsia="Calibri" w:hAnsi="Calibri"/>
                <w:color w:val="000000"/>
                <w:sz w:val="21"/>
                <w:szCs w:val="21"/>
              </w:rPr>
              <w:t xml:space="preserve">El detalle numérico está en la Parte VI.</w:t>
            </w:r>
          </w:p>
        </w:tc>
      </w:tr>
    </w:tbl>
    <w:p>
      <w:pPr>
        <w:pStyle w:val="Heading2"/>
        <w:spacing w:after="140" w:before="320"/>
      </w:pPr>
      <w:r>
        <w:rPr>
          <w:rFonts w:ascii="Calibri" w:cs="Calibri" w:eastAsia="Calibri" w:hAnsi="Calibri"/>
          <w:b/>
          <w:bCs/>
          <w:color w:val="1F3864"/>
          <w:sz w:val="26"/>
          <w:szCs w:val="26"/>
        </w:rPr>
        <w:t xml:space="preserve">1.8 Mapa del curso</w:t>
      </w:r>
    </w:p>
    <w:tbl>
      <w:tblPr>
        <w:tblW w:type="dxa" w:w="9020"/>
        <w:tblBorders>
          <w:top w:val="single" w:color="1F3864" w:sz="4"/>
          <w:left w:val="none"/>
          <w:bottom w:val="single" w:color="1F3864" w:sz="4"/>
          <w:right w:val="none"/>
          <w:insideH w:val="single" w:color="D0D0D0" w:sz="1"/>
          <w:insideV w:val="single" w:color="D0D0D0" w:sz="1"/>
        </w:tblBorders>
      </w:tblPr>
      <w:tblGrid>
        <w:gridCol w:w="541"/>
        <w:gridCol w:w="2526"/>
        <w:gridCol w:w="1082"/>
        <w:gridCol w:w="4871"/>
      </w:tblGrid>
      <w:tr>
        <w:trPr>
          <w:tblHeader/>
        </w:trPr>
        <w:tc>
          <w:tcPr>
            <w:tcW w:type="dxa" w:w="541"/>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U.</w:t>
            </w:r>
          </w:p>
        </w:tc>
        <w:tc>
          <w:tcPr>
            <w:tcW w:type="dxa" w:w="2526"/>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Unidad</w:t>
            </w:r>
          </w:p>
        </w:tc>
        <w:tc>
          <w:tcPr>
            <w:tcW w:type="dxa" w:w="1082"/>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Sesiones</w:t>
            </w:r>
          </w:p>
        </w:tc>
        <w:tc>
          <w:tcPr>
            <w:tcW w:type="dxa" w:w="4871"/>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Contenidos clave</w:t>
            </w:r>
          </w:p>
        </w:tc>
      </w:tr>
      <w:tr>
        <w:trPr>
          <w:tblHeader w:val="false"/>
        </w:trPr>
        <w:tc>
          <w:tcPr>
            <w:tcW w:type="dxa" w:w="541"/>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I</w:t>
            </w:r>
          </w:p>
        </w:tc>
        <w:tc>
          <w:tcPr>
            <w:tcW w:type="dxa" w:w="252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Fundamentos y medición</w:t>
            </w:r>
          </w:p>
        </w:tc>
        <w:tc>
          <w:tcPr>
            <w:tcW w:type="dxa" w:w="1082"/>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1–6</w:t>
            </w:r>
          </w:p>
        </w:tc>
        <w:tc>
          <w:tcPr>
            <w:tcW w:type="dxa" w:w="4871"/>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PIB, enfoques de medición, PIB nominal/real, IPC</w:t>
            </w:r>
          </w:p>
        </w:tc>
      </w:tr>
      <w:tr>
        <w:trPr>
          <w:tblHeader w:val="false"/>
        </w:trPr>
        <w:tc>
          <w:tcPr>
            <w:tcW w:type="dxa" w:w="541"/>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II</w:t>
            </w:r>
          </w:p>
        </w:tc>
        <w:tc>
          <w:tcPr>
            <w:tcW w:type="dxa" w:w="2526"/>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Desempleo</w:t>
            </w:r>
          </w:p>
        </w:tc>
        <w:tc>
          <w:tcPr>
            <w:tcW w:type="dxa" w:w="1082"/>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7–9</w:t>
            </w:r>
          </w:p>
        </w:tc>
        <w:tc>
          <w:tcPr>
            <w:tcW w:type="dxa" w:w="4871"/>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Tipos de desempleo, medición, informalidad</w:t>
            </w:r>
          </w:p>
        </w:tc>
      </w:tr>
      <w:tr>
        <w:trPr>
          <w:tblHeader w:val="false"/>
        </w:trPr>
        <w:tc>
          <w:tcPr>
            <w:tcW w:type="dxa" w:w="541"/>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III</w:t>
            </w:r>
          </w:p>
        </w:tc>
        <w:tc>
          <w:tcPr>
            <w:tcW w:type="dxa" w:w="252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Inflación</w:t>
            </w:r>
          </w:p>
        </w:tc>
        <w:tc>
          <w:tcPr>
            <w:tcW w:type="dxa" w:w="1082"/>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10–13</w:t>
            </w:r>
          </w:p>
        </w:tc>
        <w:tc>
          <w:tcPr>
            <w:tcW w:type="dxa" w:w="4871"/>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Tipos, medición, teorías, hiperinflación boliviana</w:t>
            </w:r>
          </w:p>
        </w:tc>
      </w:tr>
      <w:tr>
        <w:trPr>
          <w:tblHeader w:val="false"/>
        </w:trPr>
        <w:tc>
          <w:tcPr>
            <w:tcW w:type="dxa" w:w="541"/>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IV</w:t>
            </w:r>
          </w:p>
        </w:tc>
        <w:tc>
          <w:tcPr>
            <w:tcW w:type="dxa" w:w="2526"/>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Crecimiento económico</w:t>
            </w:r>
          </w:p>
        </w:tc>
        <w:tc>
          <w:tcPr>
            <w:tcW w:type="dxa" w:w="1082"/>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14–18</w:t>
            </w:r>
          </w:p>
        </w:tc>
        <w:tc>
          <w:tcPr>
            <w:tcW w:type="dxa" w:w="4871"/>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Solow, capital humano, crecimiento endógeno (Romer)</w:t>
            </w:r>
          </w:p>
        </w:tc>
      </w:tr>
      <w:tr>
        <w:trPr>
          <w:tblHeader w:val="false"/>
        </w:trPr>
        <w:tc>
          <w:tcPr>
            <w:tcW w:type="dxa" w:w="541"/>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V</w:t>
            </w:r>
          </w:p>
        </w:tc>
        <w:tc>
          <w:tcPr>
            <w:tcW w:type="dxa" w:w="252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Modelo IS-LM</w:t>
            </w:r>
          </w:p>
        </w:tc>
        <w:tc>
          <w:tcPr>
            <w:tcW w:type="dxa" w:w="1082"/>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19–24</w:t>
            </w:r>
          </w:p>
        </w:tc>
        <w:tc>
          <w:tcPr>
            <w:tcW w:type="dxa" w:w="4871"/>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Curva IS, curva LM, política fiscal y monetaria</w:t>
            </w:r>
          </w:p>
        </w:tc>
      </w:tr>
      <w:tr>
        <w:trPr>
          <w:tblHeader w:val="false"/>
        </w:trPr>
        <w:tc>
          <w:tcPr>
            <w:tcW w:type="dxa" w:w="541"/>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VI</w:t>
            </w:r>
          </w:p>
        </w:tc>
        <w:tc>
          <w:tcPr>
            <w:tcW w:type="dxa" w:w="2526"/>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Economía abierta</w:t>
            </w:r>
          </w:p>
        </w:tc>
        <w:tc>
          <w:tcPr>
            <w:tcW w:type="dxa" w:w="1082"/>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25–29</w:t>
            </w:r>
          </w:p>
        </w:tc>
        <w:tc>
          <w:tcPr>
            <w:tcW w:type="dxa" w:w="4871"/>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Tipo de cambio, Mundell-Fleming, caso boliviano</w:t>
            </w:r>
          </w:p>
        </w:tc>
      </w:tr>
      <w:tr>
        <w:trPr>
          <w:tblHeader w:val="false"/>
        </w:trPr>
        <w:tc>
          <w:tcPr>
            <w:tcW w:type="dxa" w:w="541"/>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VII</w:t>
            </w:r>
          </w:p>
        </w:tc>
        <w:tc>
          <w:tcPr>
            <w:tcW w:type="dxa" w:w="252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Síntesis</w:t>
            </w:r>
          </w:p>
        </w:tc>
        <w:tc>
          <w:tcPr>
            <w:tcW w:type="dxa" w:w="1082"/>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30</w:t>
            </w:r>
          </w:p>
        </w:tc>
        <w:tc>
          <w:tcPr>
            <w:tcW w:type="dxa" w:w="4871"/>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Trilema de política económica, cierre integrador</w:t>
            </w:r>
          </w:p>
        </w:tc>
      </w:tr>
    </w:tbl>
    <w:p>
      <w:pPr>
        <w:spacing w:after="120"/>
      </w:pPr>
    </w:p>
    <w:p>
      <w:pPr>
        <w:spacing w:after="140" w:line="276"/>
        <w:jc w:val="both"/>
      </w:pPr>
      <w:r>
        <w:rPr>
          <w:rFonts w:ascii="Calibri" w:cs="Calibri" w:eastAsia="Calibri" w:hAnsi="Calibri"/>
          <w:b/>
          <w:bCs/>
          <w:color w:val="000000"/>
          <w:sz w:val="21"/>
          <w:szCs w:val="21"/>
        </w:rPr>
        <w:t xml:space="preserve">Evaluación:</w:t>
      </w:r>
      <w:r>
        <w:rPr>
          <w:rFonts w:ascii="Calibri" w:cs="Calibri" w:eastAsia="Calibri" w:hAnsi="Calibri"/>
          <w:color w:val="000000"/>
          <w:sz w:val="21"/>
          <w:szCs w:val="21"/>
        </w:rPr>
        <w:t xml:space="preserve"> 20% talleres y actividades con IA; 20% parcial 1 (Unidades I–II, sesión 9); 20% parcial 2 (Unidades III–IV, sesión 18); 20% parcial 3 (Unidad V, sesión 24); 20% trabajo final integrador y mesa redonda (sesiones 29–30).</w:t>
      </w:r>
    </w:p>
    <w:p>
      <w:r>
        <w:br w:type="page"/>
      </w:r>
    </w:p>
    <w:p>
      <w:pPr>
        <w:pStyle w:val="Heading1"/>
        <w:spacing w:after="200" w:before="400"/>
      </w:pPr>
      <w:r>
        <w:rPr>
          <w:rFonts w:ascii="Calibri" w:cs="Calibri" w:eastAsia="Calibri" w:hAnsi="Calibri"/>
          <w:b/>
          <w:bCs/>
          <w:color w:val="1F3864"/>
          <w:sz w:val="32"/>
          <w:szCs w:val="32"/>
        </w:rPr>
        <w:t xml:space="preserve">Parte II · Medición del PIB</w:t>
      </w:r>
    </w:p>
    <w:p>
      <w:pPr>
        <w:spacing w:after="140" w:line="276"/>
        <w:jc w:val="both"/>
      </w:pPr>
      <w:r>
        <w:rPr>
          <w:rFonts w:ascii="Calibri" w:cs="Calibri" w:eastAsia="Calibri" w:hAnsi="Calibri"/>
          <w:i/>
          <w:iCs/>
          <w:color w:val="000000"/>
          <w:sz w:val="21"/>
          <w:szCs w:val="21"/>
        </w:rPr>
        <w:t xml:space="preserve">Corresponde a las Sesiones 2, 3 y 4, y a la sección 2 de tus apuntes.</w:t>
      </w:r>
    </w:p>
    <w:p>
      <w:pPr>
        <w:pStyle w:val="Heading2"/>
        <w:spacing w:after="140" w:before="320"/>
      </w:pPr>
      <w:r>
        <w:rPr>
          <w:rFonts w:ascii="Calibri" w:cs="Calibri" w:eastAsia="Calibri" w:hAnsi="Calibri"/>
          <w:b/>
          <w:bCs/>
          <w:color w:val="1F3864"/>
          <w:sz w:val="26"/>
          <w:szCs w:val="26"/>
        </w:rPr>
        <w:t xml:space="preserve">2.1 Qué es el Producto Interno Bruto</w:t>
      </w:r>
    </w:p>
    <w:p>
      <w:pPr>
        <w:spacing w:after="140" w:line="276"/>
        <w:jc w:val="both"/>
      </w:pPr>
      <w:r>
        <w:rPr>
          <w:rFonts w:ascii="Calibri" w:cs="Calibri" w:eastAsia="Calibri" w:hAnsi="Calibri"/>
          <w:color w:val="000000"/>
          <w:sz w:val="21"/>
          <w:szCs w:val="21"/>
        </w:rPr>
        <w:t xml:space="preserve">El PIB es el </w:t>
      </w:r>
      <w:r>
        <w:rPr>
          <w:rFonts w:ascii="Calibri" w:cs="Calibri" w:eastAsia="Calibri" w:hAnsi="Calibri"/>
          <w:b/>
          <w:bCs/>
          <w:color w:val="000000"/>
          <w:sz w:val="21"/>
          <w:szCs w:val="21"/>
        </w:rPr>
        <w:t xml:space="preserve">valor de mercado de todos los bienes y servicios finales producidos dentro de un país durante un período determinado</w:t>
      </w:r>
      <w:r>
        <w:rPr>
          <w:rFonts w:ascii="Calibri" w:cs="Calibri" w:eastAsia="Calibri" w:hAnsi="Calibri"/>
          <w:color w:val="000000"/>
          <w:sz w:val="21"/>
          <w:szCs w:val="21"/>
        </w:rPr>
        <w:t xml:space="preserve">. La definición tiene cuatro piezas y cada una hace un trabajo específico:</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2706"/>
        <w:gridCol w:w="6314"/>
      </w:tblGrid>
      <w:tr>
        <w:trPr>
          <w:tblHeader/>
        </w:trPr>
        <w:tc>
          <w:tcPr>
            <w:tcW w:type="dxa" w:w="2706"/>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Pieza de la definición</w:t>
            </w:r>
          </w:p>
        </w:tc>
        <w:tc>
          <w:tcPr>
            <w:tcW w:type="dxa" w:w="631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Qué resuelve</w:t>
            </w:r>
          </w:p>
        </w:tc>
      </w:tr>
      <w:tr>
        <w:trPr>
          <w:tblHeader w:val="false"/>
        </w:trPr>
        <w:tc>
          <w:tcPr>
            <w:tcW w:type="dxa" w:w="2706"/>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Valor de mercado</w:t>
            </w:r>
          </w:p>
        </w:tc>
        <w:tc>
          <w:tcPr>
            <w:tcW w:type="dxa" w:w="631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Permite sumar bienes distintos (papas, autos, cortes de pelo) usando los precios como traductor común.</w:t>
            </w:r>
          </w:p>
        </w:tc>
      </w:tr>
      <w:tr>
        <w:trPr>
          <w:tblHeader w:val="false"/>
        </w:trPr>
        <w:tc>
          <w:tcPr>
            <w:tcW w:type="dxa" w:w="2706"/>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Bienes y servicios finales</w:t>
            </w:r>
          </w:p>
        </w:tc>
        <w:tc>
          <w:tcPr>
            <w:tcW w:type="dxa" w:w="6314"/>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Solo cuenta lo que llega al usuario final; evita contar dos veces un mismo insumo.</w:t>
            </w:r>
          </w:p>
        </w:tc>
      </w:tr>
      <w:tr>
        <w:trPr>
          <w:tblHeader w:val="false"/>
        </w:trPr>
        <w:tc>
          <w:tcPr>
            <w:tcW w:type="dxa" w:w="2706"/>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Producidos dentro del país</w:t>
            </w:r>
          </w:p>
        </w:tc>
        <w:tc>
          <w:tcPr>
            <w:tcW w:type="dxa" w:w="631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Importa el territorio, no la nacionalidad de quien produce. Por eso es "Interno".</w:t>
            </w:r>
          </w:p>
        </w:tc>
      </w:tr>
      <w:tr>
        <w:trPr>
          <w:tblHeader w:val="false"/>
        </w:trPr>
        <w:tc>
          <w:tcPr>
            <w:tcW w:type="dxa" w:w="2706"/>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Durante un período</w:t>
            </w:r>
          </w:p>
        </w:tc>
        <w:tc>
          <w:tcPr>
            <w:tcW w:type="dxa" w:w="6314"/>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Es un </w:t>
            </w:r>
            <w:r>
              <w:rPr>
                <w:rFonts w:ascii="Calibri" w:cs="Calibri" w:eastAsia="Calibri" w:hAnsi="Calibri"/>
                <w:i/>
                <w:iCs/>
                <w:color w:val="000000"/>
                <w:sz w:val="19"/>
                <w:szCs w:val="19"/>
              </w:rPr>
              <w:t xml:space="preserve">flujo</w:t>
            </w:r>
            <w:r>
              <w:rPr>
                <w:rFonts w:ascii="Calibri" w:cs="Calibri" w:eastAsia="Calibri" w:hAnsi="Calibri"/>
                <w:color w:val="000000"/>
                <w:sz w:val="19"/>
                <w:szCs w:val="19"/>
              </w:rPr>
              <w:t xml:space="preserve">: se mide por año, trimestre o mes. No es una fotografía de riqueza acumulada.</w:t>
            </w:r>
          </w:p>
        </w:tc>
      </w:tr>
    </w:tbl>
    <w:p>
      <w:pPr>
        <w:spacing w:after="20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Flujo contra stock: el error de base</w:t>
            </w:r>
          </w:p>
          <w:p>
            <w:pPr>
              <w:spacing w:after="80" w:line="276"/>
              <w:jc w:val="both"/>
            </w:pPr>
            <w:r>
              <w:rPr>
                <w:rFonts w:ascii="Calibri" w:cs="Calibri" w:eastAsia="Calibri" w:hAnsi="Calibri"/>
                <w:color w:val="000000"/>
                <w:sz w:val="21"/>
                <w:szCs w:val="21"/>
              </w:rPr>
              <w:t xml:space="preserve">La cuarta pieza es la que más se olvida. El PIB es un </w:t>
            </w:r>
            <w:r>
              <w:rPr>
                <w:rFonts w:ascii="Calibri" w:cs="Calibri" w:eastAsia="Calibri" w:hAnsi="Calibri"/>
                <w:b/>
                <w:bCs/>
                <w:color w:val="000000"/>
                <w:sz w:val="21"/>
                <w:szCs w:val="21"/>
              </w:rPr>
              <w:t xml:space="preserve">flujo</w:t>
            </w:r>
            <w:r>
              <w:rPr>
                <w:rFonts w:ascii="Calibri" w:cs="Calibri" w:eastAsia="Calibri" w:hAnsi="Calibri"/>
                <w:color w:val="000000"/>
                <w:sz w:val="21"/>
                <w:szCs w:val="21"/>
              </w:rPr>
              <w:t xml:space="preserve"> (como el caudal de un río: metros cúbicos </w:t>
            </w:r>
            <w:r>
              <w:rPr>
                <w:rFonts w:ascii="Calibri" w:cs="Calibri" w:eastAsia="Calibri" w:hAnsi="Calibri"/>
                <w:i/>
                <w:iCs/>
                <w:color w:val="000000"/>
                <w:sz w:val="21"/>
                <w:szCs w:val="21"/>
              </w:rPr>
              <w:t xml:space="preserve">por segundo</w:t>
            </w:r>
            <w:r>
              <w:rPr>
                <w:rFonts w:ascii="Calibri" w:cs="Calibri" w:eastAsia="Calibri" w:hAnsi="Calibri"/>
                <w:color w:val="000000"/>
                <w:sz w:val="21"/>
                <w:szCs w:val="21"/>
              </w:rPr>
              <w:t xml:space="preserve">), no un </w:t>
            </w:r>
            <w:r>
              <w:rPr>
                <w:rFonts w:ascii="Calibri" w:cs="Calibri" w:eastAsia="Calibri" w:hAnsi="Calibri"/>
                <w:b/>
                <w:bCs/>
                <w:color w:val="000000"/>
                <w:sz w:val="21"/>
                <w:szCs w:val="21"/>
              </w:rPr>
              <w:t xml:space="preserve">stock</w:t>
            </w:r>
            <w:r>
              <w:rPr>
                <w:rFonts w:ascii="Calibri" w:cs="Calibri" w:eastAsia="Calibri" w:hAnsi="Calibri"/>
                <w:color w:val="000000"/>
                <w:sz w:val="21"/>
                <w:szCs w:val="21"/>
              </w:rPr>
              <w:t xml:space="preserve"> (como el volumen del embalse).</w:t>
            </w:r>
          </w:p>
          <w:p>
            <w:pPr>
              <w:spacing w:after="0" w:line="276"/>
              <w:jc w:val="both"/>
            </w:pPr>
            <w:r>
              <w:rPr>
                <w:rFonts w:ascii="Calibri" w:cs="Calibri" w:eastAsia="Calibri" w:hAnsi="Calibri"/>
                <w:color w:val="000000"/>
                <w:sz w:val="21"/>
                <w:szCs w:val="21"/>
              </w:rPr>
              <w:t xml:space="preserve">Por eso no tiene sentido decir "el PIB de Bolivia es de X millones de dólares" sin decir de qué año, ni comparar el PIB con la riqueza acumulada del país. Y por eso el PIB tampoco descuenta la depreciación del capital existente: es </w:t>
            </w:r>
            <w:r>
              <w:rPr>
                <w:rFonts w:ascii="Calibri" w:cs="Calibri" w:eastAsia="Calibri" w:hAnsi="Calibri"/>
                <w:i/>
                <w:iCs/>
                <w:color w:val="000000"/>
                <w:sz w:val="21"/>
                <w:szCs w:val="21"/>
              </w:rPr>
              <w:t xml:space="preserve">bruto</w:t>
            </w:r>
            <w:r>
              <w:rPr>
                <w:rFonts w:ascii="Calibri" w:cs="Calibri" w:eastAsia="Calibri" w:hAnsi="Calibri"/>
                <w:color w:val="000000"/>
                <w:sz w:val="21"/>
                <w:szCs w:val="21"/>
              </w:rPr>
              <w:t xml:space="preserve">, y esa palabra también es parte de la definición.</w:t>
            </w:r>
          </w:p>
        </w:tc>
      </w:tr>
    </w:tbl>
    <w:p>
      <w:pPr>
        <w:pStyle w:val="Heading3"/>
        <w:spacing w:after="120" w:before="240"/>
      </w:pPr>
      <w:r>
        <w:rPr>
          <w:rFonts w:ascii="Calibri" w:cs="Calibri" w:eastAsia="Calibri" w:hAnsi="Calibri"/>
          <w:b/>
          <w:bCs/>
          <w:color w:val="2E5496"/>
          <w:sz w:val="23"/>
          <w:szCs w:val="23"/>
        </w:rPr>
        <w:t xml:space="preserve">Qué cuenta y qué no cuenta</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4510"/>
        <w:gridCol w:w="4510"/>
      </w:tblGrid>
      <w:tr>
        <w:trPr>
          <w:tblHeader/>
        </w:trPr>
        <w:tc>
          <w:tcPr>
            <w:tcW w:type="dxa" w:w="4510"/>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Sí cuenta en el PIB</w:t>
            </w:r>
          </w:p>
        </w:tc>
        <w:tc>
          <w:tcPr>
            <w:tcW w:type="dxa" w:w="4510"/>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No cuenta en el PIB</w:t>
            </w:r>
          </w:p>
        </w:tc>
      </w:tr>
      <w:tr>
        <w:trPr>
          <w:tblHeader w:val="false"/>
        </w:trPr>
        <w:tc>
          <w:tcPr>
            <w:tcW w:type="dxa" w:w="4510"/>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Un auto nuevo fabricado y vendido este año</w:t>
            </w:r>
          </w:p>
        </w:tc>
        <w:tc>
          <w:tcPr>
            <w:tcW w:type="dxa" w:w="4510"/>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La reventa de un auto usado (ya se contó cuando era nuevo)</w:t>
            </w:r>
          </w:p>
        </w:tc>
      </w:tr>
      <w:tr>
        <w:trPr>
          <w:tblHeader w:val="false"/>
        </w:trPr>
        <w:tc>
          <w:tcPr>
            <w:tcW w:type="dxa" w:w="4510"/>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La construcción de una casa nueva</w:t>
            </w:r>
          </w:p>
        </w:tc>
        <w:tc>
          <w:tcPr>
            <w:tcW w:type="dxa" w:w="4510"/>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El trabajo doméstico no remunerado en el propio hogar</w:t>
            </w:r>
          </w:p>
        </w:tc>
      </w:tr>
      <w:tr>
        <w:trPr>
          <w:tblHeader w:val="false"/>
        </w:trPr>
        <w:tc>
          <w:tcPr>
            <w:tcW w:type="dxa" w:w="4510"/>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Un corte de cabello pagado en la peluquería</w:t>
            </w:r>
          </w:p>
        </w:tc>
        <w:tc>
          <w:tcPr>
            <w:tcW w:type="dxa" w:w="4510"/>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La compra de acciones en la bolsa (es un activo, no producción nueva)</w:t>
            </w:r>
          </w:p>
        </w:tc>
      </w:tr>
    </w:tbl>
    <w:p>
      <w:pPr>
        <w:spacing w:after="200"/>
      </w:pPr>
    </w:p>
    <w:p>
      <w:pPr>
        <w:pStyle w:val="Heading2"/>
        <w:spacing w:after="140" w:before="320"/>
      </w:pPr>
      <w:r>
        <w:rPr>
          <w:rFonts w:ascii="Calibri" w:cs="Calibri" w:eastAsia="Calibri" w:hAnsi="Calibri"/>
          <w:b/>
          <w:bCs/>
          <w:color w:val="1F3864"/>
          <w:sz w:val="26"/>
          <w:szCs w:val="26"/>
        </w:rPr>
        <w:t xml:space="preserve">2.2 Bienes finales y bienes intermedios</w:t>
      </w:r>
    </w:p>
    <w:p>
      <w:pPr>
        <w:spacing w:after="140" w:line="276"/>
        <w:jc w:val="both"/>
      </w:pPr>
      <w:r>
        <w:rPr>
          <w:rFonts w:ascii="Calibri" w:cs="Calibri" w:eastAsia="Calibri" w:hAnsi="Calibri"/>
          <w:b/>
          <w:bCs/>
          <w:color w:val="000000"/>
          <w:sz w:val="21"/>
          <w:szCs w:val="21"/>
        </w:rPr>
        <w:t xml:space="preserve">El ejemplo del trigo y el pan.</w:t>
      </w:r>
      <w:r>
        <w:rPr>
          <w:rFonts w:ascii="Calibri" w:cs="Calibri" w:eastAsia="Calibri" w:hAnsi="Calibri"/>
          <w:color w:val="000000"/>
          <w:sz w:val="21"/>
          <w:szCs w:val="21"/>
        </w:rPr>
        <w:t xml:space="preserve"> Un agricultor le vende trigo a la panadería "El Trigal" por Bs 50. La panadería usa ese trigo para producir pan, que vende al público por Bs 130.</w:t>
      </w:r>
    </w:p>
    <w:p>
      <w:pPr>
        <w:spacing w:after="120"/>
      </w:pPr>
    </w:p>
    <w:tbl>
      <w:tblPr>
        <w:tblW w:type="dxa" w:w="9020"/>
        <w:tblBorders>
          <w:top w:val="single" w:color="BFBFBF" w:sz="2"/>
          <w:left w:val="single" w:color="C00000" w:sz="14"/>
          <w:bottom w:val="single" w:color="BFBFBF" w:sz="2"/>
          <w:right w:val="single" w:color="BFBFBF" w:sz="2"/>
          <w:insideH w:val="none"/>
          <w:insideV w:val="none"/>
        </w:tblBorders>
      </w:tblPr>
      <w:tblGrid>
        <w:gridCol w:w="9020"/>
      </w:tblGrid>
      <w:tr>
        <w:tc>
          <w:tcPr>
            <w:tcW w:type="dxa" w:w="9020"/>
            <w:shd w:fill="FBE4E4"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El error</w:t>
            </w:r>
          </w:p>
          <w:p>
            <w:pPr>
              <w:spacing w:after="80" w:line="276"/>
              <w:jc w:val="both"/>
            </w:pPr>
            <w:r>
              <w:rPr>
                <w:rFonts w:ascii="Calibri" w:cs="Calibri" w:eastAsia="Calibri" w:hAnsi="Calibri"/>
                <w:b/>
                <w:bCs/>
                <w:color w:val="000000"/>
                <w:sz w:val="21"/>
                <w:szCs w:val="21"/>
              </w:rPr>
              <w:t xml:space="preserve">Incorrecto:</w:t>
            </w:r>
            <w:r>
              <w:rPr>
                <w:rFonts w:ascii="Calibri" w:cs="Calibri" w:eastAsia="Calibri" w:hAnsi="Calibri"/>
                <w:color w:val="000000"/>
                <w:sz w:val="21"/>
                <w:szCs w:val="21"/>
              </w:rPr>
              <w:t xml:space="preserve"> Bs 50 (trigo) + Bs 130 (pan) = Bs 180. El trigo se estaría contando dos veces, porque su valor ya está incorporado en el precio del pan.</w:t>
            </w:r>
          </w:p>
          <w:p>
            <w:pPr>
              <w:spacing w:after="0" w:line="276"/>
              <w:jc w:val="both"/>
            </w:pPr>
            <w:r>
              <w:rPr>
                <w:rFonts w:ascii="Calibri" w:cs="Calibri" w:eastAsia="Calibri" w:hAnsi="Calibri"/>
                <w:b/>
                <w:bCs/>
                <w:color w:val="000000"/>
                <w:sz w:val="21"/>
                <w:szCs w:val="21"/>
              </w:rPr>
              <w:t xml:space="preserve">Correcto:</w:t>
            </w:r>
            <w:r>
              <w:rPr>
                <w:rFonts w:ascii="Calibri" w:cs="Calibri" w:eastAsia="Calibri" w:hAnsi="Calibri"/>
                <w:color w:val="000000"/>
                <w:sz w:val="21"/>
                <w:szCs w:val="21"/>
              </w:rPr>
              <w:t xml:space="preserve"> solo el pan es un bien final. El PIB registra únicamente </w:t>
            </w:r>
            <w:r>
              <w:rPr>
                <w:rFonts w:ascii="Calibri" w:cs="Calibri" w:eastAsia="Calibri" w:hAnsi="Calibri"/>
                <w:b/>
                <w:bCs/>
                <w:color w:val="000000"/>
                <w:sz w:val="21"/>
                <w:szCs w:val="21"/>
              </w:rPr>
              <w:t xml:space="preserve">Bs 130</w:t>
            </w:r>
            <w:r>
              <w:rPr>
                <w:rFonts w:ascii="Calibri" w:cs="Calibri" w:eastAsia="Calibri" w:hAnsi="Calibri"/>
                <w:color w:val="000000"/>
                <w:sz w:val="21"/>
                <w:szCs w:val="21"/>
              </w:rPr>
              <w:t xml:space="preserve">.</w:t>
            </w:r>
          </w:p>
        </w:tc>
      </w:tr>
    </w:tbl>
    <w:p>
      <w:pPr>
        <w:spacing w:after="160"/>
      </w:pPr>
    </w:p>
    <w:p>
      <w:pPr>
        <w:spacing w:after="140" w:line="276"/>
        <w:jc w:val="both"/>
      </w:pPr>
      <w:r>
        <w:rPr>
          <w:rFonts w:ascii="Calibri" w:cs="Calibri" w:eastAsia="Calibri" w:hAnsi="Calibri"/>
          <w:color w:val="000000"/>
          <w:sz w:val="21"/>
          <w:szCs w:val="21"/>
        </w:rPr>
        <w:t xml:space="preserve">La segunda forma de ver lo mismo es el </w:t>
      </w:r>
      <w:r>
        <w:rPr>
          <w:rFonts w:ascii="Calibri" w:cs="Calibri" w:eastAsia="Calibri" w:hAnsi="Calibri"/>
          <w:b/>
          <w:bCs/>
          <w:color w:val="000000"/>
          <w:sz w:val="21"/>
          <w:szCs w:val="21"/>
        </w:rPr>
        <w:t xml:space="preserve">valor agregado</w:t>
      </w:r>
      <w:r>
        <w:rPr>
          <w:rFonts w:ascii="Calibri" w:cs="Calibri" w:eastAsia="Calibri" w:hAnsi="Calibri"/>
          <w:color w:val="000000"/>
          <w:sz w:val="21"/>
          <w:szCs w:val="21"/>
        </w:rPr>
        <w:t xml:space="preserve">: lo que cada empresa añade al proceso productivo.</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2255"/>
        <w:gridCol w:w="2435"/>
        <w:gridCol w:w="2165"/>
        <w:gridCol w:w="2165"/>
      </w:tblGrid>
      <w:tr>
        <w:trPr>
          <w:tblHeader/>
        </w:trPr>
        <w:tc>
          <w:tcPr>
            <w:tcW w:type="dxa" w:w="2255"/>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Empresa</w:t>
            </w:r>
          </w:p>
        </w:tc>
        <w:tc>
          <w:tcPr>
            <w:tcW w:type="dxa" w:w="2435"/>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Valor de su producción</w:t>
            </w:r>
          </w:p>
        </w:tc>
        <w:tc>
          <w:tcPr>
            <w:tcW w:type="dxa" w:w="2165"/>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Insumos comprados</w:t>
            </w:r>
          </w:p>
        </w:tc>
        <w:tc>
          <w:tcPr>
            <w:tcW w:type="dxa" w:w="2165"/>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Valor agregado</w:t>
            </w:r>
          </w:p>
        </w:tc>
      </w:tr>
      <w:tr>
        <w:trPr>
          <w:tblHeader w:val="false"/>
        </w:trPr>
        <w:tc>
          <w:tcPr>
            <w:tcW w:type="dxa" w:w="2255"/>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Agricultor</w:t>
            </w:r>
          </w:p>
        </w:tc>
        <w:tc>
          <w:tcPr>
            <w:tcW w:type="dxa" w:w="2435"/>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Bs 50 (trigo)</w:t>
            </w:r>
          </w:p>
        </w:tc>
        <w:tc>
          <w:tcPr>
            <w:tcW w:type="dxa" w:w="2165"/>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Bs 0</w:t>
            </w:r>
          </w:p>
        </w:tc>
        <w:tc>
          <w:tcPr>
            <w:tcW w:type="dxa" w:w="2165"/>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Bs 50</w:t>
            </w:r>
          </w:p>
        </w:tc>
      </w:tr>
      <w:tr>
        <w:trPr>
          <w:tblHeader w:val="false"/>
        </w:trPr>
        <w:tc>
          <w:tcPr>
            <w:tcW w:type="dxa" w:w="2255"/>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Panadería</w:t>
            </w:r>
          </w:p>
        </w:tc>
        <w:tc>
          <w:tcPr>
            <w:tcW w:type="dxa" w:w="2435"/>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Bs 130 (pan)</w:t>
            </w:r>
          </w:p>
        </w:tc>
        <w:tc>
          <w:tcPr>
            <w:tcW w:type="dxa" w:w="2165"/>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Bs 50 (trigo)</w:t>
            </w:r>
          </w:p>
        </w:tc>
        <w:tc>
          <w:tcPr>
            <w:tcW w:type="dxa" w:w="2165"/>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Bs 80</w:t>
            </w:r>
          </w:p>
        </w:tc>
      </w:tr>
      <w:tr>
        <w:trPr>
          <w:tblHeader w:val="false"/>
        </w:trPr>
        <w:tc>
          <w:tcPr>
            <w:tcW w:type="dxa" w:w="2255"/>
            <w:shd w:fill="F2F2F2"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Total economía</w:t>
            </w:r>
          </w:p>
        </w:tc>
        <w:tc>
          <w:tcPr>
            <w:tcW w:type="dxa" w:w="2435"/>
            <w:shd w:fill="F2F2F2"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w:t>
            </w:r>
          </w:p>
        </w:tc>
        <w:tc>
          <w:tcPr>
            <w:tcW w:type="dxa" w:w="2165"/>
            <w:shd w:fill="F2F2F2"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w:t>
            </w:r>
          </w:p>
        </w:tc>
        <w:tc>
          <w:tcPr>
            <w:tcW w:type="dxa" w:w="2165"/>
            <w:shd w:fill="F2F2F2"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Bs 130</w:t>
            </w:r>
          </w:p>
        </w:tc>
      </w:tr>
    </w:tbl>
    <w:p>
      <w:pPr>
        <w:spacing w:after="120"/>
      </w:pPr>
    </w:p>
    <w:p>
      <w:pPr>
        <w:spacing w:after="140" w:line="276"/>
        <w:jc w:val="both"/>
      </w:pPr>
      <w:r>
        <w:rPr>
          <w:rFonts w:ascii="Calibri" w:cs="Calibri" w:eastAsia="Calibri" w:hAnsi="Calibri"/>
          <w:color w:val="000000"/>
          <w:sz w:val="21"/>
          <w:szCs w:val="21"/>
        </w:rPr>
        <w:t xml:space="preserve">La suma de los valores agregados (50 + 80 = 130) coincide exactamente con el valor del bien final. Dos caminos, el mismo PIB.</w:t>
      </w:r>
    </w:p>
    <w:p>
      <w:pPr>
        <w:pStyle w:val="Heading2"/>
        <w:spacing w:after="140" w:before="320"/>
      </w:pPr>
      <w:r>
        <w:rPr>
          <w:rFonts w:ascii="Calibri" w:cs="Calibri" w:eastAsia="Calibri" w:hAnsi="Calibri"/>
          <w:b/>
          <w:bCs/>
          <w:color w:val="1F3864"/>
          <w:sz w:val="26"/>
          <w:szCs w:val="26"/>
        </w:rPr>
        <w:t xml:space="preserve">2.3 El flujo circular de la renta</w:t>
      </w:r>
    </w:p>
    <w:p>
      <w:pPr>
        <w:spacing w:after="140" w:line="276"/>
        <w:jc w:val="both"/>
      </w:pPr>
      <w:r>
        <w:rPr>
          <w:rFonts w:ascii="Calibri" w:cs="Calibri" w:eastAsia="Calibri" w:hAnsi="Calibri"/>
          <w:color w:val="000000"/>
          <w:sz w:val="21"/>
          <w:szCs w:val="21"/>
        </w:rPr>
        <w:t xml:space="preserve">Las empresas entregan bienes y servicios a los hogares, que pagan con su gasto (C). Los hogares aportan trabajo y capital a las empresas, que pagan salarios y otras rentas. En cada vuelta del circuito, </w:t>
      </w:r>
      <w:r>
        <w:rPr>
          <w:rFonts w:ascii="Calibri" w:cs="Calibri" w:eastAsia="Calibri" w:hAnsi="Calibri"/>
          <w:b/>
          <w:bCs/>
          <w:color w:val="000000"/>
          <w:sz w:val="21"/>
          <w:szCs w:val="21"/>
        </w:rPr>
        <w:t xml:space="preserve">el gasto de unos es el ingreso de otros</w:t>
      </w:r>
      <w:r>
        <w:rPr>
          <w:rFonts w:ascii="Calibri" w:cs="Calibri" w:eastAsia="Calibri" w:hAnsi="Calibri"/>
          <w:color w:val="000000"/>
          <w:sz w:val="21"/>
          <w:szCs w:val="21"/>
        </w:rPr>
        <w:t xml:space="preserve">. Esa es la razón profunda de que el PIB pueda medirse por el gasto o por el ingreso y dé el mismo resultado.</w:t>
      </w:r>
    </w:p>
    <w:p>
      <w:pPr>
        <w:spacing w:after="120"/>
      </w:pPr>
    </w:p>
    <w:tbl>
      <w:tblPr>
        <w:tblW w:type="dxa" w:w="9020"/>
        <w:tblBorders>
          <w:top w:val="single" w:color="BFBFBF" w:sz="2"/>
          <w:left w:val="single" w:color="808080" w:sz="14"/>
          <w:bottom w:val="single" w:color="BFBFBF" w:sz="2"/>
          <w:right w:val="single" w:color="BFBFBF" w:sz="2"/>
          <w:insideH w:val="none"/>
          <w:insideV w:val="none"/>
        </w:tblBorders>
      </w:tblPr>
      <w:tblGrid>
        <w:gridCol w:w="9020"/>
      </w:tblGrid>
      <w:tr>
        <w:tc>
          <w:tcPr>
            <w:tcW w:type="dxa" w:w="9020"/>
            <w:shd w:fill="F2F2F2"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El circuito de Ana y Beto, y una trampa</w:t>
            </w:r>
          </w:p>
          <w:p>
            <w:pPr>
              <w:spacing w:after="80" w:line="276"/>
              <w:jc w:val="both"/>
            </w:pPr>
            <w:r>
              <w:rPr>
                <w:rFonts w:ascii="Calibri" w:cs="Calibri" w:eastAsia="Calibri" w:hAnsi="Calibri"/>
                <w:color w:val="000000"/>
                <w:sz w:val="21"/>
                <w:szCs w:val="21"/>
              </w:rPr>
              <w:t xml:space="preserve">Ana trabaja en la panadería de Beto y recibe Bs 3.000 al mes de salario. Con parte de ese salario, Ana compra Bs 500 de pan en la misma panadería.</w:t>
            </w:r>
          </w:p>
          <w:p>
            <w:pPr>
              <w:spacing w:after="0" w:line="276"/>
              <w:jc w:val="both"/>
            </w:pPr>
            <w:r>
              <w:rPr>
                <w:rFonts w:ascii="Calibri" w:cs="Calibri" w:eastAsia="Calibri" w:hAnsi="Calibri"/>
                <w:color w:val="000000"/>
                <w:sz w:val="21"/>
                <w:szCs w:val="21"/>
              </w:rPr>
              <w:t xml:space="preserve">El PIB de esta mini-economía es </w:t>
            </w:r>
            <w:r>
              <w:rPr>
                <w:rFonts w:ascii="Calibri" w:cs="Calibri" w:eastAsia="Calibri" w:hAnsi="Calibri"/>
                <w:b/>
                <w:bCs/>
                <w:color w:val="000000"/>
                <w:sz w:val="21"/>
                <w:szCs w:val="21"/>
              </w:rPr>
              <w:t xml:space="preserve">Bs 500</w:t>
            </w:r>
            <w:r>
              <w:rPr>
                <w:rFonts w:ascii="Calibri" w:cs="Calibri" w:eastAsia="Calibri" w:hAnsi="Calibri"/>
                <w:color w:val="000000"/>
                <w:sz w:val="21"/>
                <w:szCs w:val="21"/>
              </w:rPr>
              <w:t xml:space="preserve">, no Bs 3.000 ni Bs 3.500. El salario es un </w:t>
            </w:r>
            <w:r>
              <w:rPr>
                <w:rFonts w:ascii="Calibri" w:cs="Calibri" w:eastAsia="Calibri" w:hAnsi="Calibri"/>
                <w:i/>
                <w:iCs/>
                <w:color w:val="000000"/>
                <w:sz w:val="21"/>
                <w:szCs w:val="21"/>
              </w:rPr>
              <w:t xml:space="preserve">pago a un factor</w:t>
            </w:r>
            <w:r>
              <w:rPr>
                <w:rFonts w:ascii="Calibri" w:cs="Calibri" w:eastAsia="Calibri" w:hAnsi="Calibri"/>
                <w:color w:val="000000"/>
                <w:sz w:val="21"/>
                <w:szCs w:val="21"/>
              </w:rPr>
              <w:t xml:space="preserve"> dentro del proceso productivo; el único bien final vendido es el pan. Sumar salario y venta sería doble contabilización, exactamente el mismo error que sumar trigo y pan.</w:t>
            </w:r>
          </w:p>
        </w:tc>
      </w:tr>
    </w:tbl>
    <w:p>
      <w:pPr>
        <w:pStyle w:val="Heading2"/>
        <w:spacing w:after="140" w:before="320"/>
      </w:pPr>
      <w:r>
        <w:rPr>
          <w:rFonts w:ascii="Calibri" w:cs="Calibri" w:eastAsia="Calibri" w:hAnsi="Calibri"/>
          <w:b/>
          <w:bCs/>
          <w:color w:val="1F3864"/>
          <w:sz w:val="26"/>
          <w:szCs w:val="26"/>
        </w:rPr>
        <w:t xml:space="preserve">2.4 El enfoque del gasto</w:t>
      </w:r>
    </w:p>
    <w:p>
      <w:pPr>
        <w:spacing w:after="140" w:line="276"/>
        <w:jc w:val="both"/>
      </w:pPr>
      <w:r>
        <w:rPr>
          <w:rFonts w:ascii="Calibri" w:cs="Calibri" w:eastAsia="Calibri" w:hAnsi="Calibri"/>
          <w:color w:val="000000"/>
          <w:sz w:val="21"/>
          <w:szCs w:val="21"/>
        </w:rPr>
        <w:t xml:space="preserve">Primera de las tres puertas de entrada al PIB: preguntar cuánto se gastó en bienes y servicios finales. El gasto total se clasifica en cuatro categorías que no se superponen.</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1984"/>
        <w:gridCol w:w="3247"/>
        <w:gridCol w:w="3789"/>
      </w:tblGrid>
      <w:tr>
        <w:trPr>
          <w:tblHeader/>
        </w:trPr>
        <w:tc>
          <w:tcPr>
            <w:tcW w:type="dxa" w:w="198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Componente</w:t>
            </w:r>
          </w:p>
        </w:tc>
        <w:tc>
          <w:tcPr>
            <w:tcW w:type="dxa" w:w="3247"/>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Qué incluye</w:t>
            </w:r>
          </w:p>
        </w:tc>
        <w:tc>
          <w:tcPr>
            <w:tcW w:type="dxa" w:w="3789"/>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Ejemplo boliviano</w:t>
            </w:r>
          </w:p>
        </w:tc>
      </w:tr>
      <w:tr>
        <w:trPr>
          <w:tblHeader w:val="false"/>
        </w:trPr>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C — Consumo</w:t>
            </w:r>
          </w:p>
        </w:tc>
        <w:tc>
          <w:tcPr>
            <w:tcW w:type="dxa" w:w="3247"/>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Compras de bienes y servicios por parte de las familias</w:t>
            </w:r>
          </w:p>
        </w:tc>
        <w:tc>
          <w:tcPr>
            <w:tcW w:type="dxa" w:w="3789"/>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Una familia de La Paz compra arroz, ropa y un corte de cabello</w:t>
            </w:r>
          </w:p>
        </w:tc>
      </w:tr>
      <w:tr>
        <w:trPr>
          <w:tblHeader w:val="false"/>
        </w:trPr>
        <w:tc>
          <w:tcPr>
            <w:tcW w:type="dxa" w:w="1984"/>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G — Gasto de gobierno</w:t>
            </w:r>
          </w:p>
        </w:tc>
        <w:tc>
          <w:tcPr>
            <w:tcW w:type="dxa" w:w="3247"/>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Compras de bienes y servicios por parte del Estado</w:t>
            </w:r>
          </w:p>
        </w:tc>
        <w:tc>
          <w:tcPr>
            <w:tcW w:type="dxa" w:w="3789"/>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El gobierno construye una posta de salud en Cochabamba</w:t>
            </w:r>
          </w:p>
        </w:tc>
      </w:tr>
      <w:tr>
        <w:trPr>
          <w:tblHeader w:val="false"/>
        </w:trPr>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I — Inversión</w:t>
            </w:r>
          </w:p>
        </w:tc>
        <w:tc>
          <w:tcPr>
            <w:tcW w:type="dxa" w:w="3247"/>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Compra de bienes de capital y variación de existencias</w:t>
            </w:r>
          </w:p>
        </w:tc>
        <w:tc>
          <w:tcPr>
            <w:tcW w:type="dxa" w:w="3789"/>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Una empresa minera compra maquinaria nueva para su planta</w:t>
            </w:r>
          </w:p>
        </w:tc>
      </w:tr>
      <w:tr>
        <w:trPr>
          <w:tblHeader w:val="false"/>
        </w:trPr>
        <w:tc>
          <w:tcPr>
            <w:tcW w:type="dxa" w:w="1984"/>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X — Exportaciones</w:t>
            </w:r>
          </w:p>
        </w:tc>
        <w:tc>
          <w:tcPr>
            <w:tcW w:type="dxa" w:w="3247"/>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Ventas al exterior</w:t>
            </w:r>
          </w:p>
        </w:tc>
        <w:tc>
          <w:tcPr>
            <w:tcW w:type="dxa" w:w="3789"/>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Bolivia vende gas natural y minerales a Brasil y Argentina</w:t>
            </w:r>
          </w:p>
        </w:tc>
      </w:tr>
      <w:tr>
        <w:trPr>
          <w:tblHeader w:val="false"/>
        </w:trPr>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M — Importaciones</w:t>
            </w:r>
          </w:p>
        </w:tc>
        <w:tc>
          <w:tcPr>
            <w:tcW w:type="dxa" w:w="3247"/>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Compras al exterior (se restan)</w:t>
            </w:r>
          </w:p>
        </w:tc>
        <w:tc>
          <w:tcPr>
            <w:tcW w:type="dxa" w:w="3789"/>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Bolivia importa diésel y celulares desde el exterior</w:t>
            </w:r>
          </w:p>
        </w:tc>
      </w:tr>
    </w:tbl>
    <w:p>
      <w:pPr>
        <w:spacing w:after="200"/>
      </w:pPr>
    </w:p>
    <w:p>
      <w:pPr>
        <w:spacing w:after="140" w:before="140"/>
        <w:jc w:val="center"/>
      </w:pPr>
      <w:r>
        <w:rPr>
          <w:rFonts w:ascii="Cambria" w:cs="Cambria" w:eastAsia="Cambria" w:hAnsi="Cambria"/>
          <w:b/>
          <w:bCs/>
          <w:color w:val="1F3864"/>
          <w:sz w:val="24"/>
          <w:szCs w:val="24"/>
        </w:rPr>
        <w:t xml:space="preserve">Y = C + G + I + (X − M)</w:t>
      </w:r>
    </w:p>
    <w:tbl>
      <w:tblPr>
        <w:tblW w:type="dxa" w:w="9020"/>
        <w:tblBorders>
          <w:top w:val="single" w:color="BFBFBF" w:sz="2"/>
          <w:left w:val="single" w:color="BF9000" w:sz="14"/>
          <w:bottom w:val="single" w:color="BFBFBF" w:sz="2"/>
          <w:right w:val="single" w:color="BFBFBF" w:sz="2"/>
          <w:insideH w:val="none"/>
          <w:insideV w:val="none"/>
        </w:tblBorders>
      </w:tblPr>
      <w:tblGrid>
        <w:gridCol w:w="9020"/>
      </w:tblGrid>
      <w:tr>
        <w:tc>
          <w:tcPr>
            <w:tcW w:type="dxa" w:w="9020"/>
            <w:shd w:fill="FFF2CC"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Esto es una identidad, no una teoría</w:t>
            </w:r>
          </w:p>
          <w:p>
            <w:pPr>
              <w:spacing w:after="80" w:line="276"/>
              <w:jc w:val="both"/>
            </w:pPr>
            <w:r>
              <w:rPr>
                <w:rFonts w:ascii="Calibri" w:cs="Calibri" w:eastAsia="Calibri" w:hAnsi="Calibri"/>
                <w:color w:val="000000"/>
                <w:sz w:val="21"/>
                <w:szCs w:val="21"/>
              </w:rPr>
              <w:t xml:space="preserve">La ecuación no afirma nada sobre el comportamiento de nadie: se cumple </w:t>
            </w:r>
            <w:r>
              <w:rPr>
                <w:rFonts w:ascii="Calibri" w:cs="Calibri" w:eastAsia="Calibri" w:hAnsi="Calibri"/>
                <w:b/>
                <w:bCs/>
                <w:color w:val="000000"/>
                <w:sz w:val="21"/>
                <w:szCs w:val="21"/>
              </w:rPr>
              <w:t xml:space="preserve">siempre, por construcción</w:t>
            </w:r>
            <w:r>
              <w:rPr>
                <w:rFonts w:ascii="Calibri" w:cs="Calibri" w:eastAsia="Calibri" w:hAnsi="Calibri"/>
                <w:color w:val="000000"/>
                <w:sz w:val="21"/>
                <w:szCs w:val="21"/>
              </w:rPr>
              <w:t xml:space="preserve">, porque clasifica todo el gasto final de la economía en categorías exhaustivas y mutuamente excluyentes.</w:t>
            </w:r>
          </w:p>
          <w:p>
            <w:pPr>
              <w:spacing w:after="0" w:line="276"/>
              <w:jc w:val="both"/>
            </w:pPr>
            <w:r>
              <w:rPr>
                <w:rFonts w:ascii="Calibri" w:cs="Calibri" w:eastAsia="Calibri" w:hAnsi="Calibri"/>
                <w:color w:val="000000"/>
                <w:sz w:val="21"/>
                <w:szCs w:val="21"/>
              </w:rPr>
              <w:t xml:space="preserve">La distinción entre </w:t>
            </w:r>
            <w:r>
              <w:rPr>
                <w:rFonts w:ascii="Calibri" w:cs="Calibri" w:eastAsia="Calibri" w:hAnsi="Calibri"/>
                <w:i/>
                <w:iCs/>
                <w:color w:val="000000"/>
                <w:sz w:val="21"/>
                <w:szCs w:val="21"/>
              </w:rPr>
              <w:t xml:space="preserve">identidad contable</w:t>
            </w:r>
            <w:r>
              <w:rPr>
                <w:rFonts w:ascii="Calibri" w:cs="Calibri" w:eastAsia="Calibri" w:hAnsi="Calibri"/>
                <w:color w:val="000000"/>
                <w:sz w:val="21"/>
                <w:szCs w:val="21"/>
              </w:rPr>
              <w:t xml:space="preserve"> y </w:t>
            </w:r>
            <w:r>
              <w:rPr>
                <w:rFonts w:ascii="Calibri" w:cs="Calibri" w:eastAsia="Calibri" w:hAnsi="Calibri"/>
                <w:i/>
                <w:iCs/>
                <w:color w:val="000000"/>
                <w:sz w:val="21"/>
                <w:szCs w:val="21"/>
              </w:rPr>
              <w:t xml:space="preserve">relación de comportamiento</w:t>
            </w:r>
            <w:r>
              <w:rPr>
                <w:rFonts w:ascii="Calibri" w:cs="Calibri" w:eastAsia="Calibri" w:hAnsi="Calibri"/>
                <w:color w:val="000000"/>
                <w:sz w:val="21"/>
                <w:szCs w:val="21"/>
              </w:rPr>
              <w:t xml:space="preserve"> es una de las que más se evalúan. Una identidad se cumple por definición; una relación de comportamiento (por ejemplo, "el consumo depende del ingreso disponible") es una hipótesis que puede ser falsa.</w:t>
            </w:r>
          </w:p>
        </w:tc>
      </w:tr>
    </w:tbl>
    <w:p>
      <w:pPr>
        <w:pStyle w:val="Heading3"/>
        <w:spacing w:after="120" w:before="240"/>
      </w:pPr>
      <w:r>
        <w:rPr>
          <w:rFonts w:ascii="Calibri" w:cs="Calibri" w:eastAsia="Calibri" w:hAnsi="Calibri"/>
          <w:b/>
          <w:bCs/>
          <w:color w:val="2E5496"/>
          <w:sz w:val="23"/>
          <w:szCs w:val="23"/>
        </w:rPr>
        <w:t xml:space="preserve">El mismo bien, distinta categoría: depende de quién compra</w:t>
      </w:r>
    </w:p>
    <w:p>
      <w:pPr>
        <w:spacing w:after="140" w:line="276"/>
        <w:jc w:val="both"/>
      </w:pPr>
      <w:r>
        <w:rPr>
          <w:rFonts w:ascii="Calibri" w:cs="Calibri" w:eastAsia="Calibri" w:hAnsi="Calibri"/>
          <w:color w:val="000000"/>
          <w:sz w:val="21"/>
          <w:szCs w:val="21"/>
        </w:rPr>
        <w:t xml:space="preserve">Tres compradores adquieren exactamente el mismo auto, al mismo precio de Bs 70.000. Lo que cambia es qué componente del gasto se activa:</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2165"/>
        <w:gridCol w:w="2526"/>
        <w:gridCol w:w="2526"/>
        <w:gridCol w:w="1803"/>
      </w:tblGrid>
      <w:tr>
        <w:trPr>
          <w:tblHeader/>
        </w:trPr>
        <w:tc>
          <w:tcPr>
            <w:tcW w:type="dxa" w:w="2165"/>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Comprador</w:t>
            </w:r>
          </w:p>
        </w:tc>
        <w:tc>
          <w:tcPr>
            <w:tcW w:type="dxa" w:w="2526"/>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Uso</w:t>
            </w:r>
          </w:p>
        </w:tc>
        <w:tc>
          <w:tcPr>
            <w:tcW w:type="dxa" w:w="2526"/>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Componente</w:t>
            </w:r>
          </w:p>
        </w:tc>
        <w:tc>
          <w:tcPr>
            <w:tcW w:type="dxa" w:w="1803"/>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Monto</w:t>
            </w:r>
          </w:p>
        </w:tc>
      </w:tr>
      <w:tr>
        <w:trPr>
          <w:tblHeader w:val="false"/>
        </w:trPr>
        <w:tc>
          <w:tcPr>
            <w:tcW w:type="dxa" w:w="2165"/>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Marta</w:t>
            </w:r>
          </w:p>
        </w:tc>
        <w:tc>
          <w:tcPr>
            <w:tcW w:type="dxa" w:w="252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Uso personal</w:t>
            </w:r>
          </w:p>
        </w:tc>
        <w:tc>
          <w:tcPr>
            <w:tcW w:type="dxa" w:w="252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Consumo (C)</w:t>
            </w:r>
          </w:p>
        </w:tc>
        <w:tc>
          <w:tcPr>
            <w:tcW w:type="dxa" w:w="1803"/>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Bs 70.000</w:t>
            </w:r>
          </w:p>
        </w:tc>
      </w:tr>
      <w:tr>
        <w:trPr>
          <w:tblHeader w:val="false"/>
        </w:trPr>
        <w:tc>
          <w:tcPr>
            <w:tcW w:type="dxa" w:w="2165"/>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Una ferretería</w:t>
            </w:r>
          </w:p>
        </w:tc>
        <w:tc>
          <w:tcPr>
            <w:tcW w:type="dxa" w:w="2526"/>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Vehículo de reparto</w:t>
            </w:r>
          </w:p>
        </w:tc>
        <w:tc>
          <w:tcPr>
            <w:tcW w:type="dxa" w:w="2526"/>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Inversión (I)</w:t>
            </w:r>
          </w:p>
        </w:tc>
        <w:tc>
          <w:tcPr>
            <w:tcW w:type="dxa" w:w="1803"/>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Bs 70.000</w:t>
            </w:r>
          </w:p>
        </w:tc>
      </w:tr>
      <w:tr>
        <w:trPr>
          <w:tblHeader w:val="false"/>
        </w:trPr>
        <w:tc>
          <w:tcPr>
            <w:tcW w:type="dxa" w:w="2165"/>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El gobierno municipal</w:t>
            </w:r>
          </w:p>
        </w:tc>
        <w:tc>
          <w:tcPr>
            <w:tcW w:type="dxa" w:w="252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Uso de la alcaldía</w:t>
            </w:r>
          </w:p>
        </w:tc>
        <w:tc>
          <w:tcPr>
            <w:tcW w:type="dxa" w:w="252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Gasto de gobierno (G)</w:t>
            </w:r>
          </w:p>
        </w:tc>
        <w:tc>
          <w:tcPr>
            <w:tcW w:type="dxa" w:w="1803"/>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Bs 70.000</w:t>
            </w:r>
          </w:p>
        </w:tc>
      </w:tr>
    </w:tbl>
    <w:p>
      <w:pPr>
        <w:spacing w:after="200"/>
      </w:pPr>
    </w:p>
    <w:p>
      <w:pPr>
        <w:pStyle w:val="Heading3"/>
        <w:spacing w:after="120" w:before="240"/>
      </w:pPr>
      <w:r>
        <w:rPr>
          <w:rFonts w:ascii="Calibri" w:cs="Calibri" w:eastAsia="Calibri" w:hAnsi="Calibri"/>
          <w:b/>
          <w:bCs/>
          <w:color w:val="2E5496"/>
          <w:sz w:val="23"/>
          <w:szCs w:val="23"/>
        </w:rPr>
        <w:t xml:space="preserve">¿Por qué se restan las importaciones?</w:t>
      </w:r>
    </w:p>
    <w:p>
      <w:pPr>
        <w:spacing w:after="140" w:line="276"/>
        <w:jc w:val="both"/>
      </w:pPr>
      <w:r>
        <w:rPr>
          <w:rFonts w:ascii="Calibri" w:cs="Calibri" w:eastAsia="Calibri" w:hAnsi="Calibri"/>
          <w:color w:val="000000"/>
          <w:sz w:val="21"/>
          <w:szCs w:val="21"/>
        </w:rPr>
        <w:t xml:space="preserve">Una familia boliviana compra un celular importado de China por Bs 2.000. El gasto se registra como consumo (C += 2.000), pero el celular no se produjo en Bolivia, así que también se registra como importación (M += 2.000). El efecto neto sobre el PIB boliviano es </w:t>
      </w:r>
      <w:r>
        <w:rPr>
          <w:rFonts w:ascii="Calibri" w:cs="Calibri" w:eastAsia="Calibri" w:hAnsi="Calibri"/>
          <w:b/>
          <w:bCs/>
          <w:color w:val="000000"/>
          <w:sz w:val="21"/>
          <w:szCs w:val="21"/>
        </w:rPr>
        <w:t xml:space="preserve">cero</w:t>
      </w:r>
      <w:r>
        <w:rPr>
          <w:rFonts w:ascii="Calibri" w:cs="Calibri" w:eastAsia="Calibri" w:hAnsi="Calibri"/>
          <w:color w:val="000000"/>
          <w:sz w:val="21"/>
          <w:szCs w:val="21"/>
        </w:rPr>
        <w:t xml:space="preserve">, y es correcto que lo sea: Bolivia no lo produjo.</w:t>
      </w:r>
    </w:p>
    <w:p>
      <w:pPr>
        <w:spacing w:after="12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La resta no es un castigo al comercio</w:t>
            </w:r>
          </w:p>
          <w:p>
            <w:pPr>
              <w:spacing w:after="80" w:line="276"/>
              <w:jc w:val="both"/>
            </w:pPr>
            <w:r>
              <w:rPr>
                <w:rFonts w:ascii="Calibri" w:cs="Calibri" w:eastAsia="Calibri" w:hAnsi="Calibri"/>
                <w:color w:val="000000"/>
                <w:sz w:val="21"/>
                <w:szCs w:val="21"/>
              </w:rPr>
              <w:t xml:space="preserve">Un malentendido persistente: como M entra restando, parece que importar "reduce el PIB". No es así. Las importaciones se restan porque ya fueron </w:t>
            </w:r>
            <w:r>
              <w:rPr>
                <w:rFonts w:ascii="Calibri" w:cs="Calibri" w:eastAsia="Calibri" w:hAnsi="Calibri"/>
                <w:i/>
                <w:iCs/>
                <w:color w:val="000000"/>
                <w:sz w:val="21"/>
                <w:szCs w:val="21"/>
              </w:rPr>
              <w:t xml:space="preserve">sumadas</w:t>
            </w:r>
            <w:r>
              <w:rPr>
                <w:rFonts w:ascii="Calibri" w:cs="Calibri" w:eastAsia="Calibri" w:hAnsi="Calibri"/>
                <w:color w:val="000000"/>
                <w:sz w:val="21"/>
                <w:szCs w:val="21"/>
              </w:rPr>
              <w:t xml:space="preserve"> dentro de C, I o G, que registran el gasto sin distinguir el origen del bien. La resta es una </w:t>
            </w:r>
            <w:r>
              <w:rPr>
                <w:rFonts w:ascii="Calibri" w:cs="Calibri" w:eastAsia="Calibri" w:hAnsi="Calibri"/>
                <w:b/>
                <w:bCs/>
                <w:color w:val="000000"/>
                <w:sz w:val="21"/>
                <w:szCs w:val="21"/>
              </w:rPr>
              <w:t xml:space="preserve">corrección contable</w:t>
            </w:r>
            <w:r>
              <w:rPr>
                <w:rFonts w:ascii="Calibri" w:cs="Calibri" w:eastAsia="Calibri" w:hAnsi="Calibri"/>
                <w:color w:val="000000"/>
                <w:sz w:val="21"/>
                <w:szCs w:val="21"/>
              </w:rPr>
              <w:t xml:space="preserve">, no un efecto económico.</w:t>
            </w:r>
          </w:p>
          <w:p>
            <w:pPr>
              <w:spacing w:after="0" w:line="276"/>
              <w:jc w:val="both"/>
            </w:pPr>
            <w:r>
              <w:rPr>
                <w:rFonts w:ascii="Calibri" w:cs="Calibri" w:eastAsia="Calibri" w:hAnsi="Calibri"/>
                <w:color w:val="000000"/>
                <w:sz w:val="21"/>
                <w:szCs w:val="21"/>
              </w:rPr>
              <w:t xml:space="preserve">Consecuencia práctica: de la identidad no se deduce que restringir importaciones aumente el PIB. Si Bolivia importa menos diésel porque no hay divisas, la caída de M no eleva Y; lo que ocurre es que la producción que dependía de ese diésel también cae.</w:t>
            </w:r>
          </w:p>
        </w:tc>
      </w:tr>
    </w:tbl>
    <w:p>
      <w:pPr>
        <w:pStyle w:val="Heading2"/>
        <w:spacing w:after="140" w:before="320"/>
      </w:pPr>
      <w:r>
        <w:rPr>
          <w:rFonts w:ascii="Calibri" w:cs="Calibri" w:eastAsia="Calibri" w:hAnsi="Calibri"/>
          <w:b/>
          <w:bCs/>
          <w:color w:val="1F3864"/>
          <w:sz w:val="26"/>
          <w:szCs w:val="26"/>
        </w:rPr>
        <w:t xml:space="preserve">2.5 Caso aplicado: la economía de Catania</w:t>
      </w:r>
    </w:p>
    <w:p>
      <w:pPr>
        <w:spacing w:after="140" w:line="276"/>
        <w:jc w:val="both"/>
      </w:pPr>
      <w:r>
        <w:rPr>
          <w:rFonts w:ascii="Calibri" w:cs="Calibri" w:eastAsia="Calibri" w:hAnsi="Calibri"/>
          <w:color w:val="000000"/>
          <w:sz w:val="21"/>
          <w:szCs w:val="21"/>
        </w:rPr>
        <w:t xml:space="preserve">Economía ficticia, moneda "peso latinoamericano" ($L). El ejercicio consiste en clasificar cada gasto y aplicar la identidad.</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1984"/>
        <w:gridCol w:w="5232"/>
        <w:gridCol w:w="1804"/>
      </w:tblGrid>
      <w:tr>
        <w:trPr>
          <w:tblHeader/>
        </w:trPr>
        <w:tc>
          <w:tcPr>
            <w:tcW w:type="dxa" w:w="198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Componente</w:t>
            </w:r>
          </w:p>
        </w:tc>
        <w:tc>
          <w:tcPr>
            <w:tcW w:type="dxa" w:w="5232"/>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Ejemplos de gasto</w:t>
            </w:r>
          </w:p>
        </w:tc>
        <w:tc>
          <w:tcPr>
            <w:tcW w:type="dxa" w:w="180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Total</w:t>
            </w:r>
          </w:p>
        </w:tc>
      </w:tr>
      <w:tr>
        <w:trPr>
          <w:tblHeader w:val="false"/>
        </w:trPr>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C — Consumo</w:t>
            </w:r>
          </w:p>
        </w:tc>
        <w:tc>
          <w:tcPr>
            <w:tcW w:type="dxa" w:w="5232"/>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Autos, carne, ropa, peluquería, salud, educación privada</w:t>
            </w:r>
          </w:p>
        </w:tc>
        <w:tc>
          <w:tcPr>
            <w:tcW w:type="dxa" w:w="180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$L 168.000</w:t>
            </w:r>
          </w:p>
        </w:tc>
      </w:tr>
      <w:tr>
        <w:trPr>
          <w:tblHeader w:val="false"/>
        </w:trPr>
        <w:tc>
          <w:tcPr>
            <w:tcW w:type="dxa" w:w="1984"/>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G — Gobierno</w:t>
            </w:r>
          </w:p>
        </w:tc>
        <w:tc>
          <w:tcPr>
            <w:tcW w:type="dxa" w:w="5232"/>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Hojas para ministerios, protección policial, escuela pública</w:t>
            </w:r>
          </w:p>
        </w:tc>
        <w:tc>
          <w:tcPr>
            <w:tcW w:type="dxa" w:w="1804"/>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$L 49.000</w:t>
            </w:r>
          </w:p>
        </w:tc>
      </w:tr>
      <w:tr>
        <w:trPr>
          <w:tblHeader w:val="false"/>
        </w:trPr>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I — Inversión</w:t>
            </w:r>
          </w:p>
        </w:tc>
        <w:tc>
          <w:tcPr>
            <w:tcW w:type="dxa" w:w="5232"/>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Fábrica nueva, equipos informáticos, maquinaria</w:t>
            </w:r>
          </w:p>
        </w:tc>
        <w:tc>
          <w:tcPr>
            <w:tcW w:type="dxa" w:w="180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$L 62.000</w:t>
            </w:r>
          </w:p>
        </w:tc>
      </w:tr>
      <w:tr>
        <w:trPr>
          <w:tblHeader w:val="false"/>
        </w:trPr>
        <w:tc>
          <w:tcPr>
            <w:tcW w:type="dxa" w:w="1984"/>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X — Exportaciones</w:t>
            </w:r>
          </w:p>
        </w:tc>
        <w:tc>
          <w:tcPr>
            <w:tcW w:type="dxa" w:w="5232"/>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Carne, trigo, leche, arroz y cobre vendidos al exterior</w:t>
            </w:r>
          </w:p>
        </w:tc>
        <w:tc>
          <w:tcPr>
            <w:tcW w:type="dxa" w:w="1804"/>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$L 85.000</w:t>
            </w:r>
          </w:p>
        </w:tc>
      </w:tr>
      <w:tr>
        <w:trPr>
          <w:tblHeader w:val="false"/>
        </w:trPr>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M — Importaciones</w:t>
            </w:r>
          </w:p>
        </w:tc>
        <w:tc>
          <w:tcPr>
            <w:tcW w:type="dxa" w:w="5232"/>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Telas, equipos, neumáticos y petróleo comprados afuera</w:t>
            </w:r>
          </w:p>
        </w:tc>
        <w:tc>
          <w:tcPr>
            <w:tcW w:type="dxa" w:w="180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$L 91.000</w:t>
            </w:r>
          </w:p>
        </w:tc>
      </w:tr>
    </w:tbl>
    <w:p>
      <w:pPr>
        <w:spacing w:after="160"/>
      </w:pPr>
    </w:p>
    <w:p>
      <w:pPr>
        <w:spacing w:after="140" w:before="140"/>
        <w:jc w:val="center"/>
      </w:pPr>
      <w:r>
        <w:rPr>
          <w:rFonts w:ascii="Cambria" w:cs="Cambria" w:eastAsia="Cambria" w:hAnsi="Cambria"/>
          <w:b/>
          <w:bCs/>
          <w:color w:val="1F3864"/>
          <w:sz w:val="24"/>
          <w:szCs w:val="24"/>
        </w:rPr>
        <w:t xml:space="preserve">Y = 168.000 + 49.000 + 62.000 + (85.000 − 91.000) = 273.000</w:t>
      </w:r>
    </w:p>
    <w:p>
      <w:pPr>
        <w:spacing w:after="140" w:line="276"/>
        <w:jc w:val="both"/>
      </w:pPr>
      <w:r>
        <w:rPr>
          <w:rFonts w:ascii="Calibri" w:cs="Calibri" w:eastAsia="Calibri" w:hAnsi="Calibri"/>
          <w:b/>
          <w:bCs/>
          <w:color w:val="000000"/>
          <w:sz w:val="21"/>
          <w:szCs w:val="21"/>
        </w:rPr>
        <w:t xml:space="preserve">PIB de Catania = $L 273.000.</w:t>
      </w:r>
    </w:p>
    <w:p>
      <w:pPr>
        <w:spacing w:after="60"/>
      </w:pPr>
    </w:p>
    <w:p>
      <w:pPr>
        <w:pStyle w:val="ListParagraph"/>
        <w:numPr>
          <w:ilvl w:val="0"/>
          <w:numId w:val="1"/>
        </w:numPr>
        <w:spacing w:after="70" w:line="276"/>
      </w:pPr>
      <w:r>
        <w:rPr>
          <w:rFonts w:ascii="Calibri" w:cs="Calibri" w:eastAsia="Calibri" w:hAnsi="Calibri"/>
          <w:color w:val="000000"/>
          <w:sz w:val="21"/>
          <w:szCs w:val="21"/>
        </w:rPr>
        <w:t xml:space="preserve">El consumo domina el gasto total: 61,5% del PIB.</w:t>
      </w:r>
    </w:p>
    <w:p>
      <w:pPr>
        <w:pStyle w:val="ListParagraph"/>
        <w:numPr>
          <w:ilvl w:val="0"/>
          <w:numId w:val="1"/>
        </w:numPr>
        <w:spacing w:after="70" w:line="276"/>
      </w:pPr>
      <w:r>
        <w:rPr>
          <w:rFonts w:ascii="Calibri" w:cs="Calibri" w:eastAsia="Calibri" w:hAnsi="Calibri"/>
          <w:color w:val="000000"/>
          <w:sz w:val="21"/>
          <w:szCs w:val="21"/>
        </w:rPr>
        <w:t xml:space="preserve">Catania importa más de lo que exporta: sus exportaciones netas son negativas (−6.000).</w:t>
      </w:r>
    </w:p>
    <w:p>
      <w:pPr>
        <w:spacing w:after="12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Composición del PIB de Catania, en porcentajes</w:t>
            </w:r>
          </w:p>
          <w:p>
            <w:pPr>
              <w:spacing w:after="80" w:line="276"/>
              <w:jc w:val="both"/>
            </w:pPr>
            <w:r>
              <w:rPr>
                <w:rFonts w:ascii="Calibri" w:cs="Calibri" w:eastAsia="Calibri" w:hAnsi="Calibri"/>
                <w:color w:val="000000"/>
                <w:sz w:val="21"/>
                <w:szCs w:val="21"/>
              </w:rPr>
              <w:t xml:space="preserve">Vale la pena calcular las participaciones, porque en el examen suelen pedirlas y porque permiten comparar economías de tamaños distintos:</w:t>
            </w:r>
          </w:p>
          <w:p>
            <w:pPr>
              <w:spacing w:after="80" w:line="276"/>
              <w:jc w:val="both"/>
            </w:pPr>
            <w:r>
              <w:rPr>
                <w:rFonts w:ascii="Calibri" w:cs="Calibri" w:eastAsia="Calibri" w:hAnsi="Calibri"/>
                <w:color w:val="000000"/>
                <w:sz w:val="21"/>
                <w:szCs w:val="21"/>
              </w:rPr>
              <w:t xml:space="preserve">C = 168.000 / 273.000 = </w:t>
            </w:r>
            <w:r>
              <w:rPr>
                <w:rFonts w:ascii="Calibri" w:cs="Calibri" w:eastAsia="Calibri" w:hAnsi="Calibri"/>
                <w:b/>
                <w:bCs/>
                <w:color w:val="000000"/>
                <w:sz w:val="21"/>
                <w:szCs w:val="21"/>
              </w:rPr>
              <w:t xml:space="preserve">61,5%</w:t>
            </w:r>
            <w:r>
              <w:rPr>
                <w:rFonts w:ascii="Calibri" w:cs="Calibri" w:eastAsia="Calibri" w:hAnsi="Calibri"/>
                <w:color w:val="000000"/>
                <w:sz w:val="21"/>
                <w:szCs w:val="21"/>
              </w:rPr>
              <w:t xml:space="preserve"> · G = 49.000 / 273.000 = </w:t>
            </w:r>
            <w:r>
              <w:rPr>
                <w:rFonts w:ascii="Calibri" w:cs="Calibri" w:eastAsia="Calibri" w:hAnsi="Calibri"/>
                <w:b/>
                <w:bCs/>
                <w:color w:val="000000"/>
                <w:sz w:val="21"/>
                <w:szCs w:val="21"/>
              </w:rPr>
              <w:t xml:space="preserve">17,9%</w:t>
            </w:r>
            <w:r>
              <w:rPr>
                <w:rFonts w:ascii="Calibri" w:cs="Calibri" w:eastAsia="Calibri" w:hAnsi="Calibri"/>
                <w:color w:val="000000"/>
                <w:sz w:val="21"/>
                <w:szCs w:val="21"/>
              </w:rPr>
              <w:t xml:space="preserve"> · I = 62.000 / 273.000 = </w:t>
            </w:r>
            <w:r>
              <w:rPr>
                <w:rFonts w:ascii="Calibri" w:cs="Calibri" w:eastAsia="Calibri" w:hAnsi="Calibri"/>
                <w:b/>
                <w:bCs/>
                <w:color w:val="000000"/>
                <w:sz w:val="21"/>
                <w:szCs w:val="21"/>
              </w:rPr>
              <w:t xml:space="preserve">22,7%</w:t>
            </w:r>
            <w:r>
              <w:rPr>
                <w:rFonts w:ascii="Calibri" w:cs="Calibri" w:eastAsia="Calibri" w:hAnsi="Calibri"/>
                <w:color w:val="000000"/>
                <w:sz w:val="21"/>
                <w:szCs w:val="21"/>
              </w:rPr>
              <w:t xml:space="preserve"> · (X−M) = −6.000 / 273.000 = </w:t>
            </w:r>
            <w:r>
              <w:rPr>
                <w:rFonts w:ascii="Calibri" w:cs="Calibri" w:eastAsia="Calibri" w:hAnsi="Calibri"/>
                <w:b/>
                <w:bCs/>
                <w:color w:val="000000"/>
                <w:sz w:val="21"/>
                <w:szCs w:val="21"/>
              </w:rPr>
              <w:t xml:space="preserve">−2,2%</w:t>
            </w:r>
            <w:r>
              <w:rPr>
                <w:rFonts w:ascii="Calibri" w:cs="Calibri" w:eastAsia="Calibri" w:hAnsi="Calibri"/>
                <w:color w:val="000000"/>
                <w:sz w:val="21"/>
                <w:szCs w:val="21"/>
              </w:rPr>
              <w:t xml:space="preserve">. Suman 100% (con redondeo).</w:t>
            </w:r>
          </w:p>
          <w:p>
            <w:pPr>
              <w:spacing w:after="0" w:line="276"/>
              <w:jc w:val="both"/>
            </w:pPr>
            <w:r>
              <w:rPr>
                <w:rFonts w:ascii="Calibri" w:cs="Calibri" w:eastAsia="Calibri" w:hAnsi="Calibri"/>
                <w:color w:val="000000"/>
                <w:sz w:val="21"/>
                <w:szCs w:val="21"/>
              </w:rPr>
              <w:t xml:space="preserve">Nota de método: las participaciones se calculan siempre sobre el PIB, no sobre la suma de los componentes positivos. Es un error común dividir entre 279.000.</w:t>
            </w:r>
          </w:p>
        </w:tc>
      </w:tr>
    </w:tbl>
    <w:p>
      <w:pPr>
        <w:pStyle w:val="Heading3"/>
        <w:spacing w:after="120" w:before="240"/>
      </w:pPr>
      <w:r>
        <w:rPr>
          <w:rFonts w:ascii="Calibri" w:cs="Calibri" w:eastAsia="Calibri" w:hAnsi="Calibri"/>
          <w:b/>
          <w:bCs/>
          <w:color w:val="2E5496"/>
          <w:sz w:val="23"/>
          <w:szCs w:val="23"/>
        </w:rPr>
        <w:t xml:space="preserve">Trampas frecuentes del enfoque del gasto</w:t>
      </w:r>
    </w:p>
    <w:tbl>
      <w:tblPr>
        <w:tblW w:type="dxa" w:w="9020"/>
        <w:tblBorders>
          <w:top w:val="single" w:color="BFBFBF" w:sz="2"/>
          <w:left w:val="single" w:color="C00000" w:sz="14"/>
          <w:bottom w:val="single" w:color="BFBFBF" w:sz="2"/>
          <w:right w:val="single" w:color="BFBFBF" w:sz="2"/>
          <w:insideH w:val="none"/>
          <w:insideV w:val="none"/>
        </w:tblBorders>
      </w:tblPr>
      <w:tblGrid>
        <w:gridCol w:w="9020"/>
      </w:tblGrid>
      <w:tr>
        <w:tc>
          <w:tcPr>
            <w:tcW w:type="dxa" w:w="9020"/>
            <w:shd w:fill="FBE4E4"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Tres cosas que parecen PIB y no lo son</w:t>
            </w:r>
          </w:p>
          <w:p>
            <w:pPr>
              <w:spacing w:after="80" w:line="276"/>
              <w:jc w:val="both"/>
            </w:pPr>
            <w:r>
              <w:rPr>
                <w:rFonts w:ascii="Calibri" w:cs="Calibri" w:eastAsia="Calibri" w:hAnsi="Calibri"/>
                <w:b/>
                <w:bCs/>
                <w:color w:val="000000"/>
                <w:sz w:val="21"/>
                <w:szCs w:val="21"/>
              </w:rPr>
              <w:t xml:space="preserve">Comprar acciones en la bolsa</w:t>
            </w:r>
            <w:r>
              <w:rPr>
                <w:rFonts w:ascii="Calibri" w:cs="Calibri" w:eastAsia="Calibri" w:hAnsi="Calibri"/>
                <w:color w:val="000000"/>
                <w:sz w:val="21"/>
                <w:szCs w:val="21"/>
              </w:rPr>
              <w:t xml:space="preserve"> no es inversión (I) en el sentido del PIB: es la compra de un activo financiero ya existente, no producción nueva.</w:t>
            </w:r>
          </w:p>
          <w:p>
            <w:pPr>
              <w:spacing w:after="80" w:line="276"/>
              <w:jc w:val="both"/>
            </w:pPr>
            <w:r>
              <w:rPr>
                <w:rFonts w:ascii="Calibri" w:cs="Calibri" w:eastAsia="Calibri" w:hAnsi="Calibri"/>
                <w:b/>
                <w:bCs/>
                <w:color w:val="000000"/>
                <w:sz w:val="21"/>
                <w:szCs w:val="21"/>
              </w:rPr>
              <w:t xml:space="preserve">Un bono o transferencia del gobierno</w:t>
            </w:r>
            <w:r>
              <w:rPr>
                <w:rFonts w:ascii="Calibri" w:cs="Calibri" w:eastAsia="Calibri" w:hAnsi="Calibri"/>
                <w:color w:val="000000"/>
                <w:sz w:val="21"/>
                <w:szCs w:val="21"/>
              </w:rPr>
              <w:t xml:space="preserve"> no es gasto de gobierno (G): el Estado no compró un bien ni un servicio, solo transfirió ingreso. Aparecerá en el PIB </w:t>
            </w:r>
            <w:r>
              <w:rPr>
                <w:rFonts w:ascii="Calibri" w:cs="Calibri" w:eastAsia="Calibri" w:hAnsi="Calibri"/>
                <w:i/>
                <w:iCs/>
                <w:color w:val="000000"/>
                <w:sz w:val="21"/>
                <w:szCs w:val="21"/>
              </w:rPr>
              <w:t xml:space="preserve">después</w:t>
            </w:r>
            <w:r>
              <w:rPr>
                <w:rFonts w:ascii="Calibri" w:cs="Calibri" w:eastAsia="Calibri" w:hAnsi="Calibri"/>
                <w:color w:val="000000"/>
                <w:sz w:val="21"/>
                <w:szCs w:val="21"/>
              </w:rPr>
              <w:t xml:space="preserve">, si el receptor lo gasta en consumo.</w:t>
            </w:r>
          </w:p>
          <w:p>
            <w:pPr>
              <w:spacing w:after="0" w:line="276"/>
              <w:jc w:val="both"/>
            </w:pPr>
            <w:r>
              <w:rPr>
                <w:rFonts w:ascii="Calibri" w:cs="Calibri" w:eastAsia="Calibri" w:hAnsi="Calibri"/>
                <w:b/>
                <w:bCs/>
                <w:color w:val="000000"/>
                <w:sz w:val="21"/>
                <w:szCs w:val="21"/>
              </w:rPr>
              <w:t xml:space="preserve">La reventa de una casa usada</w:t>
            </w:r>
            <w:r>
              <w:rPr>
                <w:rFonts w:ascii="Calibri" w:cs="Calibri" w:eastAsia="Calibri" w:hAnsi="Calibri"/>
                <w:color w:val="000000"/>
                <w:sz w:val="21"/>
                <w:szCs w:val="21"/>
              </w:rPr>
              <w:t xml:space="preserve"> no se cuenta de nuevo: ya se registró como inversión (I) cuando la casa se construyó. Lo que sí cuenta es la comisión del corredor, porque es un servicio prestado este año.</w:t>
            </w:r>
          </w:p>
        </w:tc>
      </w:tr>
    </w:tbl>
    <w:p>
      <w:pPr>
        <w:pStyle w:val="Heading2"/>
        <w:spacing w:after="140" w:before="320"/>
      </w:pPr>
      <w:r>
        <w:rPr>
          <w:rFonts w:ascii="Calibri" w:cs="Calibri" w:eastAsia="Calibri" w:hAnsi="Calibri"/>
          <w:b/>
          <w:bCs/>
          <w:color w:val="1F3864"/>
          <w:sz w:val="26"/>
          <w:szCs w:val="26"/>
        </w:rPr>
        <w:t xml:space="preserve">2.6 PIB y PNB: territorio o nacionalidad</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2345"/>
        <w:gridCol w:w="1263"/>
        <w:gridCol w:w="5412"/>
      </w:tblGrid>
      <w:tr>
        <w:trPr>
          <w:tblHeader/>
        </w:trPr>
        <w:tc>
          <w:tcPr>
            <w:tcW w:type="dxa" w:w="2345"/>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Indicador</w:t>
            </w:r>
          </w:p>
        </w:tc>
        <w:tc>
          <w:tcPr>
            <w:tcW w:type="dxa" w:w="1263"/>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Criterio</w:t>
            </w:r>
          </w:p>
        </w:tc>
        <w:tc>
          <w:tcPr>
            <w:tcW w:type="dxa" w:w="5412"/>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Definición</w:t>
            </w:r>
          </w:p>
        </w:tc>
      </w:tr>
      <w:tr>
        <w:trPr>
          <w:tblHeader w:val="false"/>
        </w:trPr>
        <w:tc>
          <w:tcPr>
            <w:tcW w:type="dxa" w:w="2345"/>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PIB — Producto Interno Bruto</w:t>
            </w:r>
          </w:p>
        </w:tc>
        <w:tc>
          <w:tcPr>
            <w:tcW w:type="dxa" w:w="1263"/>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Territorio</w:t>
            </w:r>
          </w:p>
        </w:tc>
        <w:tc>
          <w:tcPr>
            <w:tcW w:type="dxa" w:w="5412"/>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Producción realizada dentro de las fronteras del país, sin importar la nacionalidad de quien produce.</w:t>
            </w:r>
          </w:p>
        </w:tc>
      </w:tr>
      <w:tr>
        <w:trPr>
          <w:tblHeader w:val="false"/>
        </w:trPr>
        <w:tc>
          <w:tcPr>
            <w:tcW w:type="dxa" w:w="2345"/>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PNB — Producto Nacional Bruto</w:t>
            </w:r>
          </w:p>
        </w:tc>
        <w:tc>
          <w:tcPr>
            <w:tcW w:type="dxa" w:w="1263"/>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Nacionalidad</w:t>
            </w:r>
          </w:p>
        </w:tc>
        <w:tc>
          <w:tcPr>
            <w:tcW w:type="dxa" w:w="5412"/>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Producción de los factores (trabajo y capital) de propiedad nacional, sin importar en qué país se realice.</w:t>
            </w:r>
          </w:p>
        </w:tc>
      </w:tr>
    </w:tbl>
    <w:p>
      <w:pPr>
        <w:spacing w:after="160"/>
      </w:pPr>
    </w:p>
    <w:p>
      <w:pPr>
        <w:spacing w:after="140" w:line="276"/>
        <w:jc w:val="both"/>
      </w:pPr>
      <w:r>
        <w:rPr>
          <w:rFonts w:ascii="Calibri" w:cs="Calibri" w:eastAsia="Calibri" w:hAnsi="Calibri"/>
          <w:b/>
          <w:bCs/>
          <w:color w:val="000000"/>
          <w:sz w:val="21"/>
          <w:szCs w:val="21"/>
        </w:rPr>
        <w:t xml:space="preserve">Dos bolivianos, dos historias.</w:t>
      </w:r>
      <w:r>
        <w:rPr>
          <w:rFonts w:ascii="Calibri" w:cs="Calibri" w:eastAsia="Calibri" w:hAnsi="Calibri"/>
          <w:color w:val="000000"/>
          <w:sz w:val="21"/>
          <w:szCs w:val="21"/>
        </w:rPr>
        <w:t xml:space="preserve"> Un ingeniero boliviano que trabaja en Buenos Aires cuenta en el PIB de Argentina (se produjo en territorio argentino) y en el PNB de Bolivia (es un factor de propiedad boliviana). Una empresa minera extranjera que opera en Bolivia cuenta en el PIB de Bolivia y en el PNB de su país de origen.</w:t>
      </w:r>
    </w:p>
    <w:p>
      <w:pPr>
        <w:spacing w:after="12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La fórmula que conecta ambos, y por qué importa en Bolivia</w:t>
            </w:r>
          </w:p>
          <w:p>
            <w:pPr>
              <w:spacing w:after="80" w:line="276"/>
              <w:jc w:val="both"/>
            </w:pPr>
            <w:r>
              <w:rPr>
                <w:rFonts w:ascii="Calibri" w:cs="Calibri" w:eastAsia="Calibri" w:hAnsi="Calibri"/>
                <w:color w:val="000000"/>
                <w:sz w:val="21"/>
                <w:szCs w:val="21"/>
              </w:rPr>
              <w:t xml:space="preserve">La relación formal es:</w:t>
            </w:r>
          </w:p>
          <w:p>
            <w:pPr>
              <w:spacing w:after="80" w:line="276"/>
              <w:jc w:val="both"/>
            </w:pPr>
            <w:r>
              <w:rPr>
                <w:rFonts w:ascii="Calibri" w:cs="Calibri" w:eastAsia="Calibri" w:hAnsi="Calibri"/>
                <w:b/>
                <w:bCs/>
                <w:color w:val="000000"/>
                <w:sz w:val="21"/>
                <w:szCs w:val="21"/>
              </w:rPr>
              <w:t xml:space="preserve">PNB = PIB + RNFE</w:t>
            </w:r>
            <w:r>
              <w:rPr>
                <w:rFonts w:ascii="Calibri" w:cs="Calibri" w:eastAsia="Calibri" w:hAnsi="Calibri"/>
                <w:color w:val="000000"/>
                <w:sz w:val="21"/>
                <w:szCs w:val="21"/>
              </w:rPr>
              <w:t xml:space="preserve">, donde RNFE es la </w:t>
            </w:r>
            <w:r>
              <w:rPr>
                <w:rFonts w:ascii="Calibri" w:cs="Calibri" w:eastAsia="Calibri" w:hAnsi="Calibri"/>
                <w:i/>
                <w:iCs/>
                <w:color w:val="000000"/>
                <w:sz w:val="21"/>
                <w:szCs w:val="21"/>
              </w:rPr>
              <w:t xml:space="preserve">renta neta de factores del exterior</w:t>
            </w:r>
            <w:r>
              <w:rPr>
                <w:rFonts w:ascii="Calibri" w:cs="Calibri" w:eastAsia="Calibri" w:hAnsi="Calibri"/>
                <w:color w:val="000000"/>
                <w:sz w:val="21"/>
                <w:szCs w:val="21"/>
              </w:rPr>
              <w:t xml:space="preserve"> (lo que ganan los factores nacionales fuera del país, menos lo que ganan los factores extranjeros dentro del país).</w:t>
            </w:r>
          </w:p>
          <w:p>
            <w:pPr>
              <w:spacing w:after="80" w:line="276"/>
              <w:jc w:val="both"/>
            </w:pPr>
            <w:r>
              <w:rPr>
                <w:rFonts w:ascii="Calibri" w:cs="Calibri" w:eastAsia="Calibri" w:hAnsi="Calibri"/>
                <w:color w:val="000000"/>
                <w:sz w:val="21"/>
                <w:szCs w:val="21"/>
              </w:rPr>
              <w:t xml:space="preserve">Para Bolivia el signo de RNFE no es un detalle académico. Dos flujos empujan en direcciones opuestas: las </w:t>
            </w:r>
            <w:r>
              <w:rPr>
                <w:rFonts w:ascii="Calibri" w:cs="Calibri" w:eastAsia="Calibri" w:hAnsi="Calibri"/>
                <w:b/>
                <w:bCs/>
                <w:color w:val="000000"/>
                <w:sz w:val="21"/>
                <w:szCs w:val="21"/>
              </w:rPr>
              <w:t xml:space="preserve">remesas</w:t>
            </w:r>
            <w:r>
              <w:rPr>
                <w:rFonts w:ascii="Calibri" w:cs="Calibri" w:eastAsia="Calibri" w:hAnsi="Calibri"/>
                <w:color w:val="000000"/>
                <w:sz w:val="21"/>
                <w:szCs w:val="21"/>
              </w:rPr>
              <w:t xml:space="preserve"> de bolivianos en el exterior suman, y las </w:t>
            </w:r>
            <w:r>
              <w:rPr>
                <w:rFonts w:ascii="Calibri" w:cs="Calibri" w:eastAsia="Calibri" w:hAnsi="Calibri"/>
                <w:b/>
                <w:bCs/>
                <w:color w:val="000000"/>
                <w:sz w:val="21"/>
                <w:szCs w:val="21"/>
              </w:rPr>
              <w:t xml:space="preserve">utilidades remitidas</w:t>
            </w:r>
            <w:r>
              <w:rPr>
                <w:rFonts w:ascii="Calibri" w:cs="Calibri" w:eastAsia="Calibri" w:hAnsi="Calibri"/>
                <w:color w:val="000000"/>
                <w:sz w:val="21"/>
                <w:szCs w:val="21"/>
              </w:rPr>
              <w:t xml:space="preserve"> por empresas extranjeras (sobre todo en minería e hidrocarburos) restan.</w:t>
            </w:r>
          </w:p>
          <w:p>
            <w:pPr>
              <w:spacing w:after="0" w:line="276"/>
              <w:jc w:val="both"/>
            </w:pPr>
            <w:r>
              <w:rPr>
                <w:rFonts w:ascii="Calibri" w:cs="Calibri" w:eastAsia="Calibri" w:hAnsi="Calibri"/>
                <w:color w:val="000000"/>
                <w:sz w:val="21"/>
                <w:szCs w:val="21"/>
              </w:rPr>
              <w:t xml:space="preserve">Precisión técnica: en el sistema de cuentas nacionales vigente el PNB se denomina hoy </w:t>
            </w:r>
            <w:r>
              <w:rPr>
                <w:rFonts w:ascii="Calibri" w:cs="Calibri" w:eastAsia="Calibri" w:hAnsi="Calibri"/>
                <w:b/>
                <w:bCs/>
                <w:color w:val="000000"/>
                <w:sz w:val="21"/>
                <w:szCs w:val="21"/>
              </w:rPr>
              <w:t xml:space="preserve">Ingreso Nacional Bruto (INB)</w:t>
            </w:r>
            <w:r>
              <w:rPr>
                <w:rFonts w:ascii="Calibri" w:cs="Calibri" w:eastAsia="Calibri" w:hAnsi="Calibri"/>
                <w:color w:val="000000"/>
                <w:sz w:val="21"/>
                <w:szCs w:val="21"/>
              </w:rPr>
              <w:t xml:space="preserve">. Es el mismo concepto con otro nombre, y es el que verás en las bases del Banco Mundial. Ojo con las remesas: en rigor son </w:t>
            </w:r>
            <w:r>
              <w:rPr>
                <w:rFonts w:ascii="Calibri" w:cs="Calibri" w:eastAsia="Calibri" w:hAnsi="Calibri"/>
                <w:i/>
                <w:iCs/>
                <w:color w:val="000000"/>
                <w:sz w:val="21"/>
                <w:szCs w:val="21"/>
              </w:rPr>
              <w:t xml:space="preserve">transferencias corrientes</w:t>
            </w:r>
            <w:r>
              <w:rPr>
                <w:rFonts w:ascii="Calibri" w:cs="Calibri" w:eastAsia="Calibri" w:hAnsi="Calibri"/>
                <w:color w:val="000000"/>
                <w:sz w:val="21"/>
                <w:szCs w:val="21"/>
              </w:rPr>
              <w:t xml:space="preserve">, no renta de factores, así que entran en el Ingreso Nacional Bruto Disponible antes que en el INB. Si el docente no hizo la distinción, no la fuerces en el examen, pero tenla presente.</w:t>
            </w:r>
          </w:p>
        </w:tc>
      </w:tr>
    </w:tbl>
    <w:p>
      <w:pPr>
        <w:pStyle w:val="Heading2"/>
        <w:spacing w:after="140" w:before="320"/>
      </w:pPr>
      <w:r>
        <w:rPr>
          <w:rFonts w:ascii="Calibri" w:cs="Calibri" w:eastAsia="Calibri" w:hAnsi="Calibri"/>
          <w:b/>
          <w:bCs/>
          <w:color w:val="1F3864"/>
          <w:sz w:val="26"/>
          <w:szCs w:val="26"/>
        </w:rPr>
        <w:t xml:space="preserve">2.7 El enfoque del ingreso</w:t>
      </w:r>
    </w:p>
    <w:p>
      <w:pPr>
        <w:spacing w:after="140" w:line="276"/>
        <w:jc w:val="both"/>
      </w:pPr>
      <w:r>
        <w:rPr>
          <w:rFonts w:ascii="Calibri" w:cs="Calibri" w:eastAsia="Calibri" w:hAnsi="Calibri"/>
          <w:color w:val="000000"/>
          <w:sz w:val="21"/>
          <w:szCs w:val="21"/>
        </w:rPr>
        <w:t xml:space="preserve">Segunda puerta: todo lo que se produce genera un pago a alguien. El PIB también puede medirse sumando esos pagos, es decir, la renta total de la economía.</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1082"/>
        <w:gridCol w:w="2526"/>
        <w:gridCol w:w="5412"/>
      </w:tblGrid>
      <w:tr>
        <w:trPr>
          <w:tblHeader/>
        </w:trPr>
        <w:tc>
          <w:tcPr>
            <w:tcW w:type="dxa" w:w="1082"/>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Símbolo</w:t>
            </w:r>
          </w:p>
        </w:tc>
        <w:tc>
          <w:tcPr>
            <w:tcW w:type="dxa" w:w="2526"/>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Tipo de ingreso</w:t>
            </w:r>
          </w:p>
        </w:tc>
        <w:tc>
          <w:tcPr>
            <w:tcW w:type="dxa" w:w="5412"/>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Qué remunera</w:t>
            </w:r>
          </w:p>
        </w:tc>
      </w:tr>
      <w:tr>
        <w:trPr>
          <w:tblHeader w:val="false"/>
        </w:trPr>
        <w:tc>
          <w:tcPr>
            <w:tcW w:type="dxa" w:w="1082"/>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w</w:t>
            </w:r>
          </w:p>
        </w:tc>
        <w:tc>
          <w:tcPr>
            <w:tcW w:type="dxa" w:w="252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Salarios</w:t>
            </w:r>
          </w:p>
        </w:tc>
        <w:tc>
          <w:tcPr>
            <w:tcW w:type="dxa" w:w="5412"/>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Pago al trabajo (sueldos y cargas sociales)</w:t>
            </w:r>
          </w:p>
        </w:tc>
      </w:tr>
      <w:tr>
        <w:trPr>
          <w:tblHeader w:val="false"/>
        </w:trPr>
        <w:tc>
          <w:tcPr>
            <w:tcW w:type="dxa" w:w="1082"/>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r</w:t>
            </w:r>
          </w:p>
        </w:tc>
        <w:tc>
          <w:tcPr>
            <w:tcW w:type="dxa" w:w="2526"/>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Renta</w:t>
            </w:r>
          </w:p>
        </w:tc>
        <w:tc>
          <w:tcPr>
            <w:tcW w:type="dxa" w:w="5412"/>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Pago por el uso de la tierra o de inmuebles</w:t>
            </w:r>
          </w:p>
        </w:tc>
      </w:tr>
      <w:tr>
        <w:trPr>
          <w:tblHeader w:val="false"/>
        </w:trPr>
        <w:tc>
          <w:tcPr>
            <w:tcW w:type="dxa" w:w="1082"/>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i</w:t>
            </w:r>
          </w:p>
        </w:tc>
        <w:tc>
          <w:tcPr>
            <w:tcW w:type="dxa" w:w="252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Interés</w:t>
            </w:r>
          </w:p>
        </w:tc>
        <w:tc>
          <w:tcPr>
            <w:tcW w:type="dxa" w:w="5412"/>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Pago por el uso del capital prestado</w:t>
            </w:r>
          </w:p>
        </w:tc>
      </w:tr>
      <w:tr>
        <w:trPr>
          <w:tblHeader w:val="false"/>
        </w:trPr>
        <w:tc>
          <w:tcPr>
            <w:tcW w:type="dxa" w:w="1082"/>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π</w:t>
            </w:r>
          </w:p>
        </w:tc>
        <w:tc>
          <w:tcPr>
            <w:tcW w:type="dxa" w:w="2526"/>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Beneficios</w:t>
            </w:r>
          </w:p>
        </w:tc>
        <w:tc>
          <w:tcPr>
            <w:tcW w:type="dxa" w:w="5412"/>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Lo que queda para el dueño de la empresa</w:t>
            </w:r>
          </w:p>
        </w:tc>
      </w:tr>
    </w:tbl>
    <w:p>
      <w:pPr>
        <w:spacing w:after="200"/>
      </w:pPr>
    </w:p>
    <w:p>
      <w:pPr>
        <w:spacing w:after="140" w:line="276"/>
        <w:jc w:val="both"/>
      </w:pPr>
      <w:r>
        <w:rPr>
          <w:rFonts w:ascii="Calibri" w:cs="Calibri" w:eastAsia="Calibri" w:hAnsi="Calibri"/>
          <w:b/>
          <w:bCs/>
          <w:color w:val="000000"/>
          <w:sz w:val="21"/>
          <w:szCs w:val="21"/>
        </w:rPr>
        <w:t xml:space="preserve">Aplicado al trigo y el pan.</w:t>
      </w:r>
      <w:r>
        <w:rPr>
          <w:rFonts w:ascii="Calibri" w:cs="Calibri" w:eastAsia="Calibri" w:hAnsi="Calibri"/>
          <w:color w:val="000000"/>
          <w:sz w:val="21"/>
          <w:szCs w:val="21"/>
        </w:rPr>
        <w:t xml:space="preserve"> La panadería reparte sus Bs 80 de valor agregado así: paga Bs 60 de salario a Ana y le quedan Bs 20 de beneficio a Beto. El agricultor trabaja su propia tierra, de modo que su ingreso de Bs 50 es enteramente suyo.</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2345"/>
        <w:gridCol w:w="4871"/>
        <w:gridCol w:w="1804"/>
      </w:tblGrid>
      <w:tr>
        <w:trPr>
          <w:tblHeader/>
        </w:trPr>
        <w:tc>
          <w:tcPr>
            <w:tcW w:type="dxa" w:w="2345"/>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Perceptor</w:t>
            </w:r>
          </w:p>
        </w:tc>
        <w:tc>
          <w:tcPr>
            <w:tcW w:type="dxa" w:w="4871"/>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Tipo de ingreso</w:t>
            </w:r>
          </w:p>
        </w:tc>
        <w:tc>
          <w:tcPr>
            <w:tcW w:type="dxa" w:w="180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Monto</w:t>
            </w:r>
          </w:p>
        </w:tc>
      </w:tr>
      <w:tr>
        <w:trPr>
          <w:tblHeader w:val="false"/>
        </w:trPr>
        <w:tc>
          <w:tcPr>
            <w:tcW w:type="dxa" w:w="2345"/>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Agricultor</w:t>
            </w:r>
          </w:p>
        </w:tc>
        <w:tc>
          <w:tcPr>
            <w:tcW w:type="dxa" w:w="4871"/>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Ingreso del trabajo por cuenta propia (ingreso mixto)</w:t>
            </w:r>
          </w:p>
        </w:tc>
        <w:tc>
          <w:tcPr>
            <w:tcW w:type="dxa" w:w="180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Bs 50</w:t>
            </w:r>
          </w:p>
        </w:tc>
      </w:tr>
      <w:tr>
        <w:trPr>
          <w:tblHeader w:val="false"/>
        </w:trPr>
        <w:tc>
          <w:tcPr>
            <w:tcW w:type="dxa" w:w="2345"/>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Ana (empleada)</w:t>
            </w:r>
          </w:p>
        </w:tc>
        <w:tc>
          <w:tcPr>
            <w:tcW w:type="dxa" w:w="4871"/>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Salario</w:t>
            </w:r>
          </w:p>
        </w:tc>
        <w:tc>
          <w:tcPr>
            <w:tcW w:type="dxa" w:w="1804"/>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Bs 60</w:t>
            </w:r>
          </w:p>
        </w:tc>
      </w:tr>
      <w:tr>
        <w:trPr>
          <w:tblHeader w:val="false"/>
        </w:trPr>
        <w:tc>
          <w:tcPr>
            <w:tcW w:type="dxa" w:w="2345"/>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Beto (dueño)</w:t>
            </w:r>
          </w:p>
        </w:tc>
        <w:tc>
          <w:tcPr>
            <w:tcW w:type="dxa" w:w="4871"/>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Beneficio empresarial</w:t>
            </w:r>
          </w:p>
        </w:tc>
        <w:tc>
          <w:tcPr>
            <w:tcW w:type="dxa" w:w="180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Bs 20</w:t>
            </w:r>
          </w:p>
        </w:tc>
      </w:tr>
      <w:tr>
        <w:trPr>
          <w:tblHeader w:val="false"/>
        </w:trPr>
        <w:tc>
          <w:tcPr>
            <w:tcW w:type="dxa" w:w="2345"/>
            <w:shd w:fill="F2F2F2"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PIB (ingreso)</w:t>
            </w:r>
          </w:p>
        </w:tc>
        <w:tc>
          <w:tcPr>
            <w:tcW w:type="dxa" w:w="4871"/>
            <w:shd w:fill="F2F2F2"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Suma de todos los ingresos</w:t>
            </w:r>
          </w:p>
        </w:tc>
        <w:tc>
          <w:tcPr>
            <w:tcW w:type="dxa" w:w="1804"/>
            <w:shd w:fill="F2F2F2"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Bs 130</w:t>
            </w:r>
          </w:p>
        </w:tc>
      </w:tr>
    </w:tbl>
    <w:p>
      <w:pPr>
        <w:spacing w:after="20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Ingreso mixto y excedente de explotación</w:t>
            </w:r>
          </w:p>
          <w:p>
            <w:pPr>
              <w:spacing w:after="80" w:line="276"/>
              <w:jc w:val="both"/>
            </w:pPr>
            <w:r>
              <w:rPr>
                <w:rFonts w:ascii="Calibri" w:cs="Calibri" w:eastAsia="Calibri" w:hAnsi="Calibri"/>
                <w:color w:val="000000"/>
                <w:sz w:val="21"/>
                <w:szCs w:val="21"/>
              </w:rPr>
              <w:t xml:space="preserve">La categoría del agricultor tiene nombre propio en cuentas nacionales: </w:t>
            </w:r>
            <w:r>
              <w:rPr>
                <w:rFonts w:ascii="Calibri" w:cs="Calibri" w:eastAsia="Calibri" w:hAnsi="Calibri"/>
                <w:b/>
                <w:bCs/>
                <w:color w:val="000000"/>
                <w:sz w:val="21"/>
                <w:szCs w:val="21"/>
              </w:rPr>
              <w:t xml:space="preserve">ingreso mixto</w:t>
            </w:r>
            <w:r>
              <w:rPr>
                <w:rFonts w:ascii="Calibri" w:cs="Calibri" w:eastAsia="Calibri" w:hAnsi="Calibri"/>
                <w:color w:val="000000"/>
                <w:sz w:val="21"/>
                <w:szCs w:val="21"/>
              </w:rPr>
              <w:t xml:space="preserve">. Se llama así porque en un trabajador por cuenta propia es imposible separar cuánto de lo que gana remunera su </w:t>
            </w:r>
            <w:r>
              <w:rPr>
                <w:rFonts w:ascii="Calibri" w:cs="Calibri" w:eastAsia="Calibri" w:hAnsi="Calibri"/>
                <w:i/>
                <w:iCs/>
                <w:color w:val="000000"/>
                <w:sz w:val="21"/>
                <w:szCs w:val="21"/>
              </w:rPr>
              <w:t xml:space="preserve">trabajo</w:t>
            </w:r>
            <w:r>
              <w:rPr>
                <w:rFonts w:ascii="Calibri" w:cs="Calibri" w:eastAsia="Calibri" w:hAnsi="Calibri"/>
                <w:color w:val="000000"/>
                <w:sz w:val="21"/>
                <w:szCs w:val="21"/>
              </w:rPr>
              <w:t xml:space="preserve"> y cuánto remunera su </w:t>
            </w:r>
            <w:r>
              <w:rPr>
                <w:rFonts w:ascii="Calibri" w:cs="Calibri" w:eastAsia="Calibri" w:hAnsi="Calibri"/>
                <w:i/>
                <w:iCs/>
                <w:color w:val="000000"/>
                <w:sz w:val="21"/>
                <w:szCs w:val="21"/>
              </w:rPr>
              <w:t xml:space="preserve">capital</w:t>
            </w:r>
            <w:r>
              <w:rPr>
                <w:rFonts w:ascii="Calibri" w:cs="Calibri" w:eastAsia="Calibri" w:hAnsi="Calibri"/>
                <w:color w:val="000000"/>
                <w:sz w:val="21"/>
                <w:szCs w:val="21"/>
              </w:rPr>
              <w:t xml:space="preserve"> (su tierra, su herramienta). Los cuatro rubros del manual (w, r, i, π) suponen una separación que en la realidad muchas veces no existe.</w:t>
            </w:r>
          </w:p>
          <w:p>
            <w:pPr>
              <w:spacing w:after="0" w:line="276"/>
              <w:jc w:val="both"/>
            </w:pPr>
            <w:r>
              <w:rPr>
                <w:rFonts w:ascii="Calibri" w:cs="Calibri" w:eastAsia="Calibri" w:hAnsi="Calibri"/>
                <w:color w:val="000000"/>
                <w:sz w:val="21"/>
                <w:szCs w:val="21"/>
              </w:rPr>
              <w:t xml:space="preserve">Esto importa especialmente en Bolivia, donde una porción muy alta del empleo es por cuenta propia y familiar. En las cuentas oficiales el agregado relevante suele presentarse como </w:t>
            </w:r>
            <w:r>
              <w:rPr>
                <w:rFonts w:ascii="Calibri" w:cs="Calibri" w:eastAsia="Calibri" w:hAnsi="Calibri"/>
                <w:i/>
                <w:iCs/>
                <w:color w:val="000000"/>
                <w:sz w:val="21"/>
                <w:szCs w:val="21"/>
              </w:rPr>
              <w:t xml:space="preserve">remuneración de asalariados</w:t>
            </w:r>
            <w:r>
              <w:rPr>
                <w:rFonts w:ascii="Calibri" w:cs="Calibri" w:eastAsia="Calibri" w:hAnsi="Calibri"/>
                <w:color w:val="000000"/>
                <w:sz w:val="21"/>
                <w:szCs w:val="21"/>
              </w:rPr>
              <w:t xml:space="preserve"> más </w:t>
            </w:r>
            <w:r>
              <w:rPr>
                <w:rFonts w:ascii="Calibri" w:cs="Calibri" w:eastAsia="Calibri" w:hAnsi="Calibri"/>
                <w:i/>
                <w:iCs/>
                <w:color w:val="000000"/>
                <w:sz w:val="21"/>
                <w:szCs w:val="21"/>
              </w:rPr>
              <w:t xml:space="preserve">excedente bruto de explotación e ingreso mixto</w:t>
            </w:r>
            <w:r>
              <w:rPr>
                <w:rFonts w:ascii="Calibri" w:cs="Calibri" w:eastAsia="Calibri" w:hAnsi="Calibri"/>
                <w:color w:val="000000"/>
                <w:sz w:val="21"/>
                <w:szCs w:val="21"/>
              </w:rPr>
              <w:t xml:space="preserve">, más los impuestos netos sobre la producción.</w:t>
            </w:r>
          </w:p>
        </w:tc>
      </w:tr>
    </w:tbl>
    <w:p>
      <w:pPr>
        <w:pStyle w:val="Heading2"/>
        <w:spacing w:after="140" w:before="320"/>
      </w:pPr>
      <w:r>
        <w:rPr>
          <w:rFonts w:ascii="Calibri" w:cs="Calibri" w:eastAsia="Calibri" w:hAnsi="Calibri"/>
          <w:b/>
          <w:bCs/>
          <w:color w:val="1F3864"/>
          <w:sz w:val="26"/>
          <w:szCs w:val="26"/>
        </w:rPr>
        <w:t xml:space="preserve">2.8 El enfoque de la producción y la equivalencia de los tres</w:t>
      </w:r>
    </w:p>
    <w:p>
      <w:pPr>
        <w:spacing w:after="140" w:line="276"/>
        <w:jc w:val="both"/>
      </w:pPr>
      <w:r>
        <w:rPr>
          <w:rFonts w:ascii="Calibri" w:cs="Calibri" w:eastAsia="Calibri" w:hAnsi="Calibri"/>
          <w:color w:val="000000"/>
          <w:sz w:val="21"/>
          <w:szCs w:val="21"/>
        </w:rPr>
        <w:t xml:space="preserve">Tercera puerta: sumar el </w:t>
      </w:r>
      <w:r>
        <w:rPr>
          <w:rFonts w:ascii="Calibri" w:cs="Calibri" w:eastAsia="Calibri" w:hAnsi="Calibri"/>
          <w:b/>
          <w:bCs/>
          <w:color w:val="000000"/>
          <w:sz w:val="21"/>
          <w:szCs w:val="21"/>
        </w:rPr>
        <w:t xml:space="preserve">valor agregado bruto</w:t>
      </w:r>
      <w:r>
        <w:rPr>
          <w:rFonts w:ascii="Calibri" w:cs="Calibri" w:eastAsia="Calibri" w:hAnsi="Calibri"/>
          <w:color w:val="000000"/>
          <w:sz w:val="21"/>
          <w:szCs w:val="21"/>
        </w:rPr>
        <w:t xml:space="preserve"> de cada actividad.</w:t>
      </w:r>
    </w:p>
    <w:p>
      <w:pPr>
        <w:spacing w:after="140" w:before="140"/>
        <w:jc w:val="center"/>
      </w:pPr>
      <w:r>
        <w:rPr>
          <w:rFonts w:ascii="Cambria" w:cs="Cambria" w:eastAsia="Cambria" w:hAnsi="Cambria"/>
          <w:b/>
          <w:bCs/>
          <w:color w:val="1F3864"/>
          <w:sz w:val="24"/>
          <w:szCs w:val="24"/>
        </w:rPr>
        <w:t xml:space="preserve">VAB = Producción (P) − Consumo intermedio (CI)</w:t>
      </w:r>
    </w:p>
    <w:p>
      <w:pPr>
        <w:spacing w:after="140" w:line="276"/>
        <w:jc w:val="both"/>
      </w:pPr>
      <w:r>
        <w:rPr>
          <w:rFonts w:ascii="Calibri" w:cs="Calibri" w:eastAsia="Calibri" w:hAnsi="Calibri"/>
          <w:b/>
          <w:bCs/>
          <w:color w:val="000000"/>
          <w:sz w:val="21"/>
          <w:szCs w:val="21"/>
        </w:rPr>
        <w:t xml:space="preserve">El resultado central de la Sesión 3</w:t>
      </w:r>
      <w:r>
        <w:rPr>
          <w:rFonts w:ascii="Calibri" w:cs="Calibri" w:eastAsia="Calibri" w:hAnsi="Calibri"/>
          <w:color w:val="000000"/>
          <w:sz w:val="21"/>
          <w:szCs w:val="21"/>
        </w:rPr>
        <w:t xml:space="preserve"> es que las tres puertas conducen al mismo número, porque describen el mismo proceso económico desde tres ángulos: qué se compró, qué se produjo y a quién se le pagó.</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1624"/>
        <w:gridCol w:w="5592"/>
        <w:gridCol w:w="1804"/>
      </w:tblGrid>
      <w:tr>
        <w:trPr>
          <w:tblHeader/>
        </w:trPr>
        <w:tc>
          <w:tcPr>
            <w:tcW w:type="dxa" w:w="162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Enfoque</w:t>
            </w:r>
          </w:p>
        </w:tc>
        <w:tc>
          <w:tcPr>
            <w:tcW w:type="dxa" w:w="5592"/>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Cómo se calcula en el ejemplo del trigo y el pan</w:t>
            </w:r>
          </w:p>
        </w:tc>
        <w:tc>
          <w:tcPr>
            <w:tcW w:type="dxa" w:w="180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Resultado</w:t>
            </w:r>
          </w:p>
        </w:tc>
      </w:tr>
      <w:tr>
        <w:trPr>
          <w:tblHeader w:val="false"/>
        </w:trPr>
        <w:tc>
          <w:tcPr>
            <w:tcW w:type="dxa" w:w="162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Gasto</w:t>
            </w:r>
          </w:p>
        </w:tc>
        <w:tc>
          <w:tcPr>
            <w:tcW w:type="dxa" w:w="5592"/>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El consumidor final paga por el pan</w:t>
            </w:r>
          </w:p>
        </w:tc>
        <w:tc>
          <w:tcPr>
            <w:tcW w:type="dxa" w:w="180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Bs 130</w:t>
            </w:r>
          </w:p>
        </w:tc>
      </w:tr>
      <w:tr>
        <w:trPr>
          <w:tblHeader w:val="false"/>
        </w:trPr>
        <w:tc>
          <w:tcPr>
            <w:tcW w:type="dxa" w:w="1624"/>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Producción</w:t>
            </w:r>
          </w:p>
        </w:tc>
        <w:tc>
          <w:tcPr>
            <w:tcW w:type="dxa" w:w="5592"/>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Suma de valor agregado: 50 (agricultor) + 80 (panadería)</w:t>
            </w:r>
          </w:p>
        </w:tc>
        <w:tc>
          <w:tcPr>
            <w:tcW w:type="dxa" w:w="1804"/>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Bs 130</w:t>
            </w:r>
          </w:p>
        </w:tc>
      </w:tr>
      <w:tr>
        <w:trPr>
          <w:tblHeader w:val="false"/>
        </w:trPr>
        <w:tc>
          <w:tcPr>
            <w:tcW w:type="dxa" w:w="162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Ingreso</w:t>
            </w:r>
          </w:p>
        </w:tc>
        <w:tc>
          <w:tcPr>
            <w:tcW w:type="dxa" w:w="5592"/>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Suma de rentas: 50 (agricultor) + 60 (salario) + 20 (beneficio)</w:t>
            </w:r>
          </w:p>
        </w:tc>
        <w:tc>
          <w:tcPr>
            <w:tcW w:type="dxa" w:w="180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Bs 130</w:t>
            </w:r>
          </w:p>
        </w:tc>
      </w:tr>
    </w:tbl>
    <w:p>
      <w:pPr>
        <w:spacing w:after="200"/>
      </w:pPr>
    </w:p>
    <w:tbl>
      <w:tblPr>
        <w:tblW w:type="dxa" w:w="9020"/>
        <w:tblBorders>
          <w:top w:val="single" w:color="BFBFBF" w:sz="2"/>
          <w:left w:val="single" w:color="BF9000" w:sz="14"/>
          <w:bottom w:val="single" w:color="BFBFBF" w:sz="2"/>
          <w:right w:val="single" w:color="BFBFBF" w:sz="2"/>
          <w:insideH w:val="none"/>
          <w:insideV w:val="none"/>
        </w:tblBorders>
      </w:tblPr>
      <w:tblGrid>
        <w:gridCol w:w="9020"/>
      </w:tblGrid>
      <w:tr>
        <w:tc>
          <w:tcPr>
            <w:tcW w:type="dxa" w:w="9020"/>
            <w:shd w:fill="FFF2CC"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Idea clave</w:t>
            </w:r>
          </w:p>
          <w:p>
            <w:pPr>
              <w:spacing w:after="0" w:line="276"/>
              <w:jc w:val="both"/>
            </w:pPr>
            <w:r>
              <w:rPr>
                <w:rFonts w:ascii="Calibri" w:cs="Calibri" w:eastAsia="Calibri" w:hAnsi="Calibri"/>
                <w:color w:val="000000"/>
                <w:sz w:val="21"/>
                <w:szCs w:val="21"/>
              </w:rPr>
              <w:t xml:space="preserve">Ninguno de los tres enfoques es "más correcto" que los otros. En la práctica, los institutos de estadística los calculan con fuentes distintas y los resultados no coinciden exactamente; la diferencia se registra como </w:t>
            </w:r>
            <w:r>
              <w:rPr>
                <w:rFonts w:ascii="Calibri" w:cs="Calibri" w:eastAsia="Calibri" w:hAnsi="Calibri"/>
                <w:i/>
                <w:iCs/>
                <w:color w:val="000000"/>
                <w:sz w:val="21"/>
                <w:szCs w:val="21"/>
              </w:rPr>
              <w:t xml:space="preserve">discrepancia estadística</w:t>
            </w:r>
            <w:r>
              <w:rPr>
                <w:rFonts w:ascii="Calibri" w:cs="Calibri" w:eastAsia="Calibri" w:hAnsi="Calibri"/>
                <w:color w:val="000000"/>
                <w:sz w:val="21"/>
                <w:szCs w:val="21"/>
              </w:rPr>
              <w:t xml:space="preserve">.</w:t>
            </w:r>
          </w:p>
        </w:tc>
      </w:tr>
    </w:tbl>
    <w:p>
      <w:pPr>
        <w:pStyle w:val="Heading3"/>
        <w:spacing w:after="120" w:before="240"/>
      </w:pPr>
      <w:r>
        <w:rPr>
          <w:rFonts w:ascii="Calibri" w:cs="Calibri" w:eastAsia="Calibri" w:hAnsi="Calibri"/>
          <w:b/>
          <w:bCs/>
          <w:color w:val="2E5496"/>
          <w:sz w:val="23"/>
          <w:szCs w:val="23"/>
        </w:rPr>
        <w:t xml:space="preserve">Un caso más rico: la cadena de la lana</w:t>
      </w:r>
    </w:p>
    <w:p>
      <w:pPr>
        <w:spacing w:after="140" w:line="276"/>
        <w:jc w:val="both"/>
      </w:pPr>
      <w:r>
        <w:rPr>
          <w:rFonts w:ascii="Calibri" w:cs="Calibri" w:eastAsia="Calibri" w:hAnsi="Calibri"/>
          <w:color w:val="000000"/>
          <w:sz w:val="21"/>
          <w:szCs w:val="21"/>
        </w:rPr>
        <w:t xml:space="preserve">Tres eslabones: Don Gutiérrez esquila sus ovejas y vende lana sucia; una fábrica del pueblo la convierte en hilado; una empresa de la capital compra el hilado y produce tejidos para el público.</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1804"/>
        <w:gridCol w:w="1624"/>
        <w:gridCol w:w="1804"/>
        <w:gridCol w:w="1984"/>
        <w:gridCol w:w="1804"/>
      </w:tblGrid>
      <w:tr>
        <w:trPr>
          <w:tblHeader/>
        </w:trPr>
        <w:tc>
          <w:tcPr>
            <w:tcW w:type="dxa" w:w="180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Eslabón</w:t>
            </w:r>
          </w:p>
        </w:tc>
        <w:tc>
          <w:tcPr>
            <w:tcW w:type="dxa" w:w="162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Producto</w:t>
            </w:r>
          </w:p>
        </w:tc>
        <w:tc>
          <w:tcPr>
            <w:tcW w:type="dxa" w:w="180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Producción (P)</w:t>
            </w:r>
          </w:p>
        </w:tc>
        <w:tc>
          <w:tcPr>
            <w:tcW w:type="dxa" w:w="198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Consumo intermedio (CI)</w:t>
            </w:r>
          </w:p>
        </w:tc>
        <w:tc>
          <w:tcPr>
            <w:tcW w:type="dxa" w:w="180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VAB = P − CI</w:t>
            </w:r>
          </w:p>
        </w:tc>
      </w:tr>
      <w:tr>
        <w:trPr>
          <w:tblHeader w:val="false"/>
        </w:trPr>
        <w:tc>
          <w:tcPr>
            <w:tcW w:type="dxa" w:w="180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1</w:t>
            </w:r>
          </w:p>
        </w:tc>
        <w:tc>
          <w:tcPr>
            <w:tcW w:type="dxa" w:w="162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Lana sucia</w:t>
            </w:r>
          </w:p>
        </w:tc>
        <w:tc>
          <w:tcPr>
            <w:tcW w:type="dxa" w:w="180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$ 3.000</w:t>
            </w:r>
          </w:p>
        </w:tc>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$ 0</w:t>
            </w:r>
          </w:p>
        </w:tc>
        <w:tc>
          <w:tcPr>
            <w:tcW w:type="dxa" w:w="180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$ 3.000</w:t>
            </w:r>
          </w:p>
        </w:tc>
      </w:tr>
      <w:tr>
        <w:trPr>
          <w:tblHeader w:val="false"/>
        </w:trPr>
        <w:tc>
          <w:tcPr>
            <w:tcW w:type="dxa" w:w="1804"/>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2</w:t>
            </w:r>
          </w:p>
        </w:tc>
        <w:tc>
          <w:tcPr>
            <w:tcW w:type="dxa" w:w="1624"/>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Hilado</w:t>
            </w:r>
          </w:p>
        </w:tc>
        <w:tc>
          <w:tcPr>
            <w:tcW w:type="dxa" w:w="1804"/>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$ 8.000</w:t>
            </w:r>
          </w:p>
        </w:tc>
        <w:tc>
          <w:tcPr>
            <w:tcW w:type="dxa" w:w="1984"/>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$ 3.000</w:t>
            </w:r>
          </w:p>
        </w:tc>
        <w:tc>
          <w:tcPr>
            <w:tcW w:type="dxa" w:w="1804"/>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$ 5.000</w:t>
            </w:r>
          </w:p>
        </w:tc>
      </w:tr>
      <w:tr>
        <w:trPr>
          <w:tblHeader w:val="false"/>
        </w:trPr>
        <w:tc>
          <w:tcPr>
            <w:tcW w:type="dxa" w:w="180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3</w:t>
            </w:r>
          </w:p>
        </w:tc>
        <w:tc>
          <w:tcPr>
            <w:tcW w:type="dxa" w:w="162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Tejidos</w:t>
            </w:r>
          </w:p>
        </w:tc>
        <w:tc>
          <w:tcPr>
            <w:tcW w:type="dxa" w:w="180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$ 26.000</w:t>
            </w:r>
          </w:p>
        </w:tc>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$ 8.000</w:t>
            </w:r>
          </w:p>
        </w:tc>
        <w:tc>
          <w:tcPr>
            <w:tcW w:type="dxa" w:w="180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$ 18.000</w:t>
            </w:r>
          </w:p>
        </w:tc>
      </w:tr>
      <w:tr>
        <w:trPr>
          <w:tblHeader w:val="false"/>
        </w:trPr>
        <w:tc>
          <w:tcPr>
            <w:tcW w:type="dxa" w:w="1804"/>
            <w:shd w:fill="F2F2F2"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PIB (producción)</w:t>
            </w:r>
          </w:p>
        </w:tc>
        <w:tc>
          <w:tcPr>
            <w:tcW w:type="dxa" w:w="1624"/>
            <w:shd w:fill="F2F2F2"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w:t>
            </w:r>
          </w:p>
        </w:tc>
        <w:tc>
          <w:tcPr>
            <w:tcW w:type="dxa" w:w="1804"/>
            <w:shd w:fill="F2F2F2"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w:t>
            </w:r>
          </w:p>
        </w:tc>
        <w:tc>
          <w:tcPr>
            <w:tcW w:type="dxa" w:w="1984"/>
            <w:shd w:fill="F2F2F2"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w:t>
            </w:r>
          </w:p>
        </w:tc>
        <w:tc>
          <w:tcPr>
            <w:tcW w:type="dxa" w:w="1804"/>
            <w:shd w:fill="F2F2F2"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$ 26.000</w:t>
            </w:r>
          </w:p>
        </w:tc>
      </w:tr>
    </w:tbl>
    <w:p>
      <w:pPr>
        <w:spacing w:after="120"/>
      </w:pPr>
    </w:p>
    <w:p>
      <w:pPr>
        <w:spacing w:after="140" w:line="276"/>
        <w:jc w:val="both"/>
      </w:pPr>
      <w:r>
        <w:rPr>
          <w:rFonts w:ascii="Calibri" w:cs="Calibri" w:eastAsia="Calibri" w:hAnsi="Calibri"/>
          <w:color w:val="000000"/>
          <w:sz w:val="21"/>
          <w:szCs w:val="21"/>
        </w:rPr>
        <w:t xml:space="preserve">Sumar la producción bruta de los tres eslabones daría $ 37.000, y sería incorrecto: contaría la lana tres veces y el hilado dos. La suma de los valores agregados, $ 26.000, coincide exactamente con el valor de venta de los tejidos, el único bien final de esta economía.</w:t>
      </w:r>
    </w:p>
    <w:p>
      <w:pPr>
        <w:pStyle w:val="Heading2"/>
        <w:spacing w:after="140" w:before="320"/>
      </w:pPr>
      <w:r>
        <w:rPr>
          <w:rFonts w:ascii="Calibri" w:cs="Calibri" w:eastAsia="Calibri" w:hAnsi="Calibri"/>
          <w:b/>
          <w:bCs/>
          <w:color w:val="1F3864"/>
          <w:sz w:val="26"/>
          <w:szCs w:val="26"/>
        </w:rPr>
        <w:t xml:space="preserve">2.9 Precios de mercado y costo de factores</w:t>
      </w:r>
    </w:p>
    <w:p>
      <w:pPr>
        <w:spacing w:after="140" w:line="276"/>
        <w:jc w:val="both"/>
      </w:pPr>
      <w:r>
        <w:rPr>
          <w:rFonts w:ascii="Calibri" w:cs="Calibri" w:eastAsia="Calibri" w:hAnsi="Calibri"/>
          <w:color w:val="000000"/>
          <w:sz w:val="21"/>
          <w:szCs w:val="21"/>
        </w:rPr>
        <w:t xml:space="preserve">Supongamos que sobre la cadena de la lana el gobierno cobra $ 3.000 de impuestos netos de subsidios sobre los productos (por ejemplo, un IVA).</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2345"/>
        <w:gridCol w:w="5051"/>
        <w:gridCol w:w="1624"/>
      </w:tblGrid>
      <w:tr>
        <w:trPr>
          <w:tblHeader/>
        </w:trPr>
        <w:tc>
          <w:tcPr>
            <w:tcW w:type="dxa" w:w="2345"/>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Medida</w:t>
            </w:r>
          </w:p>
        </w:tc>
        <w:tc>
          <w:tcPr>
            <w:tcW w:type="dxa" w:w="5051"/>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Qué incluye</w:t>
            </w:r>
          </w:p>
        </w:tc>
        <w:tc>
          <w:tcPr>
            <w:tcW w:type="dxa" w:w="162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Valor</w:t>
            </w:r>
          </w:p>
        </w:tc>
      </w:tr>
      <w:tr>
        <w:trPr>
          <w:tblHeader w:val="false"/>
        </w:trPr>
        <w:tc>
          <w:tcPr>
            <w:tcW w:type="dxa" w:w="2345"/>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PIB a costo de factores</w:t>
            </w:r>
          </w:p>
        </w:tc>
        <w:tc>
          <w:tcPr>
            <w:tcW w:type="dxa" w:w="5051"/>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Solo lo que efectivamente reciben los factores de producción (salarios, renta, interés, beneficios)</w:t>
            </w:r>
          </w:p>
        </w:tc>
        <w:tc>
          <w:tcPr>
            <w:tcW w:type="dxa" w:w="162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$ 26.000</w:t>
            </w:r>
          </w:p>
        </w:tc>
      </w:tr>
      <w:tr>
        <w:trPr>
          <w:tblHeader w:val="false"/>
        </w:trPr>
        <w:tc>
          <w:tcPr>
            <w:tcW w:type="dxa" w:w="2345"/>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PIB a precios de mercado</w:t>
            </w:r>
          </w:p>
        </w:tc>
        <w:tc>
          <w:tcPr>
            <w:tcW w:type="dxa" w:w="5051"/>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Lo que efectivamente paga el comprador, incluyendo impuestos netos de subsidios sobre los productos</w:t>
            </w:r>
          </w:p>
        </w:tc>
        <w:tc>
          <w:tcPr>
            <w:tcW w:type="dxa" w:w="1624"/>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$ 29.000</w:t>
            </w:r>
          </w:p>
        </w:tc>
      </w:tr>
    </w:tbl>
    <w:p>
      <w:pPr>
        <w:spacing w:after="16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La fórmula y una advertencia boliviana</w:t>
            </w:r>
          </w:p>
          <w:p>
            <w:pPr>
              <w:spacing w:after="80" w:line="276"/>
              <w:jc w:val="both"/>
            </w:pPr>
            <w:r>
              <w:rPr>
                <w:rFonts w:ascii="Calibri" w:cs="Calibri" w:eastAsia="Calibri" w:hAnsi="Calibri"/>
                <w:b/>
                <w:bCs/>
                <w:color w:val="000000"/>
                <w:sz w:val="21"/>
                <w:szCs w:val="21"/>
              </w:rPr>
              <w:t xml:space="preserve">PIB a precios de mercado = PIB a costo de factores + (Impuestos indirectos − Subsidios)</w:t>
            </w:r>
          </w:p>
          <w:p>
            <w:pPr>
              <w:spacing w:after="80" w:line="276"/>
              <w:jc w:val="both"/>
            </w:pPr>
            <w:r>
              <w:rPr>
                <w:rFonts w:ascii="Calibri" w:cs="Calibri" w:eastAsia="Calibri" w:hAnsi="Calibri"/>
                <w:color w:val="000000"/>
                <w:sz w:val="21"/>
                <w:szCs w:val="21"/>
              </w:rPr>
              <w:t xml:space="preserve">El PIB oficial de un país casi siempre se reporta </w:t>
            </w:r>
            <w:r>
              <w:rPr>
                <w:rFonts w:ascii="Calibri" w:cs="Calibri" w:eastAsia="Calibri" w:hAnsi="Calibri"/>
                <w:b/>
                <w:bCs/>
                <w:color w:val="000000"/>
                <w:sz w:val="21"/>
                <w:szCs w:val="21"/>
              </w:rPr>
              <w:t xml:space="preserve">a precios de mercado</w:t>
            </w:r>
            <w:r>
              <w:rPr>
                <w:rFonts w:ascii="Calibri" w:cs="Calibri" w:eastAsia="Calibri" w:hAnsi="Calibri"/>
                <w:color w:val="000000"/>
                <w:sz w:val="21"/>
                <w:szCs w:val="21"/>
              </w:rPr>
              <w:t xml:space="preserve">. Si comparas una cifra a precios de mercado con otra a costo de factores estarás comparando cosas distintas.</w:t>
            </w:r>
          </w:p>
          <w:p>
            <w:pPr>
              <w:spacing w:after="0" w:line="276"/>
              <w:jc w:val="both"/>
            </w:pPr>
            <w:r>
              <w:rPr>
                <w:rFonts w:ascii="Calibri" w:cs="Calibri" w:eastAsia="Calibri" w:hAnsi="Calibri"/>
                <w:color w:val="000000"/>
                <w:sz w:val="21"/>
                <w:szCs w:val="21"/>
              </w:rPr>
              <w:t xml:space="preserve">Por qué esto es especialmente vivo en Bolivia: el término de subsidios fue enorme durante años por la </w:t>
            </w:r>
            <w:r>
              <w:rPr>
                <w:rFonts w:ascii="Calibri" w:cs="Calibri" w:eastAsia="Calibri" w:hAnsi="Calibri"/>
                <w:b/>
                <w:bCs/>
                <w:color w:val="000000"/>
                <w:sz w:val="21"/>
                <w:szCs w:val="21"/>
              </w:rPr>
              <w:t xml:space="preserve">subvención a los carburantes</w:t>
            </w:r>
            <w:r>
              <w:rPr>
                <w:rFonts w:ascii="Calibri" w:cs="Calibri" w:eastAsia="Calibri" w:hAnsi="Calibri"/>
                <w:color w:val="000000"/>
                <w:sz w:val="21"/>
                <w:szCs w:val="21"/>
              </w:rPr>
              <w:t xml:space="preserve">. Su retiro a partir de diciembre de 2025 modifica ese componente, y por eso una parte del salto de precios de 2026 es un cambio de </w:t>
            </w:r>
            <w:r>
              <w:rPr>
                <w:rFonts w:ascii="Calibri" w:cs="Calibri" w:eastAsia="Calibri" w:hAnsi="Calibri"/>
                <w:i/>
                <w:iCs/>
                <w:color w:val="000000"/>
                <w:sz w:val="21"/>
                <w:szCs w:val="21"/>
              </w:rPr>
              <w:t xml:space="preserve">precios relativos</w:t>
            </w:r>
            <w:r>
              <w:rPr>
                <w:rFonts w:ascii="Calibri" w:cs="Calibri" w:eastAsia="Calibri" w:hAnsi="Calibri"/>
                <w:color w:val="000000"/>
                <w:sz w:val="21"/>
                <w:szCs w:val="21"/>
              </w:rPr>
              <w:t xml:space="preserve"> derivado de la corrección del subsidio, no solamente inflación de origen monetario. Distinguir ambas cosas es exactamente el tipo de análisis que pide la Unidad III.</w:t>
            </w:r>
          </w:p>
        </w:tc>
      </w:tr>
    </w:tbl>
    <w:p>
      <w:pPr>
        <w:pStyle w:val="Heading2"/>
        <w:spacing w:after="140" w:before="320"/>
      </w:pPr>
      <w:r>
        <w:rPr>
          <w:rFonts w:ascii="Calibri" w:cs="Calibri" w:eastAsia="Calibri" w:hAnsi="Calibri"/>
          <w:b/>
          <w:bCs/>
          <w:color w:val="1F3864"/>
          <w:sz w:val="26"/>
          <w:szCs w:val="26"/>
        </w:rPr>
        <w:t xml:space="preserve">2.10 Caso aplicado: la cadena de valor de la quinua</w:t>
      </w:r>
    </w:p>
    <w:p>
      <w:pPr>
        <w:spacing w:after="140" w:line="276"/>
        <w:jc w:val="both"/>
      </w:pPr>
      <w:r>
        <w:rPr>
          <w:rFonts w:ascii="Calibri" w:cs="Calibri" w:eastAsia="Calibri" w:hAnsi="Calibri"/>
          <w:color w:val="000000"/>
          <w:sz w:val="21"/>
          <w:szCs w:val="21"/>
        </w:rPr>
        <w:t xml:space="preserve">Cifras ilustrativas por quintal (100 kg), con fines pedagógicos: no son precios oficiales.</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2345"/>
        <w:gridCol w:w="1624"/>
        <w:gridCol w:w="1804"/>
        <w:gridCol w:w="1624"/>
        <w:gridCol w:w="1623"/>
      </w:tblGrid>
      <w:tr>
        <w:trPr>
          <w:tblHeader/>
        </w:trPr>
        <w:tc>
          <w:tcPr>
            <w:tcW w:type="dxa" w:w="2345"/>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Eslabón</w:t>
            </w:r>
          </w:p>
        </w:tc>
        <w:tc>
          <w:tcPr>
            <w:tcW w:type="dxa" w:w="162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Precio de venta</w:t>
            </w:r>
          </w:p>
        </w:tc>
        <w:tc>
          <w:tcPr>
            <w:tcW w:type="dxa" w:w="180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Consumo intermedio</w:t>
            </w:r>
          </w:p>
        </w:tc>
        <w:tc>
          <w:tcPr>
            <w:tcW w:type="dxa" w:w="162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Valor agregado</w:t>
            </w:r>
          </w:p>
        </w:tc>
        <w:tc>
          <w:tcPr>
            <w:tcW w:type="dxa" w:w="1623"/>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 del valor final</w:t>
            </w:r>
          </w:p>
        </w:tc>
      </w:tr>
      <w:tr>
        <w:trPr>
          <w:tblHeader w:val="false"/>
        </w:trPr>
        <w:tc>
          <w:tcPr>
            <w:tcW w:type="dxa" w:w="2345"/>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Productor altiplánico</w:t>
            </w:r>
          </w:p>
        </w:tc>
        <w:tc>
          <w:tcPr>
            <w:tcW w:type="dxa" w:w="162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$ 200</w:t>
            </w:r>
          </w:p>
        </w:tc>
        <w:tc>
          <w:tcPr>
            <w:tcW w:type="dxa" w:w="180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$ 0</w:t>
            </w:r>
          </w:p>
        </w:tc>
        <w:tc>
          <w:tcPr>
            <w:tcW w:type="dxa" w:w="162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$ 200</w:t>
            </w:r>
          </w:p>
        </w:tc>
        <w:tc>
          <w:tcPr>
            <w:tcW w:type="dxa" w:w="1623"/>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40%</w:t>
            </w:r>
          </w:p>
        </w:tc>
      </w:tr>
      <w:tr>
        <w:trPr>
          <w:tblHeader w:val="false"/>
        </w:trPr>
        <w:tc>
          <w:tcPr>
            <w:tcW w:type="dxa" w:w="2345"/>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Planta de beneficiado</w:t>
            </w:r>
          </w:p>
        </w:tc>
        <w:tc>
          <w:tcPr>
            <w:tcW w:type="dxa" w:w="1624"/>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$ 350</w:t>
            </w:r>
          </w:p>
        </w:tc>
        <w:tc>
          <w:tcPr>
            <w:tcW w:type="dxa" w:w="1804"/>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$ 200</w:t>
            </w:r>
          </w:p>
        </w:tc>
        <w:tc>
          <w:tcPr>
            <w:tcW w:type="dxa" w:w="1624"/>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$ 150</w:t>
            </w:r>
          </w:p>
        </w:tc>
        <w:tc>
          <w:tcPr>
            <w:tcW w:type="dxa" w:w="1623"/>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30%</w:t>
            </w:r>
          </w:p>
        </w:tc>
      </w:tr>
      <w:tr>
        <w:trPr>
          <w:tblHeader w:val="false"/>
        </w:trPr>
        <w:tc>
          <w:tcPr>
            <w:tcW w:type="dxa" w:w="2345"/>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Exportador</w:t>
            </w:r>
          </w:p>
        </w:tc>
        <w:tc>
          <w:tcPr>
            <w:tcW w:type="dxa" w:w="162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$ 500</w:t>
            </w:r>
          </w:p>
        </w:tc>
        <w:tc>
          <w:tcPr>
            <w:tcW w:type="dxa" w:w="180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$ 350</w:t>
            </w:r>
          </w:p>
        </w:tc>
        <w:tc>
          <w:tcPr>
            <w:tcW w:type="dxa" w:w="162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$ 150</w:t>
            </w:r>
          </w:p>
        </w:tc>
        <w:tc>
          <w:tcPr>
            <w:tcW w:type="dxa" w:w="1623"/>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30%</w:t>
            </w:r>
          </w:p>
        </w:tc>
      </w:tr>
      <w:tr>
        <w:trPr>
          <w:tblHeader w:val="false"/>
        </w:trPr>
        <w:tc>
          <w:tcPr>
            <w:tcW w:type="dxa" w:w="2345"/>
            <w:shd w:fill="F2F2F2"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Total (= valor final)</w:t>
            </w:r>
          </w:p>
        </w:tc>
        <w:tc>
          <w:tcPr>
            <w:tcW w:type="dxa" w:w="1624"/>
            <w:shd w:fill="F2F2F2"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w:t>
            </w:r>
          </w:p>
        </w:tc>
        <w:tc>
          <w:tcPr>
            <w:tcW w:type="dxa" w:w="1804"/>
            <w:shd w:fill="F2F2F2"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w:t>
            </w:r>
          </w:p>
        </w:tc>
        <w:tc>
          <w:tcPr>
            <w:tcW w:type="dxa" w:w="1624"/>
            <w:shd w:fill="F2F2F2"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$ 500</w:t>
            </w:r>
          </w:p>
        </w:tc>
        <w:tc>
          <w:tcPr>
            <w:tcW w:type="dxa" w:w="1623"/>
            <w:shd w:fill="F2F2F2"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100%</w:t>
            </w:r>
          </w:p>
        </w:tc>
      </w:tr>
    </w:tbl>
    <w:p>
      <w:pPr>
        <w:spacing w:after="120"/>
      </w:pPr>
    </w:p>
    <w:p>
      <w:pPr>
        <w:spacing w:after="140" w:line="276"/>
        <w:jc w:val="both"/>
      </w:pPr>
      <w:r>
        <w:rPr>
          <w:rFonts w:ascii="Calibri" w:cs="Calibri" w:eastAsia="Calibri" w:hAnsi="Calibri"/>
          <w:color w:val="000000"/>
          <w:sz w:val="21"/>
          <w:szCs w:val="21"/>
        </w:rPr>
        <w:t xml:space="preserve">El productor primario capta solo el </w:t>
      </w:r>
      <w:r>
        <w:rPr>
          <w:rFonts w:ascii="Calibri" w:cs="Calibri" w:eastAsia="Calibri" w:hAnsi="Calibri"/>
          <w:b/>
          <w:bCs/>
          <w:color w:val="000000"/>
          <w:sz w:val="21"/>
          <w:szCs w:val="21"/>
        </w:rPr>
        <w:t xml:space="preserve">40%</w:t>
      </w:r>
      <w:r>
        <w:rPr>
          <w:rFonts w:ascii="Calibri" w:cs="Calibri" w:eastAsia="Calibri" w:hAnsi="Calibri"/>
          <w:color w:val="000000"/>
          <w:sz w:val="21"/>
          <w:szCs w:val="21"/>
        </w:rPr>
        <w:t xml:space="preserve"> del valor final de exportación. El 60% restante se genera en el procesamiento y la comercialización, etapas que en Bolivia muchas veces ocurren fuera del país.</w:t>
      </w:r>
    </w:p>
    <w:p>
      <w:pPr>
        <w:spacing w:after="120"/>
      </w:pPr>
    </w:p>
    <w:tbl>
      <w:tblPr>
        <w:tblW w:type="dxa" w:w="9020"/>
        <w:tblBorders>
          <w:top w:val="single" w:color="BFBFBF" w:sz="2"/>
          <w:left w:val="single" w:color="808080" w:sz="14"/>
          <w:bottom w:val="single" w:color="BFBFBF" w:sz="2"/>
          <w:right w:val="single" w:color="BFBFBF" w:sz="2"/>
          <w:insideH w:val="none"/>
          <w:insideV w:val="none"/>
        </w:tblBorders>
      </w:tblPr>
      <w:tblGrid>
        <w:gridCol w:w="9020"/>
      </w:tblGrid>
      <w:tr>
        <w:tc>
          <w:tcPr>
            <w:tcW w:type="dxa" w:w="9020"/>
            <w:shd w:fill="F2F2F2"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Preguntas para discutir</w:t>
            </w:r>
          </w:p>
          <w:p>
            <w:pPr>
              <w:spacing w:after="80" w:line="276"/>
              <w:jc w:val="both"/>
            </w:pPr>
            <w:r>
              <w:rPr>
                <w:rFonts w:ascii="Calibri" w:cs="Calibri" w:eastAsia="Calibri" w:hAnsi="Calibri"/>
                <w:b/>
                <w:bCs/>
                <w:color w:val="000000"/>
                <w:sz w:val="21"/>
                <w:szCs w:val="21"/>
              </w:rPr>
              <w:t xml:space="preserve">1.</w:t>
            </w:r>
            <w:r>
              <w:rPr>
                <w:rFonts w:ascii="Calibri" w:cs="Calibri" w:eastAsia="Calibri" w:hAnsi="Calibri"/>
                <w:color w:val="000000"/>
                <w:sz w:val="21"/>
                <w:szCs w:val="21"/>
              </w:rPr>
              <w:t xml:space="preserve"> Si Bolivia exportara quinua ya perlada y empacada en lugar de en grano, ¿qué le pasaría a su PIB, manteniendo todo lo demás constante?</w:t>
            </w:r>
          </w:p>
          <w:p>
            <w:pPr>
              <w:spacing w:after="80" w:line="276"/>
              <w:jc w:val="both"/>
            </w:pPr>
            <w:r>
              <w:rPr>
                <w:rFonts w:ascii="Calibri" w:cs="Calibri" w:eastAsia="Calibri" w:hAnsi="Calibri"/>
                <w:b/>
                <w:bCs/>
                <w:color w:val="000000"/>
                <w:sz w:val="21"/>
                <w:szCs w:val="21"/>
              </w:rPr>
              <w:t xml:space="preserve">2.</w:t>
            </w:r>
            <w:r>
              <w:rPr>
                <w:rFonts w:ascii="Calibri" w:cs="Calibri" w:eastAsia="Calibri" w:hAnsi="Calibri"/>
                <w:color w:val="000000"/>
                <w:sz w:val="21"/>
                <w:szCs w:val="21"/>
              </w:rPr>
              <w:t xml:space="preserve"> ¿Qué inversiones (capital, capacitación, tecnología) se necesitarían para que más del procesamiento ocurra dentro del país?</w:t>
            </w:r>
          </w:p>
          <w:p>
            <w:pPr>
              <w:spacing w:after="0" w:line="276"/>
              <w:jc w:val="both"/>
            </w:pPr>
            <w:r>
              <w:rPr>
                <w:rFonts w:ascii="Calibri" w:cs="Calibri" w:eastAsia="Calibri" w:hAnsi="Calibri"/>
                <w:b/>
                <w:bCs/>
                <w:color w:val="000000"/>
                <w:sz w:val="21"/>
                <w:szCs w:val="21"/>
              </w:rPr>
              <w:t xml:space="preserve">3.</w:t>
            </w:r>
            <w:r>
              <w:rPr>
                <w:rFonts w:ascii="Calibri" w:cs="Calibri" w:eastAsia="Calibri" w:hAnsi="Calibri"/>
                <w:color w:val="000000"/>
                <w:sz w:val="21"/>
                <w:szCs w:val="21"/>
              </w:rPr>
              <w:t xml:space="preserve"> ¿Se repite este patrón en otros productos bolivianos de exportación: minerales, soya, gas?</w:t>
            </w:r>
          </w:p>
        </w:tc>
      </w:tr>
    </w:tbl>
    <w:p>
      <w:pPr>
        <w:spacing w:after="16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Cómo responder bien la primera pregunta</w:t>
            </w:r>
          </w:p>
          <w:p>
            <w:pPr>
              <w:spacing w:after="80" w:line="276"/>
              <w:jc w:val="both"/>
            </w:pPr>
            <w:r>
              <w:rPr>
                <w:rFonts w:ascii="Calibri" w:cs="Calibri" w:eastAsia="Calibri" w:hAnsi="Calibri"/>
                <w:color w:val="000000"/>
                <w:sz w:val="21"/>
                <w:szCs w:val="21"/>
              </w:rPr>
              <w:t xml:space="preserve">La respuesta correcta no es "el PIB sube en $ 300 por quintal". Si el beneficiado y la comercialización se hicieran en Bolivia, el valor agregado que hoy captan agentes del exterior pasaría a registrarse como </w:t>
            </w:r>
            <w:r>
              <w:rPr>
                <w:rFonts w:ascii="Calibri" w:cs="Calibri" w:eastAsia="Calibri" w:hAnsi="Calibri"/>
                <w:b/>
                <w:bCs/>
                <w:color w:val="000000"/>
                <w:sz w:val="21"/>
                <w:szCs w:val="21"/>
              </w:rPr>
              <w:t xml:space="preserve">producción interna</w:t>
            </w:r>
            <w:r>
              <w:rPr>
                <w:rFonts w:ascii="Calibri" w:cs="Calibri" w:eastAsia="Calibri" w:hAnsi="Calibri"/>
                <w:color w:val="000000"/>
                <w:sz w:val="21"/>
                <w:szCs w:val="21"/>
              </w:rPr>
              <w:t xml:space="preserve">, y el PIB aumentaría en la parte de esos $ 300 que efectivamente se generara en territorio boliviano.</w:t>
            </w:r>
          </w:p>
          <w:p>
            <w:pPr>
              <w:spacing w:after="0" w:line="276"/>
              <w:jc w:val="both"/>
            </w:pPr>
            <w:r>
              <w:rPr>
                <w:rFonts w:ascii="Calibri" w:cs="Calibri" w:eastAsia="Calibri" w:hAnsi="Calibri"/>
                <w:color w:val="000000"/>
                <w:sz w:val="21"/>
                <w:szCs w:val="21"/>
              </w:rPr>
              <w:t xml:space="preserve">Pero la respuesta completa exige el "</w:t>
            </w:r>
            <w:r>
              <w:rPr>
                <w:rFonts w:ascii="Calibri" w:cs="Calibri" w:eastAsia="Calibri" w:hAnsi="Calibri"/>
                <w:i/>
                <w:iCs/>
                <w:color w:val="000000"/>
                <w:sz w:val="21"/>
                <w:szCs w:val="21"/>
              </w:rPr>
              <w:t xml:space="preserve">manteniendo todo lo demás constante</w:t>
            </w:r>
            <w:r>
              <w:rPr>
                <w:rFonts w:ascii="Calibri" w:cs="Calibri" w:eastAsia="Calibri" w:hAnsi="Calibri"/>
                <w:color w:val="000000"/>
                <w:sz w:val="21"/>
                <w:szCs w:val="21"/>
              </w:rPr>
              <w:t xml:space="preserve">" del enunciado, que es un supuesto fuerte: procesar internamente requiere capital, energía y logística que a su vez tienen costo, y el precio internacional podría no ser el mismo. Esta es la diferencia entre una respuesta de 4 y una de 7.</w:t>
            </w:r>
          </w:p>
        </w:tc>
      </w:tr>
    </w:tbl>
    <w:p>
      <w:r>
        <w:br w:type="page"/>
      </w:r>
    </w:p>
    <w:p>
      <w:pPr>
        <w:pStyle w:val="Heading1"/>
        <w:spacing w:after="200" w:before="400"/>
      </w:pPr>
      <w:r>
        <w:rPr>
          <w:rFonts w:ascii="Calibri" w:cs="Calibri" w:eastAsia="Calibri" w:hAnsi="Calibri"/>
          <w:b/>
          <w:bCs/>
          <w:color w:val="1F3864"/>
          <w:sz w:val="32"/>
          <w:szCs w:val="32"/>
        </w:rPr>
        <w:t xml:space="preserve">Parte III · PIB nominal, PIB real y el deflactor</w:t>
      </w:r>
    </w:p>
    <w:p>
      <w:pPr>
        <w:spacing w:after="140" w:line="276"/>
        <w:jc w:val="both"/>
      </w:pPr>
      <w:r>
        <w:rPr>
          <w:rFonts w:ascii="Calibri" w:cs="Calibri" w:eastAsia="Calibri" w:hAnsi="Calibri"/>
          <w:i/>
          <w:iCs/>
          <w:color w:val="000000"/>
          <w:sz w:val="21"/>
          <w:szCs w:val="21"/>
        </w:rPr>
        <w:t xml:space="preserve">Corresponde a la Sesión 4 y a la sección 2 de tus apuntes.</w:t>
      </w:r>
    </w:p>
    <w:p>
      <w:pPr>
        <w:pStyle w:val="Heading2"/>
        <w:spacing w:after="140" w:before="320"/>
      </w:pPr>
      <w:r>
        <w:rPr>
          <w:rFonts w:ascii="Calibri" w:cs="Calibri" w:eastAsia="Calibri" w:hAnsi="Calibri"/>
          <w:b/>
          <w:bCs/>
          <w:color w:val="1F3864"/>
          <w:sz w:val="26"/>
          <w:szCs w:val="26"/>
        </w:rPr>
        <w:t xml:space="preserve">3.1 El problema que hay que resolver</w:t>
      </w:r>
    </w:p>
    <w:p>
      <w:pPr>
        <w:spacing w:after="140" w:line="276"/>
        <w:jc w:val="both"/>
      </w:pPr>
      <w:r>
        <w:rPr>
          <w:rFonts w:ascii="Calibri" w:cs="Calibri" w:eastAsia="Calibri" w:hAnsi="Calibri"/>
          <w:color w:val="000000"/>
          <w:sz w:val="21"/>
          <w:szCs w:val="21"/>
        </w:rPr>
        <w:t xml:space="preserve">En tres años, las ventas de la panadería El Trigal pasaron de Bs 130 a Bs 207: un aumento del 59%. ¿El Trigal produjo un 59% más de pan, o una parte de ese aumento es solo porque el pan se volvió más caro? Esta es exactamente la pregunta que separa el PIB nominal del PIB real.</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1804"/>
        <w:gridCol w:w="3969"/>
        <w:gridCol w:w="3247"/>
      </w:tblGrid>
      <w:tr>
        <w:trPr>
          <w:tblHeader/>
        </w:trPr>
        <w:tc>
          <w:tcPr>
            <w:tcW w:type="dxa" w:w="180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Medida</w:t>
            </w:r>
          </w:p>
        </w:tc>
        <w:tc>
          <w:tcPr>
            <w:tcW w:type="dxa" w:w="3969"/>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Cómo se calcula</w:t>
            </w:r>
          </w:p>
        </w:tc>
        <w:tc>
          <w:tcPr>
            <w:tcW w:type="dxa" w:w="3247"/>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Sube cuando...</w:t>
            </w:r>
          </w:p>
        </w:tc>
      </w:tr>
      <w:tr>
        <w:trPr>
          <w:tblHeader w:val="false"/>
        </w:trPr>
        <w:tc>
          <w:tcPr>
            <w:tcW w:type="dxa" w:w="180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PIB nominal</w:t>
            </w:r>
          </w:p>
        </w:tc>
        <w:tc>
          <w:tcPr>
            <w:tcW w:type="dxa" w:w="3969"/>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Σ (Cantidad × Precio del año corriente)</w:t>
            </w:r>
          </w:p>
        </w:tc>
        <w:tc>
          <w:tcPr>
            <w:tcW w:type="dxa" w:w="3247"/>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Se produce más //y/o// los precios suben</w:t>
            </w:r>
          </w:p>
        </w:tc>
      </w:tr>
      <w:tr>
        <w:trPr>
          <w:tblHeader w:val="false"/>
        </w:trPr>
        <w:tc>
          <w:tcPr>
            <w:tcW w:type="dxa" w:w="1804"/>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PIB real</w:t>
            </w:r>
          </w:p>
        </w:tc>
        <w:tc>
          <w:tcPr>
            <w:tcW w:type="dxa" w:w="3969"/>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Σ (Cantidad × Precio del año base)</w:t>
            </w:r>
          </w:p>
        </w:tc>
        <w:tc>
          <w:tcPr>
            <w:tcW w:type="dxa" w:w="3247"/>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Solo si se produce más. Aísla el efecto precio.</w:t>
            </w:r>
          </w:p>
        </w:tc>
      </w:tr>
    </w:tbl>
    <w:p>
      <w:pPr>
        <w:spacing w:after="200"/>
      </w:pPr>
    </w:p>
    <w:p>
      <w:pPr>
        <w:pStyle w:val="Heading2"/>
        <w:spacing w:after="140" w:before="320"/>
      </w:pPr>
      <w:r>
        <w:rPr>
          <w:rFonts w:ascii="Calibri" w:cs="Calibri" w:eastAsia="Calibri" w:hAnsi="Calibri"/>
          <w:b/>
          <w:bCs/>
          <w:color w:val="1F3864"/>
          <w:sz w:val="26"/>
          <w:szCs w:val="26"/>
        </w:rPr>
        <w:t xml:space="preserve">3.2 El Trigal a lo largo de tres años</w:t>
      </w:r>
    </w:p>
    <w:p>
      <w:pPr>
        <w:spacing w:after="140" w:line="276"/>
        <w:jc w:val="both"/>
      </w:pPr>
      <w:r>
        <w:rPr>
          <w:rFonts w:ascii="Calibri" w:cs="Calibri" w:eastAsia="Calibri" w:hAnsi="Calibri"/>
          <w:color w:val="000000"/>
          <w:sz w:val="21"/>
          <w:szCs w:val="21"/>
        </w:rPr>
        <w:t xml:space="preserve">La panadería vende un solo producto: pan. La cantidad creció poco a poco, pero el precio subió mucho más rápido.</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1804"/>
        <w:gridCol w:w="4059"/>
        <w:gridCol w:w="3157"/>
      </w:tblGrid>
      <w:tr>
        <w:trPr>
          <w:tblHeader/>
        </w:trPr>
        <w:tc>
          <w:tcPr>
            <w:tcW w:type="dxa" w:w="180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Año</w:t>
            </w:r>
          </w:p>
        </w:tc>
        <w:tc>
          <w:tcPr>
            <w:tcW w:type="dxa" w:w="4059"/>
            <w:shd w:fill="D9E2F3" w:val="clear"/>
            <w:tcMar>
              <w:top w:type="dxa" w:w="90"/>
              <w:left w:type="dxa" w:w="130"/>
              <w:bottom w:type="dxa" w:w="90"/>
              <w:right w:type="dxa" w:w="130"/>
            </w:tcMar>
          </w:tcPr>
          <w:p>
            <w:pPr>
              <w:spacing w:after="0" w:line="260"/>
              <w:jc w:val="right"/>
            </w:pPr>
            <w:r>
              <w:rPr>
                <w:rFonts w:ascii="Calibri" w:cs="Calibri" w:eastAsia="Calibri" w:hAnsi="Calibri"/>
                <w:b/>
                <w:bCs/>
                <w:color w:val="1F3864"/>
                <w:sz w:val="19"/>
                <w:szCs w:val="19"/>
              </w:rPr>
              <w:t xml:space="preserve">Cantidad de pan (unidades)</w:t>
            </w:r>
          </w:p>
        </w:tc>
        <w:tc>
          <w:tcPr>
            <w:tcW w:type="dxa" w:w="3157"/>
            <w:shd w:fill="D9E2F3" w:val="clear"/>
            <w:tcMar>
              <w:top w:type="dxa" w:w="90"/>
              <w:left w:type="dxa" w:w="130"/>
              <w:bottom w:type="dxa" w:w="90"/>
              <w:right w:type="dxa" w:w="130"/>
            </w:tcMar>
          </w:tcPr>
          <w:p>
            <w:pPr>
              <w:spacing w:after="0" w:line="260"/>
              <w:jc w:val="right"/>
            </w:pPr>
            <w:r>
              <w:rPr>
                <w:rFonts w:ascii="Calibri" w:cs="Calibri" w:eastAsia="Calibri" w:hAnsi="Calibri"/>
                <w:b/>
                <w:bCs/>
                <w:color w:val="1F3864"/>
                <w:sz w:val="19"/>
                <w:szCs w:val="19"/>
              </w:rPr>
              <w:t xml:space="preserve">Precio por unidad</w:t>
            </w:r>
          </w:p>
        </w:tc>
      </w:tr>
      <w:tr>
        <w:trPr>
          <w:tblHeader w:val="false"/>
        </w:trPr>
        <w:tc>
          <w:tcPr>
            <w:tcW w:type="dxa" w:w="180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Año 1</w:t>
            </w:r>
          </w:p>
        </w:tc>
        <w:tc>
          <w:tcPr>
            <w:tcW w:type="dxa" w:w="4059"/>
            <w:shd w:fill="FFFFFF"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100</w:t>
            </w:r>
          </w:p>
        </w:tc>
        <w:tc>
          <w:tcPr>
            <w:tcW w:type="dxa" w:w="3157"/>
            <w:shd w:fill="FFFFFF"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Bs 1,30</w:t>
            </w:r>
          </w:p>
        </w:tc>
      </w:tr>
      <w:tr>
        <w:trPr>
          <w:tblHeader w:val="false"/>
        </w:trPr>
        <w:tc>
          <w:tcPr>
            <w:tcW w:type="dxa" w:w="1804"/>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Año 2</w:t>
            </w:r>
          </w:p>
        </w:tc>
        <w:tc>
          <w:tcPr>
            <w:tcW w:type="dxa" w:w="4059"/>
            <w:shd w:fill="FAFAFA"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110</w:t>
            </w:r>
          </w:p>
        </w:tc>
        <w:tc>
          <w:tcPr>
            <w:tcW w:type="dxa" w:w="3157"/>
            <w:shd w:fill="FAFAFA"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Bs 1,50</w:t>
            </w:r>
          </w:p>
        </w:tc>
      </w:tr>
      <w:tr>
        <w:trPr>
          <w:tblHeader w:val="false"/>
        </w:trPr>
        <w:tc>
          <w:tcPr>
            <w:tcW w:type="dxa" w:w="180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Año 3</w:t>
            </w:r>
          </w:p>
        </w:tc>
        <w:tc>
          <w:tcPr>
            <w:tcW w:type="dxa" w:w="4059"/>
            <w:shd w:fill="FFFFFF"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115</w:t>
            </w:r>
          </w:p>
        </w:tc>
        <w:tc>
          <w:tcPr>
            <w:tcW w:type="dxa" w:w="3157"/>
            <w:shd w:fill="FFFFFF"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Bs 1,80</w:t>
            </w:r>
          </w:p>
        </w:tc>
      </w:tr>
    </w:tbl>
    <w:p>
      <w:pPr>
        <w:spacing w:after="200"/>
      </w:pPr>
    </w:p>
    <w:p>
      <w:pPr>
        <w:pStyle w:val="Heading3"/>
        <w:spacing w:after="120" w:before="240"/>
      </w:pPr>
      <w:r>
        <w:rPr>
          <w:rFonts w:ascii="Calibri" w:cs="Calibri" w:eastAsia="Calibri" w:hAnsi="Calibri"/>
          <w:b/>
          <w:bCs/>
          <w:color w:val="2E5496"/>
          <w:sz w:val="23"/>
          <w:szCs w:val="23"/>
        </w:rPr>
        <w:t xml:space="preserve">Paso 1 — PIB nominal de cada año</w:t>
      </w:r>
    </w:p>
    <w:tbl>
      <w:tblPr>
        <w:tblW w:type="dxa" w:w="9020"/>
        <w:tblBorders>
          <w:top w:val="single" w:color="1F3864" w:sz="4"/>
          <w:left w:val="none"/>
          <w:bottom w:val="single" w:color="1F3864" w:sz="4"/>
          <w:right w:val="none"/>
          <w:insideH w:val="single" w:color="D0D0D0" w:sz="1"/>
          <w:insideV w:val="single" w:color="D0D0D0" w:sz="1"/>
        </w:tblBorders>
      </w:tblPr>
      <w:tblGrid>
        <w:gridCol w:w="1804"/>
        <w:gridCol w:w="4059"/>
        <w:gridCol w:w="3157"/>
      </w:tblGrid>
      <w:tr>
        <w:trPr>
          <w:tblHeader/>
        </w:trPr>
        <w:tc>
          <w:tcPr>
            <w:tcW w:type="dxa" w:w="180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Año</w:t>
            </w:r>
          </w:p>
        </w:tc>
        <w:tc>
          <w:tcPr>
            <w:tcW w:type="dxa" w:w="4059"/>
            <w:shd w:fill="D9E2F3" w:val="clear"/>
            <w:tcMar>
              <w:top w:type="dxa" w:w="90"/>
              <w:left w:type="dxa" w:w="130"/>
              <w:bottom w:type="dxa" w:w="90"/>
              <w:right w:type="dxa" w:w="130"/>
            </w:tcMar>
          </w:tcPr>
          <w:p>
            <w:pPr>
              <w:spacing w:after="0" w:line="260"/>
              <w:jc w:val="right"/>
            </w:pPr>
            <w:r>
              <w:rPr>
                <w:rFonts w:ascii="Calibri" w:cs="Calibri" w:eastAsia="Calibri" w:hAnsi="Calibri"/>
                <w:b/>
                <w:bCs/>
                <w:color w:val="1F3864"/>
                <w:sz w:val="19"/>
                <w:szCs w:val="19"/>
              </w:rPr>
              <w:t xml:space="preserve">Cálculo</w:t>
            </w:r>
          </w:p>
        </w:tc>
        <w:tc>
          <w:tcPr>
            <w:tcW w:type="dxa" w:w="3157"/>
            <w:shd w:fill="D9E2F3" w:val="clear"/>
            <w:tcMar>
              <w:top w:type="dxa" w:w="90"/>
              <w:left w:type="dxa" w:w="130"/>
              <w:bottom w:type="dxa" w:w="90"/>
              <w:right w:type="dxa" w:w="130"/>
            </w:tcMar>
          </w:tcPr>
          <w:p>
            <w:pPr>
              <w:spacing w:after="0" w:line="260"/>
              <w:jc w:val="right"/>
            </w:pPr>
            <w:r>
              <w:rPr>
                <w:rFonts w:ascii="Calibri" w:cs="Calibri" w:eastAsia="Calibri" w:hAnsi="Calibri"/>
                <w:b/>
                <w:bCs/>
                <w:color w:val="1F3864"/>
                <w:sz w:val="19"/>
                <w:szCs w:val="19"/>
              </w:rPr>
              <w:t xml:space="preserve">PIB nominal</w:t>
            </w:r>
          </w:p>
        </w:tc>
      </w:tr>
      <w:tr>
        <w:trPr>
          <w:tblHeader w:val="false"/>
        </w:trPr>
        <w:tc>
          <w:tcPr>
            <w:tcW w:type="dxa" w:w="180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Año 1</w:t>
            </w:r>
          </w:p>
        </w:tc>
        <w:tc>
          <w:tcPr>
            <w:tcW w:type="dxa" w:w="4059"/>
            <w:shd w:fill="FFFFFF"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100 × Bs 1,30</w:t>
            </w:r>
          </w:p>
        </w:tc>
        <w:tc>
          <w:tcPr>
            <w:tcW w:type="dxa" w:w="3157"/>
            <w:shd w:fill="FFFFFF"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Bs 130</w:t>
            </w:r>
          </w:p>
        </w:tc>
      </w:tr>
      <w:tr>
        <w:trPr>
          <w:tblHeader w:val="false"/>
        </w:trPr>
        <w:tc>
          <w:tcPr>
            <w:tcW w:type="dxa" w:w="1804"/>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Año 2</w:t>
            </w:r>
          </w:p>
        </w:tc>
        <w:tc>
          <w:tcPr>
            <w:tcW w:type="dxa" w:w="4059"/>
            <w:shd w:fill="FAFAFA"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110 × Bs 1,50</w:t>
            </w:r>
          </w:p>
        </w:tc>
        <w:tc>
          <w:tcPr>
            <w:tcW w:type="dxa" w:w="3157"/>
            <w:shd w:fill="FAFAFA"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Bs 165</w:t>
            </w:r>
          </w:p>
        </w:tc>
      </w:tr>
      <w:tr>
        <w:trPr>
          <w:tblHeader w:val="false"/>
        </w:trPr>
        <w:tc>
          <w:tcPr>
            <w:tcW w:type="dxa" w:w="180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Año 3</w:t>
            </w:r>
          </w:p>
        </w:tc>
        <w:tc>
          <w:tcPr>
            <w:tcW w:type="dxa" w:w="4059"/>
            <w:shd w:fill="FFFFFF"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115 × Bs 1,80</w:t>
            </w:r>
          </w:p>
        </w:tc>
        <w:tc>
          <w:tcPr>
            <w:tcW w:type="dxa" w:w="3157"/>
            <w:shd w:fill="FFFFFF"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Bs 207</w:t>
            </w:r>
          </w:p>
        </w:tc>
      </w:tr>
    </w:tbl>
    <w:p>
      <w:pPr>
        <w:spacing w:after="120"/>
      </w:pPr>
    </w:p>
    <w:p>
      <w:pPr>
        <w:spacing w:after="140" w:line="276"/>
        <w:jc w:val="both"/>
      </w:pPr>
      <w:r>
        <w:rPr>
          <w:rFonts w:ascii="Calibri" w:cs="Calibri" w:eastAsia="Calibri" w:hAnsi="Calibri"/>
          <w:color w:val="000000"/>
          <w:sz w:val="21"/>
          <w:szCs w:val="21"/>
        </w:rPr>
        <w:t xml:space="preserve">El PIB nominal creció de Bs 130 a Bs 207: un aumento del 59%, que mezcla el efecto de "más pan" con el de "pan más caro".</w:t>
      </w:r>
    </w:p>
    <w:p>
      <w:pPr>
        <w:pStyle w:val="Heading3"/>
        <w:spacing w:after="120" w:before="240"/>
      </w:pPr>
      <w:r>
        <w:rPr>
          <w:rFonts w:ascii="Calibri" w:cs="Calibri" w:eastAsia="Calibri" w:hAnsi="Calibri"/>
          <w:b/>
          <w:bCs/>
          <w:color w:val="2E5496"/>
          <w:sz w:val="23"/>
          <w:szCs w:val="23"/>
        </w:rPr>
        <w:t xml:space="preserve">Paso 2 — PIB real (año base = Año 1, precio Bs 1,30)</w:t>
      </w:r>
    </w:p>
    <w:tbl>
      <w:tblPr>
        <w:tblW w:type="dxa" w:w="9020"/>
        <w:tblBorders>
          <w:top w:val="single" w:color="1F3864" w:sz="4"/>
          <w:left w:val="none"/>
          <w:bottom w:val="single" w:color="1F3864" w:sz="4"/>
          <w:right w:val="none"/>
          <w:insideH w:val="single" w:color="D0D0D0" w:sz="1"/>
          <w:insideV w:val="single" w:color="D0D0D0" w:sz="1"/>
        </w:tblBorders>
      </w:tblPr>
      <w:tblGrid>
        <w:gridCol w:w="1804"/>
        <w:gridCol w:w="4059"/>
        <w:gridCol w:w="3157"/>
      </w:tblGrid>
      <w:tr>
        <w:trPr>
          <w:tblHeader/>
        </w:trPr>
        <w:tc>
          <w:tcPr>
            <w:tcW w:type="dxa" w:w="180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Año</w:t>
            </w:r>
          </w:p>
        </w:tc>
        <w:tc>
          <w:tcPr>
            <w:tcW w:type="dxa" w:w="4059"/>
            <w:shd w:fill="D9E2F3" w:val="clear"/>
            <w:tcMar>
              <w:top w:type="dxa" w:w="90"/>
              <w:left w:type="dxa" w:w="130"/>
              <w:bottom w:type="dxa" w:w="90"/>
              <w:right w:type="dxa" w:w="130"/>
            </w:tcMar>
          </w:tcPr>
          <w:p>
            <w:pPr>
              <w:spacing w:after="0" w:line="260"/>
              <w:jc w:val="right"/>
            </w:pPr>
            <w:r>
              <w:rPr>
                <w:rFonts w:ascii="Calibri" w:cs="Calibri" w:eastAsia="Calibri" w:hAnsi="Calibri"/>
                <w:b/>
                <w:bCs/>
                <w:color w:val="1F3864"/>
                <w:sz w:val="19"/>
                <w:szCs w:val="19"/>
              </w:rPr>
              <w:t xml:space="preserve">Cálculo con el precio del año base</w:t>
            </w:r>
          </w:p>
        </w:tc>
        <w:tc>
          <w:tcPr>
            <w:tcW w:type="dxa" w:w="3157"/>
            <w:shd w:fill="D9E2F3" w:val="clear"/>
            <w:tcMar>
              <w:top w:type="dxa" w:w="90"/>
              <w:left w:type="dxa" w:w="130"/>
              <w:bottom w:type="dxa" w:w="90"/>
              <w:right w:type="dxa" w:w="130"/>
            </w:tcMar>
          </w:tcPr>
          <w:p>
            <w:pPr>
              <w:spacing w:after="0" w:line="260"/>
              <w:jc w:val="right"/>
            </w:pPr>
            <w:r>
              <w:rPr>
                <w:rFonts w:ascii="Calibri" w:cs="Calibri" w:eastAsia="Calibri" w:hAnsi="Calibri"/>
                <w:b/>
                <w:bCs/>
                <w:color w:val="1F3864"/>
                <w:sz w:val="19"/>
                <w:szCs w:val="19"/>
              </w:rPr>
              <w:t xml:space="preserve">PIB real</w:t>
            </w:r>
          </w:p>
        </w:tc>
      </w:tr>
      <w:tr>
        <w:trPr>
          <w:tblHeader w:val="false"/>
        </w:trPr>
        <w:tc>
          <w:tcPr>
            <w:tcW w:type="dxa" w:w="180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Año 1</w:t>
            </w:r>
          </w:p>
        </w:tc>
        <w:tc>
          <w:tcPr>
            <w:tcW w:type="dxa" w:w="4059"/>
            <w:shd w:fill="FFFFFF"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100 × Bs 1,30</w:t>
            </w:r>
          </w:p>
        </w:tc>
        <w:tc>
          <w:tcPr>
            <w:tcW w:type="dxa" w:w="3157"/>
            <w:shd w:fill="FFFFFF"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Bs 130,00</w:t>
            </w:r>
          </w:p>
        </w:tc>
      </w:tr>
      <w:tr>
        <w:trPr>
          <w:tblHeader w:val="false"/>
        </w:trPr>
        <w:tc>
          <w:tcPr>
            <w:tcW w:type="dxa" w:w="1804"/>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Año 2</w:t>
            </w:r>
          </w:p>
        </w:tc>
        <w:tc>
          <w:tcPr>
            <w:tcW w:type="dxa" w:w="4059"/>
            <w:shd w:fill="FAFAFA"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110 × Bs 1,30</w:t>
            </w:r>
          </w:p>
        </w:tc>
        <w:tc>
          <w:tcPr>
            <w:tcW w:type="dxa" w:w="3157"/>
            <w:shd w:fill="FAFAFA"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Bs 143,00</w:t>
            </w:r>
          </w:p>
        </w:tc>
      </w:tr>
      <w:tr>
        <w:trPr>
          <w:tblHeader w:val="false"/>
        </w:trPr>
        <w:tc>
          <w:tcPr>
            <w:tcW w:type="dxa" w:w="180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Año 3</w:t>
            </w:r>
          </w:p>
        </w:tc>
        <w:tc>
          <w:tcPr>
            <w:tcW w:type="dxa" w:w="4059"/>
            <w:shd w:fill="FFFFFF"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115 × Bs 1,30</w:t>
            </w:r>
          </w:p>
        </w:tc>
        <w:tc>
          <w:tcPr>
            <w:tcW w:type="dxa" w:w="3157"/>
            <w:shd w:fill="FFFFFF"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Bs 149,50</w:t>
            </w:r>
          </w:p>
        </w:tc>
      </w:tr>
    </w:tbl>
    <w:p>
      <w:pPr>
        <w:spacing w:after="120"/>
      </w:pPr>
    </w:p>
    <w:p>
      <w:pPr>
        <w:spacing w:after="140" w:line="276"/>
        <w:jc w:val="both"/>
      </w:pPr>
      <w:r>
        <w:rPr>
          <w:rFonts w:ascii="Calibri" w:cs="Calibri" w:eastAsia="Calibri" w:hAnsi="Calibri"/>
          <w:color w:val="000000"/>
          <w:sz w:val="21"/>
          <w:szCs w:val="21"/>
        </w:rPr>
        <w:t xml:space="preserve">El PIB real creció de Bs 130 a Bs 149,50: un aumento de apenas </w:t>
      </w:r>
      <w:r>
        <w:rPr>
          <w:rFonts w:ascii="Calibri" w:cs="Calibri" w:eastAsia="Calibri" w:hAnsi="Calibri"/>
          <w:b/>
          <w:bCs/>
          <w:color w:val="000000"/>
          <w:sz w:val="21"/>
          <w:szCs w:val="21"/>
        </w:rPr>
        <w:t xml:space="preserve">15%</w:t>
      </w:r>
      <w:r>
        <w:rPr>
          <w:rFonts w:ascii="Calibri" w:cs="Calibri" w:eastAsia="Calibri" w:hAnsi="Calibri"/>
          <w:color w:val="000000"/>
          <w:sz w:val="21"/>
          <w:szCs w:val="21"/>
        </w:rPr>
        <w:t xml:space="preserve">. Esta es la variación "pura" de producción.</w:t>
      </w:r>
    </w:p>
    <w:p>
      <w:pPr>
        <w:spacing w:after="120"/>
      </w:pPr>
    </w:p>
    <w:tbl>
      <w:tblPr>
        <w:tblW w:type="dxa" w:w="9020"/>
        <w:tblBorders>
          <w:top w:val="single" w:color="BFBFBF" w:sz="2"/>
          <w:left w:val="single" w:color="BF9000" w:sz="14"/>
          <w:bottom w:val="single" w:color="BFBFBF" w:sz="2"/>
          <w:right w:val="single" w:color="BFBFBF" w:sz="2"/>
          <w:insideH w:val="none"/>
          <w:insideV w:val="none"/>
        </w:tblBorders>
      </w:tblPr>
      <w:tblGrid>
        <w:gridCol w:w="9020"/>
      </w:tblGrid>
      <w:tr>
        <w:tc>
          <w:tcPr>
            <w:tcW w:type="dxa" w:w="9020"/>
            <w:shd w:fill="FFF2CC"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La respuesta a la pregunta motivadora</w:t>
            </w:r>
          </w:p>
          <w:p>
            <w:pPr>
              <w:spacing w:after="0" w:line="276"/>
              <w:jc w:val="both"/>
            </w:pPr>
            <w:r>
              <w:rPr>
                <w:rFonts w:ascii="Calibri" w:cs="Calibri" w:eastAsia="Calibri" w:hAnsi="Calibri"/>
                <w:color w:val="000000"/>
                <w:sz w:val="21"/>
                <w:szCs w:val="21"/>
              </w:rPr>
              <w:t xml:space="preserve">De ese 59% de crecimiento nominal, solo </w:t>
            </w:r>
            <w:r>
              <w:rPr>
                <w:rFonts w:ascii="Calibri" w:cs="Calibri" w:eastAsia="Calibri" w:hAnsi="Calibri"/>
                <w:b/>
                <w:bCs/>
                <w:color w:val="000000"/>
                <w:sz w:val="21"/>
                <w:szCs w:val="21"/>
              </w:rPr>
              <w:t xml:space="preserve">15%</w:t>
            </w:r>
            <w:r>
              <w:rPr>
                <w:rFonts w:ascii="Calibri" w:cs="Calibri" w:eastAsia="Calibri" w:hAnsi="Calibri"/>
                <w:color w:val="000000"/>
                <w:sz w:val="21"/>
                <w:szCs w:val="21"/>
              </w:rPr>
              <w:t xml:space="preserve"> fue producción real adicional. El resto refleja el aumento de precios: inflación, no producción.</w:t>
            </w:r>
          </w:p>
        </w:tc>
      </w:tr>
    </w:tbl>
    <w:p>
      <w:pPr>
        <w:pStyle w:val="Heading3"/>
        <w:spacing w:after="120" w:before="240"/>
      </w:pPr>
      <w:r>
        <w:rPr>
          <w:rFonts w:ascii="Calibri" w:cs="Calibri" w:eastAsia="Calibri" w:hAnsi="Calibri"/>
          <w:b/>
          <w:bCs/>
          <w:color w:val="2E5496"/>
          <w:sz w:val="23"/>
          <w:szCs w:val="23"/>
        </w:rPr>
        <w:t xml:space="preserve">Crecimiento nominal y real, año a año</w:t>
      </w:r>
    </w:p>
    <w:tbl>
      <w:tblPr>
        <w:tblW w:type="dxa" w:w="9020"/>
        <w:tblBorders>
          <w:top w:val="single" w:color="1F3864" w:sz="4"/>
          <w:left w:val="none"/>
          <w:bottom w:val="single" w:color="1F3864" w:sz="4"/>
          <w:right w:val="none"/>
          <w:insideH w:val="single" w:color="D0D0D0" w:sz="1"/>
          <w:insideV w:val="single" w:color="D0D0D0" w:sz="1"/>
        </w:tblBorders>
      </w:tblPr>
      <w:tblGrid>
        <w:gridCol w:w="2345"/>
        <w:gridCol w:w="3337"/>
        <w:gridCol w:w="3338"/>
      </w:tblGrid>
      <w:tr>
        <w:trPr>
          <w:tblHeader/>
        </w:trPr>
        <w:tc>
          <w:tcPr>
            <w:tcW w:type="dxa" w:w="2345"/>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Período</w:t>
            </w:r>
          </w:p>
        </w:tc>
        <w:tc>
          <w:tcPr>
            <w:tcW w:type="dxa" w:w="3337"/>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Crecimiento nominal</w:t>
            </w:r>
          </w:p>
        </w:tc>
        <w:tc>
          <w:tcPr>
            <w:tcW w:type="dxa" w:w="3338"/>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Crecimiento real</w:t>
            </w:r>
          </w:p>
        </w:tc>
      </w:tr>
      <w:tr>
        <w:trPr>
          <w:tblHeader w:val="false"/>
        </w:trPr>
        <w:tc>
          <w:tcPr>
            <w:tcW w:type="dxa" w:w="2345"/>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Año 1 → Año 2</w:t>
            </w:r>
          </w:p>
        </w:tc>
        <w:tc>
          <w:tcPr>
            <w:tcW w:type="dxa" w:w="3337"/>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(165 − 130)/130 = 26,9%</w:t>
            </w:r>
          </w:p>
        </w:tc>
        <w:tc>
          <w:tcPr>
            <w:tcW w:type="dxa" w:w="3338"/>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(143 − 130)/130 = 10,0%</w:t>
            </w:r>
          </w:p>
        </w:tc>
      </w:tr>
      <w:tr>
        <w:trPr>
          <w:tblHeader w:val="false"/>
        </w:trPr>
        <w:tc>
          <w:tcPr>
            <w:tcW w:type="dxa" w:w="2345"/>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Año 2 → Año 3</w:t>
            </w:r>
          </w:p>
        </w:tc>
        <w:tc>
          <w:tcPr>
            <w:tcW w:type="dxa" w:w="3337"/>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(207 − 165)/165 = 25,5%</w:t>
            </w:r>
          </w:p>
        </w:tc>
        <w:tc>
          <w:tcPr>
            <w:tcW w:type="dxa" w:w="3338"/>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(149,5 − 143)/143 = 4,5%</w:t>
            </w:r>
          </w:p>
        </w:tc>
      </w:tr>
    </w:tbl>
    <w:p>
      <w:pPr>
        <w:spacing w:after="160"/>
      </w:pPr>
    </w:p>
    <w:tbl>
      <w:tblPr>
        <w:tblW w:type="dxa" w:w="9020"/>
        <w:tblBorders>
          <w:top w:val="single" w:color="BFBFBF" w:sz="2"/>
          <w:left w:val="single" w:color="C00000" w:sz="14"/>
          <w:bottom w:val="single" w:color="BFBFBF" w:sz="2"/>
          <w:right w:val="single" w:color="BFBFBF" w:sz="2"/>
          <w:insideH w:val="none"/>
          <w:insideV w:val="none"/>
        </w:tblBorders>
      </w:tblPr>
      <w:tblGrid>
        <w:gridCol w:w="9020"/>
      </w:tblGrid>
      <w:tr>
        <w:tc>
          <w:tcPr>
            <w:tcW w:type="dxa" w:w="9020"/>
            <w:shd w:fill="FBE4E4"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La pregunta que hay que hacer siempre</w:t>
            </w:r>
          </w:p>
          <w:p>
            <w:pPr>
              <w:spacing w:after="0" w:line="276"/>
              <w:jc w:val="both"/>
            </w:pPr>
            <w:r>
              <w:rPr>
                <w:rFonts w:ascii="Calibri" w:cs="Calibri" w:eastAsia="Calibri" w:hAnsi="Calibri"/>
                <w:color w:val="000000"/>
                <w:sz w:val="21"/>
                <w:szCs w:val="21"/>
              </w:rPr>
              <w:t xml:space="preserve">Cuando los medios o el gobierno anuncian "la economía creció X%", pregunta: </w:t>
            </w:r>
            <w:r>
              <w:rPr>
                <w:rFonts w:ascii="Calibri" w:cs="Calibri" w:eastAsia="Calibri" w:hAnsi="Calibri"/>
                <w:b/>
                <w:bCs/>
                <w:color w:val="000000"/>
                <w:sz w:val="21"/>
                <w:szCs w:val="21"/>
              </w:rPr>
              <w:t xml:space="preserve">¿ese X% es nominal o real?</w:t>
            </w:r>
            <w:r>
              <w:rPr>
                <w:rFonts w:ascii="Calibri" w:cs="Calibri" w:eastAsia="Calibri" w:hAnsi="Calibri"/>
                <w:color w:val="000000"/>
                <w:sz w:val="21"/>
                <w:szCs w:val="21"/>
              </w:rPr>
              <w:t xml:space="preserve"> Solo el crecimiento real refleja más producción efectiva. Un titular que no lo distingue puede exagerar —o entender mal— el verdadero desempeño económico.</w:t>
            </w:r>
          </w:p>
        </w:tc>
      </w:tr>
    </w:tbl>
    <w:p>
      <w:pPr>
        <w:pStyle w:val="Heading2"/>
        <w:spacing w:after="140" w:before="320"/>
      </w:pPr>
      <w:r>
        <w:rPr>
          <w:rFonts w:ascii="Calibri" w:cs="Calibri" w:eastAsia="Calibri" w:hAnsi="Calibri"/>
          <w:b/>
          <w:bCs/>
          <w:color w:val="1F3864"/>
          <w:sz w:val="26"/>
          <w:szCs w:val="26"/>
        </w:rPr>
        <w:t xml:space="preserve">3.3 El deflactor del PIB</w:t>
      </w:r>
    </w:p>
    <w:p>
      <w:pPr>
        <w:spacing w:after="140" w:before="140"/>
        <w:jc w:val="center"/>
      </w:pPr>
      <w:r>
        <w:rPr>
          <w:rFonts w:ascii="Cambria" w:cs="Cambria" w:eastAsia="Cambria" w:hAnsi="Cambria"/>
          <w:b/>
          <w:bCs/>
          <w:color w:val="1F3864"/>
          <w:sz w:val="24"/>
          <w:szCs w:val="24"/>
        </w:rPr>
        <w:t xml:space="preserve">Deflactor del PIB = (PIB nominal / PIB real) × 100</w:t>
      </w:r>
    </w:p>
    <w:p>
      <w:pPr>
        <w:spacing w:after="140" w:line="276"/>
        <w:jc w:val="both"/>
      </w:pPr>
      <w:r>
        <w:rPr>
          <w:rFonts w:ascii="Calibri" w:cs="Calibri" w:eastAsia="Calibri" w:hAnsi="Calibri"/>
          <w:color w:val="000000"/>
          <w:sz w:val="21"/>
          <w:szCs w:val="21"/>
        </w:rPr>
        <w:t xml:space="preserve">Mide el precio promedio de todo lo que se produjo en la economía, comparado con el año base. En el año base vale siempre exactamente 100, porque ahí el PIB nominal y el real coinciden. La tasa de inflación entre dos años es, precisamente, la variación porcentual del deflactor.</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1443"/>
        <w:gridCol w:w="1894"/>
        <w:gridCol w:w="1894"/>
        <w:gridCol w:w="1894"/>
        <w:gridCol w:w="1895"/>
      </w:tblGrid>
      <w:tr>
        <w:trPr>
          <w:tblHeader/>
        </w:trPr>
        <w:tc>
          <w:tcPr>
            <w:tcW w:type="dxa" w:w="1443"/>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Año</w:t>
            </w:r>
          </w:p>
        </w:tc>
        <w:tc>
          <w:tcPr>
            <w:tcW w:type="dxa" w:w="1894"/>
            <w:shd w:fill="D9E2F3" w:val="clear"/>
            <w:tcMar>
              <w:top w:type="dxa" w:w="90"/>
              <w:left w:type="dxa" w:w="130"/>
              <w:bottom w:type="dxa" w:w="90"/>
              <w:right w:type="dxa" w:w="130"/>
            </w:tcMar>
          </w:tcPr>
          <w:p>
            <w:pPr>
              <w:spacing w:after="0" w:line="260"/>
              <w:jc w:val="right"/>
            </w:pPr>
            <w:r>
              <w:rPr>
                <w:rFonts w:ascii="Calibri" w:cs="Calibri" w:eastAsia="Calibri" w:hAnsi="Calibri"/>
                <w:b/>
                <w:bCs/>
                <w:color w:val="1F3864"/>
                <w:sz w:val="19"/>
                <w:szCs w:val="19"/>
              </w:rPr>
              <w:t xml:space="preserve">PIB nominal</w:t>
            </w:r>
          </w:p>
        </w:tc>
        <w:tc>
          <w:tcPr>
            <w:tcW w:type="dxa" w:w="1894"/>
            <w:shd w:fill="D9E2F3" w:val="clear"/>
            <w:tcMar>
              <w:top w:type="dxa" w:w="90"/>
              <w:left w:type="dxa" w:w="130"/>
              <w:bottom w:type="dxa" w:w="90"/>
              <w:right w:type="dxa" w:w="130"/>
            </w:tcMar>
          </w:tcPr>
          <w:p>
            <w:pPr>
              <w:spacing w:after="0" w:line="260"/>
              <w:jc w:val="right"/>
            </w:pPr>
            <w:r>
              <w:rPr>
                <w:rFonts w:ascii="Calibri" w:cs="Calibri" w:eastAsia="Calibri" w:hAnsi="Calibri"/>
                <w:b/>
                <w:bCs/>
                <w:color w:val="1F3864"/>
                <w:sz w:val="19"/>
                <w:szCs w:val="19"/>
              </w:rPr>
              <w:t xml:space="preserve">PIB real</w:t>
            </w:r>
          </w:p>
        </w:tc>
        <w:tc>
          <w:tcPr>
            <w:tcW w:type="dxa" w:w="1894"/>
            <w:shd w:fill="D9E2F3" w:val="clear"/>
            <w:tcMar>
              <w:top w:type="dxa" w:w="90"/>
              <w:left w:type="dxa" w:w="130"/>
              <w:bottom w:type="dxa" w:w="90"/>
              <w:right w:type="dxa" w:w="130"/>
            </w:tcMar>
          </w:tcPr>
          <w:p>
            <w:pPr>
              <w:spacing w:after="0" w:line="260"/>
              <w:jc w:val="right"/>
            </w:pPr>
            <w:r>
              <w:rPr>
                <w:rFonts w:ascii="Calibri" w:cs="Calibri" w:eastAsia="Calibri" w:hAnsi="Calibri"/>
                <w:b/>
                <w:bCs/>
                <w:color w:val="1F3864"/>
                <w:sz w:val="19"/>
                <w:szCs w:val="19"/>
              </w:rPr>
              <w:t xml:space="preserve">Deflactor</w:t>
            </w:r>
          </w:p>
        </w:tc>
        <w:tc>
          <w:tcPr>
            <w:tcW w:type="dxa" w:w="1895"/>
            <w:shd w:fill="D9E2F3" w:val="clear"/>
            <w:tcMar>
              <w:top w:type="dxa" w:w="90"/>
              <w:left w:type="dxa" w:w="130"/>
              <w:bottom w:type="dxa" w:w="90"/>
              <w:right w:type="dxa" w:w="130"/>
            </w:tcMar>
          </w:tcPr>
          <w:p>
            <w:pPr>
              <w:spacing w:after="0" w:line="260"/>
              <w:jc w:val="right"/>
            </w:pPr>
            <w:r>
              <w:rPr>
                <w:rFonts w:ascii="Calibri" w:cs="Calibri" w:eastAsia="Calibri" w:hAnsi="Calibri"/>
                <w:b/>
                <w:bCs/>
                <w:color w:val="1F3864"/>
                <w:sz w:val="19"/>
                <w:szCs w:val="19"/>
              </w:rPr>
              <w:t xml:space="preserve">Inflación</w:t>
            </w:r>
          </w:p>
        </w:tc>
      </w:tr>
      <w:tr>
        <w:trPr>
          <w:tblHeader w:val="false"/>
        </w:trPr>
        <w:tc>
          <w:tcPr>
            <w:tcW w:type="dxa" w:w="1443"/>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Año 1</w:t>
            </w:r>
          </w:p>
        </w:tc>
        <w:tc>
          <w:tcPr>
            <w:tcW w:type="dxa" w:w="1894"/>
            <w:shd w:fill="FFFFFF"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Bs 130</w:t>
            </w:r>
          </w:p>
        </w:tc>
        <w:tc>
          <w:tcPr>
            <w:tcW w:type="dxa" w:w="1894"/>
            <w:shd w:fill="FFFFFF"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Bs 130,00</w:t>
            </w:r>
          </w:p>
        </w:tc>
        <w:tc>
          <w:tcPr>
            <w:tcW w:type="dxa" w:w="1894"/>
            <w:shd w:fill="FFFFFF"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100,0</w:t>
            </w:r>
          </w:p>
        </w:tc>
        <w:tc>
          <w:tcPr>
            <w:tcW w:type="dxa" w:w="1895"/>
            <w:shd w:fill="FFFFFF"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w:t>
            </w:r>
          </w:p>
        </w:tc>
      </w:tr>
      <w:tr>
        <w:trPr>
          <w:tblHeader w:val="false"/>
        </w:trPr>
        <w:tc>
          <w:tcPr>
            <w:tcW w:type="dxa" w:w="1443"/>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Año 2</w:t>
            </w:r>
          </w:p>
        </w:tc>
        <w:tc>
          <w:tcPr>
            <w:tcW w:type="dxa" w:w="1894"/>
            <w:shd w:fill="FAFAFA"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Bs 165</w:t>
            </w:r>
          </w:p>
        </w:tc>
        <w:tc>
          <w:tcPr>
            <w:tcW w:type="dxa" w:w="1894"/>
            <w:shd w:fill="FAFAFA"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Bs 143,00</w:t>
            </w:r>
          </w:p>
        </w:tc>
        <w:tc>
          <w:tcPr>
            <w:tcW w:type="dxa" w:w="1894"/>
            <w:shd w:fill="FAFAFA"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115,4</w:t>
            </w:r>
          </w:p>
        </w:tc>
        <w:tc>
          <w:tcPr>
            <w:tcW w:type="dxa" w:w="1895"/>
            <w:shd w:fill="FAFAFA"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15,4%</w:t>
            </w:r>
          </w:p>
        </w:tc>
      </w:tr>
      <w:tr>
        <w:trPr>
          <w:tblHeader w:val="false"/>
        </w:trPr>
        <w:tc>
          <w:tcPr>
            <w:tcW w:type="dxa" w:w="1443"/>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Año 3</w:t>
            </w:r>
          </w:p>
        </w:tc>
        <w:tc>
          <w:tcPr>
            <w:tcW w:type="dxa" w:w="1894"/>
            <w:shd w:fill="FFFFFF"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Bs 207</w:t>
            </w:r>
          </w:p>
        </w:tc>
        <w:tc>
          <w:tcPr>
            <w:tcW w:type="dxa" w:w="1894"/>
            <w:shd w:fill="FFFFFF"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Bs 149,50</w:t>
            </w:r>
          </w:p>
        </w:tc>
        <w:tc>
          <w:tcPr>
            <w:tcW w:type="dxa" w:w="1894"/>
            <w:shd w:fill="FFFFFF"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138,5</w:t>
            </w:r>
          </w:p>
        </w:tc>
        <w:tc>
          <w:tcPr>
            <w:tcW w:type="dxa" w:w="1895"/>
            <w:shd w:fill="FFFFFF"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20,0%</w:t>
            </w:r>
          </w:p>
        </w:tc>
      </w:tr>
    </w:tbl>
    <w:p>
      <w:pPr>
        <w:spacing w:after="200"/>
      </w:pPr>
    </w:p>
    <w:p>
      <w:pPr>
        <w:spacing w:after="140" w:before="140"/>
        <w:jc w:val="center"/>
      </w:pPr>
      <w:r>
        <w:rPr>
          <w:rFonts w:ascii="Cambria" w:cs="Cambria" w:eastAsia="Cambria" w:hAnsi="Cambria"/>
          <w:b/>
          <w:bCs/>
          <w:color w:val="1F3864"/>
          <w:sz w:val="24"/>
          <w:szCs w:val="24"/>
        </w:rPr>
        <w:t xml:space="preserve">(1 + crecimiento nominal) = (1 + crecimiento real) × (1 + inflación)</w:t>
      </w:r>
    </w:p>
    <w:p>
      <w:pPr>
        <w:spacing w:after="140" w:line="276"/>
        <w:jc w:val="both"/>
      </w:pPr>
      <w:r>
        <w:rPr>
          <w:rFonts w:ascii="Calibri" w:cs="Calibri" w:eastAsia="Calibri" w:hAnsi="Calibri"/>
          <w:color w:val="000000"/>
          <w:sz w:val="21"/>
          <w:szCs w:val="21"/>
        </w:rPr>
        <w:t xml:space="preserve">Verificación con el Año 1 → Año 2: 1,10 × 1,154 = 1,269, es decir el 26,9% de crecimiento nominal calculado antes.</w:t>
      </w:r>
    </w:p>
    <w:p>
      <w:pPr>
        <w:spacing w:after="12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La aproximación que se usa en la práctica (y cuándo falla)</w:t>
            </w:r>
          </w:p>
          <w:p>
            <w:pPr>
              <w:spacing w:after="80" w:line="276"/>
              <w:jc w:val="both"/>
            </w:pPr>
            <w:r>
              <w:rPr>
                <w:rFonts w:ascii="Calibri" w:cs="Calibri" w:eastAsia="Calibri" w:hAnsi="Calibri"/>
                <w:color w:val="000000"/>
                <w:sz w:val="21"/>
                <w:szCs w:val="21"/>
              </w:rPr>
              <w:t xml:space="preserve">Desarrollando el producto de la identidad exacta se obtiene la aproximación de uso corriente:</w:t>
            </w:r>
          </w:p>
          <w:p>
            <w:pPr>
              <w:spacing w:after="80" w:line="276"/>
              <w:jc w:val="both"/>
            </w:pPr>
            <w:r>
              <w:rPr>
                <w:rFonts w:ascii="Calibri" w:cs="Calibri" w:eastAsia="Calibri" w:hAnsi="Calibri"/>
                <w:b/>
                <w:bCs/>
                <w:color w:val="000000"/>
                <w:sz w:val="21"/>
                <w:szCs w:val="21"/>
              </w:rPr>
              <w:t xml:space="preserve">crecimiento nominal ≈ crecimiento real + inflación</w:t>
            </w:r>
          </w:p>
          <w:p>
            <w:pPr>
              <w:spacing w:after="80" w:line="276"/>
              <w:jc w:val="both"/>
            </w:pPr>
            <w:r>
              <w:rPr>
                <w:rFonts w:ascii="Calibri" w:cs="Calibri" w:eastAsia="Calibri" w:hAnsi="Calibri"/>
                <w:color w:val="000000"/>
                <w:sz w:val="21"/>
                <w:szCs w:val="21"/>
              </w:rPr>
              <w:t xml:space="preserve">Con los datos del Año 1 → Año 2: 10,0% + 15,4% = 25,4%, frente al 26,9% verdadero. El error de 1,5 puntos es el término cruzado (0,10 × 0,154) que la aproximación descarta.</w:t>
            </w:r>
          </w:p>
          <w:p>
            <w:pPr>
              <w:spacing w:after="0" w:line="276"/>
              <w:jc w:val="both"/>
            </w:pPr>
            <w:r>
              <w:rPr>
                <w:rFonts w:ascii="Calibri" w:cs="Calibri" w:eastAsia="Calibri" w:hAnsi="Calibri"/>
                <w:color w:val="000000"/>
                <w:sz w:val="21"/>
                <w:szCs w:val="21"/>
              </w:rPr>
              <w:t xml:space="preserve">La regla práctica: la aproximación es aceptable con tasas bajas (un dígito) y </w:t>
            </w:r>
            <w:r>
              <w:rPr>
                <w:rFonts w:ascii="Calibri" w:cs="Calibri" w:eastAsia="Calibri" w:hAnsi="Calibri"/>
                <w:b/>
                <w:bCs/>
                <w:color w:val="000000"/>
                <w:sz w:val="21"/>
                <w:szCs w:val="21"/>
              </w:rPr>
              <w:t xml:space="preserve">se vuelve inservible con inflación alta</w:t>
            </w:r>
            <w:r>
              <w:rPr>
                <w:rFonts w:ascii="Calibri" w:cs="Calibri" w:eastAsia="Calibri" w:hAnsi="Calibri"/>
                <w:color w:val="000000"/>
                <w:sz w:val="21"/>
                <w:szCs w:val="21"/>
              </w:rPr>
              <w:t xml:space="preserve">. Con la inflación boliviana de 2025 (20,40%) el término cruzado ya pesa demasiado. En un examen, si te dan tasas altas, usa la identidad exacta; si te dan tasas pequeñas y piden rapidez, la aproximación basta. Explicitar cuál usaste y por qué suele valer puntos.</w:t>
            </w:r>
          </w:p>
        </w:tc>
      </w:tr>
    </w:tbl>
    <w:p>
      <w:pPr>
        <w:pStyle w:val="Heading2"/>
        <w:spacing w:after="140" w:before="320"/>
      </w:pPr>
      <w:r>
        <w:rPr>
          <w:rFonts w:ascii="Calibri" w:cs="Calibri" w:eastAsia="Calibri" w:hAnsi="Calibri"/>
          <w:b/>
          <w:bCs/>
          <w:color w:val="1F3864"/>
          <w:sz w:val="26"/>
          <w:szCs w:val="26"/>
        </w:rPr>
        <w:t xml:space="preserve">3.4 El problema del año base</w:t>
      </w:r>
    </w:p>
    <w:p>
      <w:pPr>
        <w:spacing w:after="140" w:line="276"/>
        <w:jc w:val="both"/>
      </w:pPr>
      <w:r>
        <w:rPr>
          <w:rFonts w:ascii="Calibri" w:cs="Calibri" w:eastAsia="Calibri" w:hAnsi="Calibri"/>
          <w:color w:val="000000"/>
          <w:sz w:val="21"/>
          <w:szCs w:val="21"/>
        </w:rPr>
        <w:t xml:space="preserve">Repitamos el cálculo del PIB real de El Trigal usando el precio del Año 3 (Bs 1,80) como base, en lugar del Año 1:</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3067"/>
        <w:gridCol w:w="2977"/>
        <w:gridCol w:w="2976"/>
      </w:tblGrid>
      <w:tr>
        <w:trPr>
          <w:tblHeader/>
        </w:trPr>
        <w:tc>
          <w:tcPr>
            <w:tcW w:type="dxa" w:w="3067"/>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Año</w:t>
            </w:r>
          </w:p>
        </w:tc>
        <w:tc>
          <w:tcPr>
            <w:tcW w:type="dxa" w:w="2977"/>
            <w:shd w:fill="D9E2F3" w:val="clear"/>
            <w:tcMar>
              <w:top w:type="dxa" w:w="90"/>
              <w:left w:type="dxa" w:w="130"/>
              <w:bottom w:type="dxa" w:w="90"/>
              <w:right w:type="dxa" w:w="130"/>
            </w:tcMar>
          </w:tcPr>
          <w:p>
            <w:pPr>
              <w:spacing w:after="0" w:line="260"/>
              <w:jc w:val="right"/>
            </w:pPr>
            <w:r>
              <w:rPr>
                <w:rFonts w:ascii="Calibri" w:cs="Calibri" w:eastAsia="Calibri" w:hAnsi="Calibri"/>
                <w:b/>
                <w:bCs/>
                <w:color w:val="1F3864"/>
                <w:sz w:val="19"/>
                <w:szCs w:val="19"/>
              </w:rPr>
              <w:t xml:space="preserve">PIB real (base Año 1)</w:t>
            </w:r>
          </w:p>
        </w:tc>
        <w:tc>
          <w:tcPr>
            <w:tcW w:type="dxa" w:w="2976"/>
            <w:shd w:fill="D9E2F3" w:val="clear"/>
            <w:tcMar>
              <w:top w:type="dxa" w:w="90"/>
              <w:left w:type="dxa" w:w="130"/>
              <w:bottom w:type="dxa" w:w="90"/>
              <w:right w:type="dxa" w:w="130"/>
            </w:tcMar>
          </w:tcPr>
          <w:p>
            <w:pPr>
              <w:spacing w:after="0" w:line="260"/>
              <w:jc w:val="right"/>
            </w:pPr>
            <w:r>
              <w:rPr>
                <w:rFonts w:ascii="Calibri" w:cs="Calibri" w:eastAsia="Calibri" w:hAnsi="Calibri"/>
                <w:b/>
                <w:bCs/>
                <w:color w:val="1F3864"/>
                <w:sz w:val="19"/>
                <w:szCs w:val="19"/>
              </w:rPr>
              <w:t xml:space="preserve">PIB real (base Año 3)</w:t>
            </w:r>
          </w:p>
        </w:tc>
      </w:tr>
      <w:tr>
        <w:trPr>
          <w:tblHeader w:val="false"/>
        </w:trPr>
        <w:tc>
          <w:tcPr>
            <w:tcW w:type="dxa" w:w="3067"/>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Año 1</w:t>
            </w:r>
          </w:p>
        </w:tc>
        <w:tc>
          <w:tcPr>
            <w:tcW w:type="dxa" w:w="2977"/>
            <w:shd w:fill="FFFFFF"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Bs 130,00</w:t>
            </w:r>
          </w:p>
        </w:tc>
        <w:tc>
          <w:tcPr>
            <w:tcW w:type="dxa" w:w="2976"/>
            <w:shd w:fill="FFFFFF"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Bs 180,00</w:t>
            </w:r>
          </w:p>
        </w:tc>
      </w:tr>
      <w:tr>
        <w:trPr>
          <w:tblHeader w:val="false"/>
        </w:trPr>
        <w:tc>
          <w:tcPr>
            <w:tcW w:type="dxa" w:w="3067"/>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Año 2</w:t>
            </w:r>
          </w:p>
        </w:tc>
        <w:tc>
          <w:tcPr>
            <w:tcW w:type="dxa" w:w="2977"/>
            <w:shd w:fill="FAFAFA"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Bs 143,00</w:t>
            </w:r>
          </w:p>
        </w:tc>
        <w:tc>
          <w:tcPr>
            <w:tcW w:type="dxa" w:w="2976"/>
            <w:shd w:fill="FAFAFA"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Bs 198,00</w:t>
            </w:r>
          </w:p>
        </w:tc>
      </w:tr>
      <w:tr>
        <w:trPr>
          <w:tblHeader w:val="false"/>
        </w:trPr>
        <w:tc>
          <w:tcPr>
            <w:tcW w:type="dxa" w:w="3067"/>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Año 3</w:t>
            </w:r>
          </w:p>
        </w:tc>
        <w:tc>
          <w:tcPr>
            <w:tcW w:type="dxa" w:w="2977"/>
            <w:shd w:fill="FFFFFF"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Bs 149,50</w:t>
            </w:r>
          </w:p>
        </w:tc>
        <w:tc>
          <w:tcPr>
            <w:tcW w:type="dxa" w:w="2976"/>
            <w:shd w:fill="FFFFFF"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Bs 207,00</w:t>
            </w:r>
          </w:p>
        </w:tc>
      </w:tr>
      <w:tr>
        <w:trPr>
          <w:tblHeader w:val="false"/>
        </w:trPr>
        <w:tc>
          <w:tcPr>
            <w:tcW w:type="dxa" w:w="3067"/>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Crecimiento Año 1 → Año 2</w:t>
            </w:r>
          </w:p>
        </w:tc>
        <w:tc>
          <w:tcPr>
            <w:tcW w:type="dxa" w:w="2977"/>
            <w:shd w:fill="FAFAFA"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10,0%</w:t>
            </w:r>
          </w:p>
        </w:tc>
        <w:tc>
          <w:tcPr>
            <w:tcW w:type="dxa" w:w="2976"/>
            <w:shd w:fill="FAFAFA" w:val="clear"/>
            <w:tcMar>
              <w:top w:type="dxa" w:w="90"/>
              <w:left w:type="dxa" w:w="130"/>
              <w:bottom w:type="dxa" w:w="90"/>
              <w:right w:type="dxa" w:w="130"/>
            </w:tcMar>
          </w:tcPr>
          <w:p>
            <w:pPr>
              <w:spacing w:after="0" w:line="260"/>
              <w:jc w:val="right"/>
            </w:pPr>
            <w:r>
              <w:rPr>
                <w:rFonts w:ascii="Calibri" w:cs="Calibri" w:eastAsia="Calibri" w:hAnsi="Calibri"/>
                <w:color w:val="000000"/>
                <w:sz w:val="19"/>
                <w:szCs w:val="19"/>
              </w:rPr>
              <w:t xml:space="preserve">10,0%</w:t>
            </w:r>
          </w:p>
        </w:tc>
      </w:tr>
    </w:tbl>
    <w:p>
      <w:pPr>
        <w:spacing w:after="120"/>
      </w:pPr>
    </w:p>
    <w:p>
      <w:pPr>
        <w:spacing w:after="140" w:line="276"/>
        <w:jc w:val="both"/>
      </w:pPr>
      <w:r>
        <w:rPr>
          <w:rFonts w:ascii="Calibri" w:cs="Calibri" w:eastAsia="Calibri" w:hAnsi="Calibri"/>
          <w:color w:val="000000"/>
          <w:sz w:val="21"/>
          <w:szCs w:val="21"/>
        </w:rPr>
        <w:t xml:space="preserve">El </w:t>
      </w:r>
      <w:r>
        <w:rPr>
          <w:rFonts w:ascii="Calibri" w:cs="Calibri" w:eastAsia="Calibri" w:hAnsi="Calibri"/>
          <w:b/>
          <w:bCs/>
          <w:color w:val="000000"/>
          <w:sz w:val="21"/>
          <w:szCs w:val="21"/>
        </w:rPr>
        <w:t xml:space="preserve">nivel</w:t>
      </w:r>
      <w:r>
        <w:rPr>
          <w:rFonts w:ascii="Calibri" w:cs="Calibri" w:eastAsia="Calibri" w:hAnsi="Calibri"/>
          <w:color w:val="000000"/>
          <w:sz w:val="21"/>
          <w:szCs w:val="21"/>
        </w:rPr>
        <w:t xml:space="preserve"> del PIB real cambia según el año base, pero la </w:t>
      </w:r>
      <w:r>
        <w:rPr>
          <w:rFonts w:ascii="Calibri" w:cs="Calibri" w:eastAsia="Calibri" w:hAnsi="Calibri"/>
          <w:b/>
          <w:bCs/>
          <w:color w:val="000000"/>
          <w:sz w:val="21"/>
          <w:szCs w:val="21"/>
        </w:rPr>
        <w:t xml:space="preserve">tasa de crecimiento</w:t>
      </w:r>
      <w:r>
        <w:rPr>
          <w:rFonts w:ascii="Calibri" w:cs="Calibri" w:eastAsia="Calibri" w:hAnsi="Calibri"/>
          <w:color w:val="000000"/>
          <w:sz w:val="21"/>
          <w:szCs w:val="21"/>
        </w:rPr>
        <w:t xml:space="preserve"> es idéntica. Aquí ocurre así porque hay un solo bien. Con muchos bienes y precios relativos cambiantes, esto deja de ser cierto.</w:t>
      </w:r>
    </w:p>
    <w:p>
      <w:pPr>
        <w:pStyle w:val="Heading3"/>
        <w:spacing w:after="120" w:before="240"/>
      </w:pPr>
      <w:r>
        <w:rPr>
          <w:rFonts w:ascii="Calibri" w:cs="Calibri" w:eastAsia="Calibri" w:hAnsi="Calibri"/>
          <w:b/>
          <w:bCs/>
          <w:color w:val="2E5496"/>
          <w:sz w:val="23"/>
          <w:szCs w:val="23"/>
        </w:rPr>
        <w:t xml:space="preserve">Índices de precios encadenados</w:t>
      </w:r>
    </w:p>
    <w:p>
      <w:pPr>
        <w:pStyle w:val="ListParagraph"/>
        <w:numPr>
          <w:ilvl w:val="0"/>
          <w:numId w:val="1"/>
        </w:numPr>
        <w:spacing w:after="70" w:line="276"/>
      </w:pPr>
      <w:r>
        <w:rPr>
          <w:rFonts w:ascii="Calibri" w:cs="Calibri" w:eastAsia="Calibri" w:hAnsi="Calibri"/>
          <w:b/>
          <w:bCs/>
          <w:color w:val="000000"/>
          <w:sz w:val="21"/>
          <w:szCs w:val="21"/>
        </w:rPr>
        <w:t xml:space="preserve">El problema.</w:t>
      </w:r>
      <w:r>
        <w:rPr>
          <w:rFonts w:ascii="Calibri" w:cs="Calibri" w:eastAsia="Calibri" w:hAnsi="Calibri"/>
          <w:color w:val="000000"/>
          <w:sz w:val="21"/>
          <w:szCs w:val="21"/>
        </w:rPr>
        <w:t xml:space="preserve"> Si se usan precios de un año base fijo y antiguo, se sobrestima el crecimiento real de los bienes cuyo precio relativo cayó mucho (el caso clásico es el de las computadoras).</w:t>
      </w:r>
    </w:p>
    <w:p>
      <w:pPr>
        <w:pStyle w:val="ListParagraph"/>
        <w:numPr>
          <w:ilvl w:val="0"/>
          <w:numId w:val="1"/>
        </w:numPr>
        <w:spacing w:after="70" w:line="276"/>
      </w:pPr>
      <w:r>
        <w:rPr>
          <w:rFonts w:ascii="Calibri" w:cs="Calibri" w:eastAsia="Calibri" w:hAnsi="Calibri"/>
          <w:b/>
          <w:bCs/>
          <w:color w:val="000000"/>
          <w:sz w:val="21"/>
          <w:szCs w:val="21"/>
        </w:rPr>
        <w:t xml:space="preserve">La solución.</w:t>
      </w:r>
      <w:r>
        <w:rPr>
          <w:rFonts w:ascii="Calibri" w:cs="Calibri" w:eastAsia="Calibri" w:hAnsi="Calibri"/>
          <w:color w:val="000000"/>
          <w:sz w:val="21"/>
          <w:szCs w:val="21"/>
        </w:rPr>
        <w:t xml:space="preserve"> Los índices encadenados actualizan las ponderaciones cada año, encadenando las tasas de variación en lugar de usar un único año base fijo.</w:t>
      </w:r>
    </w:p>
    <w:p>
      <w:pPr>
        <w:pStyle w:val="ListParagraph"/>
        <w:numPr>
          <w:ilvl w:val="0"/>
          <w:numId w:val="1"/>
        </w:numPr>
        <w:spacing w:after="70" w:line="276"/>
      </w:pPr>
      <w:r>
        <w:rPr>
          <w:rFonts w:ascii="Calibri" w:cs="Calibri" w:eastAsia="Calibri" w:hAnsi="Calibri"/>
          <w:b/>
          <w:bCs/>
          <w:color w:val="000000"/>
          <w:sz w:val="21"/>
          <w:szCs w:val="21"/>
        </w:rPr>
        <w:t xml:space="preserve">En la práctica.</w:t>
      </w:r>
      <w:r>
        <w:rPr>
          <w:rFonts w:ascii="Calibri" w:cs="Calibri" w:eastAsia="Calibri" w:hAnsi="Calibri"/>
          <w:color w:val="000000"/>
          <w:sz w:val="21"/>
          <w:szCs w:val="21"/>
        </w:rPr>
        <w:t xml:space="preserve"> La mayoría de los países usan variantes de este método en sus cuentas nacionales oficiales.</w:t>
      </w:r>
    </w:p>
    <w:p>
      <w:pPr>
        <w:spacing w:after="12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El año base en Bolivia: un dato que cambia las cifras</w:t>
            </w:r>
          </w:p>
          <w:p>
            <w:pPr>
              <w:spacing w:after="80" w:line="276"/>
              <w:jc w:val="both"/>
            </w:pPr>
            <w:r>
              <w:rPr>
                <w:rFonts w:ascii="Calibri" w:cs="Calibri" w:eastAsia="Calibri" w:hAnsi="Calibri"/>
                <w:color w:val="000000"/>
                <w:sz w:val="21"/>
                <w:szCs w:val="21"/>
              </w:rPr>
              <w:t xml:space="preserve">Bolivia trabajó durante mucho tiempo con </w:t>
            </w:r>
            <w:r>
              <w:rPr>
                <w:rFonts w:ascii="Calibri" w:cs="Calibri" w:eastAsia="Calibri" w:hAnsi="Calibri"/>
                <w:b/>
                <w:bCs/>
                <w:color w:val="000000"/>
                <w:sz w:val="21"/>
                <w:szCs w:val="21"/>
              </w:rPr>
              <w:t xml:space="preserve">1990</w:t>
            </w:r>
            <w:r>
              <w:rPr>
                <w:rFonts w:ascii="Calibri" w:cs="Calibri" w:eastAsia="Calibri" w:hAnsi="Calibri"/>
                <w:color w:val="000000"/>
                <w:sz w:val="21"/>
                <w:szCs w:val="21"/>
              </w:rPr>
              <w:t xml:space="preserve"> como año base de sus cuentas nacionales, un rezago inusualmente largo. La actualización al año base </w:t>
            </w:r>
            <w:r>
              <w:rPr>
                <w:rFonts w:ascii="Calibri" w:cs="Calibri" w:eastAsia="Calibri" w:hAnsi="Calibri"/>
                <w:b/>
                <w:bCs/>
                <w:color w:val="000000"/>
                <w:sz w:val="21"/>
                <w:szCs w:val="21"/>
              </w:rPr>
              <w:t xml:space="preserve">2017</w:t>
            </w:r>
            <w:r>
              <w:rPr>
                <w:rFonts w:ascii="Calibri" w:cs="Calibri" w:eastAsia="Calibri" w:hAnsi="Calibri"/>
                <w:color w:val="000000"/>
                <w:sz w:val="21"/>
                <w:szCs w:val="21"/>
              </w:rPr>
              <w:t xml:space="preserve"> modifica las series históricas de crecimiento.</w:t>
            </w:r>
          </w:p>
          <w:p>
            <w:pPr>
              <w:spacing w:after="0" w:line="276"/>
              <w:jc w:val="both"/>
            </w:pPr>
            <w:r>
              <w:rPr>
                <w:rFonts w:ascii="Calibri" w:cs="Calibri" w:eastAsia="Calibri" w:hAnsi="Calibri"/>
                <w:color w:val="000000"/>
                <w:sz w:val="21"/>
                <w:szCs w:val="21"/>
              </w:rPr>
              <w:t xml:space="preserve">Consecuencia práctica al estudiar: si comparas una tasa de crecimiento publicada hace años con una publicada hoy, puede que no sean comparables porque la base cambió. Antes de contrastar dos cifras, verifica </w:t>
            </w:r>
            <w:r>
              <w:rPr>
                <w:rFonts w:ascii="Calibri" w:cs="Calibri" w:eastAsia="Calibri" w:hAnsi="Calibri"/>
                <w:i/>
                <w:iCs/>
                <w:color w:val="000000"/>
                <w:sz w:val="21"/>
                <w:szCs w:val="21"/>
              </w:rPr>
              <w:t xml:space="preserve">siempre</w:t>
            </w:r>
            <w:r>
              <w:rPr>
                <w:rFonts w:ascii="Calibri" w:cs="Calibri" w:eastAsia="Calibri" w:hAnsi="Calibri"/>
                <w:color w:val="000000"/>
                <w:sz w:val="21"/>
                <w:szCs w:val="21"/>
              </w:rPr>
              <w:t xml:space="preserve"> el año base y si la serie fue empalmada.</w:t>
            </w:r>
          </w:p>
        </w:tc>
      </w:tr>
    </w:tbl>
    <w:p>
      <w:pPr>
        <w:pStyle w:val="Heading2"/>
        <w:spacing w:after="140" w:before="320"/>
      </w:pPr>
      <w:r>
        <w:rPr>
          <w:rFonts w:ascii="Calibri" w:cs="Calibri" w:eastAsia="Calibri" w:hAnsi="Calibri"/>
          <w:b/>
          <w:bCs/>
          <w:color w:val="1F3864"/>
          <w:sz w:val="26"/>
          <w:szCs w:val="26"/>
        </w:rPr>
        <w:t xml:space="preserve">3.5 Deflactor del PIB e IPC: no son lo mismo</w:t>
      </w:r>
    </w:p>
    <w:p>
      <w:pPr>
        <w:spacing w:after="140" w:line="276"/>
        <w:jc w:val="both"/>
      </w:pPr>
      <w:r>
        <w:rPr>
          <w:rFonts w:ascii="Calibri" w:cs="Calibri" w:eastAsia="Calibri" w:hAnsi="Calibri"/>
          <w:color w:val="000000"/>
          <w:sz w:val="21"/>
          <w:szCs w:val="21"/>
        </w:rPr>
        <w:t xml:space="preserve">Es la confusión más señalada por el curso. Ambos miden precios, pero miden precios </w:t>
      </w:r>
      <w:r>
        <w:rPr>
          <w:rFonts w:ascii="Calibri" w:cs="Calibri" w:eastAsia="Calibri" w:hAnsi="Calibri"/>
          <w:i/>
          <w:iCs/>
          <w:color w:val="000000"/>
          <w:sz w:val="21"/>
          <w:szCs w:val="21"/>
        </w:rPr>
        <w:t xml:space="preserve">de cosas distintas</w:t>
      </w:r>
      <w:r>
        <w:rPr>
          <w:rFonts w:ascii="Calibri" w:cs="Calibri" w:eastAsia="Calibri" w:hAnsi="Calibri"/>
          <w:color w:val="000000"/>
          <w:sz w:val="21"/>
          <w:szCs w:val="21"/>
        </w:rPr>
        <w:t xml:space="preserve">.</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1984"/>
        <w:gridCol w:w="3518"/>
        <w:gridCol w:w="3518"/>
      </w:tblGrid>
      <w:tr>
        <w:trPr>
          <w:tblHeader/>
        </w:trPr>
        <w:tc>
          <w:tcPr>
            <w:tcW w:type="dxa" w:w="198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Criterio</w:t>
            </w:r>
          </w:p>
        </w:tc>
        <w:tc>
          <w:tcPr>
            <w:tcW w:type="dxa" w:w="3518"/>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Deflactor del PIB</w:t>
            </w:r>
          </w:p>
        </w:tc>
        <w:tc>
          <w:tcPr>
            <w:tcW w:type="dxa" w:w="3518"/>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IPC</w:t>
            </w:r>
          </w:p>
        </w:tc>
      </w:tr>
      <w:tr>
        <w:trPr>
          <w:tblHeader w:val="false"/>
        </w:trPr>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Qué cubre</w:t>
            </w:r>
          </w:p>
        </w:tc>
        <w:tc>
          <w:tcPr>
            <w:tcW w:type="dxa" w:w="3518"/>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Todo lo producido dentro del país</w:t>
            </w:r>
          </w:p>
        </w:tc>
        <w:tc>
          <w:tcPr>
            <w:tcW w:type="dxa" w:w="3518"/>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Solo la canasta de consumo de los hogares</w:t>
            </w:r>
          </w:p>
        </w:tc>
      </w:tr>
      <w:tr>
        <w:trPr>
          <w:tblHeader w:val="false"/>
        </w:trPr>
        <w:tc>
          <w:tcPr>
            <w:tcW w:type="dxa" w:w="1984"/>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Bienes de capital</w:t>
            </w:r>
          </w:p>
        </w:tc>
        <w:tc>
          <w:tcPr>
            <w:tcW w:type="dxa" w:w="3518"/>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Incluidos</w:t>
            </w:r>
          </w:p>
        </w:tc>
        <w:tc>
          <w:tcPr>
            <w:tcW w:type="dxa" w:w="3518"/>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No incluidos</w:t>
            </w:r>
          </w:p>
        </w:tc>
      </w:tr>
      <w:tr>
        <w:trPr>
          <w:tblHeader w:val="false"/>
        </w:trPr>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Bienes importados</w:t>
            </w:r>
          </w:p>
        </w:tc>
        <w:tc>
          <w:tcPr>
            <w:tcW w:type="dxa" w:w="3518"/>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No incluidos (no se producen aquí)</w:t>
            </w:r>
          </w:p>
        </w:tc>
        <w:tc>
          <w:tcPr>
            <w:tcW w:type="dxa" w:w="3518"/>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Incluidos si los hogares los consumen</w:t>
            </w:r>
          </w:p>
        </w:tc>
      </w:tr>
      <w:tr>
        <w:trPr>
          <w:tblHeader w:val="false"/>
        </w:trPr>
        <w:tc>
          <w:tcPr>
            <w:tcW w:type="dxa" w:w="1984"/>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Canasta</w:t>
            </w:r>
          </w:p>
        </w:tc>
        <w:tc>
          <w:tcPr>
            <w:tcW w:type="dxa" w:w="3518"/>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Variable: cambia con lo que se produce cada año</w:t>
            </w:r>
          </w:p>
        </w:tc>
        <w:tc>
          <w:tcPr>
            <w:tcW w:type="dxa" w:w="3518"/>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Fija: ponderaciones de un período de referencia</w:t>
            </w:r>
          </w:p>
        </w:tc>
      </w:tr>
      <w:tr>
        <w:trPr>
          <w:tblHeader w:val="false"/>
        </w:trPr>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Tipo de índice [AÑADIDO]</w:t>
            </w:r>
          </w:p>
        </w:tc>
        <w:tc>
          <w:tcPr>
            <w:tcW w:type="dxa" w:w="3518"/>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Paasche (pondera con cantidades del año corriente)</w:t>
            </w:r>
          </w:p>
        </w:tc>
        <w:tc>
          <w:tcPr>
            <w:tcW w:type="dxa" w:w="3518"/>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Laspeyres (pondera con cantidades del año base)</w:t>
            </w:r>
          </w:p>
        </w:tc>
      </w:tr>
    </w:tbl>
    <w:p>
      <w:pPr>
        <w:spacing w:after="20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Cuándo divergen, con ejemplo boliviano</w:t>
            </w:r>
          </w:p>
          <w:p>
            <w:pPr>
              <w:spacing w:after="80" w:line="276"/>
              <w:jc w:val="both"/>
            </w:pPr>
            <w:r>
              <w:rPr>
                <w:rFonts w:ascii="Calibri" w:cs="Calibri" w:eastAsia="Calibri" w:hAnsi="Calibri"/>
                <w:color w:val="000000"/>
                <w:sz w:val="21"/>
                <w:szCs w:val="21"/>
              </w:rPr>
              <w:t xml:space="preserve">La diferencia clave para un país como Bolivia está en la fila de los importados. Si sube el precio internacional del diésel importado:</w:t>
            </w:r>
          </w:p>
          <w:p>
            <w:pPr>
              <w:spacing w:after="80" w:line="276"/>
              <w:jc w:val="both"/>
            </w:pPr>
            <w:r>
              <w:rPr>
                <w:rFonts w:ascii="Calibri" w:cs="Calibri" w:eastAsia="Calibri" w:hAnsi="Calibri"/>
                <w:b/>
                <w:bCs/>
                <w:color w:val="000000"/>
                <w:sz w:val="21"/>
                <w:szCs w:val="21"/>
              </w:rPr>
              <w:t xml:space="preserve">El IPC sube</w:t>
            </w:r>
            <w:r>
              <w:rPr>
                <w:rFonts w:ascii="Calibri" w:cs="Calibri" w:eastAsia="Calibri" w:hAnsi="Calibri"/>
                <w:color w:val="000000"/>
                <w:sz w:val="21"/>
                <w:szCs w:val="21"/>
              </w:rPr>
              <w:t xml:space="preserve">, porque los hogares pagan más por transporte y por todo lo que el transporte encarece.</w:t>
            </w:r>
          </w:p>
          <w:p>
            <w:pPr>
              <w:spacing w:after="80" w:line="276"/>
              <w:jc w:val="both"/>
            </w:pPr>
            <w:r>
              <w:rPr>
                <w:rFonts w:ascii="Calibri" w:cs="Calibri" w:eastAsia="Calibri" w:hAnsi="Calibri"/>
                <w:b/>
                <w:bCs/>
                <w:color w:val="000000"/>
                <w:sz w:val="21"/>
                <w:szCs w:val="21"/>
              </w:rPr>
              <w:t xml:space="preserve">El deflactor del PIB no sube por esa vía</w:t>
            </w:r>
            <w:r>
              <w:rPr>
                <w:rFonts w:ascii="Calibri" w:cs="Calibri" w:eastAsia="Calibri" w:hAnsi="Calibri"/>
                <w:color w:val="000000"/>
                <w:sz w:val="21"/>
                <w:szCs w:val="21"/>
              </w:rPr>
              <w:t xml:space="preserve">, porque el diésel importado no forma parte de la producción interna. De hecho, un encarecimiento de las importaciones puede </w:t>
            </w:r>
            <w:r>
              <w:rPr>
                <w:rFonts w:ascii="Calibri" w:cs="Calibri" w:eastAsia="Calibri" w:hAnsi="Calibri"/>
                <w:i/>
                <w:iCs/>
                <w:color w:val="000000"/>
                <w:sz w:val="21"/>
                <w:szCs w:val="21"/>
              </w:rPr>
              <w:t xml:space="preserve">bajar</w:t>
            </w:r>
            <w:r>
              <w:rPr>
                <w:rFonts w:ascii="Calibri" w:cs="Calibri" w:eastAsia="Calibri" w:hAnsi="Calibri"/>
                <w:color w:val="000000"/>
                <w:sz w:val="21"/>
                <w:szCs w:val="21"/>
              </w:rPr>
              <w:t xml:space="preserve"> el deflactor por el lado de la resta de M.</w:t>
            </w:r>
          </w:p>
          <w:p>
            <w:pPr>
              <w:spacing w:after="0" w:line="276"/>
              <w:jc w:val="both"/>
            </w:pPr>
            <w:r>
              <w:rPr>
                <w:rFonts w:ascii="Calibri" w:cs="Calibri" w:eastAsia="Calibri" w:hAnsi="Calibri"/>
                <w:color w:val="000000"/>
                <w:sz w:val="21"/>
                <w:szCs w:val="21"/>
              </w:rPr>
              <w:t xml:space="preserve">Por eso, en una economía dependiente de combustibles importados, la inflación que siente el hogar (IPC) puede ser bastante más alta que la que muestra el deflactor. Cuando dos cifras de "inflación" no coinciden, lo primero que hay que preguntar es cuál índice se está usando.</w:t>
            </w:r>
          </w:p>
        </w:tc>
      </w:tr>
    </w:tbl>
    <w:p>
      <w:pPr>
        <w:pStyle w:val="Heading2"/>
        <w:spacing w:after="140" w:before="320"/>
      </w:pPr>
      <w:r>
        <w:rPr>
          <w:rFonts w:ascii="Calibri" w:cs="Calibri" w:eastAsia="Calibri" w:hAnsi="Calibri"/>
          <w:b/>
          <w:bCs/>
          <w:color w:val="1F3864"/>
          <w:sz w:val="26"/>
          <w:szCs w:val="26"/>
        </w:rPr>
        <w:t xml:space="preserve">3.6 Caso boliviano: 1985, cuando los precios se dispararon</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5953"/>
        <w:gridCol w:w="3067"/>
      </w:tblGrid>
      <w:tr>
        <w:trPr>
          <w:tblHeader/>
        </w:trPr>
        <w:tc>
          <w:tcPr>
            <w:tcW w:type="dxa" w:w="5953"/>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Dato</w:t>
            </w:r>
          </w:p>
        </w:tc>
        <w:tc>
          <w:tcPr>
            <w:tcW w:type="dxa" w:w="3067"/>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Magnitud</w:t>
            </w:r>
          </w:p>
        </w:tc>
      </w:tr>
      <w:tr>
        <w:trPr>
          <w:tblHeader w:val="false"/>
        </w:trPr>
        <w:tc>
          <w:tcPr>
            <w:tcW w:type="dxa" w:w="5953"/>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Multiplicación de precios entre abril de 1984 y agosto de 1985</w:t>
            </w:r>
          </w:p>
        </w:tc>
        <w:tc>
          <w:tcPr>
            <w:tcW w:type="dxa" w:w="3067"/>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625 veces</w:t>
            </w:r>
          </w:p>
        </w:tc>
      </w:tr>
      <w:tr>
        <w:trPr>
          <w:tblHeader w:val="false"/>
        </w:trPr>
        <w:tc>
          <w:tcPr>
            <w:tcW w:type="dxa" w:w="5953"/>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PIB por habitante de 1985 frente al de 1980</w:t>
            </w:r>
          </w:p>
        </w:tc>
        <w:tc>
          <w:tcPr>
            <w:tcW w:type="dxa" w:w="3067"/>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20% inferior</w:t>
            </w:r>
          </w:p>
        </w:tc>
      </w:tr>
      <w:tr>
        <w:trPr>
          <w:tblHeader w:val="false"/>
        </w:trPr>
        <w:tc>
          <w:tcPr>
            <w:tcW w:type="dxa" w:w="5953"/>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Caída del PIB real en 1983, en plena crisis previa</w:t>
            </w:r>
          </w:p>
        </w:tc>
        <w:tc>
          <w:tcPr>
            <w:tcW w:type="dxa" w:w="3067"/>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−6,6%</w:t>
            </w:r>
          </w:p>
        </w:tc>
      </w:tr>
    </w:tbl>
    <w:p>
      <w:pPr>
        <w:spacing w:after="200" w:before="60"/>
      </w:pPr>
      <w:r>
        <w:rPr>
          <w:rFonts w:ascii="Calibri" w:cs="Calibri" w:eastAsia="Calibri" w:hAnsi="Calibri"/>
          <w:i/>
          <w:iCs/>
          <w:color w:val="595959"/>
          <w:sz w:val="16"/>
          <w:szCs w:val="16"/>
        </w:rPr>
        <w:t xml:space="preserve">Fuente: material del curso (Gonzalo Chávez, La Hiperinflación Boliviana; Crisis económica en Bolivia 1982-1985).</w:t>
      </w:r>
    </w:p>
    <w:p>
      <w:pPr>
        <w:spacing w:after="140" w:line="276"/>
        <w:jc w:val="both"/>
      </w:pPr>
      <w:r>
        <w:rPr>
          <w:rFonts w:ascii="Calibri" w:cs="Calibri" w:eastAsia="Calibri" w:hAnsi="Calibri"/>
          <w:color w:val="000000"/>
          <w:sz w:val="21"/>
          <w:szCs w:val="21"/>
        </w:rPr>
        <w:t xml:space="preserve">En bolivianos corrientes, el PIB nominal de 1985 habría parecido gigantesco frente al de 1980. Pero el PIB real, el que de verdad mide producción, había caído. Es la demostración más extrema posible de por qué la distinción nominal/real no es un tecnicismo.</w:t>
      </w:r>
    </w:p>
    <w:p>
      <w:pPr>
        <w:spacing w:after="120"/>
      </w:pPr>
    </w:p>
    <w:tbl>
      <w:tblPr>
        <w:tblW w:type="dxa" w:w="9020"/>
        <w:tblBorders>
          <w:top w:val="single" w:color="BFBFBF" w:sz="2"/>
          <w:left w:val="single" w:color="C00000" w:sz="14"/>
          <w:bottom w:val="single" w:color="BFBFBF" w:sz="2"/>
          <w:right w:val="single" w:color="BFBFBF" w:sz="2"/>
          <w:insideH w:val="none"/>
          <w:insideV w:val="none"/>
        </w:tblBorders>
      </w:tblPr>
      <w:tblGrid>
        <w:gridCol w:w="9020"/>
      </w:tblGrid>
      <w:tr>
        <w:tc>
          <w:tcPr>
            <w:tcW w:type="dxa" w:w="9020"/>
            <w:shd w:fill="FBE4E4"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Errores frecuentes con nominal, real y deflactor</w:t>
            </w:r>
          </w:p>
          <w:p>
            <w:pPr>
              <w:spacing w:after="80" w:line="276"/>
              <w:jc w:val="both"/>
            </w:pPr>
            <w:r>
              <w:rPr>
                <w:rFonts w:ascii="Calibri" w:cs="Calibri" w:eastAsia="Calibri" w:hAnsi="Calibri"/>
                <w:b/>
                <w:bCs/>
                <w:color w:val="000000"/>
                <w:sz w:val="21"/>
                <w:szCs w:val="21"/>
              </w:rPr>
              <w:t xml:space="preserve">Confundir el deflactor con el IPC.</w:t>
            </w:r>
            <w:r>
              <w:rPr>
                <w:rFonts w:ascii="Calibri" w:cs="Calibri" w:eastAsia="Calibri" w:hAnsi="Calibri"/>
                <w:color w:val="000000"/>
                <w:sz w:val="21"/>
                <w:szCs w:val="21"/>
              </w:rPr>
              <w:t xml:space="preserve"> Miden universos distintos, como muestra la tabla anterior.</w:t>
            </w:r>
          </w:p>
          <w:p>
            <w:pPr>
              <w:spacing w:after="80" w:line="276"/>
              <w:jc w:val="both"/>
            </w:pPr>
            <w:r>
              <w:rPr>
                <w:rFonts w:ascii="Calibri" w:cs="Calibri" w:eastAsia="Calibri" w:hAnsi="Calibri"/>
                <w:b/>
                <w:bCs/>
                <w:color w:val="000000"/>
                <w:sz w:val="21"/>
                <w:szCs w:val="21"/>
              </w:rPr>
              <w:t xml:space="preserve">Olvidar que en el año base el deflactor vale 100 siempre.</w:t>
            </w:r>
            <w:r>
              <w:rPr>
                <w:rFonts w:ascii="Calibri" w:cs="Calibri" w:eastAsia="Calibri" w:hAnsi="Calibri"/>
                <w:color w:val="000000"/>
                <w:sz w:val="21"/>
                <w:szCs w:val="21"/>
              </w:rPr>
              <w:t xml:space="preserve"> Es una consecuencia directa de la definición, no un dato adicional que haya que calcular.</w:t>
            </w:r>
          </w:p>
          <w:p>
            <w:pPr>
              <w:spacing w:after="0" w:line="276"/>
              <w:jc w:val="both"/>
            </w:pPr>
            <w:r>
              <w:rPr>
                <w:rFonts w:ascii="Calibri" w:cs="Calibri" w:eastAsia="Calibri" w:hAnsi="Calibri"/>
                <w:b/>
                <w:bCs/>
                <w:color w:val="000000"/>
                <w:sz w:val="21"/>
                <w:szCs w:val="21"/>
              </w:rPr>
              <w:t xml:space="preserve">Asumir que un crecimiento nominal alto es buena noticia.</w:t>
            </w:r>
            <w:r>
              <w:rPr>
                <w:rFonts w:ascii="Calibri" w:cs="Calibri" w:eastAsia="Calibri" w:hAnsi="Calibri"/>
                <w:color w:val="000000"/>
                <w:sz w:val="21"/>
                <w:szCs w:val="21"/>
              </w:rPr>
              <w:t xml:space="preserve"> Puede estar ocultando alta inflación con poco o ningún crecimiento real, exactamente como en Bolivia en 1985.</w:t>
            </w:r>
          </w:p>
        </w:tc>
      </w:tr>
    </w:tbl>
    <w:p>
      <w:pPr>
        <w:spacing w:after="16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Lo que el PIB no mide</w:t>
            </w:r>
          </w:p>
          <w:p>
            <w:pPr>
              <w:spacing w:after="80" w:line="276"/>
              <w:jc w:val="both"/>
            </w:pPr>
            <w:r>
              <w:rPr>
                <w:rFonts w:ascii="Calibri" w:cs="Calibri" w:eastAsia="Calibri" w:hAnsi="Calibri"/>
                <w:color w:val="000000"/>
                <w:sz w:val="21"/>
                <w:szCs w:val="21"/>
              </w:rPr>
              <w:t xml:space="preserve">El curso volverá sobre esto, pero conviene anotarlo desde ahora porque es una pregunta de examen habitual y porque en Bolivia pesa más que en otros países. El PIB deja fuera:</w:t>
            </w:r>
          </w:p>
          <w:p>
            <w:pPr>
              <w:spacing w:after="80" w:line="276"/>
              <w:jc w:val="both"/>
            </w:pPr>
            <w:r>
              <w:rPr>
                <w:rFonts w:ascii="Calibri" w:cs="Calibri" w:eastAsia="Calibri" w:hAnsi="Calibri"/>
                <w:b/>
                <w:bCs/>
                <w:color w:val="000000"/>
                <w:sz w:val="21"/>
                <w:szCs w:val="21"/>
              </w:rPr>
              <w:t xml:space="preserve">La producción no registrada.</w:t>
            </w:r>
            <w:r>
              <w:rPr>
                <w:rFonts w:ascii="Calibri" w:cs="Calibri" w:eastAsia="Calibri" w:hAnsi="Calibri"/>
                <w:color w:val="000000"/>
                <w:sz w:val="21"/>
                <w:szCs w:val="21"/>
              </w:rPr>
              <w:t xml:space="preserve"> Toda la economía informal que no pasa por registros. En Bolivia esto es una porción muy grande de la actividad, de modo que el PIB medido subestima la producción efectiva.</w:t>
            </w:r>
          </w:p>
          <w:p>
            <w:pPr>
              <w:spacing w:after="80" w:line="276"/>
              <w:jc w:val="both"/>
            </w:pPr>
            <w:r>
              <w:rPr>
                <w:rFonts w:ascii="Calibri" w:cs="Calibri" w:eastAsia="Calibri" w:hAnsi="Calibri"/>
                <w:b/>
                <w:bCs/>
                <w:color w:val="000000"/>
                <w:sz w:val="21"/>
                <w:szCs w:val="21"/>
              </w:rPr>
              <w:t xml:space="preserve">El trabajo doméstico y de cuidado no remunerado</w:t>
            </w:r>
            <w:r>
              <w:rPr>
                <w:rFonts w:ascii="Calibri" w:cs="Calibri" w:eastAsia="Calibri" w:hAnsi="Calibri"/>
                <w:color w:val="000000"/>
                <w:sz w:val="21"/>
                <w:szCs w:val="21"/>
              </w:rPr>
              <w:t xml:space="preserve">, mayoritariamente realizado por mujeres.</w:t>
            </w:r>
          </w:p>
          <w:p>
            <w:pPr>
              <w:spacing w:after="80" w:line="276"/>
              <w:jc w:val="both"/>
            </w:pPr>
            <w:r>
              <w:rPr>
                <w:rFonts w:ascii="Calibri" w:cs="Calibri" w:eastAsia="Calibri" w:hAnsi="Calibri"/>
                <w:b/>
                <w:bCs/>
                <w:color w:val="000000"/>
                <w:sz w:val="21"/>
                <w:szCs w:val="21"/>
              </w:rPr>
              <w:t xml:space="preserve">El agotamiento de recursos naturales y el daño ambiental.</w:t>
            </w:r>
            <w:r>
              <w:rPr>
                <w:rFonts w:ascii="Calibri" w:cs="Calibri" w:eastAsia="Calibri" w:hAnsi="Calibri"/>
                <w:color w:val="000000"/>
                <w:sz w:val="21"/>
                <w:szCs w:val="21"/>
              </w:rPr>
              <w:t xml:space="preserve"> Extraer y vender gas suma al PIB; agotar la reserva no resta nada.</w:t>
            </w:r>
          </w:p>
          <w:p>
            <w:pPr>
              <w:spacing w:after="80" w:line="276"/>
              <w:jc w:val="both"/>
            </w:pPr>
            <w:r>
              <w:rPr>
                <w:rFonts w:ascii="Calibri" w:cs="Calibri" w:eastAsia="Calibri" w:hAnsi="Calibri"/>
                <w:b/>
                <w:bCs/>
                <w:color w:val="000000"/>
                <w:sz w:val="21"/>
                <w:szCs w:val="21"/>
              </w:rPr>
              <w:t xml:space="preserve">La distribución.</w:t>
            </w:r>
            <w:r>
              <w:rPr>
                <w:rFonts w:ascii="Calibri" w:cs="Calibri" w:eastAsia="Calibri" w:hAnsi="Calibri"/>
                <w:color w:val="000000"/>
                <w:sz w:val="21"/>
                <w:szCs w:val="21"/>
              </w:rPr>
              <w:t xml:space="preserve"> Dos países con el mismo PIB per cápita pueden tener realidades sociales opuestas.</w:t>
            </w:r>
          </w:p>
          <w:p>
            <w:pPr>
              <w:spacing w:after="0" w:line="276"/>
              <w:jc w:val="both"/>
            </w:pPr>
            <w:r>
              <w:rPr>
                <w:rFonts w:ascii="Calibri" w:cs="Calibri" w:eastAsia="Calibri" w:hAnsi="Calibri"/>
                <w:color w:val="000000"/>
                <w:sz w:val="21"/>
                <w:szCs w:val="21"/>
              </w:rPr>
              <w:t xml:space="preserve">Nada de esto invalida el PIB: lo que invalida es usarlo como sinónimo de bienestar.</w:t>
            </w:r>
          </w:p>
        </w:tc>
      </w:tr>
    </w:tbl>
    <w:p>
      <w:r>
        <w:br w:type="page"/>
      </w:r>
    </w:p>
    <w:p>
      <w:pPr>
        <w:pStyle w:val="Heading1"/>
        <w:spacing w:after="200" w:before="400"/>
      </w:pPr>
      <w:r>
        <w:rPr>
          <w:rFonts w:ascii="Calibri" w:cs="Calibri" w:eastAsia="Calibri" w:hAnsi="Calibri"/>
          <w:b/>
          <w:bCs/>
          <w:color w:val="1F3864"/>
          <w:sz w:val="32"/>
          <w:szCs w:val="32"/>
        </w:rPr>
        <w:t xml:space="preserve">Parte IV · Nivel de precios, IPC y mercado laboral</w:t>
      </w:r>
    </w:p>
    <w:p>
      <w:pPr>
        <w:spacing w:after="140" w:line="276"/>
        <w:jc w:val="both"/>
      </w:pPr>
      <w:r>
        <w:rPr>
          <w:rFonts w:ascii="Calibri" w:cs="Calibri" w:eastAsia="Calibri" w:hAnsi="Calibri"/>
          <w:i/>
          <w:iCs/>
          <w:color w:val="000000"/>
          <w:sz w:val="21"/>
          <w:szCs w:val="21"/>
        </w:rPr>
        <w:t xml:space="preserve">Corresponde a las secciones 3 y 4 de tus apuntes, y anticipa la Sesión 5 y la Unidad II.</w:t>
      </w:r>
    </w:p>
    <w:p>
      <w:pPr>
        <w:pStyle w:val="Heading2"/>
        <w:spacing w:after="140" w:before="320"/>
      </w:pPr>
      <w:r>
        <w:rPr>
          <w:rFonts w:ascii="Calibri" w:cs="Calibri" w:eastAsia="Calibri" w:hAnsi="Calibri"/>
          <w:b/>
          <w:bCs/>
          <w:color w:val="1F3864"/>
          <w:sz w:val="26"/>
          <w:szCs w:val="26"/>
        </w:rPr>
        <w:t xml:space="preserve">4.1 El Índice de Precios al Consumidor</w:t>
      </w:r>
    </w:p>
    <w:p>
      <w:pPr>
        <w:spacing w:after="140" w:line="276"/>
        <w:jc w:val="both"/>
      </w:pPr>
      <w:r>
        <w:rPr>
          <w:rFonts w:ascii="Calibri" w:cs="Calibri" w:eastAsia="Calibri" w:hAnsi="Calibri"/>
          <w:color w:val="000000"/>
          <w:sz w:val="21"/>
          <w:szCs w:val="21"/>
        </w:rPr>
        <w:t xml:space="preserve">El IPC es un índice que resume la evolución de los precios de una canasta de bienes y servicios consumidos por los hogares. Los bienes entran con </w:t>
      </w:r>
      <w:r>
        <w:rPr>
          <w:rFonts w:ascii="Calibri" w:cs="Calibri" w:eastAsia="Calibri" w:hAnsi="Calibri"/>
          <w:b/>
          <w:bCs/>
          <w:color w:val="000000"/>
          <w:sz w:val="21"/>
          <w:szCs w:val="21"/>
        </w:rPr>
        <w:t xml:space="preserve">ponderaciones</w:t>
      </w:r>
      <w:r>
        <w:rPr>
          <w:rFonts w:ascii="Calibri" w:cs="Calibri" w:eastAsia="Calibri" w:hAnsi="Calibri"/>
          <w:color w:val="000000"/>
          <w:sz w:val="21"/>
          <w:szCs w:val="21"/>
        </w:rPr>
        <w:t xml:space="preserve"> según su importancia relativa en el consumo: si el pan pesa más que los televisores en el gasto de un hogar típico, una subida del pan mueve el índice más que una subida equivalente de los televisores.</w:t>
      </w:r>
    </w:p>
    <w:p>
      <w:pPr>
        <w:spacing w:after="12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Cómo se construye, en cuatro pasos</w:t>
            </w:r>
          </w:p>
          <w:p>
            <w:pPr>
              <w:spacing w:after="80" w:line="276"/>
              <w:jc w:val="both"/>
            </w:pPr>
            <w:r>
              <w:rPr>
                <w:rFonts w:ascii="Calibri" w:cs="Calibri" w:eastAsia="Calibri" w:hAnsi="Calibri"/>
                <w:b/>
                <w:bCs/>
                <w:color w:val="000000"/>
                <w:sz w:val="21"/>
                <w:szCs w:val="21"/>
              </w:rPr>
              <w:t xml:space="preserve">1. Definir la canasta.</w:t>
            </w:r>
            <w:r>
              <w:rPr>
                <w:rFonts w:ascii="Calibri" w:cs="Calibri" w:eastAsia="Calibri" w:hAnsi="Calibri"/>
                <w:color w:val="000000"/>
                <w:sz w:val="21"/>
                <w:szCs w:val="21"/>
              </w:rPr>
              <w:t xml:space="preserve"> Se determina qué bienes consume un hogar representativo y en qué proporción, a partir de una encuesta de presupuestos familiares.</w:t>
            </w:r>
          </w:p>
          <w:p>
            <w:pPr>
              <w:spacing w:after="80" w:line="276"/>
              <w:jc w:val="both"/>
            </w:pPr>
            <w:r>
              <w:rPr>
                <w:rFonts w:ascii="Calibri" w:cs="Calibri" w:eastAsia="Calibri" w:hAnsi="Calibri"/>
                <w:b/>
                <w:bCs/>
                <w:color w:val="000000"/>
                <w:sz w:val="21"/>
                <w:szCs w:val="21"/>
              </w:rPr>
              <w:t xml:space="preserve">2. Fijar las ponderaciones.</w:t>
            </w:r>
            <w:r>
              <w:rPr>
                <w:rFonts w:ascii="Calibri" w:cs="Calibri" w:eastAsia="Calibri" w:hAnsi="Calibri"/>
                <w:color w:val="000000"/>
                <w:sz w:val="21"/>
                <w:szCs w:val="21"/>
              </w:rPr>
              <w:t xml:space="preserve"> Cada bien recibe un peso igual a su participación en el gasto total.</w:t>
            </w:r>
          </w:p>
          <w:p>
            <w:pPr>
              <w:spacing w:after="80" w:line="276"/>
              <w:jc w:val="both"/>
            </w:pPr>
            <w:r>
              <w:rPr>
                <w:rFonts w:ascii="Calibri" w:cs="Calibri" w:eastAsia="Calibri" w:hAnsi="Calibri"/>
                <w:b/>
                <w:bCs/>
                <w:color w:val="000000"/>
                <w:sz w:val="21"/>
                <w:szCs w:val="21"/>
              </w:rPr>
              <w:t xml:space="preserve">3. Recoger precios periódicamente</w:t>
            </w:r>
            <w:r>
              <w:rPr>
                <w:rFonts w:ascii="Calibri" w:cs="Calibri" w:eastAsia="Calibri" w:hAnsi="Calibri"/>
                <w:color w:val="000000"/>
                <w:sz w:val="21"/>
                <w:szCs w:val="21"/>
              </w:rPr>
              <w:t xml:space="preserve">, en las mismas ciudades y establecimientos.</w:t>
            </w:r>
          </w:p>
          <w:p>
            <w:pPr>
              <w:spacing w:after="80" w:line="276"/>
              <w:jc w:val="both"/>
            </w:pPr>
            <w:r>
              <w:rPr>
                <w:rFonts w:ascii="Calibri" w:cs="Calibri" w:eastAsia="Calibri" w:hAnsi="Calibri"/>
                <w:b/>
                <w:bCs/>
                <w:color w:val="000000"/>
                <w:sz w:val="21"/>
                <w:szCs w:val="21"/>
              </w:rPr>
              <w:t xml:space="preserve">4. Calcular el índice</w:t>
            </w:r>
            <w:r>
              <w:rPr>
                <w:rFonts w:ascii="Calibri" w:cs="Calibri" w:eastAsia="Calibri" w:hAnsi="Calibri"/>
                <w:color w:val="000000"/>
                <w:sz w:val="21"/>
                <w:szCs w:val="21"/>
              </w:rPr>
              <w:t xml:space="preserve"> como promedio ponderado, normalizado a 100 en el período base.</w:t>
            </w:r>
          </w:p>
          <w:p>
            <w:pPr>
              <w:spacing w:after="0" w:line="276"/>
              <w:jc w:val="both"/>
            </w:pPr>
            <w:r>
              <w:rPr>
                <w:rFonts w:ascii="Calibri" w:cs="Calibri" w:eastAsia="Calibri" w:hAnsi="Calibri"/>
                <w:color w:val="000000"/>
                <w:sz w:val="21"/>
                <w:szCs w:val="21"/>
              </w:rPr>
              <w:t xml:space="preserve">En Bolivia el IPC lo calcula el </w:t>
            </w:r>
            <w:r>
              <w:rPr>
                <w:rFonts w:ascii="Calibri" w:cs="Calibri" w:eastAsia="Calibri" w:hAnsi="Calibri"/>
                <w:b/>
                <w:bCs/>
                <w:color w:val="000000"/>
                <w:sz w:val="21"/>
                <w:szCs w:val="21"/>
              </w:rPr>
              <w:t xml:space="preserve">INE</w:t>
            </w:r>
            <w:r>
              <w:rPr>
                <w:rFonts w:ascii="Calibri" w:cs="Calibri" w:eastAsia="Calibri" w:hAnsi="Calibri"/>
                <w:color w:val="000000"/>
                <w:sz w:val="21"/>
                <w:szCs w:val="21"/>
              </w:rPr>
              <w:t xml:space="preserve">, con una canasta de 397 productos y servicios, y se releva en ciudades capitales y conurbaciones. La cifra nacional es un promedio: en diciembre de 2025, por ejemplo, la variación mensual fue de 1,66% en Potosí y de 0,28% en la región metropolitana Kanata, con un promedio nacional de 0,59%.</w:t>
            </w:r>
          </w:p>
        </w:tc>
      </w:tr>
    </w:tbl>
    <w:p>
      <w:pPr>
        <w:pStyle w:val="Heading2"/>
        <w:spacing w:after="140" w:before="320"/>
      </w:pPr>
      <w:r>
        <w:rPr>
          <w:rFonts w:ascii="Calibri" w:cs="Calibri" w:eastAsia="Calibri" w:hAnsi="Calibri"/>
          <w:b/>
          <w:bCs/>
          <w:color w:val="1F3864"/>
          <w:sz w:val="26"/>
          <w:szCs w:val="26"/>
        </w:rPr>
        <w:t xml:space="preserve">4.2 La inflación y sus tres formas de medirla</w:t>
      </w:r>
    </w:p>
    <w:p>
      <w:pPr>
        <w:spacing w:after="140" w:line="276"/>
        <w:jc w:val="both"/>
      </w:pPr>
      <w:r>
        <w:rPr>
          <w:rFonts w:ascii="Calibri" w:cs="Calibri" w:eastAsia="Calibri" w:hAnsi="Calibri"/>
          <w:color w:val="000000"/>
          <w:sz w:val="21"/>
          <w:szCs w:val="21"/>
        </w:rPr>
        <w:t xml:space="preserve">La inflación es la variación porcentual del nivel general de precios entre dos períodos. Con el IPC como referencia:</w:t>
      </w:r>
    </w:p>
    <w:p>
      <w:pPr>
        <w:spacing w:after="140" w:before="140"/>
        <w:jc w:val="center"/>
      </w:pPr>
      <w:r>
        <w:rPr>
          <w:rFonts w:ascii="Cambria" w:cs="Cambria" w:eastAsia="Cambria" w:hAnsi="Cambria"/>
          <w:b/>
          <w:bCs/>
          <w:color w:val="1F3864"/>
          <w:sz w:val="24"/>
          <w:szCs w:val="24"/>
        </w:rPr>
        <w:t xml:space="preserve">Inflación (%) = [(IPCt − IPCt−1) / IPCt−1] × 100</w:t>
      </w:r>
    </w:p>
    <w:p>
      <w:pPr>
        <w:spacing w:after="12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Las tres tasas que hay que distinguir</w:t>
            </w:r>
          </w:p>
          <w:p>
            <w:pPr>
              <w:spacing w:after="80" w:line="276"/>
              <w:jc w:val="both"/>
            </w:pPr>
            <w:r>
              <w:rPr>
                <w:rFonts w:ascii="Calibri" w:cs="Calibri" w:eastAsia="Calibri" w:hAnsi="Calibri"/>
                <w:color w:val="000000"/>
                <w:sz w:val="21"/>
                <w:szCs w:val="21"/>
              </w:rPr>
              <w:t xml:space="preserve">La fórmula anterior no dice </w:t>
            </w:r>
            <w:r>
              <w:rPr>
                <w:rFonts w:ascii="Calibri" w:cs="Calibri" w:eastAsia="Calibri" w:hAnsi="Calibri"/>
                <w:i/>
                <w:iCs/>
                <w:color w:val="000000"/>
                <w:sz w:val="21"/>
                <w:szCs w:val="21"/>
              </w:rPr>
              <w:t xml:space="preserve">qué período</w:t>
            </w:r>
            <w:r>
              <w:rPr>
                <w:rFonts w:ascii="Calibri" w:cs="Calibri" w:eastAsia="Calibri" w:hAnsi="Calibri"/>
                <w:color w:val="000000"/>
                <w:sz w:val="21"/>
                <w:szCs w:val="21"/>
              </w:rPr>
              <w:t xml:space="preserve"> es t. Según qué se elija salen tres cifras distintas, y confundirlas es el error más común al leer prensa económica:</w:t>
            </w:r>
          </w:p>
          <w:p>
            <w:pPr>
              <w:spacing w:after="80" w:line="276"/>
              <w:jc w:val="both"/>
            </w:pPr>
            <w:r>
              <w:rPr>
                <w:rFonts w:ascii="Calibri" w:cs="Calibri" w:eastAsia="Calibri" w:hAnsi="Calibri"/>
                <w:b/>
                <w:bCs/>
                <w:color w:val="000000"/>
                <w:sz w:val="21"/>
                <w:szCs w:val="21"/>
              </w:rPr>
              <w:t xml:space="preserve">Inflación mensual.</w:t>
            </w:r>
            <w:r>
              <w:rPr>
                <w:rFonts w:ascii="Calibri" w:cs="Calibri" w:eastAsia="Calibri" w:hAnsi="Calibri"/>
                <w:color w:val="000000"/>
                <w:sz w:val="21"/>
                <w:szCs w:val="21"/>
              </w:rPr>
              <w:t xml:space="preserve"> Variación del IPC respecto del mes anterior. Ejemplo: 0,59% en diciembre de 2025.</w:t>
            </w:r>
          </w:p>
          <w:p>
            <w:pPr>
              <w:spacing w:after="80" w:line="276"/>
              <w:jc w:val="both"/>
            </w:pPr>
            <w:r>
              <w:rPr>
                <w:rFonts w:ascii="Calibri" w:cs="Calibri" w:eastAsia="Calibri" w:hAnsi="Calibri"/>
                <w:b/>
                <w:bCs/>
                <w:color w:val="000000"/>
                <w:sz w:val="21"/>
                <w:szCs w:val="21"/>
              </w:rPr>
              <w:t xml:space="preserve">Inflación acumulada.</w:t>
            </w:r>
            <w:r>
              <w:rPr>
                <w:rFonts w:ascii="Calibri" w:cs="Calibri" w:eastAsia="Calibri" w:hAnsi="Calibri"/>
                <w:color w:val="000000"/>
                <w:sz w:val="21"/>
                <w:szCs w:val="21"/>
              </w:rPr>
              <w:t xml:space="preserve"> Variación desde diciembre del año anterior hasta el mes de referencia. Ejemplo: 20,40% en 2025.</w:t>
            </w:r>
          </w:p>
          <w:p>
            <w:pPr>
              <w:spacing w:after="80" w:line="276"/>
              <w:jc w:val="both"/>
            </w:pPr>
            <w:r>
              <w:rPr>
                <w:rFonts w:ascii="Calibri" w:cs="Calibri" w:eastAsia="Calibri" w:hAnsi="Calibri"/>
                <w:b/>
                <w:bCs/>
                <w:color w:val="000000"/>
                <w:sz w:val="21"/>
                <w:szCs w:val="21"/>
              </w:rPr>
              <w:t xml:space="preserve">Inflación interanual (a 12 meses).</w:t>
            </w:r>
            <w:r>
              <w:rPr>
                <w:rFonts w:ascii="Calibri" w:cs="Calibri" w:eastAsia="Calibri" w:hAnsi="Calibri"/>
                <w:color w:val="000000"/>
                <w:sz w:val="21"/>
                <w:szCs w:val="21"/>
              </w:rPr>
              <w:t xml:space="preserve"> Variación respecto del mismo mes del año anterior. Ejemplo: 9,23% a julio de 2026.</w:t>
            </w:r>
          </w:p>
          <w:p>
            <w:pPr>
              <w:spacing w:after="0" w:line="276"/>
              <w:jc w:val="both"/>
            </w:pPr>
            <w:r>
              <w:rPr>
                <w:rFonts w:ascii="Calibri" w:cs="Calibri" w:eastAsia="Calibri" w:hAnsi="Calibri"/>
                <w:color w:val="000000"/>
                <w:sz w:val="21"/>
                <w:szCs w:val="21"/>
              </w:rPr>
              <w:t xml:space="preserve">A fin de año, la acumulada y la interanual coinciden. En cualquier otro mes, no.</w:t>
            </w:r>
          </w:p>
        </w:tc>
      </w:tr>
    </w:tbl>
    <w:p>
      <w:pPr>
        <w:spacing w:after="160"/>
      </w:pPr>
    </w:p>
    <w:tbl>
      <w:tblPr>
        <w:tblW w:type="dxa" w:w="9020"/>
        <w:tblBorders>
          <w:top w:val="single" w:color="BFBFBF" w:sz="2"/>
          <w:left w:val="single" w:color="C00000" w:sz="14"/>
          <w:bottom w:val="single" w:color="BFBFBF" w:sz="2"/>
          <w:right w:val="single" w:color="BFBFBF" w:sz="2"/>
          <w:insideH w:val="none"/>
          <w:insideV w:val="none"/>
        </w:tblBorders>
      </w:tblPr>
      <w:tblGrid>
        <w:gridCol w:w="9020"/>
      </w:tblGrid>
      <w:tr>
        <w:tc>
          <w:tcPr>
            <w:tcW w:type="dxa" w:w="9020"/>
            <w:shd w:fill="FBE4E4"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Las inflaciones mensuales no se suman</w:t>
            </w:r>
          </w:p>
          <w:p>
            <w:pPr>
              <w:spacing w:after="80" w:line="276"/>
              <w:jc w:val="both"/>
            </w:pPr>
            <w:r>
              <w:rPr>
                <w:rFonts w:ascii="Calibri" w:cs="Calibri" w:eastAsia="Calibri" w:hAnsi="Calibri"/>
                <w:color w:val="000000"/>
                <w:sz w:val="21"/>
                <w:szCs w:val="21"/>
              </w:rPr>
              <w:t xml:space="preserve">Un error de cálculo que cuesta puntos: si la inflación fue 2% en enero y 3% en febrero, la acumulada </w:t>
            </w:r>
            <w:r>
              <w:rPr>
                <w:rFonts w:ascii="Calibri" w:cs="Calibri" w:eastAsia="Calibri" w:hAnsi="Calibri"/>
                <w:b/>
                <w:bCs/>
                <w:color w:val="000000"/>
                <w:sz w:val="21"/>
                <w:szCs w:val="21"/>
              </w:rPr>
              <w:t xml:space="preserve">no es 5%</w:t>
            </w:r>
            <w:r>
              <w:rPr>
                <w:rFonts w:ascii="Calibri" w:cs="Calibri" w:eastAsia="Calibri" w:hAnsi="Calibri"/>
                <w:color w:val="000000"/>
                <w:sz w:val="21"/>
                <w:szCs w:val="21"/>
              </w:rPr>
              <w:t xml:space="preserve">. Los precios se componen:</w:t>
            </w:r>
          </w:p>
          <w:p>
            <w:pPr>
              <w:spacing w:after="80" w:line="276"/>
              <w:jc w:val="both"/>
            </w:pPr>
            <w:r>
              <w:rPr>
                <w:rFonts w:ascii="Calibri" w:cs="Calibri" w:eastAsia="Calibri" w:hAnsi="Calibri"/>
                <w:b/>
                <w:bCs/>
                <w:color w:val="000000"/>
                <w:sz w:val="21"/>
                <w:szCs w:val="21"/>
              </w:rPr>
              <w:t xml:space="preserve">(1 + 0,02) × (1 + 0,03) − 1 = 0,0506 → 5,06%</w:t>
            </w:r>
          </w:p>
          <w:p>
            <w:pPr>
              <w:spacing w:after="0" w:line="276"/>
              <w:jc w:val="both"/>
            </w:pPr>
            <w:r>
              <w:rPr>
                <w:rFonts w:ascii="Calibri" w:cs="Calibri" w:eastAsia="Calibri" w:hAnsi="Calibri"/>
                <w:color w:val="000000"/>
                <w:sz w:val="21"/>
                <w:szCs w:val="21"/>
              </w:rPr>
              <w:t xml:space="preserve">La regla general para encadenar </w:t>
            </w:r>
            <w:r>
              <w:rPr>
                <w:rFonts w:ascii="Calibri" w:cs="Calibri" w:eastAsia="Calibri" w:hAnsi="Calibri"/>
                <w:i/>
                <w:iCs/>
                <w:color w:val="000000"/>
                <w:sz w:val="21"/>
                <w:szCs w:val="21"/>
              </w:rPr>
              <w:t xml:space="preserve">n</w:t>
            </w:r>
            <w:r>
              <w:rPr>
                <w:rFonts w:ascii="Calibri" w:cs="Calibri" w:eastAsia="Calibri" w:hAnsi="Calibri"/>
                <w:color w:val="000000"/>
                <w:sz w:val="21"/>
                <w:szCs w:val="21"/>
              </w:rPr>
              <w:t xml:space="preserve"> períodos es multiplicar los factores (1 + πi) y restar 1 al final. Con tasas pequeñas la suma simple se aproxima bien; con tasas altas, como las bolivianas recientes, el error se dispara.</w:t>
            </w:r>
          </w:p>
        </w:tc>
      </w:tr>
    </w:tbl>
    <w:p>
      <w:pPr>
        <w:spacing w:after="160"/>
      </w:pPr>
    </w:p>
    <w:p>
      <w:pPr>
        <w:spacing w:after="140" w:line="276"/>
        <w:jc w:val="both"/>
      </w:pPr>
      <w:r>
        <w:rPr>
          <w:rFonts w:ascii="Calibri" w:cs="Calibri" w:eastAsia="Calibri" w:hAnsi="Calibri"/>
          <w:color w:val="000000"/>
          <w:sz w:val="21"/>
          <w:szCs w:val="21"/>
        </w:rPr>
        <w:t xml:space="preserve">Dos consecuencias que ya estaban en tus apuntes y que conviene retener: la inflación </w:t>
      </w:r>
      <w:r>
        <w:rPr>
          <w:rFonts w:ascii="Calibri" w:cs="Calibri" w:eastAsia="Calibri" w:hAnsi="Calibri"/>
          <w:b/>
          <w:bCs/>
          <w:color w:val="000000"/>
          <w:sz w:val="21"/>
          <w:szCs w:val="21"/>
        </w:rPr>
        <w:t xml:space="preserve">reduce el poder adquisitivo</w:t>
      </w:r>
      <w:r>
        <w:rPr>
          <w:rFonts w:ascii="Calibri" w:cs="Calibri" w:eastAsia="Calibri" w:hAnsi="Calibri"/>
          <w:color w:val="000000"/>
          <w:sz w:val="21"/>
          <w:szCs w:val="21"/>
        </w:rPr>
        <w:t xml:space="preserve"> de una cantidad fija de dinero; y una misma tasa </w:t>
      </w:r>
      <w:r>
        <w:rPr>
          <w:rFonts w:ascii="Calibri" w:cs="Calibri" w:eastAsia="Calibri" w:hAnsi="Calibri"/>
          <w:b/>
          <w:bCs/>
          <w:color w:val="000000"/>
          <w:sz w:val="21"/>
          <w:szCs w:val="21"/>
        </w:rPr>
        <w:t xml:space="preserve">no produce el mismo impacto en todos los hogares</w:t>
      </w:r>
      <w:r>
        <w:rPr>
          <w:rFonts w:ascii="Calibri" w:cs="Calibri" w:eastAsia="Calibri" w:hAnsi="Calibri"/>
          <w:color w:val="000000"/>
          <w:sz w:val="21"/>
          <w:szCs w:val="21"/>
        </w:rPr>
        <w:t xml:space="preserve">, porque depende de ingresos, consumo, ahorro, deuda y activos.</w:t>
      </w:r>
    </w:p>
    <w:p>
      <w:pPr>
        <w:spacing w:after="12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Por qué el impacto es desigual: tres canales</w:t>
            </w:r>
          </w:p>
          <w:p>
            <w:pPr>
              <w:spacing w:after="80" w:line="276"/>
              <w:jc w:val="both"/>
            </w:pPr>
            <w:r>
              <w:rPr>
                <w:rFonts w:ascii="Calibri" w:cs="Calibri" w:eastAsia="Calibri" w:hAnsi="Calibri"/>
                <w:b/>
                <w:bCs/>
                <w:color w:val="000000"/>
                <w:sz w:val="21"/>
                <w:szCs w:val="21"/>
              </w:rPr>
              <w:t xml:space="preserve">Canal de la canasta.</w:t>
            </w:r>
            <w:r>
              <w:rPr>
                <w:rFonts w:ascii="Calibri" w:cs="Calibri" w:eastAsia="Calibri" w:hAnsi="Calibri"/>
                <w:color w:val="000000"/>
                <w:sz w:val="21"/>
                <w:szCs w:val="21"/>
              </w:rPr>
              <w:t xml:space="preserve"> Los hogares pobres destinan una fracción mucho mayor de su gasto a alimentos. Cuando la inflación se concentra en alimentos y transporte, la inflación </w:t>
            </w:r>
            <w:r>
              <w:rPr>
                <w:rFonts w:ascii="Calibri" w:cs="Calibri" w:eastAsia="Calibri" w:hAnsi="Calibri"/>
                <w:i/>
                <w:iCs/>
                <w:color w:val="000000"/>
                <w:sz w:val="21"/>
                <w:szCs w:val="21"/>
              </w:rPr>
              <w:t xml:space="preserve">efectiva</w:t>
            </w:r>
            <w:r>
              <w:rPr>
                <w:rFonts w:ascii="Calibri" w:cs="Calibri" w:eastAsia="Calibri" w:hAnsi="Calibri"/>
                <w:color w:val="000000"/>
                <w:sz w:val="21"/>
                <w:szCs w:val="21"/>
              </w:rPr>
              <w:t xml:space="preserve"> que sufren es superior a la del promedio nacional, aunque el INE publique una sola cifra.</w:t>
            </w:r>
          </w:p>
          <w:p>
            <w:pPr>
              <w:spacing w:after="80" w:line="276"/>
              <w:jc w:val="both"/>
            </w:pPr>
            <w:r>
              <w:rPr>
                <w:rFonts w:ascii="Calibri" w:cs="Calibri" w:eastAsia="Calibri" w:hAnsi="Calibri"/>
                <w:b/>
                <w:bCs/>
                <w:color w:val="000000"/>
                <w:sz w:val="21"/>
                <w:szCs w:val="21"/>
              </w:rPr>
              <w:t xml:space="preserve">Canal del activo.</w:t>
            </w:r>
            <w:r>
              <w:rPr>
                <w:rFonts w:ascii="Calibri" w:cs="Calibri" w:eastAsia="Calibri" w:hAnsi="Calibri"/>
                <w:color w:val="000000"/>
                <w:sz w:val="21"/>
                <w:szCs w:val="21"/>
              </w:rPr>
              <w:t xml:space="preserve"> Quien mantiene su riqueza en efectivo o en depósitos a tasa fija pierde; quien la mantiene en bienes reales, divisas o activos indexados se protege.</w:t>
            </w:r>
          </w:p>
          <w:p>
            <w:pPr>
              <w:spacing w:after="0" w:line="276"/>
              <w:jc w:val="both"/>
            </w:pPr>
            <w:r>
              <w:rPr>
                <w:rFonts w:ascii="Calibri" w:cs="Calibri" w:eastAsia="Calibri" w:hAnsi="Calibri"/>
                <w:b/>
                <w:bCs/>
                <w:color w:val="000000"/>
                <w:sz w:val="21"/>
                <w:szCs w:val="21"/>
              </w:rPr>
              <w:t xml:space="preserve">Canal de la deuda.</w:t>
            </w:r>
            <w:r>
              <w:rPr>
                <w:rFonts w:ascii="Calibri" w:cs="Calibri" w:eastAsia="Calibri" w:hAnsi="Calibri"/>
                <w:color w:val="000000"/>
                <w:sz w:val="21"/>
                <w:szCs w:val="21"/>
              </w:rPr>
              <w:t xml:space="preserve"> La inflación no esperada transfiere riqueza de acreedores a deudores: el deudor devuelve un monto nominal fijo con dinero que vale menos. El deudor más grande de una economía suele ser el Estado, y esa es justamente la puerta de entrada al impuesto inflacionario de la Parte V.</w:t>
            </w:r>
          </w:p>
        </w:tc>
      </w:tr>
    </w:tbl>
    <w:p>
      <w:pPr>
        <w:pStyle w:val="Heading2"/>
        <w:spacing w:after="140" w:before="320"/>
      </w:pPr>
      <w:r>
        <w:rPr>
          <w:rFonts w:ascii="Calibri" w:cs="Calibri" w:eastAsia="Calibri" w:hAnsi="Calibri"/>
          <w:b/>
          <w:bCs/>
          <w:color w:val="1F3864"/>
          <w:sz w:val="26"/>
          <w:szCs w:val="26"/>
        </w:rPr>
        <w:t xml:space="preserve">4.3 Mercado laboral: PEA y tasa de desempleo</w:t>
      </w:r>
    </w:p>
    <w:p>
      <w:pPr>
        <w:spacing w:after="140" w:line="276"/>
        <w:jc w:val="both"/>
      </w:pPr>
      <w:r>
        <w:rPr>
          <w:rFonts w:ascii="Calibri" w:cs="Calibri" w:eastAsia="Calibri" w:hAnsi="Calibri"/>
          <w:color w:val="000000"/>
          <w:sz w:val="21"/>
          <w:szCs w:val="21"/>
        </w:rPr>
        <w:t xml:space="preserve">La </w:t>
      </w:r>
      <w:r>
        <w:rPr>
          <w:rFonts w:ascii="Calibri" w:cs="Calibri" w:eastAsia="Calibri" w:hAnsi="Calibri"/>
          <w:b/>
          <w:bCs/>
          <w:color w:val="000000"/>
          <w:sz w:val="21"/>
          <w:szCs w:val="21"/>
        </w:rPr>
        <w:t xml:space="preserve">población económicamente activa (PEA)</w:t>
      </w:r>
      <w:r>
        <w:rPr>
          <w:rFonts w:ascii="Calibri" w:cs="Calibri" w:eastAsia="Calibri" w:hAnsi="Calibri"/>
          <w:color w:val="000000"/>
          <w:sz w:val="21"/>
          <w:szCs w:val="21"/>
        </w:rPr>
        <w:t xml:space="preserve"> está formada por las personas ocupadas y las desocupadas que participan activamente del mercado laboral.</w:t>
      </w:r>
    </w:p>
    <w:p>
      <w:pPr>
        <w:spacing w:after="140" w:before="140"/>
        <w:jc w:val="center"/>
      </w:pPr>
      <w:r>
        <w:rPr>
          <w:rFonts w:ascii="Cambria" w:cs="Cambria" w:eastAsia="Cambria" w:hAnsi="Cambria"/>
          <w:b/>
          <w:bCs/>
          <w:color w:val="1F3864"/>
          <w:sz w:val="24"/>
          <w:szCs w:val="24"/>
        </w:rPr>
        <w:t xml:space="preserve">PEA = Ocupados + Desocupados</w:t>
      </w:r>
    </w:p>
    <w:p>
      <w:pPr>
        <w:spacing w:after="140" w:before="140"/>
        <w:jc w:val="center"/>
      </w:pPr>
      <w:r>
        <w:rPr>
          <w:rFonts w:ascii="Cambria" w:cs="Cambria" w:eastAsia="Cambria" w:hAnsi="Cambria"/>
          <w:b/>
          <w:bCs/>
          <w:color w:val="1F3864"/>
          <w:sz w:val="24"/>
          <w:szCs w:val="24"/>
        </w:rPr>
        <w:t xml:space="preserve">Tasa de desempleo = (Desocupados / PEA) × 100</w:t>
      </w:r>
    </w:p>
    <w:p>
      <w:pPr>
        <w:spacing w:after="12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El marco completo de la medición</w:t>
            </w:r>
          </w:p>
          <w:p>
            <w:pPr>
              <w:spacing w:after="80" w:line="276"/>
              <w:jc w:val="both"/>
            </w:pPr>
            <w:r>
              <w:rPr>
                <w:rFonts w:ascii="Calibri" w:cs="Calibri" w:eastAsia="Calibri" w:hAnsi="Calibri"/>
                <w:color w:val="000000"/>
                <w:sz w:val="21"/>
                <w:szCs w:val="21"/>
              </w:rPr>
              <w:t xml:space="preserve">La identidad de tus apuntes es correcta pero incompleta: falta la población que </w:t>
            </w:r>
            <w:r>
              <w:rPr>
                <w:rFonts w:ascii="Calibri" w:cs="Calibri" w:eastAsia="Calibri" w:hAnsi="Calibri"/>
                <w:i/>
                <w:iCs/>
                <w:color w:val="000000"/>
                <w:sz w:val="21"/>
                <w:szCs w:val="21"/>
              </w:rPr>
              <w:t xml:space="preserve">no</w:t>
            </w:r>
            <w:r>
              <w:rPr>
                <w:rFonts w:ascii="Calibri" w:cs="Calibri" w:eastAsia="Calibri" w:hAnsi="Calibri"/>
                <w:color w:val="000000"/>
                <w:sz w:val="21"/>
                <w:szCs w:val="21"/>
              </w:rPr>
              <w:t xml:space="preserve"> participa, y sin ella no se pueden interpretar los movimientos de la tasa.</w:t>
            </w:r>
          </w:p>
          <w:p>
            <w:pPr>
              <w:spacing w:after="80" w:line="276"/>
              <w:jc w:val="both"/>
            </w:pPr>
            <w:r>
              <w:rPr>
                <w:rFonts w:ascii="Calibri" w:cs="Calibri" w:eastAsia="Calibri" w:hAnsi="Calibri"/>
                <w:b/>
                <w:bCs/>
                <w:color w:val="000000"/>
                <w:sz w:val="21"/>
                <w:szCs w:val="21"/>
              </w:rPr>
              <w:t xml:space="preserve">Población en edad de trabajar (PET) = PEA + PEI</w:t>
            </w:r>
            <w:r>
              <w:rPr>
                <w:rFonts w:ascii="Calibri" w:cs="Calibri" w:eastAsia="Calibri" w:hAnsi="Calibri"/>
                <w:color w:val="000000"/>
                <w:sz w:val="21"/>
                <w:szCs w:val="21"/>
              </w:rPr>
              <w:t xml:space="preserve">, donde PEI es la población económicamente </w:t>
            </w:r>
            <w:r>
              <w:rPr>
                <w:rFonts w:ascii="Calibri" w:cs="Calibri" w:eastAsia="Calibri" w:hAnsi="Calibri"/>
                <w:i/>
                <w:iCs/>
                <w:color w:val="000000"/>
                <w:sz w:val="21"/>
                <w:szCs w:val="21"/>
              </w:rPr>
              <w:t xml:space="preserve">inactiva</w:t>
            </w:r>
            <w:r>
              <w:rPr>
                <w:rFonts w:ascii="Calibri" w:cs="Calibri" w:eastAsia="Calibri" w:hAnsi="Calibri"/>
                <w:color w:val="000000"/>
                <w:sz w:val="21"/>
                <w:szCs w:val="21"/>
              </w:rPr>
              <w:t xml:space="preserve"> (estudiantes, personas dedicadas al cuidado del hogar, jubilados, quienes desistieron de buscar).</w:t>
            </w:r>
          </w:p>
          <w:p>
            <w:pPr>
              <w:spacing w:after="80" w:line="276"/>
              <w:jc w:val="both"/>
            </w:pPr>
            <w:r>
              <w:rPr>
                <w:rFonts w:ascii="Calibri" w:cs="Calibri" w:eastAsia="Calibri" w:hAnsi="Calibri"/>
                <w:color w:val="000000"/>
                <w:sz w:val="21"/>
                <w:szCs w:val="21"/>
              </w:rPr>
              <w:t xml:space="preserve">Para ser contado como </w:t>
            </w:r>
            <w:r>
              <w:rPr>
                <w:rFonts w:ascii="Calibri" w:cs="Calibri" w:eastAsia="Calibri" w:hAnsi="Calibri"/>
                <w:i/>
                <w:iCs/>
                <w:color w:val="000000"/>
                <w:sz w:val="21"/>
                <w:szCs w:val="21"/>
              </w:rPr>
              <w:t xml:space="preserve">desocupado</w:t>
            </w:r>
            <w:r>
              <w:rPr>
                <w:rFonts w:ascii="Calibri" w:cs="Calibri" w:eastAsia="Calibri" w:hAnsi="Calibri"/>
                <w:color w:val="000000"/>
                <w:sz w:val="21"/>
                <w:szCs w:val="21"/>
              </w:rPr>
              <w:t xml:space="preserve"> hacen falta tres condiciones simultáneas: no tener empleo, estar disponible para trabajar y </w:t>
            </w:r>
            <w:r>
              <w:rPr>
                <w:rFonts w:ascii="Calibri" w:cs="Calibri" w:eastAsia="Calibri" w:hAnsi="Calibri"/>
                <w:b/>
                <w:bCs/>
                <w:color w:val="000000"/>
                <w:sz w:val="21"/>
                <w:szCs w:val="21"/>
              </w:rPr>
              <w:t xml:space="preserve">haber buscado activamente</w:t>
            </w:r>
            <w:r>
              <w:rPr>
                <w:rFonts w:ascii="Calibri" w:cs="Calibri" w:eastAsia="Calibri" w:hAnsi="Calibri"/>
                <w:color w:val="000000"/>
                <w:sz w:val="21"/>
                <w:szCs w:val="21"/>
              </w:rPr>
              <w:t xml:space="preserve"> en un período de referencia. Quien deja de buscar sale de la PEA y pasa a la PEI.</w:t>
            </w:r>
          </w:p>
          <w:p>
            <w:pPr>
              <w:spacing w:after="80" w:line="276"/>
              <w:jc w:val="both"/>
            </w:pPr>
            <w:r>
              <w:rPr>
                <w:rFonts w:ascii="Calibri" w:cs="Calibri" w:eastAsia="Calibri" w:hAnsi="Calibri"/>
                <w:b/>
                <w:bCs/>
                <w:color w:val="000000"/>
                <w:sz w:val="21"/>
                <w:szCs w:val="21"/>
              </w:rPr>
              <w:t xml:space="preserve">Otras dos tasas que el curso usará en la Unidad II:</w:t>
            </w:r>
          </w:p>
          <w:p>
            <w:pPr>
              <w:spacing w:after="80" w:line="276"/>
              <w:jc w:val="both"/>
            </w:pPr>
            <w:r>
              <w:rPr>
                <w:rFonts w:ascii="Calibri" w:cs="Calibri" w:eastAsia="Calibri" w:hAnsi="Calibri"/>
                <w:b/>
                <w:bCs/>
                <w:color w:val="000000"/>
                <w:sz w:val="21"/>
                <w:szCs w:val="21"/>
              </w:rPr>
              <w:t xml:space="preserve">Tasa de participación (o tasa global de participación) = (PEA / PET) × 100</w:t>
            </w:r>
          </w:p>
          <w:p>
            <w:pPr>
              <w:spacing w:after="0" w:line="276"/>
              <w:jc w:val="both"/>
            </w:pPr>
            <w:r>
              <w:rPr>
                <w:rFonts w:ascii="Calibri" w:cs="Calibri" w:eastAsia="Calibri" w:hAnsi="Calibri"/>
                <w:b/>
                <w:bCs/>
                <w:color w:val="000000"/>
                <w:sz w:val="21"/>
                <w:szCs w:val="21"/>
              </w:rPr>
              <w:t xml:space="preserve">Tasa de ocupación = (Ocupados / PET) × 100</w:t>
            </w:r>
          </w:p>
        </w:tc>
      </w:tr>
    </w:tbl>
    <w:p>
      <w:pPr>
        <w:spacing w:after="160"/>
      </w:pPr>
    </w:p>
    <w:tbl>
      <w:tblPr>
        <w:tblW w:type="dxa" w:w="9020"/>
        <w:tblBorders>
          <w:top w:val="single" w:color="BFBFBF" w:sz="2"/>
          <w:left w:val="single" w:color="C00000" w:sz="14"/>
          <w:bottom w:val="single" w:color="BFBFBF" w:sz="2"/>
          <w:right w:val="single" w:color="BFBFBF" w:sz="2"/>
          <w:insideH w:val="none"/>
          <w:insideV w:val="none"/>
        </w:tblBorders>
      </w:tblPr>
      <w:tblGrid>
        <w:gridCol w:w="9020"/>
      </w:tblGrid>
      <w:tr>
        <w:tc>
          <w:tcPr>
            <w:tcW w:type="dxa" w:w="9020"/>
            <w:shd w:fill="FBE4E4"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La trampa del "trabajador desalentado"</w:t>
            </w:r>
          </w:p>
          <w:p>
            <w:pPr>
              <w:spacing w:after="80" w:line="276"/>
              <w:jc w:val="both"/>
            </w:pPr>
            <w:r>
              <w:rPr>
                <w:rFonts w:ascii="Calibri" w:cs="Calibri" w:eastAsia="Calibri" w:hAnsi="Calibri"/>
                <w:color w:val="000000"/>
                <w:sz w:val="21"/>
                <w:szCs w:val="21"/>
              </w:rPr>
              <w:t xml:space="preserve">Como solo se cuenta desocupado a quien </w:t>
            </w:r>
            <w:r>
              <w:rPr>
                <w:rFonts w:ascii="Calibri" w:cs="Calibri" w:eastAsia="Calibri" w:hAnsi="Calibri"/>
                <w:i/>
                <w:iCs/>
                <w:color w:val="000000"/>
                <w:sz w:val="21"/>
                <w:szCs w:val="21"/>
              </w:rPr>
              <w:t xml:space="preserve">busca</w:t>
            </w:r>
            <w:r>
              <w:rPr>
                <w:rFonts w:ascii="Calibri" w:cs="Calibri" w:eastAsia="Calibri" w:hAnsi="Calibri"/>
                <w:color w:val="000000"/>
                <w:sz w:val="21"/>
                <w:szCs w:val="21"/>
              </w:rPr>
              <w:t xml:space="preserve"> activamente, si en una recesión mucha gente se cansa de buscar y abandona la búsqueda, sale de la PEA y </w:t>
            </w:r>
            <w:r>
              <w:rPr>
                <w:rFonts w:ascii="Calibri" w:cs="Calibri" w:eastAsia="Calibri" w:hAnsi="Calibri"/>
                <w:b/>
                <w:bCs/>
                <w:color w:val="000000"/>
                <w:sz w:val="21"/>
                <w:szCs w:val="21"/>
              </w:rPr>
              <w:t xml:space="preserve">la tasa de desempleo puede bajar mientras la situación laboral empeora</w:t>
            </w:r>
            <w:r>
              <w:rPr>
                <w:rFonts w:ascii="Calibri" w:cs="Calibri" w:eastAsia="Calibri" w:hAnsi="Calibri"/>
                <w:color w:val="000000"/>
                <w:sz w:val="21"/>
                <w:szCs w:val="21"/>
              </w:rPr>
              <w:t xml:space="preserve">.</w:t>
            </w:r>
          </w:p>
          <w:p>
            <w:pPr>
              <w:spacing w:after="0" w:line="276"/>
              <w:jc w:val="both"/>
            </w:pPr>
            <w:r>
              <w:rPr>
                <w:rFonts w:ascii="Calibri" w:cs="Calibri" w:eastAsia="Calibri" w:hAnsi="Calibri"/>
                <w:color w:val="000000"/>
                <w:sz w:val="21"/>
                <w:szCs w:val="21"/>
              </w:rPr>
              <w:t xml:space="preserve">Por eso la tasa de desempleo nunca debe leerse sola: hay que mirar simultáneamente la tasa de participación y la de ocupación.</w:t>
            </w:r>
          </w:p>
        </w:tc>
      </w:tr>
    </w:tbl>
    <w:p>
      <w:pPr>
        <w:spacing w:after="160"/>
      </w:pPr>
    </w:p>
    <w:p>
      <w:pPr>
        <w:spacing w:after="140" w:line="276"/>
        <w:jc w:val="both"/>
      </w:pPr>
      <w:r>
        <w:rPr>
          <w:rFonts w:ascii="Calibri" w:cs="Calibri" w:eastAsia="Calibri" w:hAnsi="Calibri"/>
          <w:color w:val="000000"/>
          <w:sz w:val="21"/>
          <w:szCs w:val="21"/>
        </w:rPr>
        <w:t xml:space="preserve">Tus apuntes señalan, con razón, que la tasa de desempleo no captura por sí sola toda la realidad laboral: una economía puede tener desempleo relativamente bajo y, al mismo tiempo, informalidad, subempleo, bajos ingresos o empleos de baja productividad. En el caso boliviano esto es central, y por eso el curso dedica la Unidad II a la informalidad.</w:t>
      </w:r>
    </w:p>
    <w:p>
      <w:pPr>
        <w:spacing w:after="12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Por qué Bolivia registra desempleo bajo y aun así hay un problema laboral</w:t>
            </w:r>
          </w:p>
          <w:p>
            <w:pPr>
              <w:spacing w:after="80" w:line="276"/>
              <w:jc w:val="both"/>
            </w:pPr>
            <w:r>
              <w:rPr>
                <w:rFonts w:ascii="Calibri" w:cs="Calibri" w:eastAsia="Calibri" w:hAnsi="Calibri"/>
                <w:color w:val="000000"/>
                <w:sz w:val="21"/>
                <w:szCs w:val="21"/>
              </w:rPr>
              <w:t xml:space="preserve">La explicación no es estadística sino estructural: </w:t>
            </w:r>
            <w:r>
              <w:rPr>
                <w:rFonts w:ascii="Calibri" w:cs="Calibri" w:eastAsia="Calibri" w:hAnsi="Calibri"/>
                <w:b/>
                <w:bCs/>
                <w:color w:val="000000"/>
                <w:sz w:val="21"/>
                <w:szCs w:val="21"/>
              </w:rPr>
              <w:t xml:space="preserve">en una economía sin seguro de desempleo generalizado, casi nadie puede permitirse estar desocupado</w:t>
            </w:r>
            <w:r>
              <w:rPr>
                <w:rFonts w:ascii="Calibri" w:cs="Calibri" w:eastAsia="Calibri" w:hAnsi="Calibri"/>
                <w:color w:val="000000"/>
                <w:sz w:val="21"/>
                <w:szCs w:val="21"/>
              </w:rPr>
              <w:t xml:space="preserve">. Quien pierde su empleo formal no espera: pasa al comercio informal, al trabajo por cuenta propia o al empleo familiar. Formalmente está </w:t>
            </w:r>
            <w:r>
              <w:rPr>
                <w:rFonts w:ascii="Calibri" w:cs="Calibri" w:eastAsia="Calibri" w:hAnsi="Calibri"/>
                <w:i/>
                <w:iCs/>
                <w:color w:val="000000"/>
                <w:sz w:val="21"/>
                <w:szCs w:val="21"/>
              </w:rPr>
              <w:t xml:space="preserve">ocupado</w:t>
            </w:r>
            <w:r>
              <w:rPr>
                <w:rFonts w:ascii="Calibri" w:cs="Calibri" w:eastAsia="Calibri" w:hAnsi="Calibri"/>
                <w:color w:val="000000"/>
                <w:sz w:val="21"/>
                <w:szCs w:val="21"/>
              </w:rPr>
              <w:t xml:space="preserve">, y la tasa de desempleo abierto no registra nada.</w:t>
            </w:r>
          </w:p>
          <w:p>
            <w:pPr>
              <w:spacing w:after="0" w:line="276"/>
              <w:jc w:val="both"/>
            </w:pPr>
            <w:r>
              <w:rPr>
                <w:rFonts w:ascii="Calibri" w:cs="Calibri" w:eastAsia="Calibri" w:hAnsi="Calibri"/>
                <w:color w:val="000000"/>
                <w:sz w:val="21"/>
                <w:szCs w:val="21"/>
              </w:rPr>
              <w:t xml:space="preserve">El problema, entonces, no aparece como desempleo sino como </w:t>
            </w:r>
            <w:r>
              <w:rPr>
                <w:rFonts w:ascii="Calibri" w:cs="Calibri" w:eastAsia="Calibri" w:hAnsi="Calibri"/>
                <w:b/>
                <w:bCs/>
                <w:color w:val="000000"/>
                <w:sz w:val="21"/>
                <w:szCs w:val="21"/>
              </w:rPr>
              <w:t xml:space="preserve">subempleo, informalidad y baja productividad</w:t>
            </w:r>
            <w:r>
              <w:rPr>
                <w:rFonts w:ascii="Calibri" w:cs="Calibri" w:eastAsia="Calibri" w:hAnsi="Calibri"/>
                <w:color w:val="000000"/>
                <w:sz w:val="21"/>
                <w:szCs w:val="21"/>
              </w:rPr>
              <w:t xml:space="preserve">. Los indicadores relevantes para Bolivia son la tasa de informalidad, el subempleo por horas y por ingresos, y la proporción de ocupados sin aportes a la seguridad social.</w:t>
            </w:r>
          </w:p>
        </w:tc>
      </w:tr>
    </w:tbl>
    <w:p>
      <w:r>
        <w:br w:type="page"/>
      </w:r>
    </w:p>
    <w:p>
      <w:pPr>
        <w:pStyle w:val="Heading1"/>
        <w:spacing w:after="200" w:before="400"/>
      </w:pPr>
      <w:r>
        <w:rPr>
          <w:rFonts w:ascii="Calibri" w:cs="Calibri" w:eastAsia="Calibri" w:hAnsi="Calibri"/>
          <w:b/>
          <w:bCs/>
          <w:color w:val="1F3864"/>
          <w:sz w:val="32"/>
          <w:szCs w:val="32"/>
        </w:rPr>
        <w:t xml:space="preserve">Parte V · Dinero, inflación y dolarización</w:t>
      </w:r>
    </w:p>
    <w:p>
      <w:pPr>
        <w:spacing w:after="140" w:line="276"/>
        <w:jc w:val="both"/>
      </w:pPr>
      <w:r>
        <w:rPr>
          <w:rFonts w:ascii="Calibri" w:cs="Calibri" w:eastAsia="Calibri" w:hAnsi="Calibri"/>
          <w:i/>
          <w:iCs/>
          <w:color w:val="000000"/>
          <w:sz w:val="21"/>
          <w:szCs w:val="21"/>
        </w:rPr>
        <w:t xml:space="preserve">Corresponde a las secciones 5, 6 y 7 de tus apuntes. Es material de la Unidad III, adelantado en clase.</w:t>
      </w:r>
    </w:p>
    <w:p>
      <w:pPr>
        <w:pStyle w:val="Heading2"/>
        <w:spacing w:after="140" w:before="320"/>
      </w:pPr>
      <w:r>
        <w:rPr>
          <w:rFonts w:ascii="Calibri" w:cs="Calibri" w:eastAsia="Calibri" w:hAnsi="Calibri"/>
          <w:b/>
          <w:bCs/>
          <w:color w:val="1F3864"/>
          <w:sz w:val="26"/>
          <w:szCs w:val="26"/>
        </w:rPr>
        <w:t xml:space="preserve">5.1 Emisión monetaria e impuesto inflacionario</w:t>
      </w:r>
    </w:p>
    <w:p>
      <w:pPr>
        <w:spacing w:after="140" w:line="276"/>
        <w:jc w:val="both"/>
      </w:pPr>
      <w:r>
        <w:rPr>
          <w:rFonts w:ascii="Calibri" w:cs="Calibri" w:eastAsia="Calibri" w:hAnsi="Calibri"/>
          <w:color w:val="000000"/>
          <w:sz w:val="21"/>
          <w:szCs w:val="21"/>
        </w:rPr>
        <w:t xml:space="preserve">Cuando el Estado financia parte de sus necesidades mediante creación de dinero, obtiene recursos reales a cambio de dinero recién emitido. Si la cantidad de dinero aumenta más rápido que la demanda de saldos monetarios y que la capacidad de la economía para producir, se genera presión sobre el nivel general de precios.</w:t>
      </w:r>
    </w:p>
    <w:p>
      <w:pPr>
        <w:spacing w:after="120"/>
      </w:pPr>
    </w:p>
    <w:p>
      <w:pPr>
        <w:pStyle w:val="Heading3"/>
        <w:spacing w:after="120" w:before="240"/>
      </w:pPr>
      <w:r>
        <w:rPr>
          <w:rFonts w:ascii="Calibri" w:cs="Calibri" w:eastAsia="Calibri" w:hAnsi="Calibri"/>
          <w:b/>
          <w:bCs/>
          <w:color w:val="2E5496"/>
          <w:sz w:val="23"/>
          <w:szCs w:val="23"/>
        </w:rPr>
        <w:t xml:space="preserve">El mecanismo, paso a paso</w:t>
      </w:r>
    </w:p>
    <w:p>
      <w:pPr>
        <w:pStyle w:val="ListParagraph"/>
        <w:numPr>
          <w:ilvl w:val="0"/>
          <w:numId w:val="1"/>
        </w:numPr>
        <w:spacing w:after="70" w:line="276"/>
      </w:pPr>
      <w:r>
        <w:rPr>
          <w:rFonts w:ascii="Calibri" w:cs="Calibri" w:eastAsia="Calibri" w:hAnsi="Calibri"/>
          <w:color w:val="000000"/>
          <w:sz w:val="21"/>
          <w:szCs w:val="21"/>
        </w:rPr>
        <w:t xml:space="preserve">El Estado emite dinero.</w:t>
      </w:r>
    </w:p>
    <w:p>
      <w:pPr>
        <w:pStyle w:val="ListParagraph"/>
        <w:numPr>
          <w:ilvl w:val="0"/>
          <w:numId w:val="1"/>
        </w:numPr>
        <w:spacing w:after="70" w:line="276"/>
      </w:pPr>
      <w:r>
        <w:rPr>
          <w:rFonts w:ascii="Calibri" w:cs="Calibri" w:eastAsia="Calibri" w:hAnsi="Calibri"/>
          <w:color w:val="000000"/>
          <w:sz w:val="21"/>
          <w:szCs w:val="21"/>
        </w:rPr>
        <w:t xml:space="preserve">Con ese dinero adquiere bienes y servicios reales.</w:t>
      </w:r>
    </w:p>
    <w:p>
      <w:pPr>
        <w:pStyle w:val="ListParagraph"/>
        <w:numPr>
          <w:ilvl w:val="0"/>
          <w:numId w:val="1"/>
        </w:numPr>
        <w:spacing w:after="70" w:line="276"/>
      </w:pPr>
      <w:r>
        <w:rPr>
          <w:rFonts w:ascii="Calibri" w:cs="Calibri" w:eastAsia="Calibri" w:hAnsi="Calibri"/>
          <w:color w:val="000000"/>
          <w:sz w:val="21"/>
          <w:szCs w:val="21"/>
        </w:rPr>
        <w:t xml:space="preserve">El aumento de liquidez, bajo determinadas condiciones, presiona sobre los precios.</w:t>
      </w:r>
    </w:p>
    <w:p>
      <w:pPr>
        <w:pStyle w:val="ListParagraph"/>
        <w:numPr>
          <w:ilvl w:val="0"/>
          <w:numId w:val="1"/>
        </w:numPr>
        <w:spacing w:after="70" w:line="276"/>
      </w:pPr>
      <w:r>
        <w:rPr>
          <w:rFonts w:ascii="Calibri" w:cs="Calibri" w:eastAsia="Calibri" w:hAnsi="Calibri"/>
          <w:color w:val="000000"/>
          <w:sz w:val="21"/>
          <w:szCs w:val="21"/>
        </w:rPr>
        <w:t xml:space="preserve">El nivel de precios aumenta.</w:t>
      </w:r>
    </w:p>
    <w:p>
      <w:pPr>
        <w:pStyle w:val="ListParagraph"/>
        <w:numPr>
          <w:ilvl w:val="0"/>
          <w:numId w:val="1"/>
        </w:numPr>
        <w:spacing w:after="70" w:line="276"/>
      </w:pPr>
      <w:r>
        <w:rPr>
          <w:rFonts w:ascii="Calibri" w:cs="Calibri" w:eastAsia="Calibri" w:hAnsi="Calibri"/>
          <w:color w:val="000000"/>
          <w:sz w:val="21"/>
          <w:szCs w:val="21"/>
        </w:rPr>
        <w:t xml:space="preserve">El poder adquisitivo de los saldos monetarios que ya estaban en manos del público disminuye.</w:t>
      </w:r>
    </w:p>
    <w:p>
      <w:pPr>
        <w:pStyle w:val="ListParagraph"/>
        <w:numPr>
          <w:ilvl w:val="0"/>
          <w:numId w:val="1"/>
        </w:numPr>
        <w:spacing w:after="70" w:line="276"/>
      </w:pPr>
      <w:r>
        <w:rPr>
          <w:rFonts w:ascii="Calibri" w:cs="Calibri" w:eastAsia="Calibri" w:hAnsi="Calibri"/>
          <w:color w:val="000000"/>
          <w:sz w:val="21"/>
          <w:szCs w:val="21"/>
        </w:rPr>
        <w:t xml:space="preserve">El Estado obtiene recursos reales mientras los tenedores de dinero soportan la pérdida.</w:t>
      </w:r>
    </w:p>
    <w:p>
      <w:pPr>
        <w:spacing w:after="120"/>
      </w:pPr>
    </w:p>
    <w:tbl>
      <w:tblPr>
        <w:tblW w:type="dxa" w:w="9020"/>
        <w:tblBorders>
          <w:top w:val="single" w:color="BFBFBF" w:sz="2"/>
          <w:left w:val="single" w:color="BF9000" w:sz="14"/>
          <w:bottom w:val="single" w:color="BFBFBF" w:sz="2"/>
          <w:right w:val="single" w:color="BFBFBF" w:sz="2"/>
          <w:insideH w:val="none"/>
          <w:insideV w:val="none"/>
        </w:tblBorders>
      </w:tblPr>
      <w:tblGrid>
        <w:gridCol w:w="9020"/>
      </w:tblGrid>
      <w:tr>
        <w:tc>
          <w:tcPr>
            <w:tcW w:type="dxa" w:w="9020"/>
            <w:shd w:fill="FFF2CC"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Importante</w:t>
            </w:r>
          </w:p>
          <w:p>
            <w:pPr>
              <w:spacing w:after="0" w:line="276"/>
              <w:jc w:val="both"/>
            </w:pPr>
            <w:r>
              <w:rPr>
                <w:rFonts w:ascii="Calibri" w:cs="Calibri" w:eastAsia="Calibri" w:hAnsi="Calibri"/>
                <w:color w:val="000000"/>
                <w:sz w:val="21"/>
                <w:szCs w:val="21"/>
              </w:rPr>
              <w:t xml:space="preserve">El "impuesto inflacionario" </w:t>
            </w:r>
            <w:r>
              <w:rPr>
                <w:rFonts w:ascii="Calibri" w:cs="Calibri" w:eastAsia="Calibri" w:hAnsi="Calibri"/>
                <w:b/>
                <w:bCs/>
                <w:color w:val="000000"/>
                <w:sz w:val="21"/>
                <w:szCs w:val="21"/>
              </w:rPr>
              <w:t xml:space="preserve">no es un impuesto legal explícito</w:t>
            </w:r>
            <w:r>
              <w:rPr>
                <w:rFonts w:ascii="Calibri" w:cs="Calibri" w:eastAsia="Calibri" w:hAnsi="Calibri"/>
                <w:color w:val="000000"/>
                <w:sz w:val="21"/>
                <w:szCs w:val="21"/>
              </w:rPr>
              <w:t xml:space="preserve"> como el IVA o el impuesto a la renta. Es una forma de describir la transferencia de recursos asociada a la pérdida de poder adquisitivo del dinero causada por la inflación y, en particular, al financiamiento mediante creación monetaria.</w:t>
            </w:r>
          </w:p>
        </w:tc>
      </w:tr>
    </w:tbl>
    <w:p>
      <w:pPr>
        <w:spacing w:after="16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Señoreaje e impuesto inflacionario: dos cosas parecidas y distintas</w:t>
            </w:r>
          </w:p>
          <w:p>
            <w:pPr>
              <w:spacing w:after="80" w:line="276"/>
              <w:jc w:val="both"/>
            </w:pPr>
            <w:r>
              <w:rPr>
                <w:rFonts w:ascii="Calibri" w:cs="Calibri" w:eastAsia="Calibri" w:hAnsi="Calibri"/>
                <w:color w:val="000000"/>
                <w:sz w:val="21"/>
                <w:szCs w:val="21"/>
              </w:rPr>
              <w:t xml:space="preserve">El curso usa "impuesto inflacionario" de forma general, pero en la literatura hay dos conceptos que conviene separar:</w:t>
            </w:r>
          </w:p>
          <w:p>
            <w:pPr>
              <w:spacing w:after="80" w:line="276"/>
              <w:jc w:val="both"/>
            </w:pPr>
            <w:r>
              <w:rPr>
                <w:rFonts w:ascii="Calibri" w:cs="Calibri" w:eastAsia="Calibri" w:hAnsi="Calibri"/>
                <w:b/>
                <w:bCs/>
                <w:color w:val="000000"/>
                <w:sz w:val="21"/>
                <w:szCs w:val="21"/>
              </w:rPr>
              <w:t xml:space="preserve">Señoreaje</w:t>
            </w:r>
            <w:r>
              <w:rPr>
                <w:rFonts w:ascii="Calibri" w:cs="Calibri" w:eastAsia="Calibri" w:hAnsi="Calibri"/>
                <w:color w:val="000000"/>
                <w:sz w:val="21"/>
                <w:szCs w:val="21"/>
              </w:rPr>
              <w:t xml:space="preserve"> = recursos reales que obtiene el emisor al crear dinero nuevo. Formalmente, </w:t>
            </w:r>
            <w:r>
              <w:rPr>
                <w:rFonts w:ascii="Calibri" w:cs="Calibri" w:eastAsia="Calibri" w:hAnsi="Calibri"/>
                <w:b/>
                <w:bCs/>
                <w:color w:val="000000"/>
                <w:sz w:val="21"/>
                <w:szCs w:val="21"/>
              </w:rPr>
              <w:t xml:space="preserve">S = ΔM / P</w:t>
            </w:r>
            <w:r>
              <w:rPr>
                <w:rFonts w:ascii="Calibri" w:cs="Calibri" w:eastAsia="Calibri" w:hAnsi="Calibri"/>
                <w:color w:val="000000"/>
                <w:sz w:val="21"/>
                <w:szCs w:val="21"/>
              </w:rPr>
              <w:t xml:space="preserve">.</w:t>
            </w:r>
          </w:p>
          <w:p>
            <w:pPr>
              <w:spacing w:after="80" w:line="276"/>
              <w:jc w:val="both"/>
            </w:pPr>
            <w:r>
              <w:rPr>
                <w:rFonts w:ascii="Calibri" w:cs="Calibri" w:eastAsia="Calibri" w:hAnsi="Calibri"/>
                <w:b/>
                <w:bCs/>
                <w:color w:val="000000"/>
                <w:sz w:val="21"/>
                <w:szCs w:val="21"/>
              </w:rPr>
              <w:t xml:space="preserve">Impuesto inflacionario</w:t>
            </w:r>
            <w:r>
              <w:rPr>
                <w:rFonts w:ascii="Calibri" w:cs="Calibri" w:eastAsia="Calibri" w:hAnsi="Calibri"/>
                <w:color w:val="000000"/>
                <w:sz w:val="21"/>
                <w:szCs w:val="21"/>
              </w:rPr>
              <w:t xml:space="preserve"> = pérdida de poder adquisitivo que sufren los tenedores de saldos monetarios ya existentes. Formalmente, </w:t>
            </w:r>
            <w:r>
              <w:rPr>
                <w:rFonts w:ascii="Calibri" w:cs="Calibri" w:eastAsia="Calibri" w:hAnsi="Calibri"/>
                <w:b/>
                <w:bCs/>
                <w:color w:val="000000"/>
                <w:sz w:val="21"/>
                <w:szCs w:val="21"/>
              </w:rPr>
              <w:t xml:space="preserve">IT = π × (M / P)</w:t>
            </w:r>
            <w:r>
              <w:rPr>
                <w:rFonts w:ascii="Calibri" w:cs="Calibri" w:eastAsia="Calibri" w:hAnsi="Calibri"/>
                <w:color w:val="000000"/>
                <w:sz w:val="21"/>
                <w:szCs w:val="21"/>
              </w:rPr>
              <w:t xml:space="preserve">, es decir la tasa de inflación (el "alícuota") aplicada sobre los saldos reales (la "base imponible").</w:t>
            </w:r>
          </w:p>
          <w:p>
            <w:pPr>
              <w:spacing w:after="0" w:line="276"/>
              <w:jc w:val="both"/>
            </w:pPr>
            <w:r>
              <w:rPr>
                <w:rFonts w:ascii="Calibri" w:cs="Calibri" w:eastAsia="Calibri" w:hAnsi="Calibri"/>
                <w:color w:val="000000"/>
                <w:sz w:val="21"/>
                <w:szCs w:val="21"/>
              </w:rPr>
              <w:t xml:space="preserve">La analogía tributaria es exacta y vale la pena memorizarla así: </w:t>
            </w:r>
            <w:r>
              <w:rPr>
                <w:rFonts w:ascii="Calibri" w:cs="Calibri" w:eastAsia="Calibri" w:hAnsi="Calibri"/>
                <w:b/>
                <w:bCs/>
                <w:color w:val="000000"/>
                <w:sz w:val="21"/>
                <w:szCs w:val="21"/>
              </w:rPr>
              <w:t xml:space="preserve">π es la tasa del impuesto y M/P es la base</w:t>
            </w:r>
            <w:r>
              <w:rPr>
                <w:rFonts w:ascii="Calibri" w:cs="Calibri" w:eastAsia="Calibri" w:hAnsi="Calibri"/>
                <w:color w:val="000000"/>
                <w:sz w:val="21"/>
                <w:szCs w:val="21"/>
              </w:rPr>
              <w:t xml:space="preserve">. En equilibrio de largo plazo con saldos reales constantes, ambas magnitudes coinciden.</w:t>
            </w:r>
          </w:p>
        </w:tc>
      </w:tr>
    </w:tbl>
    <w:p>
      <w:pPr>
        <w:pStyle w:val="Heading3"/>
        <w:spacing w:after="120" w:before="240"/>
      </w:pPr>
      <w:r>
        <w:rPr>
          <w:rFonts w:ascii="Calibri" w:cs="Calibri" w:eastAsia="Calibri" w:hAnsi="Calibri"/>
          <w:b/>
          <w:bCs/>
          <w:color w:val="2E5496"/>
          <w:sz w:val="23"/>
          <w:szCs w:val="23"/>
        </w:rPr>
        <w:t xml:space="preserve">¿Por qué se dice que es difícil de eludir?</w:t>
      </w:r>
    </w:p>
    <w:p>
      <w:pPr>
        <w:spacing w:after="140" w:line="276"/>
        <w:jc w:val="both"/>
      </w:pPr>
      <w:r>
        <w:rPr>
          <w:rFonts w:ascii="Calibri" w:cs="Calibri" w:eastAsia="Calibri" w:hAnsi="Calibri"/>
          <w:color w:val="000000"/>
          <w:sz w:val="21"/>
          <w:szCs w:val="21"/>
        </w:rPr>
        <w:t xml:space="preserve">Quien mantiene dinero nacional queda expuesto a la pérdida de poder adquisitivo. Además, las personas no pueden simplemente dejar de gastar para siempre: necesitan comprar alimentos, pagar servicios, transporte y vivienda. Sin embargo, </w:t>
      </w:r>
      <w:r>
        <w:rPr>
          <w:rFonts w:ascii="Calibri" w:cs="Calibri" w:eastAsia="Calibri" w:hAnsi="Calibri"/>
          <w:b/>
          <w:bCs/>
          <w:color w:val="000000"/>
          <w:sz w:val="21"/>
          <w:szCs w:val="21"/>
        </w:rPr>
        <w:t xml:space="preserve">sí pueden modificar su comportamiento monetario</w:t>
      </w:r>
      <w:r>
        <w:rPr>
          <w:rFonts w:ascii="Calibri" w:cs="Calibri" w:eastAsia="Calibri" w:hAnsi="Calibri"/>
          <w:color w:val="000000"/>
          <w:sz w:val="21"/>
          <w:szCs w:val="21"/>
        </w:rPr>
        <w:t xml:space="preserve">: reducir saldos en moneda nacional, aumentar la velocidad de circulación o buscar activos alternativos. Esa última posibilidad es la que erosiona el impuesto, y lleva directamente a la sección siguiente.</w:t>
      </w:r>
    </w:p>
    <w:p>
      <w:pPr>
        <w:pStyle w:val="Heading2"/>
        <w:spacing w:after="140" w:before="320"/>
      </w:pPr>
      <w:r>
        <w:rPr>
          <w:rFonts w:ascii="Calibri" w:cs="Calibri" w:eastAsia="Calibri" w:hAnsi="Calibri"/>
          <w:b/>
          <w:bCs/>
          <w:color w:val="1F3864"/>
          <w:sz w:val="26"/>
          <w:szCs w:val="26"/>
        </w:rPr>
        <w:t xml:space="preserve">5.2 Demanda de dinero e inflación</w:t>
      </w:r>
    </w:p>
    <w:p>
      <w:pPr>
        <w:spacing w:after="140" w:line="276"/>
        <w:jc w:val="both"/>
      </w:pPr>
      <w:r>
        <w:rPr>
          <w:rFonts w:ascii="Calibri" w:cs="Calibri" w:eastAsia="Calibri" w:hAnsi="Calibri"/>
          <w:color w:val="000000"/>
          <w:sz w:val="21"/>
          <w:szCs w:val="21"/>
        </w:rPr>
        <w:t xml:space="preserve">La demanda de dinero representa cuánto dinero desean mantener los agentes en forma líquida para realizar transacciones, mantener liquidez y, según el enfoque, como reserva de valor. Cuando la inflación aumenta, mantener moneda nacional se vuelve más costoso porque el dinero pierde poder adquisitivo.</w:t>
      </w:r>
    </w:p>
    <w:p>
      <w:pPr>
        <w:spacing w:after="120"/>
      </w:pPr>
    </w:p>
    <w:tbl>
      <w:tblPr>
        <w:tblW w:type="dxa" w:w="9020"/>
        <w:tblBorders>
          <w:top w:val="single" w:color="BFBFBF" w:sz="2"/>
          <w:left w:val="single" w:color="BF9000" w:sz="14"/>
          <w:bottom w:val="single" w:color="BFBFBF" w:sz="2"/>
          <w:right w:val="single" w:color="BFBFBF" w:sz="2"/>
          <w:insideH w:val="none"/>
          <w:insideV w:val="none"/>
        </w:tblBorders>
      </w:tblPr>
      <w:tblGrid>
        <w:gridCol w:w="9020"/>
      </w:tblGrid>
      <w:tr>
        <w:tc>
          <w:tcPr>
            <w:tcW w:type="dxa" w:w="9020"/>
            <w:shd w:fill="FFF2CC"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El mecanismo</w:t>
            </w:r>
          </w:p>
          <w:p>
            <w:pPr>
              <w:spacing w:after="0" w:line="276"/>
              <w:jc w:val="both"/>
            </w:pPr>
            <w:r>
              <w:rPr>
                <w:rFonts w:ascii="Calibri" w:cs="Calibri" w:eastAsia="Calibri" w:hAnsi="Calibri"/>
                <w:color w:val="000000"/>
                <w:sz w:val="21"/>
                <w:szCs w:val="21"/>
              </w:rPr>
              <w:t xml:space="preserve">Inflación ↑ → costo de mantener moneda nacional ↑ → demanda de saldos monetarios ↓ → mayor búsqueda de activos que preserven valor.</w:t>
            </w:r>
          </w:p>
        </w:tc>
      </w:tr>
    </w:tbl>
    <w:p>
      <w:pPr>
        <w:spacing w:after="160"/>
      </w:pPr>
    </w:p>
    <w:p>
      <w:pPr>
        <w:spacing w:after="140" w:line="276"/>
        <w:jc w:val="both"/>
      </w:pPr>
      <w:r>
        <w:rPr>
          <w:rFonts w:ascii="Calibri" w:cs="Calibri" w:eastAsia="Calibri" w:hAnsi="Calibri"/>
          <w:color w:val="000000"/>
          <w:sz w:val="21"/>
          <w:szCs w:val="21"/>
        </w:rPr>
        <w:t xml:space="preserve">En el gráfico trabajado en clase se representa la inflación en el eje vertical y la demanda de dinero en el eje horizontal: al aumentar la inflación, los agentes desean mantener menos moneda nacional.</w:t>
      </w:r>
    </w:p>
    <w:p>
      <w:pPr>
        <w:spacing w:after="12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Las tres funciones del dinero y cuál se pierde primero</w:t>
            </w:r>
          </w:p>
          <w:p>
            <w:pPr>
              <w:spacing w:after="80" w:line="276"/>
              <w:jc w:val="both"/>
            </w:pPr>
            <w:r>
              <w:rPr>
                <w:rFonts w:ascii="Calibri" w:cs="Calibri" w:eastAsia="Calibri" w:hAnsi="Calibri"/>
                <w:color w:val="000000"/>
                <w:sz w:val="21"/>
                <w:szCs w:val="21"/>
              </w:rPr>
              <w:t xml:space="preserve">El dinero cumple tres funciones, y la inflación las destruye </w:t>
            </w:r>
            <w:r>
              <w:rPr>
                <w:rFonts w:ascii="Calibri" w:cs="Calibri" w:eastAsia="Calibri" w:hAnsi="Calibri"/>
                <w:b/>
                <w:bCs/>
                <w:color w:val="000000"/>
                <w:sz w:val="21"/>
                <w:szCs w:val="21"/>
              </w:rPr>
              <w:t xml:space="preserve">en un orden característico</w:t>
            </w:r>
            <w:r>
              <w:rPr>
                <w:rFonts w:ascii="Calibri" w:cs="Calibri" w:eastAsia="Calibri" w:hAnsi="Calibri"/>
                <w:color w:val="000000"/>
                <w:sz w:val="21"/>
                <w:szCs w:val="21"/>
              </w:rPr>
              <w:t xml:space="preserve"> que permite diagnosticar en qué fase está una economía:</w:t>
            </w:r>
          </w:p>
          <w:p>
            <w:pPr>
              <w:spacing w:after="80" w:line="276"/>
              <w:jc w:val="both"/>
            </w:pPr>
            <w:r>
              <w:rPr>
                <w:rFonts w:ascii="Calibri" w:cs="Calibri" w:eastAsia="Calibri" w:hAnsi="Calibri"/>
                <w:b/>
                <w:bCs/>
                <w:color w:val="000000"/>
                <w:sz w:val="21"/>
                <w:szCs w:val="21"/>
              </w:rPr>
              <w:t xml:space="preserve">1. Reserva de valor</w:t>
            </w:r>
            <w:r>
              <w:rPr>
                <w:rFonts w:ascii="Calibri" w:cs="Calibri" w:eastAsia="Calibri" w:hAnsi="Calibri"/>
                <w:color w:val="000000"/>
                <w:sz w:val="21"/>
                <w:szCs w:val="21"/>
              </w:rPr>
              <w:t xml:space="preserve"> — es la primera en caer. Con inflación moderada la gente ya deja de ahorrar en moneda nacional, pero sigue usándola para comprar.</w:t>
            </w:r>
          </w:p>
          <w:p>
            <w:pPr>
              <w:spacing w:after="80" w:line="276"/>
              <w:jc w:val="both"/>
            </w:pPr>
            <w:r>
              <w:rPr>
                <w:rFonts w:ascii="Calibri" w:cs="Calibri" w:eastAsia="Calibri" w:hAnsi="Calibri"/>
                <w:b/>
                <w:bCs/>
                <w:color w:val="000000"/>
                <w:sz w:val="21"/>
                <w:szCs w:val="21"/>
              </w:rPr>
              <w:t xml:space="preserve">2. Unidad de cuenta</w:t>
            </w:r>
            <w:r>
              <w:rPr>
                <w:rFonts w:ascii="Calibri" w:cs="Calibri" w:eastAsia="Calibri" w:hAnsi="Calibri"/>
                <w:color w:val="000000"/>
                <w:sz w:val="21"/>
                <w:szCs w:val="21"/>
              </w:rPr>
              <w:t xml:space="preserve"> — cae después: los precios empiezan a fijarse en dólares aunque el pago se haga en moneda local. Es el momento en que aparecen los carteles con precios en divisa.</w:t>
            </w:r>
          </w:p>
          <w:p>
            <w:pPr>
              <w:spacing w:after="80" w:line="276"/>
              <w:jc w:val="both"/>
            </w:pPr>
            <w:r>
              <w:rPr>
                <w:rFonts w:ascii="Calibri" w:cs="Calibri" w:eastAsia="Calibri" w:hAnsi="Calibri"/>
                <w:b/>
                <w:bCs/>
                <w:color w:val="000000"/>
                <w:sz w:val="21"/>
                <w:szCs w:val="21"/>
              </w:rPr>
              <w:t xml:space="preserve">3. Medio de pago</w:t>
            </w:r>
            <w:r>
              <w:rPr>
                <w:rFonts w:ascii="Calibri" w:cs="Calibri" w:eastAsia="Calibri" w:hAnsi="Calibri"/>
                <w:color w:val="000000"/>
                <w:sz w:val="21"/>
                <w:szCs w:val="21"/>
              </w:rPr>
              <w:t xml:space="preserve"> — es la última en caer, y solo en casos extremos, porque es la más difícil de sustituir en el día a día.</w:t>
            </w:r>
          </w:p>
          <w:p>
            <w:pPr>
              <w:spacing w:after="0" w:line="276"/>
              <w:jc w:val="both"/>
            </w:pPr>
            <w:r>
              <w:rPr>
                <w:rFonts w:ascii="Calibri" w:cs="Calibri" w:eastAsia="Calibri" w:hAnsi="Calibri"/>
                <w:color w:val="000000"/>
                <w:sz w:val="21"/>
                <w:szCs w:val="21"/>
              </w:rPr>
              <w:t xml:space="preserve">Aplicar esta secuencia al caso boliviano reciente es un ejercicio de examen muy probable.</w:t>
            </w:r>
          </w:p>
        </w:tc>
      </w:tr>
    </w:tbl>
    <w:p>
      <w:pPr>
        <w:pStyle w:val="Heading2"/>
        <w:spacing w:after="140" w:before="320"/>
      </w:pPr>
      <w:r>
        <w:rPr>
          <w:rFonts w:ascii="Calibri" w:cs="Calibri" w:eastAsia="Calibri" w:hAnsi="Calibri"/>
          <w:b/>
          <w:bCs/>
          <w:color w:val="1F3864"/>
          <w:sz w:val="26"/>
          <w:szCs w:val="26"/>
        </w:rPr>
        <w:t xml:space="preserve">5.3 El límite del financiamiento vía emisión</w:t>
      </w:r>
    </w:p>
    <w:p>
      <w:pPr>
        <w:spacing w:after="140" w:line="276"/>
        <w:jc w:val="both"/>
      </w:pPr>
      <w:r>
        <w:rPr>
          <w:rFonts w:ascii="Calibri" w:cs="Calibri" w:eastAsia="Calibri" w:hAnsi="Calibri"/>
          <w:color w:val="000000"/>
          <w:sz w:val="21"/>
          <w:szCs w:val="21"/>
        </w:rPr>
        <w:t xml:space="preserve">El Estado puede intentar obtener más recursos emitiendo dinero, pero la base monetaria que el público está dispuesto a mantener no es infinita. Si la inflación se vuelve suficientemente elevada, las personas intentan deshacerse rápidamente de la moneda nacional. La emisión adicional provoca entonces una reacción cada vez mayor en precios y expectativas, mientras cae la demanda de dinero.</w:t>
      </w:r>
    </w:p>
    <w:p>
      <w:pPr>
        <w:spacing w:after="12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La curva de Laffer inflacionaria</w:t>
            </w:r>
          </w:p>
          <w:p>
            <w:pPr>
              <w:spacing w:after="80" w:line="276"/>
              <w:jc w:val="both"/>
            </w:pPr>
            <w:r>
              <w:rPr>
                <w:rFonts w:ascii="Calibri" w:cs="Calibri" w:eastAsia="Calibri" w:hAnsi="Calibri"/>
                <w:color w:val="000000"/>
                <w:sz w:val="21"/>
                <w:szCs w:val="21"/>
              </w:rPr>
              <w:t xml:space="preserve">Esa intuición de tus apuntes tiene nombre y forma precisa. Como </w:t>
            </w:r>
            <w:r>
              <w:rPr>
                <w:rFonts w:ascii="Calibri" w:cs="Calibri" w:eastAsia="Calibri" w:hAnsi="Calibri"/>
                <w:b/>
                <w:bCs/>
                <w:color w:val="000000"/>
                <w:sz w:val="21"/>
                <w:szCs w:val="21"/>
              </w:rPr>
              <w:t xml:space="preserve">IT = π × (M/P)</w:t>
            </w:r>
            <w:r>
              <w:rPr>
                <w:rFonts w:ascii="Calibri" w:cs="Calibri" w:eastAsia="Calibri" w:hAnsi="Calibri"/>
                <w:color w:val="000000"/>
                <w:sz w:val="21"/>
                <w:szCs w:val="21"/>
              </w:rPr>
              <w:t xml:space="preserve"> y M/P </w:t>
            </w:r>
            <w:r>
              <w:rPr>
                <w:rFonts w:ascii="Calibri" w:cs="Calibri" w:eastAsia="Calibri" w:hAnsi="Calibri"/>
                <w:i/>
                <w:iCs/>
                <w:color w:val="000000"/>
                <w:sz w:val="21"/>
                <w:szCs w:val="21"/>
              </w:rPr>
              <w:t xml:space="preserve">cae</w:t>
            </w:r>
            <w:r>
              <w:rPr>
                <w:rFonts w:ascii="Calibri" w:cs="Calibri" w:eastAsia="Calibri" w:hAnsi="Calibri"/>
                <w:color w:val="000000"/>
                <w:sz w:val="21"/>
                <w:szCs w:val="21"/>
              </w:rPr>
              <w:t xml:space="preserve"> cuando π sube, el producto no crece indefinidamente:</w:t>
            </w:r>
          </w:p>
          <w:p>
            <w:pPr>
              <w:spacing w:after="80" w:line="276"/>
              <w:jc w:val="both"/>
            </w:pPr>
            <w:r>
              <w:rPr>
                <w:rFonts w:ascii="Calibri" w:cs="Calibri" w:eastAsia="Calibri" w:hAnsi="Calibri"/>
                <w:b/>
                <w:bCs/>
                <w:color w:val="000000"/>
                <w:sz w:val="21"/>
                <w:szCs w:val="21"/>
              </w:rPr>
              <w:t xml:space="preserve">Con inflación baja</w:t>
            </w:r>
            <w:r>
              <w:rPr>
                <w:rFonts w:ascii="Calibri" w:cs="Calibri" w:eastAsia="Calibri" w:hAnsi="Calibri"/>
                <w:color w:val="000000"/>
                <w:sz w:val="21"/>
                <w:szCs w:val="21"/>
              </w:rPr>
              <w:t xml:space="preserve">, subir π aumenta la recaudación: el efecto tasa domina.</w:t>
            </w:r>
          </w:p>
          <w:p>
            <w:pPr>
              <w:spacing w:after="80" w:line="276"/>
              <w:jc w:val="both"/>
            </w:pPr>
            <w:r>
              <w:rPr>
                <w:rFonts w:ascii="Calibri" w:cs="Calibri" w:eastAsia="Calibri" w:hAnsi="Calibri"/>
                <w:b/>
                <w:bCs/>
                <w:color w:val="000000"/>
                <w:sz w:val="21"/>
                <w:szCs w:val="21"/>
              </w:rPr>
              <w:t xml:space="preserve">A partir de cierto punto</w:t>
            </w:r>
            <w:r>
              <w:rPr>
                <w:rFonts w:ascii="Calibri" w:cs="Calibri" w:eastAsia="Calibri" w:hAnsi="Calibri"/>
                <w:color w:val="000000"/>
                <w:sz w:val="21"/>
                <w:szCs w:val="21"/>
              </w:rPr>
              <w:t xml:space="preserve">, la caída de la base (M/P) es más rápida que el aumento de la tasa, y la recaudación real </w:t>
            </w:r>
            <w:r>
              <w:rPr>
                <w:rFonts w:ascii="Calibri" w:cs="Calibri" w:eastAsia="Calibri" w:hAnsi="Calibri"/>
                <w:b/>
                <w:bCs/>
                <w:color w:val="000000"/>
                <w:sz w:val="21"/>
                <w:szCs w:val="21"/>
              </w:rPr>
              <w:t xml:space="preserve">disminuye</w:t>
            </w:r>
            <w:r>
              <w:rPr>
                <w:rFonts w:ascii="Calibri" w:cs="Calibri" w:eastAsia="Calibri" w:hAnsi="Calibri"/>
                <w:color w:val="000000"/>
                <w:sz w:val="21"/>
                <w:szCs w:val="21"/>
              </w:rPr>
              <w:t xml:space="preserve">.</w:t>
            </w:r>
          </w:p>
          <w:p>
            <w:pPr>
              <w:spacing w:after="80" w:line="276"/>
              <w:jc w:val="both"/>
            </w:pPr>
            <w:r>
              <w:rPr>
                <w:rFonts w:ascii="Calibri" w:cs="Calibri" w:eastAsia="Calibri" w:hAnsi="Calibri"/>
                <w:color w:val="000000"/>
                <w:sz w:val="21"/>
                <w:szCs w:val="21"/>
              </w:rPr>
              <w:t xml:space="preserve">La relación entre inflación y recaudación tiene forma de campana: existe una tasa de inflación que </w:t>
            </w:r>
            <w:r>
              <w:rPr>
                <w:rFonts w:ascii="Calibri" w:cs="Calibri" w:eastAsia="Calibri" w:hAnsi="Calibri"/>
                <w:i/>
                <w:iCs/>
                <w:color w:val="000000"/>
                <w:sz w:val="21"/>
                <w:szCs w:val="21"/>
              </w:rPr>
              <w:t xml:space="preserve">maximiza</w:t>
            </w:r>
            <w:r>
              <w:rPr>
                <w:rFonts w:ascii="Calibri" w:cs="Calibri" w:eastAsia="Calibri" w:hAnsi="Calibri"/>
                <w:color w:val="000000"/>
                <w:sz w:val="21"/>
                <w:szCs w:val="21"/>
              </w:rPr>
              <w:t xml:space="preserve"> el impuesto inflacionario, y más allá de ella el gobierno recauda </w:t>
            </w:r>
            <w:r>
              <w:rPr>
                <w:rFonts w:ascii="Calibri" w:cs="Calibri" w:eastAsia="Calibri" w:hAnsi="Calibri"/>
                <w:i/>
                <w:iCs/>
                <w:color w:val="000000"/>
                <w:sz w:val="21"/>
                <w:szCs w:val="21"/>
              </w:rPr>
              <w:t xml:space="preserve">menos</w:t>
            </w:r>
            <w:r>
              <w:rPr>
                <w:rFonts w:ascii="Calibri" w:cs="Calibri" w:eastAsia="Calibri" w:hAnsi="Calibri"/>
                <w:color w:val="000000"/>
                <w:sz w:val="21"/>
                <w:szCs w:val="21"/>
              </w:rPr>
              <w:t xml:space="preserve"> aunque emita más. Es exactamente el mismo argumento que la curva de Laffer tributaria, aplicado a la inflación.</w:t>
            </w:r>
          </w:p>
          <w:p>
            <w:pPr>
              <w:spacing w:after="0" w:line="276"/>
              <w:jc w:val="both"/>
            </w:pPr>
            <w:r>
              <w:rPr>
                <w:rFonts w:ascii="Calibri" w:cs="Calibri" w:eastAsia="Calibri" w:hAnsi="Calibri"/>
                <w:color w:val="000000"/>
                <w:sz w:val="21"/>
                <w:szCs w:val="21"/>
              </w:rPr>
              <w:t xml:space="preserve">Esto responde con precisión la pregunta de repaso de tus apuntes sobre por qué el impuesto inflacionario deja de ser una fuente efectiva de recursos cuando la inflación se vuelve extrema. Y explica la dinámica de hiperinflación: un gobierno que necesita un monto real fijo y ve caer su recaudación debe emitir cada vez más rápido, lo que acelera la caída de la demanda de dinero, en una espiral.</w:t>
            </w:r>
          </w:p>
        </w:tc>
      </w:tr>
    </w:tbl>
    <w:p>
      <w:pPr>
        <w:spacing w:after="16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La teoría cuantitativa, para ordenar el mecanismo</w:t>
            </w:r>
          </w:p>
          <w:p>
            <w:pPr>
              <w:spacing w:after="80" w:line="276"/>
              <w:jc w:val="both"/>
            </w:pPr>
            <w:r>
              <w:rPr>
                <w:rFonts w:ascii="Calibri" w:cs="Calibri" w:eastAsia="Calibri" w:hAnsi="Calibri"/>
                <w:color w:val="000000"/>
                <w:sz w:val="21"/>
                <w:szCs w:val="21"/>
              </w:rPr>
              <w:t xml:space="preserve">La ecuación de intercambio da el andamiaje formal de todo lo anterior:</w:t>
            </w:r>
          </w:p>
          <w:p>
            <w:pPr>
              <w:spacing w:after="80" w:line="276"/>
              <w:jc w:val="both"/>
            </w:pPr>
            <w:r>
              <w:rPr>
                <w:rFonts w:ascii="Calibri" w:cs="Calibri" w:eastAsia="Calibri" w:hAnsi="Calibri"/>
                <w:b/>
                <w:bCs/>
                <w:color w:val="000000"/>
                <w:sz w:val="21"/>
                <w:szCs w:val="21"/>
              </w:rPr>
              <w:t xml:space="preserve">M × V = P × Y</w:t>
            </w:r>
          </w:p>
          <w:p>
            <w:pPr>
              <w:spacing w:after="80" w:line="276"/>
              <w:jc w:val="both"/>
            </w:pPr>
            <w:r>
              <w:rPr>
                <w:rFonts w:ascii="Calibri" w:cs="Calibri" w:eastAsia="Calibri" w:hAnsi="Calibri"/>
                <w:color w:val="000000"/>
                <w:sz w:val="21"/>
                <w:szCs w:val="21"/>
              </w:rPr>
              <w:t xml:space="preserve">donde M es la cantidad de dinero, V su velocidad de circulación, P el nivel de precios e Y la producción real. En variaciones porcentuales:</w:t>
            </w:r>
          </w:p>
          <w:p>
            <w:pPr>
              <w:spacing w:after="80" w:line="276"/>
              <w:jc w:val="both"/>
            </w:pPr>
            <w:r>
              <w:rPr>
                <w:rFonts w:ascii="Calibri" w:cs="Calibri" w:eastAsia="Calibri" w:hAnsi="Calibri"/>
                <w:b/>
                <w:bCs/>
                <w:color w:val="000000"/>
                <w:sz w:val="21"/>
                <w:szCs w:val="21"/>
              </w:rPr>
              <w:t xml:space="preserve">%ΔM + %ΔV ≈ %ΔP + %ΔY</w:t>
            </w:r>
          </w:p>
          <w:p>
            <w:pPr>
              <w:spacing w:after="0" w:line="276"/>
              <w:jc w:val="both"/>
            </w:pPr>
            <w:r>
              <w:rPr>
                <w:rFonts w:ascii="Calibri" w:cs="Calibri" w:eastAsia="Calibri" w:hAnsi="Calibri"/>
                <w:color w:val="000000"/>
                <w:sz w:val="21"/>
                <w:szCs w:val="21"/>
              </w:rPr>
              <w:t xml:space="preserve">Si V e Y son estables, un aumento de M se traduce casi íntegramente en aumento de P. La advertencia importante es que </w:t>
            </w:r>
            <w:r>
              <w:rPr>
                <w:rFonts w:ascii="Calibri" w:cs="Calibri" w:eastAsia="Calibri" w:hAnsi="Calibri"/>
                <w:b/>
                <w:bCs/>
                <w:color w:val="000000"/>
                <w:sz w:val="21"/>
                <w:szCs w:val="21"/>
              </w:rPr>
              <w:t xml:space="preserve">en una crisis de confianza V no es estable</w:t>
            </w:r>
            <w:r>
              <w:rPr>
                <w:rFonts w:ascii="Calibri" w:cs="Calibri" w:eastAsia="Calibri" w:hAnsi="Calibri"/>
                <w:color w:val="000000"/>
                <w:sz w:val="21"/>
                <w:szCs w:val="21"/>
              </w:rPr>
              <w:t xml:space="preserve">: cuando la gente huye del dinero, la velocidad se dispara y los precios suben </w:t>
            </w:r>
            <w:r>
              <w:rPr>
                <w:rFonts w:ascii="Calibri" w:cs="Calibri" w:eastAsia="Calibri" w:hAnsi="Calibri"/>
                <w:i/>
                <w:iCs/>
                <w:color w:val="000000"/>
                <w:sz w:val="21"/>
                <w:szCs w:val="21"/>
              </w:rPr>
              <w:t xml:space="preserve">más</w:t>
            </w:r>
            <w:r>
              <w:rPr>
                <w:rFonts w:ascii="Calibri" w:cs="Calibri" w:eastAsia="Calibri" w:hAnsi="Calibri"/>
                <w:color w:val="000000"/>
                <w:sz w:val="21"/>
                <w:szCs w:val="21"/>
              </w:rPr>
              <w:t xml:space="preserve"> que la cantidad de dinero. Ese es el puente hacia la hiperinflación.</w:t>
            </w:r>
          </w:p>
        </w:tc>
      </w:tr>
    </w:tbl>
    <w:p>
      <w:pPr>
        <w:pStyle w:val="Heading2"/>
        <w:spacing w:after="140" w:before="320"/>
      </w:pPr>
      <w:r>
        <w:rPr>
          <w:rFonts w:ascii="Calibri" w:cs="Calibri" w:eastAsia="Calibri" w:hAnsi="Calibri"/>
          <w:b/>
          <w:bCs/>
          <w:color w:val="1F3864"/>
          <w:sz w:val="26"/>
          <w:szCs w:val="26"/>
        </w:rPr>
        <w:t xml:space="preserve">5.4 Hiperinflación</w:t>
      </w:r>
    </w:p>
    <w:p>
      <w:pPr>
        <w:spacing w:after="140" w:line="276"/>
        <w:jc w:val="both"/>
      </w:pPr>
      <w:r>
        <w:rPr>
          <w:rFonts w:ascii="Calibri" w:cs="Calibri" w:eastAsia="Calibri" w:hAnsi="Calibri"/>
          <w:color w:val="000000"/>
          <w:sz w:val="21"/>
          <w:szCs w:val="21"/>
        </w:rPr>
        <w:t xml:space="preserve">La hiperinflación es una situación extrema de inflación muy elevada y acelerada, normalmente acompañada de una fuerte pérdida de confianza en la moneda. Su comportamiento característico es la </w:t>
      </w:r>
      <w:r>
        <w:rPr>
          <w:rFonts w:ascii="Calibri" w:cs="Calibri" w:eastAsia="Calibri" w:hAnsi="Calibri"/>
          <w:b/>
          <w:bCs/>
          <w:color w:val="000000"/>
          <w:sz w:val="21"/>
          <w:szCs w:val="21"/>
        </w:rPr>
        <w:t xml:space="preserve">huida del dinero</w:t>
      </w:r>
      <w:r>
        <w:rPr>
          <w:rFonts w:ascii="Calibri" w:cs="Calibri" w:eastAsia="Calibri" w:hAnsi="Calibri"/>
          <w:color w:val="000000"/>
          <w:sz w:val="21"/>
          <w:szCs w:val="21"/>
        </w:rPr>
        <w:t xml:space="preserve">: los agentes procuran convertir rápidamente la moneda nacional en bienes, divisas u otros activos.</w:t>
      </w:r>
    </w:p>
    <w:p>
      <w:pPr>
        <w:spacing w:after="120"/>
      </w:pPr>
    </w:p>
    <w:tbl>
      <w:tblPr>
        <w:tblW w:type="dxa" w:w="9020"/>
        <w:tblBorders>
          <w:top w:val="single" w:color="BFBFBF" w:sz="2"/>
          <w:left w:val="single" w:color="808080" w:sz="14"/>
          <w:bottom w:val="single" w:color="BFBFBF" w:sz="2"/>
          <w:right w:val="single" w:color="BFBFBF" w:sz="2"/>
          <w:insideH w:val="none"/>
          <w:insideV w:val="none"/>
        </w:tblBorders>
      </w:tblPr>
      <w:tblGrid>
        <w:gridCol w:w="9020"/>
      </w:tblGrid>
      <w:tr>
        <w:tc>
          <w:tcPr>
            <w:tcW w:type="dxa" w:w="9020"/>
            <w:shd w:fill="F2F2F2"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Ejemplo intuitivo</w:t>
            </w:r>
          </w:p>
          <w:p>
            <w:pPr>
              <w:spacing w:after="0" w:line="276"/>
              <w:jc w:val="both"/>
            </w:pPr>
            <w:r>
              <w:rPr>
                <w:rFonts w:ascii="Calibri" w:cs="Calibri" w:eastAsia="Calibri" w:hAnsi="Calibri"/>
                <w:color w:val="000000"/>
                <w:sz w:val="21"/>
                <w:szCs w:val="21"/>
              </w:rPr>
              <w:t xml:space="preserve">Si una persona recibe Bs 1 y espera que su poder adquisitivo caiga rápidamente, intentará convertir esos bolivianos en dólares o gastarlos de inmediato. La moneda deja de cumplir eficazmente su función de reserva de valor.</w:t>
            </w:r>
          </w:p>
        </w:tc>
      </w:tr>
    </w:tbl>
    <w:p>
      <w:pPr>
        <w:spacing w:after="16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Definición operativa y ubicación del caso boliviano</w:t>
            </w:r>
          </w:p>
          <w:p>
            <w:pPr>
              <w:spacing w:after="80" w:line="276"/>
              <w:jc w:val="both"/>
            </w:pPr>
            <w:r>
              <w:rPr>
                <w:rFonts w:ascii="Calibri" w:cs="Calibri" w:eastAsia="Calibri" w:hAnsi="Calibri"/>
                <w:color w:val="000000"/>
                <w:sz w:val="21"/>
                <w:szCs w:val="21"/>
              </w:rPr>
              <w:t xml:space="preserve">La convención más usada es la de </w:t>
            </w:r>
            <w:r>
              <w:rPr>
                <w:rFonts w:ascii="Calibri" w:cs="Calibri" w:eastAsia="Calibri" w:hAnsi="Calibri"/>
                <w:b/>
                <w:bCs/>
                <w:color w:val="000000"/>
                <w:sz w:val="21"/>
                <w:szCs w:val="21"/>
              </w:rPr>
              <w:t xml:space="preserve">Phillip Cagan (1956)</w:t>
            </w:r>
            <w:r>
              <w:rPr>
                <w:rFonts w:ascii="Calibri" w:cs="Calibri" w:eastAsia="Calibri" w:hAnsi="Calibri"/>
                <w:color w:val="000000"/>
                <w:sz w:val="21"/>
                <w:szCs w:val="21"/>
              </w:rPr>
              <w:t xml:space="preserve">: hay hiperinflación cuando la inflación mensual supera el </w:t>
            </w:r>
            <w:r>
              <w:rPr>
                <w:rFonts w:ascii="Calibri" w:cs="Calibri" w:eastAsia="Calibri" w:hAnsi="Calibri"/>
                <w:b/>
                <w:bCs/>
                <w:color w:val="000000"/>
                <w:sz w:val="21"/>
                <w:szCs w:val="21"/>
              </w:rPr>
              <w:t xml:space="preserve">50%</w:t>
            </w:r>
            <w:r>
              <w:rPr>
                <w:rFonts w:ascii="Calibri" w:cs="Calibri" w:eastAsia="Calibri" w:hAnsi="Calibri"/>
                <w:color w:val="000000"/>
                <w:sz w:val="21"/>
                <w:szCs w:val="21"/>
              </w:rPr>
              <w:t xml:space="preserve">, lo que equivale a más de 12.000% anual si se sostiene.</w:t>
            </w:r>
          </w:p>
          <w:p>
            <w:pPr>
              <w:spacing w:after="0" w:line="276"/>
              <w:jc w:val="both"/>
            </w:pPr>
            <w:r>
              <w:rPr>
                <w:rFonts w:ascii="Calibri" w:cs="Calibri" w:eastAsia="Calibri" w:hAnsi="Calibri"/>
                <w:color w:val="000000"/>
                <w:sz w:val="21"/>
                <w:szCs w:val="21"/>
              </w:rPr>
              <w:t xml:space="preserve">El umbral importa para no usar la palabra a la ligera. La inflación boliviana de 20,40% en 2025 fue la más alta desde 1988 y es un problema macroeconómico serio, pero </w:t>
            </w:r>
            <w:r>
              <w:rPr>
                <w:rFonts w:ascii="Calibri" w:cs="Calibri" w:eastAsia="Calibri" w:hAnsi="Calibri"/>
                <w:b/>
                <w:bCs/>
                <w:color w:val="000000"/>
                <w:sz w:val="21"/>
                <w:szCs w:val="21"/>
              </w:rPr>
              <w:t xml:space="preserve">no es hiperinflación</w:t>
            </w:r>
            <w:r>
              <w:rPr>
                <w:rFonts w:ascii="Calibri" w:cs="Calibri" w:eastAsia="Calibri" w:hAnsi="Calibri"/>
                <w:color w:val="000000"/>
                <w:sz w:val="21"/>
                <w:szCs w:val="21"/>
              </w:rPr>
              <w:t xml:space="preserve"> ni se le acerca: está a dos órdenes de magnitud del episodio de 1984–1985. Confundir ambas cosas es un error de escala que un examinador penaliza.</w:t>
            </w:r>
          </w:p>
        </w:tc>
      </w:tr>
    </w:tbl>
    <w:p>
      <w:pPr>
        <w:pStyle w:val="Heading2"/>
        <w:spacing w:after="140" w:before="320"/>
      </w:pPr>
      <w:r>
        <w:rPr>
          <w:rFonts w:ascii="Calibri" w:cs="Calibri" w:eastAsia="Calibri" w:hAnsi="Calibri"/>
          <w:b/>
          <w:bCs/>
          <w:color w:val="1F3864"/>
          <w:sz w:val="26"/>
          <w:szCs w:val="26"/>
        </w:rPr>
        <w:t xml:space="preserve">5.5 Dolarización y la experiencia boliviana</w:t>
      </w:r>
    </w:p>
    <w:p>
      <w:pPr>
        <w:spacing w:after="140" w:line="276"/>
        <w:jc w:val="both"/>
      </w:pPr>
      <w:r>
        <w:rPr>
          <w:rFonts w:ascii="Calibri" w:cs="Calibri" w:eastAsia="Calibri" w:hAnsi="Calibri"/>
          <w:color w:val="000000"/>
          <w:sz w:val="21"/>
          <w:szCs w:val="21"/>
        </w:rPr>
        <w:t xml:space="preserve">Cuando la población sustituye de manera importante la moneda nacional por una moneda extranjera se habla de </w:t>
      </w:r>
      <w:r>
        <w:rPr>
          <w:rFonts w:ascii="Calibri" w:cs="Calibri" w:eastAsia="Calibri" w:hAnsi="Calibri"/>
          <w:b/>
          <w:bCs/>
          <w:color w:val="000000"/>
          <w:sz w:val="21"/>
          <w:szCs w:val="21"/>
        </w:rPr>
        <w:t xml:space="preserve">dolarización</w:t>
      </w:r>
      <w:r>
        <w:rPr>
          <w:rFonts w:ascii="Calibri" w:cs="Calibri" w:eastAsia="Calibri" w:hAnsi="Calibri"/>
          <w:color w:val="000000"/>
          <w:sz w:val="21"/>
          <w:szCs w:val="21"/>
        </w:rPr>
        <w:t xml:space="preserve"> o sustitución monetaria. Puede ser parcial o muy elevada, y puede afectar tanto las transacciones como el ahorro y la fijación de precios.</w:t>
      </w:r>
    </w:p>
    <w:p>
      <w:pPr>
        <w:spacing w:after="120"/>
      </w:pPr>
    </w:p>
    <w:p>
      <w:pPr>
        <w:pStyle w:val="Heading3"/>
        <w:spacing w:after="120" w:before="240"/>
      </w:pPr>
      <w:r>
        <w:rPr>
          <w:rFonts w:ascii="Calibri" w:cs="Calibri" w:eastAsia="Calibri" w:hAnsi="Calibri"/>
          <w:b/>
          <w:bCs/>
          <w:color w:val="2E5496"/>
          <w:sz w:val="23"/>
          <w:szCs w:val="23"/>
        </w:rPr>
        <w:t xml:space="preserve">Conexión con la inflación</w:t>
      </w:r>
    </w:p>
    <w:p>
      <w:pPr>
        <w:pStyle w:val="ListParagraph"/>
        <w:numPr>
          <w:ilvl w:val="0"/>
          <w:numId w:val="1"/>
        </w:numPr>
        <w:spacing w:after="70" w:line="276"/>
      </w:pPr>
      <w:r>
        <w:rPr>
          <w:rFonts w:ascii="Calibri" w:cs="Calibri" w:eastAsia="Calibri" w:hAnsi="Calibri"/>
          <w:color w:val="000000"/>
          <w:sz w:val="21"/>
          <w:szCs w:val="21"/>
        </w:rPr>
        <w:t xml:space="preserve">La inflación elevada reduce el atractivo de mantener moneda nacional.</w:t>
      </w:r>
    </w:p>
    <w:p>
      <w:pPr>
        <w:pStyle w:val="ListParagraph"/>
        <w:numPr>
          <w:ilvl w:val="0"/>
          <w:numId w:val="1"/>
        </w:numPr>
        <w:spacing w:after="70" w:line="276"/>
      </w:pPr>
      <w:r>
        <w:rPr>
          <w:rFonts w:ascii="Calibri" w:cs="Calibri" w:eastAsia="Calibri" w:hAnsi="Calibri"/>
          <w:color w:val="000000"/>
          <w:sz w:val="21"/>
          <w:szCs w:val="21"/>
        </w:rPr>
        <w:t xml:space="preserve">Los agentes buscan una moneda o activo que perciban como más estable.</w:t>
      </w:r>
    </w:p>
    <w:p>
      <w:pPr>
        <w:pStyle w:val="ListParagraph"/>
        <w:numPr>
          <w:ilvl w:val="0"/>
          <w:numId w:val="1"/>
        </w:numPr>
        <w:spacing w:after="70" w:line="276"/>
      </w:pPr>
      <w:r>
        <w:rPr>
          <w:rFonts w:ascii="Calibri" w:cs="Calibri" w:eastAsia="Calibri" w:hAnsi="Calibri"/>
          <w:color w:val="000000"/>
          <w:sz w:val="21"/>
          <w:szCs w:val="21"/>
        </w:rPr>
        <w:t xml:space="preserve">La demanda de moneda nacional disminuye.</w:t>
      </w:r>
    </w:p>
    <w:p>
      <w:pPr>
        <w:pStyle w:val="ListParagraph"/>
        <w:numPr>
          <w:ilvl w:val="0"/>
          <w:numId w:val="1"/>
        </w:numPr>
        <w:spacing w:after="70" w:line="276"/>
      </w:pPr>
      <w:r>
        <w:rPr>
          <w:rFonts w:ascii="Calibri" w:cs="Calibri" w:eastAsia="Calibri" w:hAnsi="Calibri"/>
          <w:color w:val="000000"/>
          <w:sz w:val="21"/>
          <w:szCs w:val="21"/>
        </w:rPr>
        <w:t xml:space="preserve">Aumenta el uso de divisas, primero como reserva de valor y, en casos extremos, como unidad de cuenta y medio de pago.</w:t>
      </w:r>
    </w:p>
    <w:p>
      <w:pPr>
        <w:pStyle w:val="ListParagraph"/>
        <w:numPr>
          <w:ilvl w:val="0"/>
          <w:numId w:val="1"/>
        </w:numPr>
        <w:spacing w:after="70" w:line="276"/>
      </w:pPr>
      <w:r>
        <w:rPr>
          <w:rFonts w:ascii="Calibri" w:cs="Calibri" w:eastAsia="Calibri" w:hAnsi="Calibri"/>
          <w:color w:val="000000"/>
          <w:sz w:val="21"/>
          <w:szCs w:val="21"/>
        </w:rPr>
        <w:t xml:space="preserve">Cuanto más se sustituye la moneda nacional, </w:t>
      </w:r>
      <w:r>
        <w:rPr>
          <w:rFonts w:ascii="Calibri" w:cs="Calibri" w:eastAsia="Calibri" w:hAnsi="Calibri"/>
          <w:b/>
          <w:bCs/>
          <w:color w:val="000000"/>
          <w:sz w:val="21"/>
          <w:szCs w:val="21"/>
        </w:rPr>
        <w:t xml:space="preserve">menor es la base de saldos monetarios que puede soportar un impuesto inflacionario</w:t>
      </w:r>
      <w:r>
        <w:rPr>
          <w:rFonts w:ascii="Calibri" w:cs="Calibri" w:eastAsia="Calibri" w:hAnsi="Calibri"/>
          <w:color w:val="000000"/>
          <w:sz w:val="21"/>
          <w:szCs w:val="21"/>
        </w:rPr>
        <w:t xml:space="preserve">.</w:t>
      </w:r>
    </w:p>
    <w:p>
      <w:pPr>
        <w:spacing w:after="120"/>
      </w:pPr>
    </w:p>
    <w:tbl>
      <w:tblPr>
        <w:tblW w:type="dxa" w:w="9020"/>
        <w:tblBorders>
          <w:top w:val="single" w:color="BFBFBF" w:sz="2"/>
          <w:left w:val="single" w:color="BF9000" w:sz="14"/>
          <w:bottom w:val="single" w:color="BFBFBF" w:sz="2"/>
          <w:right w:val="single" w:color="BFBFBF" w:sz="2"/>
          <w:insideH w:val="none"/>
          <w:insideV w:val="none"/>
        </w:tblBorders>
      </w:tblPr>
      <w:tblGrid>
        <w:gridCol w:w="9020"/>
      </w:tblGrid>
      <w:tr>
        <w:tc>
          <w:tcPr>
            <w:tcW w:type="dxa" w:w="9020"/>
            <w:shd w:fill="FFF2CC"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La idea que cierra el circuito</w:t>
            </w:r>
          </w:p>
          <w:p>
            <w:pPr>
              <w:spacing w:after="0" w:line="276"/>
              <w:jc w:val="both"/>
            </w:pPr>
            <w:r>
              <w:rPr>
                <w:rFonts w:ascii="Calibri" w:cs="Calibri" w:eastAsia="Calibri" w:hAnsi="Calibri"/>
                <w:color w:val="000000"/>
                <w:sz w:val="21"/>
                <w:szCs w:val="21"/>
              </w:rPr>
              <w:t xml:space="preserve">Una inflación extrema puede terminar erosionando la propia demanda de dinero nacional. El gobierno que recurre a la emisión para financiarse acaba destruyendo la base sobre la que ese financiamiento se apoyaba.</w:t>
            </w:r>
          </w:p>
        </w:tc>
      </w:tr>
    </w:tbl>
    <w:p>
      <w:pPr>
        <w:spacing w:after="16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El ciclo completo boliviano: dolarización, bolivianización y después</w:t>
            </w:r>
          </w:p>
          <w:p>
            <w:pPr>
              <w:spacing w:after="80" w:line="276"/>
              <w:jc w:val="both"/>
            </w:pPr>
            <w:r>
              <w:rPr>
                <w:rFonts w:ascii="Calibri" w:cs="Calibri" w:eastAsia="Calibri" w:hAnsi="Calibri"/>
                <w:color w:val="000000"/>
                <w:sz w:val="21"/>
                <w:szCs w:val="21"/>
              </w:rPr>
              <w:t xml:space="preserve">Bolivia es un caso de manual porque recorrió el ciclo en las dos direcciones:</w:t>
            </w:r>
          </w:p>
          <w:p>
            <w:pPr>
              <w:spacing w:after="80" w:line="276"/>
              <w:jc w:val="both"/>
            </w:pPr>
            <w:r>
              <w:rPr>
                <w:rFonts w:ascii="Calibri" w:cs="Calibri" w:eastAsia="Calibri" w:hAnsi="Calibri"/>
                <w:b/>
                <w:bCs/>
                <w:color w:val="000000"/>
                <w:sz w:val="21"/>
                <w:szCs w:val="21"/>
              </w:rPr>
              <w:t xml:space="preserve">Dolarización (años 80 y 90).</w:t>
            </w:r>
            <w:r>
              <w:rPr>
                <w:rFonts w:ascii="Calibri" w:cs="Calibri" w:eastAsia="Calibri" w:hAnsi="Calibri"/>
                <w:color w:val="000000"/>
                <w:sz w:val="21"/>
                <w:szCs w:val="21"/>
              </w:rPr>
              <w:t xml:space="preserve"> Tras la hiperinflación, la sustitución de moneda fue muy alta y buena parte de los depósitos y créditos del sistema financiero estaba denominada en dólares.</w:t>
            </w:r>
          </w:p>
          <w:p>
            <w:pPr>
              <w:spacing w:after="80" w:line="276"/>
              <w:jc w:val="both"/>
            </w:pPr>
            <w:r>
              <w:rPr>
                <w:rFonts w:ascii="Calibri" w:cs="Calibri" w:eastAsia="Calibri" w:hAnsi="Calibri"/>
                <w:b/>
                <w:bCs/>
                <w:color w:val="000000"/>
                <w:sz w:val="21"/>
                <w:szCs w:val="21"/>
              </w:rPr>
              <w:t xml:space="preserve">Bolivianización (2006–2014).</w:t>
            </w:r>
            <w:r>
              <w:rPr>
                <w:rFonts w:ascii="Calibri" w:cs="Calibri" w:eastAsia="Calibri" w:hAnsi="Calibri"/>
                <w:color w:val="000000"/>
                <w:sz w:val="21"/>
                <w:szCs w:val="21"/>
              </w:rPr>
              <w:t xml:space="preserve"> Con estabilidad de precios, un tipo de cambio apreciándose y medidas deliberadas (encaje diferenciado por moneda, impuesto a las transacciones financieras en divisa, spread cambiario), la proporción de depósitos y créditos en bolivianos creció fuertemente. Fue una política explícita, no un fenómeno espontáneo.</w:t>
            </w:r>
          </w:p>
          <w:p>
            <w:pPr>
              <w:spacing w:after="80" w:line="276"/>
              <w:jc w:val="both"/>
            </w:pPr>
            <w:r>
              <w:rPr>
                <w:rFonts w:ascii="Calibri" w:cs="Calibri" w:eastAsia="Calibri" w:hAnsi="Calibri"/>
                <w:b/>
                <w:bCs/>
                <w:color w:val="000000"/>
                <w:sz w:val="21"/>
                <w:szCs w:val="21"/>
              </w:rPr>
              <w:t xml:space="preserve">Tensión reciente (2023–2026).</w:t>
            </w:r>
            <w:r>
              <w:rPr>
                <w:rFonts w:ascii="Calibri" w:cs="Calibri" w:eastAsia="Calibri" w:hAnsi="Calibri"/>
                <w:color w:val="000000"/>
                <w:sz w:val="21"/>
                <w:szCs w:val="21"/>
              </w:rPr>
              <w:t xml:space="preserve"> Con escasez de divisas, brecha cambiaria e inflación al alza, reaparecieron las conductas de cobertura: preferencia por el dólar como reserva de valor y fijación de algunos precios en divisa.</w:t>
            </w:r>
          </w:p>
          <w:p>
            <w:pPr>
              <w:spacing w:after="0" w:line="276"/>
              <w:jc w:val="both"/>
            </w:pPr>
            <w:r>
              <w:rPr>
                <w:rFonts w:ascii="Calibri" w:cs="Calibri" w:eastAsia="Calibri" w:hAnsi="Calibri"/>
                <w:color w:val="000000"/>
                <w:sz w:val="21"/>
                <w:szCs w:val="21"/>
              </w:rPr>
              <w:t xml:space="preserve">La lección teórica: </w:t>
            </w:r>
            <w:r>
              <w:rPr>
                <w:rFonts w:ascii="Calibri" w:cs="Calibri" w:eastAsia="Calibri" w:hAnsi="Calibri"/>
                <w:b/>
                <w:bCs/>
                <w:color w:val="000000"/>
                <w:sz w:val="21"/>
                <w:szCs w:val="21"/>
              </w:rPr>
              <w:t xml:space="preserve">la bolivianización no es irreversible</w:t>
            </w:r>
            <w:r>
              <w:rPr>
                <w:rFonts w:ascii="Calibri" w:cs="Calibri" w:eastAsia="Calibri" w:hAnsi="Calibri"/>
                <w:color w:val="000000"/>
                <w:sz w:val="21"/>
                <w:szCs w:val="21"/>
              </w:rPr>
              <w:t xml:space="preserve">. Depende de que la moneda nacional siga cumpliendo sus funciones, y en particular la de reserva de valor, que es la primera que se pierde.</w:t>
            </w:r>
          </w:p>
        </w:tc>
      </w:tr>
    </w:tbl>
    <w:p>
      <w:r>
        <w:br w:type="page"/>
      </w:r>
    </w:p>
    <w:p>
      <w:pPr>
        <w:pStyle w:val="Heading1"/>
        <w:spacing w:after="200" w:before="400"/>
      </w:pPr>
      <w:r>
        <w:rPr>
          <w:rFonts w:ascii="Calibri" w:cs="Calibri" w:eastAsia="Calibri" w:hAnsi="Calibri"/>
          <w:b/>
          <w:bCs/>
          <w:color w:val="1F3864"/>
          <w:sz w:val="32"/>
          <w:szCs w:val="32"/>
        </w:rPr>
        <w:t xml:space="preserve">Parte VI · IS-LM y el Fondo Monetario Internacional</w:t>
      </w:r>
    </w:p>
    <w:p>
      <w:pPr>
        <w:spacing w:after="140" w:line="276"/>
        <w:jc w:val="both"/>
      </w:pPr>
      <w:r>
        <w:rPr>
          <w:rFonts w:ascii="Calibri" w:cs="Calibri" w:eastAsia="Calibri" w:hAnsi="Calibri"/>
          <w:i/>
          <w:iCs/>
          <w:color w:val="000000"/>
          <w:sz w:val="21"/>
          <w:szCs w:val="21"/>
        </w:rPr>
        <w:t xml:space="preserve">Corresponde a las secciones 8 y 9 de tus apuntes. Es material de las Unidades V y VI, mencionado en clase de forma preliminar.</w:t>
      </w:r>
    </w:p>
    <w:p>
      <w:pPr>
        <w:pStyle w:val="Heading2"/>
        <w:spacing w:after="140" w:before="320"/>
      </w:pPr>
      <w:r>
        <w:rPr>
          <w:rFonts w:ascii="Calibri" w:cs="Calibri" w:eastAsia="Calibri" w:hAnsi="Calibri"/>
          <w:b/>
          <w:bCs/>
          <w:color w:val="1F3864"/>
          <w:sz w:val="26"/>
          <w:szCs w:val="26"/>
        </w:rPr>
        <w:t xml:space="preserve">6.1 El modelo IS-LM: visión general</w:t>
      </w:r>
    </w:p>
    <w:p>
      <w:pPr>
        <w:spacing w:after="140" w:line="276"/>
        <w:jc w:val="both"/>
      </w:pPr>
      <w:r>
        <w:rPr>
          <w:rFonts w:ascii="Calibri" w:cs="Calibri" w:eastAsia="Calibri" w:hAnsi="Calibri"/>
          <w:color w:val="000000"/>
          <w:sz w:val="21"/>
          <w:szCs w:val="21"/>
        </w:rPr>
        <w:t xml:space="preserve">El IS-LM es una herramienta para analizar conjuntamente el mercado de bienes y el mercado monetario, especialmente en el corto plazo.</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902"/>
        <w:gridCol w:w="2345"/>
        <w:gridCol w:w="5773"/>
      </w:tblGrid>
      <w:tr>
        <w:trPr>
          <w:tblHeader/>
        </w:trPr>
        <w:tc>
          <w:tcPr>
            <w:tcW w:type="dxa" w:w="902"/>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Curva</w:t>
            </w:r>
          </w:p>
        </w:tc>
        <w:tc>
          <w:tcPr>
            <w:tcW w:type="dxa" w:w="2345"/>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Mercado</w:t>
            </w:r>
          </w:p>
        </w:tc>
        <w:tc>
          <w:tcPr>
            <w:tcW w:type="dxa" w:w="5773"/>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Idea central</w:t>
            </w:r>
          </w:p>
        </w:tc>
      </w:tr>
      <w:tr>
        <w:trPr>
          <w:tblHeader w:val="false"/>
        </w:trPr>
        <w:tc>
          <w:tcPr>
            <w:tcW w:type="dxa" w:w="902"/>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IS</w:t>
            </w:r>
          </w:p>
        </w:tc>
        <w:tc>
          <w:tcPr>
            <w:tcW w:type="dxa" w:w="2345"/>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Mercado de bienes</w:t>
            </w:r>
          </w:p>
        </w:tc>
        <w:tc>
          <w:tcPr>
            <w:tcW w:type="dxa" w:w="5773"/>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Combinaciones de producción/ingreso y tasa de interés compatibles con el equilibrio del mercado de bienes.</w:t>
            </w:r>
          </w:p>
        </w:tc>
      </w:tr>
      <w:tr>
        <w:trPr>
          <w:tblHeader w:val="false"/>
        </w:trPr>
        <w:tc>
          <w:tcPr>
            <w:tcW w:type="dxa" w:w="902"/>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LM</w:t>
            </w:r>
          </w:p>
        </w:tc>
        <w:tc>
          <w:tcPr>
            <w:tcW w:type="dxa" w:w="2345"/>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Mercado monetario</w:t>
            </w:r>
          </w:p>
        </w:tc>
        <w:tc>
          <w:tcPr>
            <w:tcW w:type="dxa" w:w="5773"/>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Combinaciones de producción/ingreso y tasa de interés compatibles con el equilibrio del mercado de dinero.</w:t>
            </w:r>
          </w:p>
        </w:tc>
      </w:tr>
    </w:tbl>
    <w:p>
      <w:pPr>
        <w:spacing w:after="160"/>
      </w:pPr>
    </w:p>
    <w:p>
      <w:pPr>
        <w:spacing w:after="140" w:line="276"/>
        <w:jc w:val="both"/>
      </w:pPr>
      <w:r>
        <w:rPr>
          <w:rFonts w:ascii="Calibri" w:cs="Calibri" w:eastAsia="Calibri" w:hAnsi="Calibri"/>
          <w:color w:val="000000"/>
          <w:sz w:val="21"/>
          <w:szCs w:val="21"/>
        </w:rPr>
        <w:t xml:space="preserve">La intersección de IS y LM determina, dentro del modelo y bajo sus supuestos, un nivel de producción y una tasa de interés de equilibrio. El modelo sirve de puente para estudiar cómo las políticas fiscal y monetaria afectan la actividad económica y la tasa de interés.</w:t>
      </w:r>
    </w:p>
    <w:p>
      <w:pPr>
        <w:spacing w:after="12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Lo mínimo que conviene fijar desde ahora</w:t>
            </w:r>
          </w:p>
          <w:p>
            <w:pPr>
              <w:spacing w:after="80" w:line="276"/>
              <w:jc w:val="both"/>
            </w:pPr>
            <w:r>
              <w:rPr>
                <w:rFonts w:ascii="Calibri" w:cs="Calibri" w:eastAsia="Calibri" w:hAnsi="Calibri"/>
                <w:b/>
                <w:bCs/>
                <w:color w:val="000000"/>
                <w:sz w:val="21"/>
                <w:szCs w:val="21"/>
              </w:rPr>
              <w:t xml:space="preserve">Por qué la IS tiene pendiente negativa.</w:t>
            </w:r>
            <w:r>
              <w:rPr>
                <w:rFonts w:ascii="Calibri" w:cs="Calibri" w:eastAsia="Calibri" w:hAnsi="Calibri"/>
                <w:color w:val="000000"/>
                <w:sz w:val="21"/>
                <w:szCs w:val="21"/>
              </w:rPr>
              <w:t xml:space="preserve"> Una tasa de interés más baja abarata el crédito, estimula la inversión y eleva la demanda agregada, y por tanto la producción de equilibrio. Menor </w:t>
            </w:r>
            <w:r>
              <w:rPr>
                <w:rFonts w:ascii="Calibri" w:cs="Calibri" w:eastAsia="Calibri" w:hAnsi="Calibri"/>
                <w:i/>
                <w:iCs/>
                <w:color w:val="000000"/>
                <w:sz w:val="21"/>
                <w:szCs w:val="21"/>
              </w:rPr>
              <w:t xml:space="preserve">i</w:t>
            </w:r>
            <w:r>
              <w:rPr>
                <w:rFonts w:ascii="Calibri" w:cs="Calibri" w:eastAsia="Calibri" w:hAnsi="Calibri"/>
                <w:color w:val="000000"/>
                <w:sz w:val="21"/>
                <w:szCs w:val="21"/>
              </w:rPr>
              <w:t xml:space="preserve"> implica mayor </w:t>
            </w:r>
            <w:r>
              <w:rPr>
                <w:rFonts w:ascii="Calibri" w:cs="Calibri" w:eastAsia="Calibri" w:hAnsi="Calibri"/>
                <w:i/>
                <w:iCs/>
                <w:color w:val="000000"/>
                <w:sz w:val="21"/>
                <w:szCs w:val="21"/>
              </w:rPr>
              <w:t xml:space="preserve">Y</w:t>
            </w:r>
            <w:r>
              <w:rPr>
                <w:rFonts w:ascii="Calibri" w:cs="Calibri" w:eastAsia="Calibri" w:hAnsi="Calibri"/>
                <w:color w:val="000000"/>
                <w:sz w:val="21"/>
                <w:szCs w:val="21"/>
              </w:rPr>
              <w:t xml:space="preserve">.</w:t>
            </w:r>
          </w:p>
          <w:p>
            <w:pPr>
              <w:spacing w:after="80" w:line="276"/>
              <w:jc w:val="both"/>
            </w:pPr>
            <w:r>
              <w:rPr>
                <w:rFonts w:ascii="Calibri" w:cs="Calibri" w:eastAsia="Calibri" w:hAnsi="Calibri"/>
                <w:b/>
                <w:bCs/>
                <w:color w:val="000000"/>
                <w:sz w:val="21"/>
                <w:szCs w:val="21"/>
              </w:rPr>
              <w:t xml:space="preserve">Por qué la LM tiene pendiente positiva.</w:t>
            </w:r>
            <w:r>
              <w:rPr>
                <w:rFonts w:ascii="Calibri" w:cs="Calibri" w:eastAsia="Calibri" w:hAnsi="Calibri"/>
                <w:color w:val="000000"/>
                <w:sz w:val="21"/>
                <w:szCs w:val="21"/>
              </w:rPr>
              <w:t xml:space="preserve"> Con oferta monetaria dada, una producción mayor eleva la demanda de dinero por motivo transacción; para que el mercado monetario siga en equilibrio, la tasa de interés debe subir. Mayor </w:t>
            </w:r>
            <w:r>
              <w:rPr>
                <w:rFonts w:ascii="Calibri" w:cs="Calibri" w:eastAsia="Calibri" w:hAnsi="Calibri"/>
                <w:i/>
                <w:iCs/>
                <w:color w:val="000000"/>
                <w:sz w:val="21"/>
                <w:szCs w:val="21"/>
              </w:rPr>
              <w:t xml:space="preserve">Y</w:t>
            </w:r>
            <w:r>
              <w:rPr>
                <w:rFonts w:ascii="Calibri" w:cs="Calibri" w:eastAsia="Calibri" w:hAnsi="Calibri"/>
                <w:color w:val="000000"/>
                <w:sz w:val="21"/>
                <w:szCs w:val="21"/>
              </w:rPr>
              <w:t xml:space="preserve"> implica mayor </w:t>
            </w:r>
            <w:r>
              <w:rPr>
                <w:rFonts w:ascii="Calibri" w:cs="Calibri" w:eastAsia="Calibri" w:hAnsi="Calibri"/>
                <w:i/>
                <w:iCs/>
                <w:color w:val="000000"/>
                <w:sz w:val="21"/>
                <w:szCs w:val="21"/>
              </w:rPr>
              <w:t xml:space="preserve">i</w:t>
            </w:r>
            <w:r>
              <w:rPr>
                <w:rFonts w:ascii="Calibri" w:cs="Calibri" w:eastAsia="Calibri" w:hAnsi="Calibri"/>
                <w:color w:val="000000"/>
                <w:sz w:val="21"/>
                <w:szCs w:val="21"/>
              </w:rPr>
              <w:t xml:space="preserve">.</w:t>
            </w:r>
          </w:p>
          <w:p>
            <w:pPr>
              <w:spacing w:after="80" w:line="276"/>
              <w:jc w:val="both"/>
            </w:pPr>
            <w:r>
              <w:rPr>
                <w:rFonts w:ascii="Calibri" w:cs="Calibri" w:eastAsia="Calibri" w:hAnsi="Calibri"/>
                <w:b/>
                <w:bCs/>
                <w:color w:val="000000"/>
                <w:sz w:val="21"/>
                <w:szCs w:val="21"/>
              </w:rPr>
              <w:t xml:space="preserve">Qué desplaza cada curva.</w:t>
            </w:r>
            <w:r>
              <w:rPr>
                <w:rFonts w:ascii="Calibri" w:cs="Calibri" w:eastAsia="Calibri" w:hAnsi="Calibri"/>
                <w:color w:val="000000"/>
                <w:sz w:val="21"/>
                <w:szCs w:val="21"/>
              </w:rPr>
              <w:t xml:space="preserve"> La </w:t>
            </w:r>
            <w:r>
              <w:rPr>
                <w:rFonts w:ascii="Calibri" w:cs="Calibri" w:eastAsia="Calibri" w:hAnsi="Calibri"/>
                <w:b/>
                <w:bCs/>
                <w:color w:val="000000"/>
                <w:sz w:val="21"/>
                <w:szCs w:val="21"/>
              </w:rPr>
              <w:t xml:space="preserve">política fiscal</w:t>
            </w:r>
            <w:r>
              <w:rPr>
                <w:rFonts w:ascii="Calibri" w:cs="Calibri" w:eastAsia="Calibri" w:hAnsi="Calibri"/>
                <w:color w:val="000000"/>
                <w:sz w:val="21"/>
                <w:szCs w:val="21"/>
              </w:rPr>
              <w:t xml:space="preserve"> (más G o menos impuestos) desplaza la IS a la derecha. La </w:t>
            </w:r>
            <w:r>
              <w:rPr>
                <w:rFonts w:ascii="Calibri" w:cs="Calibri" w:eastAsia="Calibri" w:hAnsi="Calibri"/>
                <w:b/>
                <w:bCs/>
                <w:color w:val="000000"/>
                <w:sz w:val="21"/>
                <w:szCs w:val="21"/>
              </w:rPr>
              <w:t xml:space="preserve">política monetaria</w:t>
            </w:r>
            <w:r>
              <w:rPr>
                <w:rFonts w:ascii="Calibri" w:cs="Calibri" w:eastAsia="Calibri" w:hAnsi="Calibri"/>
                <w:color w:val="000000"/>
                <w:sz w:val="21"/>
                <w:szCs w:val="21"/>
              </w:rPr>
              <w:t xml:space="preserve"> (más oferta monetaria) desplaza la LM a la derecha. Distinguir un </w:t>
            </w:r>
            <w:r>
              <w:rPr>
                <w:rFonts w:ascii="Calibri" w:cs="Calibri" w:eastAsia="Calibri" w:hAnsi="Calibri"/>
                <w:i/>
                <w:iCs/>
                <w:color w:val="000000"/>
                <w:sz w:val="21"/>
                <w:szCs w:val="21"/>
              </w:rPr>
              <w:t xml:space="preserve">desplazamiento de la curva</w:t>
            </w:r>
            <w:r>
              <w:rPr>
                <w:rFonts w:ascii="Calibri" w:cs="Calibri" w:eastAsia="Calibri" w:hAnsi="Calibri"/>
                <w:color w:val="000000"/>
                <w:sz w:val="21"/>
                <w:szCs w:val="21"/>
              </w:rPr>
              <w:t xml:space="preserve"> de un </w:t>
            </w:r>
            <w:r>
              <w:rPr>
                <w:rFonts w:ascii="Calibri" w:cs="Calibri" w:eastAsia="Calibri" w:hAnsi="Calibri"/>
                <w:i/>
                <w:iCs/>
                <w:color w:val="000000"/>
                <w:sz w:val="21"/>
                <w:szCs w:val="21"/>
              </w:rPr>
              <w:t xml:space="preserve">movimiento a lo largo de la curva</w:t>
            </w:r>
            <w:r>
              <w:rPr>
                <w:rFonts w:ascii="Calibri" w:cs="Calibri" w:eastAsia="Calibri" w:hAnsi="Calibri"/>
                <w:color w:val="000000"/>
                <w:sz w:val="21"/>
                <w:szCs w:val="21"/>
              </w:rPr>
              <w:t xml:space="preserve"> es la fuente número uno de errores en esta unidad.</w:t>
            </w:r>
          </w:p>
          <w:p>
            <w:pPr>
              <w:spacing w:after="0" w:line="276"/>
              <w:jc w:val="both"/>
            </w:pPr>
            <w:r>
              <w:rPr>
                <w:rFonts w:ascii="Calibri" w:cs="Calibri" w:eastAsia="Calibri" w:hAnsi="Calibri"/>
                <w:b/>
                <w:bCs/>
                <w:color w:val="000000"/>
                <w:sz w:val="21"/>
                <w:szCs w:val="21"/>
              </w:rPr>
              <w:t xml:space="preserve">Supuesto crítico:</w:t>
            </w:r>
            <w:r>
              <w:rPr>
                <w:rFonts w:ascii="Calibri" w:cs="Calibri" w:eastAsia="Calibri" w:hAnsi="Calibri"/>
                <w:color w:val="000000"/>
                <w:sz w:val="21"/>
                <w:szCs w:val="21"/>
              </w:rPr>
              <w:t xml:space="preserve"> el modelo IS-LM básico supone </w:t>
            </w:r>
            <w:r>
              <w:rPr>
                <w:rFonts w:ascii="Calibri" w:cs="Calibri" w:eastAsia="Calibri" w:hAnsi="Calibri"/>
                <w:b/>
                <w:bCs/>
                <w:color w:val="000000"/>
                <w:sz w:val="21"/>
                <w:szCs w:val="21"/>
              </w:rPr>
              <w:t xml:space="preserve">precios fijos</w:t>
            </w:r>
            <w:r>
              <w:rPr>
                <w:rFonts w:ascii="Calibri" w:cs="Calibri" w:eastAsia="Calibri" w:hAnsi="Calibri"/>
                <w:color w:val="000000"/>
                <w:sz w:val="21"/>
                <w:szCs w:val="21"/>
              </w:rPr>
              <w:t xml:space="preserve">. Por eso es una herramienta de corto plazo y no sirve para analizar inflación, que se estudia con el aparato de la Unidad III.</w:t>
            </w:r>
          </w:p>
        </w:tc>
      </w:tr>
    </w:tbl>
    <w:p>
      <w:pPr>
        <w:pStyle w:val="Heading2"/>
        <w:spacing w:after="140" w:before="320"/>
      </w:pPr>
      <w:r>
        <w:rPr>
          <w:rFonts w:ascii="Calibri" w:cs="Calibri" w:eastAsia="Calibri" w:hAnsi="Calibri"/>
          <w:b/>
          <w:bCs/>
          <w:color w:val="1F3864"/>
          <w:sz w:val="26"/>
          <w:szCs w:val="26"/>
        </w:rPr>
        <w:t xml:space="preserve">6.2 FMI: cuotas y Derechos Especiales de Giro</w:t>
      </w:r>
    </w:p>
    <w:p>
      <w:pPr>
        <w:spacing w:after="140" w:line="276"/>
        <w:jc w:val="both"/>
      </w:pPr>
      <w:r>
        <w:rPr>
          <w:rFonts w:ascii="Calibri" w:cs="Calibri" w:eastAsia="Calibri" w:hAnsi="Calibri"/>
          <w:color w:val="000000"/>
          <w:sz w:val="21"/>
          <w:szCs w:val="21"/>
        </w:rPr>
        <w:t xml:space="preserve">El Fondo Monetario Internacional fue creado en el marco del orden monetario internacional de Bretton Woods y comenzó operaciones a mediados de la década de 1940. Su función central incluye promover la estabilidad monetaria y financiera internacional y apoyar a países que enfrentan problemas de balanza de pagos.</w:t>
      </w:r>
    </w:p>
    <w:p>
      <w:pPr>
        <w:spacing w:after="120"/>
      </w:pPr>
    </w:p>
    <w:p>
      <w:pPr>
        <w:pStyle w:val="Heading3"/>
        <w:spacing w:after="120" w:before="240"/>
      </w:pPr>
      <w:r>
        <w:rPr>
          <w:rFonts w:ascii="Calibri" w:cs="Calibri" w:eastAsia="Calibri" w:hAnsi="Calibri"/>
          <w:b/>
          <w:bCs/>
          <w:color w:val="2E5496"/>
          <w:sz w:val="23"/>
          <w:szCs w:val="23"/>
        </w:rPr>
        <w:t xml:space="preserve">Cuotas</w:t>
      </w:r>
    </w:p>
    <w:p>
      <w:pPr>
        <w:spacing w:after="140" w:line="276"/>
        <w:jc w:val="both"/>
      </w:pPr>
      <w:r>
        <w:rPr>
          <w:rFonts w:ascii="Calibri" w:cs="Calibri" w:eastAsia="Calibri" w:hAnsi="Calibri"/>
          <w:color w:val="000000"/>
          <w:sz w:val="21"/>
          <w:szCs w:val="21"/>
        </w:rPr>
        <w:t xml:space="preserve">Los países miembros realizan aportes al FMI mediante cuotas. Estas cuotas están vinculadas con la posición de cada país dentro de la institución y son relevantes para el acceso a recursos, la participación en las decisiones y la asignación de Derechos Especiales de Giro.</w:t>
      </w:r>
    </w:p>
    <w:p>
      <w:pPr>
        <w:pStyle w:val="Heading3"/>
        <w:spacing w:after="120" w:before="240"/>
      </w:pPr>
      <w:r>
        <w:rPr>
          <w:rFonts w:ascii="Calibri" w:cs="Calibri" w:eastAsia="Calibri" w:hAnsi="Calibri"/>
          <w:b/>
          <w:bCs/>
          <w:color w:val="2E5496"/>
          <w:sz w:val="23"/>
          <w:szCs w:val="23"/>
        </w:rPr>
        <w:t xml:space="preserve">Derechos Especiales de Giro (DEG / SDR)</w:t>
      </w:r>
    </w:p>
    <w:p>
      <w:pPr>
        <w:spacing w:after="140" w:line="276"/>
        <w:jc w:val="both"/>
      </w:pPr>
      <w:r>
        <w:rPr>
          <w:rFonts w:ascii="Calibri" w:cs="Calibri" w:eastAsia="Calibri" w:hAnsi="Calibri"/>
          <w:color w:val="000000"/>
          <w:sz w:val="21"/>
          <w:szCs w:val="21"/>
        </w:rPr>
        <w:t xml:space="preserve">El DEG es un </w:t>
      </w:r>
      <w:r>
        <w:rPr>
          <w:rFonts w:ascii="Calibri" w:cs="Calibri" w:eastAsia="Calibri" w:hAnsi="Calibri"/>
          <w:b/>
          <w:bCs/>
          <w:color w:val="000000"/>
          <w:sz w:val="21"/>
          <w:szCs w:val="21"/>
        </w:rPr>
        <w:t xml:space="preserve">activo de reserva internacional</w:t>
      </w:r>
      <w:r>
        <w:rPr>
          <w:rFonts w:ascii="Calibri" w:cs="Calibri" w:eastAsia="Calibri" w:hAnsi="Calibri"/>
          <w:color w:val="000000"/>
          <w:sz w:val="21"/>
          <w:szCs w:val="21"/>
        </w:rPr>
        <w:t xml:space="preserve"> creado por el FMI. No es una moneda de uso cotidiano: es un activo internacional cuyo valor se determina con base en una </w:t>
      </w:r>
      <w:r>
        <w:rPr>
          <w:rFonts w:ascii="Calibri" w:cs="Calibri" w:eastAsia="Calibri" w:hAnsi="Calibri"/>
          <w:b/>
          <w:bCs/>
          <w:color w:val="000000"/>
          <w:sz w:val="21"/>
          <w:szCs w:val="21"/>
        </w:rPr>
        <w:t xml:space="preserve">cesta de monedas</w:t>
      </w:r>
      <w:r>
        <w:rPr>
          <w:rFonts w:ascii="Calibri" w:cs="Calibri" w:eastAsia="Calibri" w:hAnsi="Calibri"/>
          <w:color w:val="000000"/>
          <w:sz w:val="21"/>
          <w:szCs w:val="21"/>
        </w:rPr>
        <w:t xml:space="preserve">. Los DEG pueden intercambiarse entre países miembros y utilizarse para fortalecer reservas internacionales o atender necesidades de liquidez internacional, según las reglas del Fondo.</w:t>
      </w:r>
    </w:p>
    <w:p>
      <w:pPr>
        <w:spacing w:after="120"/>
      </w:pPr>
    </w:p>
    <w:tbl>
      <w:tblPr>
        <w:tblW w:type="dxa" w:w="9020"/>
        <w:tblBorders>
          <w:top w:val="single" w:color="BFBFBF" w:sz="2"/>
          <w:left w:val="single" w:color="808080" w:sz="14"/>
          <w:bottom w:val="single" w:color="BFBFBF" w:sz="2"/>
          <w:right w:val="single" w:color="BFBFBF" w:sz="2"/>
          <w:insideH w:val="none"/>
          <w:insideV w:val="none"/>
        </w:tblBorders>
      </w:tblPr>
      <w:tblGrid>
        <w:gridCol w:w="9020"/>
      </w:tblGrid>
      <w:tr>
        <w:tc>
          <w:tcPr>
            <w:tcW w:type="dxa" w:w="9020"/>
            <w:shd w:fill="F2F2F2"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Apunte de clase, con una advertencia</w:t>
            </w:r>
          </w:p>
          <w:p>
            <w:pPr>
              <w:spacing w:after="80" w:line="276"/>
              <w:jc w:val="both"/>
            </w:pPr>
            <w:r>
              <w:rPr>
                <w:rFonts w:ascii="Calibri" w:cs="Calibri" w:eastAsia="Calibri" w:hAnsi="Calibri"/>
                <w:color w:val="000000"/>
                <w:sz w:val="21"/>
                <w:szCs w:val="21"/>
              </w:rPr>
              <w:t xml:space="preserve">En clase se mencionó un valor de referencia de aproximadamente </w:t>
            </w:r>
            <w:r>
              <w:rPr>
                <w:rFonts w:ascii="Calibri" w:cs="Calibri" w:eastAsia="Calibri" w:hAnsi="Calibri"/>
                <w:b/>
                <w:bCs/>
                <w:color w:val="000000"/>
                <w:sz w:val="21"/>
                <w:szCs w:val="21"/>
              </w:rPr>
              <w:t xml:space="preserve">USD 1,41 por DEG</w:t>
            </w:r>
            <w:r>
              <w:rPr>
                <w:rFonts w:ascii="Calibri" w:cs="Calibri" w:eastAsia="Calibri" w:hAnsi="Calibri"/>
                <w:color w:val="000000"/>
                <w:sz w:val="21"/>
                <w:szCs w:val="21"/>
              </w:rPr>
              <w:t xml:space="preserve">. Ese valor </w:t>
            </w:r>
            <w:r>
              <w:rPr>
                <w:rFonts w:ascii="Calibri" w:cs="Calibri" w:eastAsia="Calibri" w:hAnsi="Calibri"/>
                <w:b/>
                <w:bCs/>
                <w:color w:val="000000"/>
                <w:sz w:val="21"/>
                <w:szCs w:val="21"/>
              </w:rPr>
              <w:t xml:space="preserve">fluctúa a diario</w:t>
            </w:r>
            <w:r>
              <w:rPr>
                <w:rFonts w:ascii="Calibri" w:cs="Calibri" w:eastAsia="Calibri" w:hAnsi="Calibri"/>
                <w:color w:val="000000"/>
                <w:sz w:val="21"/>
                <w:szCs w:val="21"/>
              </w:rPr>
              <w:t xml:space="preserve">, porque depende de las cotizaciones de las monedas de la cesta. Anótalo como orden de magnitud, no como constante: si en un examen te piden convertir DEG a dólares, el enunciado debería darte el tipo de cambio del día, y si no lo da, conviene señalarlo.</w:t>
            </w:r>
          </w:p>
          <w:p>
            <w:pPr>
              <w:spacing w:after="0" w:line="276"/>
              <w:jc w:val="both"/>
            </w:pPr>
            <w:r>
              <w:rPr>
                <w:rFonts w:ascii="Calibri" w:cs="Calibri" w:eastAsia="Calibri" w:hAnsi="Calibri"/>
                <w:color w:val="000000"/>
                <w:sz w:val="21"/>
                <w:szCs w:val="21"/>
              </w:rPr>
              <w:t xml:space="preserve">El FMI publica la cotización del DEG diariamente en su sitio.</w:t>
            </w:r>
          </w:p>
        </w:tc>
      </w:tr>
    </w:tbl>
    <w:p>
      <w:pPr>
        <w:spacing w:after="16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Por qué esto aparece en un curso de macro boliviana</w:t>
            </w:r>
          </w:p>
          <w:p>
            <w:pPr>
              <w:spacing w:after="80" w:line="276"/>
              <w:jc w:val="both"/>
            </w:pPr>
            <w:r>
              <w:rPr>
                <w:rFonts w:ascii="Calibri" w:cs="Calibri" w:eastAsia="Calibri" w:hAnsi="Calibri"/>
                <w:color w:val="000000"/>
                <w:sz w:val="21"/>
                <w:szCs w:val="21"/>
              </w:rPr>
              <w:t xml:space="preserve">Las cuotas y los DEG no son trivia institucional: son </w:t>
            </w:r>
            <w:r>
              <w:rPr>
                <w:rFonts w:ascii="Calibri" w:cs="Calibri" w:eastAsia="Calibri" w:hAnsi="Calibri"/>
                <w:b/>
                <w:bCs/>
                <w:color w:val="000000"/>
                <w:sz w:val="21"/>
                <w:szCs w:val="21"/>
              </w:rPr>
              <w:t xml:space="preserve">parte de las reservas internacionales</w:t>
            </w:r>
            <w:r>
              <w:rPr>
                <w:rFonts w:ascii="Calibri" w:cs="Calibri" w:eastAsia="Calibri" w:hAnsi="Calibri"/>
                <w:color w:val="000000"/>
                <w:sz w:val="21"/>
                <w:szCs w:val="21"/>
              </w:rPr>
              <w:t xml:space="preserve"> de un país. La posición de reserva en el FMI y las tenencias de DEG figuran entre los activos que el BCB reporta como reservas internacionales, junto con divisas y oro.</w:t>
            </w:r>
          </w:p>
          <w:p>
            <w:pPr>
              <w:spacing w:after="0" w:line="276"/>
              <w:jc w:val="both"/>
            </w:pPr>
            <w:r>
              <w:rPr>
                <w:rFonts w:ascii="Calibri" w:cs="Calibri" w:eastAsia="Calibri" w:hAnsi="Calibri"/>
                <w:color w:val="000000"/>
                <w:sz w:val="21"/>
                <w:szCs w:val="21"/>
              </w:rPr>
              <w:t xml:space="preserve">En un contexto de escasez de divisas como el que atraviesa Bolivia, la composición de las reservas —cuánto es oro, cuánto divisas líquidas, cuánto DEG— deja de ser un detalle contable y pasa a ser el centro del debate de política económica. Es un buen ejemplo de cómo un concepto que parece administrativo se vuelve central cuando cambia la coyuntura.</w:t>
            </w:r>
          </w:p>
        </w:tc>
      </w:tr>
    </w:tbl>
    <w:p>
      <w:r>
        <w:br w:type="page"/>
      </w:r>
    </w:p>
    <w:p>
      <w:pPr>
        <w:pStyle w:val="Heading1"/>
        <w:spacing w:after="200" w:before="400"/>
      </w:pPr>
      <w:r>
        <w:rPr>
          <w:rFonts w:ascii="Calibri" w:cs="Calibri" w:eastAsia="Calibri" w:hAnsi="Calibri"/>
          <w:b/>
          <w:bCs/>
          <w:color w:val="1F3864"/>
          <w:sz w:val="32"/>
          <w:szCs w:val="32"/>
        </w:rPr>
        <w:t xml:space="preserve">Parte VII · Bolivia hoy: los datos, con fuente</w:t>
      </w:r>
    </w:p>
    <w:p>
      <w:pPr>
        <w:spacing w:after="140" w:line="276"/>
        <w:jc w:val="both"/>
      </w:pPr>
      <w:r>
        <w:rPr>
          <w:rFonts w:ascii="Calibri" w:cs="Calibri" w:eastAsia="Calibri" w:hAnsi="Calibri"/>
          <w:i/>
          <w:iCs/>
          <w:color w:val="000000"/>
          <w:sz w:val="21"/>
          <w:szCs w:val="21"/>
        </w:rPr>
        <w:t xml:space="preserve">Esta parte completa es [AÑADIDO]. No está en tus apuntes ni en las diapositivas: las diapositivas de la Sesión 1 citan proyecciones de 2025 que ya fueron superadas por datos observados. Todas las cifras llevan institución y fecha.</w:t>
      </w:r>
    </w:p>
    <w:p>
      <w:pPr>
        <w:pStyle w:val="Heading2"/>
        <w:spacing w:after="140" w:before="320"/>
      </w:pPr>
      <w:r>
        <w:rPr>
          <w:rFonts w:ascii="Calibri" w:cs="Calibri" w:eastAsia="Calibri" w:hAnsi="Calibri"/>
          <w:b/>
          <w:bCs/>
          <w:color w:val="1F3864"/>
          <w:sz w:val="26"/>
          <w:szCs w:val="26"/>
        </w:rPr>
        <w:t xml:space="preserve">7.1 Tablero de indicadores</w:t>
      </w:r>
    </w:p>
    <w:tbl>
      <w:tblPr>
        <w:tblW w:type="dxa" w:w="9020"/>
        <w:tblBorders>
          <w:top w:val="single" w:color="1F3864" w:sz="4"/>
          <w:left w:val="none"/>
          <w:bottom w:val="single" w:color="1F3864" w:sz="4"/>
          <w:right w:val="none"/>
          <w:insideH w:val="single" w:color="D0D0D0" w:sz="1"/>
          <w:insideV w:val="single" w:color="D0D0D0" w:sz="1"/>
        </w:tblBorders>
      </w:tblPr>
      <w:tblGrid>
        <w:gridCol w:w="3067"/>
        <w:gridCol w:w="2345"/>
        <w:gridCol w:w="3608"/>
      </w:tblGrid>
      <w:tr>
        <w:trPr>
          <w:tblHeader/>
        </w:trPr>
        <w:tc>
          <w:tcPr>
            <w:tcW w:type="dxa" w:w="3067"/>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Indicador</w:t>
            </w:r>
          </w:p>
        </w:tc>
        <w:tc>
          <w:tcPr>
            <w:tcW w:type="dxa" w:w="2345"/>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Valor</w:t>
            </w:r>
          </w:p>
        </w:tc>
        <w:tc>
          <w:tcPr>
            <w:tcW w:type="dxa" w:w="3608"/>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Fuente y fecha</w:t>
            </w:r>
          </w:p>
        </w:tc>
      </w:tr>
      <w:tr>
        <w:trPr>
          <w:tblHeader w:val="false"/>
        </w:trPr>
        <w:tc>
          <w:tcPr>
            <w:tcW w:type="dxa" w:w="3067"/>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Crecimiento del PIB real 2025</w:t>
            </w:r>
          </w:p>
        </w:tc>
        <w:tc>
          <w:tcPr>
            <w:tcW w:type="dxa" w:w="2345"/>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−1,58% (contracción acumulada)</w:t>
            </w:r>
          </w:p>
        </w:tc>
        <w:tc>
          <w:tcPr>
            <w:tcW w:type="dxa" w:w="3608"/>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INE, dato preliminar publicado el 21 de abril de 2026</w:t>
            </w:r>
          </w:p>
        </w:tc>
      </w:tr>
      <w:tr>
        <w:trPr>
          <w:tblHeader w:val="false"/>
        </w:trPr>
        <w:tc>
          <w:tcPr>
            <w:tcW w:type="dxa" w:w="3067"/>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PIB, cuarto trimestre 2025 (interanual)</w:t>
            </w:r>
          </w:p>
        </w:tc>
        <w:tc>
          <w:tcPr>
            <w:tcW w:type="dxa" w:w="2345"/>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−1,14%</w:t>
            </w:r>
          </w:p>
        </w:tc>
        <w:tc>
          <w:tcPr>
            <w:tcW w:type="dxa" w:w="3608"/>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INE, 21 de abril de 2026</w:t>
            </w:r>
          </w:p>
        </w:tc>
      </w:tr>
      <w:tr>
        <w:trPr>
          <w:tblHeader w:val="false"/>
        </w:trPr>
        <w:tc>
          <w:tcPr>
            <w:tcW w:type="dxa" w:w="3067"/>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PIB, primer semestre 2025</w:t>
            </w:r>
          </w:p>
        </w:tc>
        <w:tc>
          <w:tcPr>
            <w:tcW w:type="dxa" w:w="2345"/>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−2,4%</w:t>
            </w:r>
          </w:p>
        </w:tc>
        <w:tc>
          <w:tcPr>
            <w:tcW w:type="dxa" w:w="3608"/>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INE, citado por Fundación Milenio</w:t>
            </w:r>
          </w:p>
        </w:tc>
      </w:tr>
      <w:tr>
        <w:trPr>
          <w:tblHeader w:val="false"/>
        </w:trPr>
        <w:tc>
          <w:tcPr>
            <w:tcW w:type="dxa" w:w="3067"/>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Inflación acumulada 2025 (IPC)</w:t>
            </w:r>
          </w:p>
        </w:tc>
        <w:tc>
          <w:tcPr>
            <w:tcW w:type="dxa" w:w="2345"/>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20,40%</w:t>
            </w:r>
          </w:p>
        </w:tc>
        <w:tc>
          <w:tcPr>
            <w:tcW w:type="dxa" w:w="3608"/>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INE, 6 de enero de 2026</w:t>
            </w:r>
          </w:p>
        </w:tc>
      </w:tr>
      <w:tr>
        <w:trPr>
          <w:tblHeader w:val="false"/>
        </w:trPr>
        <w:tc>
          <w:tcPr>
            <w:tcW w:type="dxa" w:w="3067"/>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Inflación acumulada 2024 (IPC)</w:t>
            </w:r>
          </w:p>
        </w:tc>
        <w:tc>
          <w:tcPr>
            <w:tcW w:type="dxa" w:w="2345"/>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9,97%</w:t>
            </w:r>
          </w:p>
        </w:tc>
        <w:tc>
          <w:tcPr>
            <w:tcW w:type="dxa" w:w="3608"/>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INE</w:t>
            </w:r>
          </w:p>
        </w:tc>
      </w:tr>
      <w:tr>
        <w:trPr>
          <w:tblHeader w:val="false"/>
        </w:trPr>
        <w:tc>
          <w:tcPr>
            <w:tcW w:type="dxa" w:w="3067"/>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Inflación mensual, diciembre 2025</w:t>
            </w:r>
          </w:p>
        </w:tc>
        <w:tc>
          <w:tcPr>
            <w:tcW w:type="dxa" w:w="2345"/>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0,59%</w:t>
            </w:r>
          </w:p>
        </w:tc>
        <w:tc>
          <w:tcPr>
            <w:tcW w:type="dxa" w:w="3608"/>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INE</w:t>
            </w:r>
          </w:p>
        </w:tc>
      </w:tr>
      <w:tr>
        <w:trPr>
          <w:tblHeader w:val="false"/>
        </w:trPr>
        <w:tc>
          <w:tcPr>
            <w:tcW w:type="dxa" w:w="3067"/>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Inflación interanual, julio 2026</w:t>
            </w:r>
          </w:p>
        </w:tc>
        <w:tc>
          <w:tcPr>
            <w:tcW w:type="dxa" w:w="2345"/>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9,23%</w:t>
            </w:r>
          </w:p>
        </w:tc>
        <w:tc>
          <w:tcPr>
            <w:tcW w:type="dxa" w:w="3608"/>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Prensa económica sobre datos oficiales, julio de 2026</w:t>
            </w:r>
          </w:p>
        </w:tc>
      </w:tr>
      <w:tr>
        <w:trPr>
          <w:tblHeader w:val="false"/>
        </w:trPr>
        <w:tc>
          <w:tcPr>
            <w:tcW w:type="dxa" w:w="3067"/>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Inflación mensual, julio 2026</w:t>
            </w:r>
          </w:p>
        </w:tc>
        <w:tc>
          <w:tcPr>
            <w:tcW w:type="dxa" w:w="2345"/>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2,15%</w:t>
            </w:r>
          </w:p>
        </w:tc>
        <w:tc>
          <w:tcPr>
            <w:tcW w:type="dxa" w:w="3608"/>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Prensa económica sobre datos oficiales, julio de 2026</w:t>
            </w:r>
          </w:p>
        </w:tc>
      </w:tr>
      <w:tr>
        <w:trPr>
          <w:tblHeader w:val="false"/>
        </w:trPr>
        <w:tc>
          <w:tcPr>
            <w:tcW w:type="dxa" w:w="3067"/>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Índice de Precios al por Mayor, junio 2026</w:t>
            </w:r>
          </w:p>
        </w:tc>
        <w:tc>
          <w:tcPr>
            <w:tcW w:type="dxa" w:w="2345"/>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+5,74%</w:t>
            </w:r>
          </w:p>
        </w:tc>
        <w:tc>
          <w:tcPr>
            <w:tcW w:type="dxa" w:w="3608"/>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INE, 10 de julio de 2026</w:t>
            </w:r>
          </w:p>
        </w:tc>
      </w:tr>
      <w:tr>
        <w:trPr>
          <w:tblHeader w:val="false"/>
        </w:trPr>
        <w:tc>
          <w:tcPr>
            <w:tcW w:type="dxa" w:w="3067"/>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Tipo de cambio oficial</w:t>
            </w:r>
          </w:p>
        </w:tc>
        <w:tc>
          <w:tcPr>
            <w:tcW w:type="dxa" w:w="2345"/>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Bs 12,32 por USD</w:t>
            </w:r>
          </w:p>
        </w:tc>
        <w:tc>
          <w:tcPr>
            <w:tcW w:type="dxa" w:w="3608"/>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BCB, 3 de septiembre de 2026</w:t>
            </w:r>
          </w:p>
        </w:tc>
      </w:tr>
      <w:tr>
        <w:trPr>
          <w:tblHeader w:val="false"/>
        </w:trPr>
        <w:tc>
          <w:tcPr>
            <w:tcW w:type="dxa" w:w="3067"/>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Tipo de cambio oficial (referencia previa)</w:t>
            </w:r>
          </w:p>
        </w:tc>
        <w:tc>
          <w:tcPr>
            <w:tcW w:type="dxa" w:w="2345"/>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Bs 11,52 por USD</w:t>
            </w:r>
          </w:p>
        </w:tc>
        <w:tc>
          <w:tcPr>
            <w:tcW w:type="dxa" w:w="3608"/>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BCB, corte del 20 de agosto de 2026</w:t>
            </w:r>
          </w:p>
        </w:tc>
      </w:tr>
      <w:tr>
        <w:trPr>
          <w:tblHeader w:val="false"/>
        </w:trPr>
        <w:tc>
          <w:tcPr>
            <w:tcW w:type="dxa" w:w="3067"/>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Régimen cambiario</w:t>
            </w:r>
          </w:p>
        </w:tc>
        <w:tc>
          <w:tcPr>
            <w:tcW w:type="dxa" w:w="2345"/>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Flexible desde el 26 de junio de 2026</w:t>
            </w:r>
          </w:p>
        </w:tc>
        <w:tc>
          <w:tcPr>
            <w:tcW w:type="dxa" w:w="3608"/>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RM 245/2026 y RD 88/2026 del BCB</w:t>
            </w:r>
          </w:p>
        </w:tc>
      </w:tr>
    </w:tbl>
    <w:p>
      <w:pPr>
        <w:spacing w:after="200"/>
      </w:pPr>
    </w:p>
    <w:tbl>
      <w:tblPr>
        <w:tblW w:type="dxa" w:w="9020"/>
        <w:tblBorders>
          <w:top w:val="single" w:color="BFBFBF" w:sz="2"/>
          <w:left w:val="single" w:color="BF9000" w:sz="14"/>
          <w:bottom w:val="single" w:color="BFBFBF" w:sz="2"/>
          <w:right w:val="single" w:color="BFBFBF" w:sz="2"/>
          <w:insideH w:val="none"/>
          <w:insideV w:val="none"/>
        </w:tblBorders>
      </w:tblPr>
      <w:tblGrid>
        <w:gridCol w:w="9020"/>
      </w:tblGrid>
      <w:tr>
        <w:tc>
          <w:tcPr>
            <w:tcW w:type="dxa" w:w="9020"/>
            <w:shd w:fill="FFF2CC"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El diagnóstico en una palabra</w:t>
            </w:r>
          </w:p>
          <w:p>
            <w:pPr>
              <w:spacing w:after="80" w:line="276"/>
              <w:jc w:val="both"/>
            </w:pPr>
            <w:r>
              <w:rPr>
                <w:rFonts w:ascii="Calibri" w:cs="Calibri" w:eastAsia="Calibri" w:hAnsi="Calibri"/>
                <w:color w:val="000000"/>
                <w:sz w:val="21"/>
                <w:szCs w:val="21"/>
              </w:rPr>
              <w:t xml:space="preserve">Contracción del producto </w:t>
            </w:r>
            <w:r>
              <w:rPr>
                <w:rFonts w:ascii="Calibri" w:cs="Calibri" w:eastAsia="Calibri" w:hAnsi="Calibri"/>
                <w:b/>
                <w:bCs/>
                <w:color w:val="000000"/>
                <w:sz w:val="21"/>
                <w:szCs w:val="21"/>
              </w:rPr>
              <w:t xml:space="preserve">y</w:t>
            </w:r>
            <w:r>
              <w:rPr>
                <w:rFonts w:ascii="Calibri" w:cs="Calibri" w:eastAsia="Calibri" w:hAnsi="Calibri"/>
                <w:color w:val="000000"/>
                <w:sz w:val="21"/>
                <w:szCs w:val="21"/>
              </w:rPr>
              <w:t xml:space="preserve"> inflación alta al mismo tiempo. El nombre técnico de esa combinación es </w:t>
            </w:r>
            <w:r>
              <w:rPr>
                <w:rFonts w:ascii="Calibri" w:cs="Calibri" w:eastAsia="Calibri" w:hAnsi="Calibri"/>
                <w:b/>
                <w:bCs/>
                <w:color w:val="000000"/>
                <w:sz w:val="21"/>
                <w:szCs w:val="21"/>
              </w:rPr>
              <w:t xml:space="preserve">estanflación</w:t>
            </w:r>
            <w:r>
              <w:rPr>
                <w:rFonts w:ascii="Calibri" w:cs="Calibri" w:eastAsia="Calibri" w:hAnsi="Calibri"/>
                <w:color w:val="000000"/>
                <w:sz w:val="21"/>
                <w:szCs w:val="21"/>
              </w:rPr>
              <w:t xml:space="preserve">, y es incómoda precisamente porque los instrumentos que combaten una cosa suelen agravar la otra: enfriar la economía para bajar la inflación profundiza la caída del producto, y estimularla para sostener el producto alimenta los precios.</w:t>
            </w:r>
          </w:p>
          <w:p>
            <w:pPr>
              <w:spacing w:after="0" w:line="276"/>
              <w:jc w:val="both"/>
            </w:pPr>
            <w:r>
              <w:rPr>
                <w:rFonts w:ascii="Calibri" w:cs="Calibri" w:eastAsia="Calibri" w:hAnsi="Calibri"/>
                <w:color w:val="000000"/>
                <w:sz w:val="21"/>
                <w:szCs w:val="21"/>
              </w:rPr>
              <w:t xml:space="preserve">Esta tensión es el hilo que conecta la Unidad III con la Unidad V, y probablemente sea el eje del trabajo final del curso.</w:t>
            </w:r>
          </w:p>
        </w:tc>
      </w:tr>
    </w:tbl>
    <w:p>
      <w:pPr>
        <w:pStyle w:val="Heading2"/>
        <w:spacing w:after="140" w:before="320"/>
      </w:pPr>
      <w:r>
        <w:rPr>
          <w:rFonts w:ascii="Calibri" w:cs="Calibri" w:eastAsia="Calibri" w:hAnsi="Calibri"/>
          <w:b/>
          <w:bCs/>
          <w:color w:val="1F3864"/>
          <w:sz w:val="26"/>
          <w:szCs w:val="26"/>
        </w:rPr>
        <w:t xml:space="preserve">7.2 Cronología reciente</w:t>
      </w:r>
    </w:p>
    <w:tbl>
      <w:tblPr>
        <w:tblW w:type="dxa" w:w="9020"/>
        <w:tblBorders>
          <w:top w:val="single" w:color="1F3864" w:sz="4"/>
          <w:left w:val="none"/>
          <w:bottom w:val="single" w:color="1F3864" w:sz="4"/>
          <w:right w:val="none"/>
          <w:insideH w:val="single" w:color="D0D0D0" w:sz="1"/>
          <w:insideV w:val="single" w:color="D0D0D0" w:sz="1"/>
        </w:tblBorders>
      </w:tblPr>
      <w:tblGrid>
        <w:gridCol w:w="1984"/>
        <w:gridCol w:w="7036"/>
      </w:tblGrid>
      <w:tr>
        <w:trPr>
          <w:tblHeader/>
        </w:trPr>
        <w:tc>
          <w:tcPr>
            <w:tcW w:type="dxa" w:w="198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Fecha</w:t>
            </w:r>
          </w:p>
        </w:tc>
        <w:tc>
          <w:tcPr>
            <w:tcW w:type="dxa" w:w="7036"/>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Hecho</w:t>
            </w:r>
          </w:p>
        </w:tc>
      </w:tr>
      <w:tr>
        <w:trPr>
          <w:tblHeader w:val="false"/>
        </w:trPr>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8 de noviembre de 2025</w:t>
            </w:r>
          </w:p>
        </w:tc>
        <w:tc>
          <w:tcPr>
            <w:tcW w:type="dxa" w:w="703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Cambio de gobierno; asume Rodrigo Paz.</w:t>
            </w:r>
          </w:p>
        </w:tc>
      </w:tr>
      <w:tr>
        <w:trPr>
          <w:tblHeader w:val="false"/>
        </w:trPr>
        <w:tc>
          <w:tcPr>
            <w:tcW w:type="dxa" w:w="1984"/>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1 de diciembre de 2025</w:t>
            </w:r>
          </w:p>
        </w:tc>
        <w:tc>
          <w:tcPr>
            <w:tcW w:type="dxa" w:w="7036"/>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El BCB comienza a publicar el Valor Referencial del Dólar Estadounidense conforme a estándares internacionales; se unifica el mercado cambiario.</w:t>
            </w:r>
          </w:p>
        </w:tc>
      </w:tr>
      <w:tr>
        <w:trPr>
          <w:tblHeader w:val="false"/>
        </w:trPr>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17 de diciembre de 2025</w:t>
            </w:r>
          </w:p>
        </w:tc>
        <w:tc>
          <w:tcPr>
            <w:tcW w:type="dxa" w:w="703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Se decreta la emergencia económica, financiera, energética y social. El Decreto Supremo 5503 retira la subvención a los principales carburantes y fija nuevos precios de gasolina y diésel.</w:t>
            </w:r>
          </w:p>
        </w:tc>
      </w:tr>
      <w:tr>
        <w:trPr>
          <w:tblHeader w:val="false"/>
        </w:trPr>
        <w:tc>
          <w:tcPr>
            <w:tcW w:type="dxa" w:w="1984"/>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6 de enero de 2026</w:t>
            </w:r>
          </w:p>
        </w:tc>
        <w:tc>
          <w:tcPr>
            <w:tcW w:type="dxa" w:w="7036"/>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El INE informa que 2025 cerró con inflación acumulada de 20,40%, la más alta desde 1988.</w:t>
            </w:r>
          </w:p>
        </w:tc>
      </w:tr>
      <w:tr>
        <w:trPr>
          <w:tblHeader w:val="false"/>
        </w:trPr>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Abril de 2026</w:t>
            </w:r>
          </w:p>
        </w:tc>
        <w:tc>
          <w:tcPr>
            <w:tcW w:type="dxa" w:w="703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El Valor Referencial del Dólar pasa a ser la referencia oficial, por ejemplo para pagos al exterior. El BCB recibe asistencia técnica del FMI para alinear sus estadísticas externas al Manual de Balanza de Pagos.</w:t>
            </w:r>
          </w:p>
        </w:tc>
      </w:tr>
      <w:tr>
        <w:trPr>
          <w:tblHeader w:val="false"/>
        </w:trPr>
        <w:tc>
          <w:tcPr>
            <w:tcW w:type="dxa" w:w="1984"/>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21 de abril de 2026</w:t>
            </w:r>
          </w:p>
        </w:tc>
        <w:tc>
          <w:tcPr>
            <w:tcW w:type="dxa" w:w="7036"/>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El INE publica el dato de 2025: contracción del PIB de 1,58%.</w:t>
            </w:r>
          </w:p>
        </w:tc>
      </w:tr>
      <w:tr>
        <w:trPr>
          <w:tblHeader w:val="false"/>
        </w:trPr>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26 de junio de 2026</w:t>
            </w:r>
          </w:p>
        </w:tc>
        <w:tc>
          <w:tcPr>
            <w:tcW w:type="dxa" w:w="703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Bolivia adopta un </w:t>
            </w:r>
            <w:r>
              <w:rPr>
                <w:rFonts w:ascii="Calibri" w:cs="Calibri" w:eastAsia="Calibri" w:hAnsi="Calibri"/>
                <w:b/>
                <w:bCs/>
                <w:color w:val="000000"/>
                <w:sz w:val="19"/>
                <w:szCs w:val="19"/>
              </w:rPr>
              <w:t xml:space="preserve">régimen de tipo de cambio flexible</w:t>
            </w:r>
            <w:r>
              <w:rPr>
                <w:rFonts w:ascii="Calibri" w:cs="Calibri" w:eastAsia="Calibri" w:hAnsi="Calibri"/>
                <w:color w:val="000000"/>
                <w:sz w:val="19"/>
                <w:szCs w:val="19"/>
              </w:rPr>
              <w:t xml:space="preserve"> (RM 245/2026 y RD 88/2026). Termina el esquema de tipo de cambio oficial fijo vigente durante más de una década.</w:t>
            </w:r>
          </w:p>
        </w:tc>
      </w:tr>
      <w:tr>
        <w:trPr>
          <w:tblHeader w:val="false"/>
        </w:trPr>
        <w:tc>
          <w:tcPr>
            <w:tcW w:type="dxa" w:w="1984"/>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30 de julio de 2026</w:t>
            </w:r>
          </w:p>
        </w:tc>
        <w:tc>
          <w:tcPr>
            <w:tcW w:type="dxa" w:w="7036"/>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El BCB aprueba el Reglamento de compra y venta de dólares (RD 117/2026) y modifica el Reglamento de Encaje Legal (RD 118/2026).</w:t>
            </w:r>
          </w:p>
        </w:tc>
      </w:tr>
      <w:tr>
        <w:trPr>
          <w:tblHeader w:val="false"/>
        </w:trPr>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17 de agosto de 2026</w:t>
            </w:r>
          </w:p>
        </w:tc>
        <w:tc>
          <w:tcPr>
            <w:tcW w:type="dxa" w:w="703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El BCB publica su primer </w:t>
            </w:r>
            <w:r>
              <w:rPr>
                <w:rFonts w:ascii="Calibri" w:cs="Calibri" w:eastAsia="Calibri" w:hAnsi="Calibri"/>
                <w:b/>
                <w:bCs/>
                <w:color w:val="000000"/>
                <w:sz w:val="19"/>
                <w:szCs w:val="19"/>
              </w:rPr>
              <w:t xml:space="preserve">Reporte de Inflación y Política Monetaria (RIPoM)</w:t>
            </w:r>
            <w:r>
              <w:rPr>
                <w:rFonts w:ascii="Calibri" w:cs="Calibri" w:eastAsia="Calibri" w:hAnsi="Calibri"/>
                <w:color w:val="000000"/>
                <w:sz w:val="19"/>
                <w:szCs w:val="19"/>
              </w:rPr>
              <w:t xml:space="preserve">, con información a junio.</w:t>
            </w:r>
          </w:p>
        </w:tc>
      </w:tr>
    </w:tbl>
    <w:p>
      <w:pPr>
        <w:spacing w:after="20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Por qué el cambio de régimen cambiario es tan importante para este curso</w:t>
            </w:r>
          </w:p>
          <w:p>
            <w:pPr>
              <w:spacing w:after="80" w:line="276"/>
              <w:jc w:val="both"/>
            </w:pPr>
            <w:r>
              <w:rPr>
                <w:rFonts w:ascii="Calibri" w:cs="Calibri" w:eastAsia="Calibri" w:hAnsi="Calibri"/>
                <w:color w:val="000000"/>
                <w:sz w:val="21"/>
                <w:szCs w:val="21"/>
              </w:rPr>
              <w:t xml:space="preserve">Con tipo de cambio fijo, </w:t>
            </w:r>
            <w:r>
              <w:rPr>
                <w:rFonts w:ascii="Calibri" w:cs="Calibri" w:eastAsia="Calibri" w:hAnsi="Calibri"/>
                <w:b/>
                <w:bCs/>
                <w:color w:val="000000"/>
                <w:sz w:val="21"/>
                <w:szCs w:val="21"/>
              </w:rPr>
              <w:t xml:space="preserve">el ancla nominal de la economía era el dólar</w:t>
            </w:r>
            <w:r>
              <w:rPr>
                <w:rFonts w:ascii="Calibri" w:cs="Calibri" w:eastAsia="Calibri" w:hAnsi="Calibri"/>
                <w:color w:val="000000"/>
                <w:sz w:val="21"/>
                <w:szCs w:val="21"/>
              </w:rPr>
              <w:t xml:space="preserve">: el compromiso del banco central de sostener una paridad fija disciplinaba los precios, pero exigía reservas para defenderla.</w:t>
            </w:r>
          </w:p>
          <w:p>
            <w:pPr>
              <w:spacing w:after="80" w:line="276"/>
              <w:jc w:val="both"/>
            </w:pPr>
            <w:r>
              <w:rPr>
                <w:rFonts w:ascii="Calibri" w:cs="Calibri" w:eastAsia="Calibri" w:hAnsi="Calibri"/>
                <w:color w:val="000000"/>
                <w:sz w:val="21"/>
                <w:szCs w:val="21"/>
              </w:rPr>
              <w:t xml:space="preserve">Al pasar a flotación, ese ancla desaparece y hay que reemplazarla. El BCB anunció que la nueva ancla nominal es la </w:t>
            </w:r>
            <w:r>
              <w:rPr>
                <w:rFonts w:ascii="Calibri" w:cs="Calibri" w:eastAsia="Calibri" w:hAnsi="Calibri"/>
                <w:b/>
                <w:bCs/>
                <w:color w:val="000000"/>
                <w:sz w:val="21"/>
                <w:szCs w:val="21"/>
              </w:rPr>
              <w:t xml:space="preserve">base monetaria</w:t>
            </w:r>
            <w:r>
              <w:rPr>
                <w:rFonts w:ascii="Calibri" w:cs="Calibri" w:eastAsia="Calibri" w:hAnsi="Calibri"/>
                <w:color w:val="000000"/>
                <w:sz w:val="21"/>
                <w:szCs w:val="21"/>
              </w:rPr>
              <w:t xml:space="preserve">, es decir, un control estricto de la cantidad de dinero en circulación. Eso conecta directamente con la Parte V de este cuaderno: si el déficit fiscal se sigue financiando con emisión, el ancla no se sostiene, por muy flexible que sea el tipo de cambio.</w:t>
            </w:r>
          </w:p>
          <w:p>
            <w:pPr>
              <w:spacing w:after="0" w:line="276"/>
              <w:jc w:val="both"/>
            </w:pPr>
            <w:r>
              <w:rPr>
                <w:rFonts w:ascii="Calibri" w:cs="Calibri" w:eastAsia="Calibri" w:hAnsi="Calibri"/>
                <w:color w:val="000000"/>
                <w:sz w:val="21"/>
                <w:szCs w:val="21"/>
              </w:rPr>
              <w:t xml:space="preserve">Vale la pena registrar el debate, porque es el que verás en la prensa: los defensores sostienen que la flotación permite que el tipo de cambio absorba los choques externos sin agotar reservas; los críticos señalan que una devaluación sin corregir el desequilibrio fiscal de origen solo pospone el ajuste y encarece las importaciones. Este cuaderno no toma partido: registra el argumento de cada lado, que es lo que se espera de un examen.</w:t>
            </w:r>
          </w:p>
        </w:tc>
      </w:tr>
    </w:tbl>
    <w:p>
      <w:pPr>
        <w:pStyle w:val="Heading2"/>
        <w:spacing w:after="140" w:before="320"/>
      </w:pPr>
      <w:r>
        <w:rPr>
          <w:rFonts w:ascii="Calibri" w:cs="Calibri" w:eastAsia="Calibri" w:hAnsi="Calibri"/>
          <w:b/>
          <w:bCs/>
          <w:color w:val="1F3864"/>
          <w:sz w:val="26"/>
          <w:szCs w:val="26"/>
        </w:rPr>
        <w:t xml:space="preserve">7.3 Ejercicio de auditoría: cuando las fuentes no coinciden</w:t>
      </w:r>
    </w:p>
    <w:p>
      <w:pPr>
        <w:spacing w:after="140" w:line="276"/>
        <w:jc w:val="both"/>
      </w:pPr>
      <w:r>
        <w:rPr>
          <w:rFonts w:ascii="Calibri" w:cs="Calibri" w:eastAsia="Calibri" w:hAnsi="Calibri"/>
          <w:color w:val="000000"/>
          <w:sz w:val="21"/>
          <w:szCs w:val="21"/>
        </w:rPr>
        <w:t xml:space="preserve">Las diapositivas de la Sesión 1 citan un crecimiento estimado de </w:t>
      </w:r>
      <w:r>
        <w:rPr>
          <w:rFonts w:ascii="Calibri" w:cs="Calibri" w:eastAsia="Calibri" w:hAnsi="Calibri"/>
          <w:b/>
          <w:bCs/>
          <w:color w:val="000000"/>
          <w:sz w:val="21"/>
          <w:szCs w:val="21"/>
        </w:rPr>
        <w:t xml:space="preserve">0,5%</w:t>
      </w:r>
      <w:r>
        <w:rPr>
          <w:rFonts w:ascii="Calibri" w:cs="Calibri" w:eastAsia="Calibri" w:hAnsi="Calibri"/>
          <w:color w:val="000000"/>
          <w:sz w:val="21"/>
          <w:szCs w:val="21"/>
        </w:rPr>
        <w:t xml:space="preserve"> para Bolivia. El dato observado que publicó el INE meses después fue una </w:t>
      </w:r>
      <w:r>
        <w:rPr>
          <w:rFonts w:ascii="Calibri" w:cs="Calibri" w:eastAsia="Calibri" w:hAnsi="Calibri"/>
          <w:b/>
          <w:bCs/>
          <w:color w:val="000000"/>
          <w:sz w:val="21"/>
          <w:szCs w:val="21"/>
        </w:rPr>
        <w:t xml:space="preserve">contracción de 1,58%</w:t>
      </w:r>
      <w:r>
        <w:rPr>
          <w:rFonts w:ascii="Calibri" w:cs="Calibri" w:eastAsia="Calibri" w:hAnsi="Calibri"/>
          <w:color w:val="000000"/>
          <w:sz w:val="21"/>
          <w:szCs w:val="21"/>
        </w:rPr>
        <w:t xml:space="preserve">. Ninguna de las dos cifras es falsa: son objetos distintos.</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2526"/>
        <w:gridCol w:w="1984"/>
        <w:gridCol w:w="4510"/>
      </w:tblGrid>
      <w:tr>
        <w:trPr>
          <w:tblHeader/>
        </w:trPr>
        <w:tc>
          <w:tcPr>
            <w:tcW w:type="dxa" w:w="2526"/>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Fuente</w:t>
            </w:r>
          </w:p>
        </w:tc>
        <w:tc>
          <w:tcPr>
            <w:tcW w:type="dxa" w:w="198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Cifra para 2025</w:t>
            </w:r>
          </w:p>
        </w:tc>
        <w:tc>
          <w:tcPr>
            <w:tcW w:type="dxa" w:w="4510"/>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Naturaleza del dato</w:t>
            </w:r>
          </w:p>
        </w:tc>
      </w:tr>
      <w:tr>
        <w:trPr>
          <w:tblHeader w:val="false"/>
        </w:trPr>
        <w:tc>
          <w:tcPr>
            <w:tcW w:type="dxa" w:w="2526"/>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INE</w:t>
            </w:r>
          </w:p>
        </w:tc>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−1,58%</w:t>
            </w:r>
          </w:p>
        </w:tc>
        <w:tc>
          <w:tcPr>
            <w:tcW w:type="dxa" w:w="4510"/>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Dato </w:t>
            </w:r>
            <w:r>
              <w:rPr>
                <w:rFonts w:ascii="Calibri" w:cs="Calibri" w:eastAsia="Calibri" w:hAnsi="Calibri"/>
                <w:b/>
                <w:bCs/>
                <w:color w:val="000000"/>
                <w:sz w:val="19"/>
                <w:szCs w:val="19"/>
              </w:rPr>
              <w:t xml:space="preserve">observado</w:t>
            </w:r>
            <w:r>
              <w:rPr>
                <w:rFonts w:ascii="Calibri" w:cs="Calibri" w:eastAsia="Calibri" w:hAnsi="Calibri"/>
                <w:color w:val="000000"/>
                <w:sz w:val="19"/>
                <w:szCs w:val="19"/>
              </w:rPr>
              <w:t xml:space="preserve"> (preliminar), publicado en abril de 2026</w:t>
            </w:r>
          </w:p>
        </w:tc>
      </w:tr>
      <w:tr>
        <w:trPr>
          <w:tblHeader w:val="false"/>
        </w:trPr>
        <w:tc>
          <w:tcPr>
            <w:tcW w:type="dxa" w:w="2526"/>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CEPAL</w:t>
            </w:r>
          </w:p>
        </w:tc>
        <w:tc>
          <w:tcPr>
            <w:tcW w:type="dxa" w:w="1984"/>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+0,5%</w:t>
            </w:r>
          </w:p>
        </w:tc>
        <w:tc>
          <w:tcPr>
            <w:tcW w:type="dxa" w:w="4510"/>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Proyección</w:t>
            </w:r>
            <w:r>
              <w:rPr>
                <w:rFonts w:ascii="Calibri" w:cs="Calibri" w:eastAsia="Calibri" w:hAnsi="Calibri"/>
                <w:color w:val="000000"/>
                <w:sz w:val="19"/>
                <w:szCs w:val="19"/>
              </w:rPr>
              <w:t xml:space="preserve"> del Balance Preliminar, diciembre de 2025</w:t>
            </w:r>
          </w:p>
        </w:tc>
      </w:tr>
      <w:tr>
        <w:trPr>
          <w:tblHeader w:val="false"/>
        </w:trPr>
        <w:tc>
          <w:tcPr>
            <w:tcW w:type="dxa" w:w="2526"/>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FMI</w:t>
            </w:r>
          </w:p>
        </w:tc>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+0,5%</w:t>
            </w:r>
          </w:p>
        </w:tc>
        <w:tc>
          <w:tcPr>
            <w:tcW w:type="dxa" w:w="4510"/>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Proyección</w:t>
            </w:r>
            <w:r>
              <w:rPr>
                <w:rFonts w:ascii="Calibri" w:cs="Calibri" w:eastAsia="Calibri" w:hAnsi="Calibri"/>
                <w:color w:val="000000"/>
                <w:sz w:val="19"/>
                <w:szCs w:val="19"/>
              </w:rPr>
              <w:t xml:space="preserve"> del WEO de octubre de 2025</w:t>
            </w:r>
          </w:p>
        </w:tc>
      </w:tr>
      <w:tr>
        <w:trPr>
          <w:tblHeader w:val="false"/>
        </w:trPr>
        <w:tc>
          <w:tcPr>
            <w:tcW w:type="dxa" w:w="2526"/>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Banco Mundial</w:t>
            </w:r>
          </w:p>
        </w:tc>
        <w:tc>
          <w:tcPr>
            <w:tcW w:type="dxa" w:w="1984"/>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−0,5%</w:t>
            </w:r>
          </w:p>
        </w:tc>
        <w:tc>
          <w:tcPr>
            <w:tcW w:type="dxa" w:w="4510"/>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Proyección</w:t>
            </w:r>
            <w:r>
              <w:rPr>
                <w:rFonts w:ascii="Calibri" w:cs="Calibri" w:eastAsia="Calibri" w:hAnsi="Calibri"/>
                <w:color w:val="000000"/>
                <w:sz w:val="19"/>
                <w:szCs w:val="19"/>
              </w:rPr>
              <w:t xml:space="preserve">, con estimaciones también negativas para 2026 y 2027</w:t>
            </w:r>
          </w:p>
        </w:tc>
      </w:tr>
      <w:tr>
        <w:trPr>
          <w:tblHeader w:val="false"/>
        </w:trPr>
        <w:tc>
          <w:tcPr>
            <w:tcW w:type="dxa" w:w="2526"/>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PGE 2026 (gobierno saliente)</w:t>
            </w:r>
          </w:p>
        </w:tc>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+0,9% para 2026</w:t>
            </w:r>
          </w:p>
        </w:tc>
        <w:tc>
          <w:tcPr>
            <w:tcW w:type="dxa" w:w="4510"/>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Meta oficial</w:t>
            </w:r>
            <w:r>
              <w:rPr>
                <w:rFonts w:ascii="Calibri" w:cs="Calibri" w:eastAsia="Calibri" w:hAnsi="Calibri"/>
                <w:color w:val="000000"/>
                <w:sz w:val="19"/>
                <w:szCs w:val="19"/>
              </w:rPr>
              <w:t xml:space="preserve"> de presupuesto, no proyección independiente</w:t>
            </w:r>
          </w:p>
        </w:tc>
      </w:tr>
    </w:tbl>
    <w:p>
      <w:pPr>
        <w:spacing w:after="16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Las cuatro preguntas que hay que hacerle a cualquier cifra</w:t>
            </w:r>
          </w:p>
          <w:p>
            <w:pPr>
              <w:spacing w:after="80" w:line="276"/>
              <w:jc w:val="both"/>
            </w:pPr>
            <w:r>
              <w:rPr>
                <w:rFonts w:ascii="Calibri" w:cs="Calibri" w:eastAsia="Calibri" w:hAnsi="Calibri"/>
                <w:b/>
                <w:bCs/>
                <w:color w:val="000000"/>
                <w:sz w:val="21"/>
                <w:szCs w:val="21"/>
              </w:rPr>
              <w:t xml:space="preserve">1. ¿Es dato observado o proyección?</w:t>
            </w:r>
            <w:r>
              <w:rPr>
                <w:rFonts w:ascii="Calibri" w:cs="Calibri" w:eastAsia="Calibri" w:hAnsi="Calibri"/>
                <w:color w:val="000000"/>
                <w:sz w:val="21"/>
                <w:szCs w:val="21"/>
              </w:rPr>
              <w:t xml:space="preserve"> Una proyección de diciembre no puede compararse con un dato de abril. La mayor parte de las "contradicciones" entre fuentes se disuelven al fechar cada cifra.</w:t>
            </w:r>
          </w:p>
          <w:p>
            <w:pPr>
              <w:spacing w:after="80" w:line="276"/>
              <w:jc w:val="both"/>
            </w:pPr>
            <w:r>
              <w:rPr>
                <w:rFonts w:ascii="Calibri" w:cs="Calibri" w:eastAsia="Calibri" w:hAnsi="Calibri"/>
                <w:b/>
                <w:bCs/>
                <w:color w:val="000000"/>
                <w:sz w:val="21"/>
                <w:szCs w:val="21"/>
              </w:rPr>
              <w:t xml:space="preserve">2. ¿Cuál es el año base?</w:t>
            </w:r>
            <w:r>
              <w:rPr>
                <w:rFonts w:ascii="Calibri" w:cs="Calibri" w:eastAsia="Calibri" w:hAnsi="Calibri"/>
                <w:color w:val="000000"/>
                <w:sz w:val="21"/>
                <w:szCs w:val="21"/>
              </w:rPr>
              <w:t xml:space="preserve"> Bolivia migró de base 1990 a base 2017; las series no son directamente comparables.</w:t>
            </w:r>
          </w:p>
          <w:p>
            <w:pPr>
              <w:spacing w:after="80" w:line="276"/>
              <w:jc w:val="both"/>
            </w:pPr>
            <w:r>
              <w:rPr>
                <w:rFonts w:ascii="Calibri" w:cs="Calibri" w:eastAsia="Calibri" w:hAnsi="Calibri"/>
                <w:b/>
                <w:bCs/>
                <w:color w:val="000000"/>
                <w:sz w:val="21"/>
                <w:szCs w:val="21"/>
              </w:rPr>
              <w:t xml:space="preserve">3. ¿Es nominal o real?</w:t>
            </w:r>
            <w:r>
              <w:rPr>
                <w:rFonts w:ascii="Calibri" w:cs="Calibri" w:eastAsia="Calibri" w:hAnsi="Calibri"/>
                <w:color w:val="000000"/>
                <w:sz w:val="21"/>
                <w:szCs w:val="21"/>
              </w:rPr>
              <w:t xml:space="preserve"> Toda la Parte III de este cuaderno existe por esta pregunta.</w:t>
            </w:r>
          </w:p>
          <w:p>
            <w:pPr>
              <w:spacing w:after="80" w:line="276"/>
              <w:jc w:val="both"/>
            </w:pPr>
            <w:r>
              <w:rPr>
                <w:rFonts w:ascii="Calibri" w:cs="Calibri" w:eastAsia="Calibri" w:hAnsi="Calibri"/>
                <w:b/>
                <w:bCs/>
                <w:color w:val="000000"/>
                <w:sz w:val="21"/>
                <w:szCs w:val="21"/>
              </w:rPr>
              <w:t xml:space="preserve">4. ¿Es preliminar o definitivo?</w:t>
            </w:r>
            <w:r>
              <w:rPr>
                <w:rFonts w:ascii="Calibri" w:cs="Calibri" w:eastAsia="Calibri" w:hAnsi="Calibri"/>
                <w:color w:val="000000"/>
                <w:sz w:val="21"/>
                <w:szCs w:val="21"/>
              </w:rPr>
              <w:t xml:space="preserve"> El dato del INE de 2025 es </w:t>
            </w:r>
            <w:r>
              <w:rPr>
                <w:rFonts w:ascii="Calibri" w:cs="Calibri" w:eastAsia="Calibri" w:hAnsi="Calibri"/>
                <w:i/>
                <w:iCs/>
                <w:color w:val="000000"/>
                <w:sz w:val="21"/>
                <w:szCs w:val="21"/>
              </w:rPr>
              <w:t xml:space="preserve">preliminar</w:t>
            </w:r>
            <w:r>
              <w:rPr>
                <w:rFonts w:ascii="Calibri" w:cs="Calibri" w:eastAsia="Calibri" w:hAnsi="Calibri"/>
                <w:color w:val="000000"/>
                <w:sz w:val="21"/>
                <w:szCs w:val="21"/>
              </w:rPr>
              <w:t xml:space="preserve"> y puede revisarse.</w:t>
            </w:r>
          </w:p>
          <w:p>
            <w:pPr>
              <w:spacing w:after="0" w:line="276"/>
              <w:jc w:val="both"/>
            </w:pPr>
            <w:r>
              <w:rPr>
                <w:rFonts w:ascii="Calibri" w:cs="Calibri" w:eastAsia="Calibri" w:hAnsi="Calibri"/>
                <w:color w:val="000000"/>
                <w:sz w:val="21"/>
                <w:szCs w:val="21"/>
              </w:rPr>
              <w:t xml:space="preserve">Dato adicional que conviene registrar con cuidado: el FMI </w:t>
            </w:r>
            <w:r>
              <w:rPr>
                <w:rFonts w:ascii="Calibri" w:cs="Calibri" w:eastAsia="Calibri" w:hAnsi="Calibri"/>
                <w:b/>
                <w:bCs/>
                <w:color w:val="000000"/>
                <w:sz w:val="21"/>
                <w:szCs w:val="21"/>
              </w:rPr>
              <w:t xml:space="preserve">omitió</w:t>
            </w:r>
            <w:r>
              <w:rPr>
                <w:rFonts w:ascii="Calibri" w:cs="Calibri" w:eastAsia="Calibri" w:hAnsi="Calibri"/>
                <w:color w:val="000000"/>
                <w:sz w:val="21"/>
                <w:szCs w:val="21"/>
              </w:rPr>
              <w:t xml:space="preserve"> sus proyecciones para Bolivia del período 2026–2030 en el WEO de octubre de 2025, señalando incertidumbre significativa sobre las perspectivas. Que un organismo prefiera no proyectar es, en sí mismo, información. Hay versiones posteriores del WEO con cifras para 2026 que circulan en portales agregadores; antes de citarlas en un trabajo, búscalas en el sitio del FMI, no en el agregador.</w:t>
            </w:r>
          </w:p>
        </w:tc>
      </w:tr>
    </w:tbl>
    <w:p>
      <w:pPr>
        <w:spacing w:after="160"/>
      </w:pPr>
    </w:p>
    <w:tbl>
      <w:tblPr>
        <w:tblW w:type="dxa" w:w="9020"/>
        <w:tblBorders>
          <w:top w:val="single" w:color="BFBFBF" w:sz="2"/>
          <w:left w:val="single" w:color="808080" w:sz="14"/>
          <w:bottom w:val="single" w:color="BFBFBF" w:sz="2"/>
          <w:right w:val="single" w:color="BFBFBF" w:sz="2"/>
          <w:insideH w:val="none"/>
          <w:insideV w:val="none"/>
        </w:tblBorders>
      </w:tblPr>
      <w:tblGrid>
        <w:gridCol w:w="9020"/>
      </w:tblGrid>
      <w:tr>
        <w:tc>
          <w:tcPr>
            <w:tcW w:type="dxa" w:w="9020"/>
            <w:shd w:fill="F2F2F2"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Cómo usar esto en la actividad con IA del curso</w:t>
            </w:r>
          </w:p>
          <w:p>
            <w:pPr>
              <w:spacing w:after="0" w:line="276"/>
              <w:jc w:val="both"/>
            </w:pPr>
            <w:r>
              <w:rPr>
                <w:rFonts w:ascii="Calibri" w:cs="Calibri" w:eastAsia="Calibri" w:hAnsi="Calibri"/>
                <w:color w:val="000000"/>
                <w:sz w:val="21"/>
                <w:szCs w:val="21"/>
              </w:rPr>
              <w:t xml:space="preserve">La Sesión 1 pide contrastar lo que responde un asistente de IA contra una fuente primaria y anotar al menos un error. La discrepancia de esta sección es un caso ideal: un asistente que responda "Bolivia creció 0,5% en 2025" está repitiendo una proyección desactualizada como si fuera un dato observado. El error no es inventar una cifra, sino </w:t>
            </w:r>
            <w:r>
              <w:rPr>
                <w:rFonts w:ascii="Calibri" w:cs="Calibri" w:eastAsia="Calibri" w:hAnsi="Calibri"/>
                <w:b/>
                <w:bCs/>
                <w:color w:val="000000"/>
                <w:sz w:val="21"/>
                <w:szCs w:val="21"/>
              </w:rPr>
              <w:t xml:space="preserve">no fechar la cifra correcta</w:t>
            </w:r>
            <w:r>
              <w:rPr>
                <w:rFonts w:ascii="Calibri" w:cs="Calibri" w:eastAsia="Calibri" w:hAnsi="Calibri"/>
                <w:color w:val="000000"/>
                <w:sz w:val="21"/>
                <w:szCs w:val="21"/>
              </w:rPr>
              <w:t xml:space="preserve">, que es la forma más común y más difícil de detectar.</w:t>
            </w:r>
          </w:p>
        </w:tc>
      </w:tr>
    </w:tbl>
    <w:p>
      <w:r>
        <w:br w:type="page"/>
      </w:r>
    </w:p>
    <w:p>
      <w:pPr>
        <w:pStyle w:val="Heading1"/>
        <w:spacing w:after="200" w:before="400"/>
      </w:pPr>
      <w:r>
        <w:rPr>
          <w:rFonts w:ascii="Calibri" w:cs="Calibri" w:eastAsia="Calibri" w:hAnsi="Calibri"/>
          <w:b/>
          <w:bCs/>
          <w:color w:val="1F3864"/>
          <w:sz w:val="32"/>
          <w:szCs w:val="32"/>
        </w:rPr>
        <w:t xml:space="preserve">Parte VIII · Ejercicios resueltos</w:t>
      </w:r>
    </w:p>
    <w:p>
      <w:pPr>
        <w:spacing w:after="140" w:line="276"/>
        <w:jc w:val="both"/>
      </w:pPr>
      <w:r>
        <w:rPr>
          <w:rFonts w:ascii="Calibri" w:cs="Calibri" w:eastAsia="Calibri" w:hAnsi="Calibri"/>
          <w:i/>
          <w:iCs/>
          <w:color w:val="000000"/>
          <w:sz w:val="21"/>
          <w:szCs w:val="21"/>
        </w:rPr>
        <w:t xml:space="preserve">Los ejercicios 1 a 3 son los de clase (Sesiones 2, 3 y 4), aquí resueltos y explicados. Los ejercicios 4 a 7 son [AÑADIDO], construidos con datos bolivianos reales.</w:t>
      </w:r>
    </w:p>
    <w:p>
      <w:pPr>
        <w:pStyle w:val="Heading2"/>
        <w:spacing w:after="140" w:before="320"/>
      </w:pPr>
      <w:r>
        <w:rPr>
          <w:rFonts w:ascii="Calibri" w:cs="Calibri" w:eastAsia="Calibri" w:hAnsi="Calibri"/>
          <w:b/>
          <w:bCs/>
          <w:color w:val="1F3864"/>
          <w:sz w:val="26"/>
          <w:szCs w:val="26"/>
        </w:rPr>
        <w:t xml:space="preserve">Ejercicio 1 — Clasificar el gasto (Sesión 2)</w:t>
      </w:r>
    </w:p>
    <w:p>
      <w:pPr>
        <w:spacing w:after="140" w:line="276"/>
        <w:jc w:val="both"/>
      </w:pPr>
      <w:r>
        <w:rPr>
          <w:rFonts w:ascii="Calibri" w:cs="Calibri" w:eastAsia="Calibri" w:hAnsi="Calibri"/>
          <w:color w:val="000000"/>
          <w:sz w:val="21"/>
          <w:szCs w:val="21"/>
        </w:rPr>
        <w:t xml:space="preserve">Indique si cada gasto corresponde a C, G, I, X o M.</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3247"/>
        <w:gridCol w:w="1082"/>
        <w:gridCol w:w="4691"/>
      </w:tblGrid>
      <w:tr>
        <w:trPr>
          <w:tblHeader/>
        </w:trPr>
        <w:tc>
          <w:tcPr>
            <w:tcW w:type="dxa" w:w="3247"/>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Gasto</w:t>
            </w:r>
          </w:p>
        </w:tc>
        <w:tc>
          <w:tcPr>
            <w:tcW w:type="dxa" w:w="1082"/>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Respuesta</w:t>
            </w:r>
          </w:p>
        </w:tc>
        <w:tc>
          <w:tcPr>
            <w:tcW w:type="dxa" w:w="4691"/>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Por qué</w:t>
            </w:r>
          </w:p>
        </w:tc>
      </w:tr>
      <w:tr>
        <w:trPr>
          <w:tblHeader w:val="false"/>
        </w:trPr>
        <w:tc>
          <w:tcPr>
            <w:tcW w:type="dxa" w:w="3247"/>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1. Una familia compra un refrigerador nuevo fabricado en Bolivia</w:t>
            </w:r>
          </w:p>
        </w:tc>
        <w:tc>
          <w:tcPr>
            <w:tcW w:type="dxa" w:w="1082"/>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C</w:t>
            </w:r>
          </w:p>
        </w:tc>
        <w:tc>
          <w:tcPr>
            <w:tcW w:type="dxa" w:w="4691"/>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Bien de consumo duradero adquirido por un hogar. Que sea duradero no lo convierte en inversión: lo que define la categoría es </w:t>
            </w:r>
            <w:r>
              <w:rPr>
                <w:rFonts w:ascii="Calibri" w:cs="Calibri" w:eastAsia="Calibri" w:hAnsi="Calibri"/>
                <w:i/>
                <w:iCs/>
                <w:color w:val="000000"/>
                <w:sz w:val="19"/>
                <w:szCs w:val="19"/>
              </w:rPr>
              <w:t xml:space="preserve">quién compra y para qué</w:t>
            </w:r>
            <w:r>
              <w:rPr>
                <w:rFonts w:ascii="Calibri" w:cs="Calibri" w:eastAsia="Calibri" w:hAnsi="Calibri"/>
                <w:color w:val="000000"/>
                <w:sz w:val="19"/>
                <w:szCs w:val="19"/>
              </w:rPr>
              <w:t xml:space="preserve">.</w:t>
            </w:r>
          </w:p>
        </w:tc>
      </w:tr>
      <w:tr>
        <w:trPr>
          <w:tblHeader w:val="false"/>
        </w:trPr>
        <w:tc>
          <w:tcPr>
            <w:tcW w:type="dxa" w:w="3247"/>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2. El gobierno compra vacunas para el sistema de salud pública</w:t>
            </w:r>
          </w:p>
        </w:tc>
        <w:tc>
          <w:tcPr>
            <w:tcW w:type="dxa" w:w="1082"/>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G</w:t>
            </w:r>
          </w:p>
        </w:tc>
        <w:tc>
          <w:tcPr>
            <w:tcW w:type="dxa" w:w="4691"/>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El Estado compra un bien. Si en cambio </w:t>
            </w:r>
            <w:r>
              <w:rPr>
                <w:rFonts w:ascii="Calibri" w:cs="Calibri" w:eastAsia="Calibri" w:hAnsi="Calibri"/>
                <w:i/>
                <w:iCs/>
                <w:color w:val="000000"/>
                <w:sz w:val="19"/>
                <w:szCs w:val="19"/>
              </w:rPr>
              <w:t xml:space="preserve">transfiriera dinero</w:t>
            </w:r>
            <w:r>
              <w:rPr>
                <w:rFonts w:ascii="Calibri" w:cs="Calibri" w:eastAsia="Calibri" w:hAnsi="Calibri"/>
                <w:color w:val="000000"/>
                <w:sz w:val="19"/>
                <w:szCs w:val="19"/>
              </w:rPr>
              <w:t xml:space="preserve"> a las familias, no sería G.</w:t>
            </w:r>
          </w:p>
        </w:tc>
      </w:tr>
      <w:tr>
        <w:trPr>
          <w:tblHeader w:val="false"/>
        </w:trPr>
        <w:tc>
          <w:tcPr>
            <w:tcW w:type="dxa" w:w="3247"/>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3. Una empresa boliviana instala paneles solares nuevos en su planta</w:t>
            </w:r>
          </w:p>
        </w:tc>
        <w:tc>
          <w:tcPr>
            <w:tcW w:type="dxa" w:w="1082"/>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I</w:t>
            </w:r>
          </w:p>
        </w:tc>
        <w:tc>
          <w:tcPr>
            <w:tcW w:type="dxa" w:w="4691"/>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Bien de capital que amplía la capacidad productiva futura.</w:t>
            </w:r>
          </w:p>
        </w:tc>
      </w:tr>
      <w:tr>
        <w:trPr>
          <w:tblHeader w:val="false"/>
        </w:trPr>
        <w:tc>
          <w:tcPr>
            <w:tcW w:type="dxa" w:w="3247"/>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4. Bolivia vende quinua a Estados Unidos</w:t>
            </w:r>
          </w:p>
        </w:tc>
        <w:tc>
          <w:tcPr>
            <w:tcW w:type="dxa" w:w="1082"/>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X</w:t>
            </w:r>
          </w:p>
        </w:tc>
        <w:tc>
          <w:tcPr>
            <w:tcW w:type="dxa" w:w="4691"/>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Producción nacional vendida al exterior.</w:t>
            </w:r>
          </w:p>
        </w:tc>
      </w:tr>
      <w:tr>
        <w:trPr>
          <w:tblHeader w:val="false"/>
        </w:trPr>
        <w:tc>
          <w:tcPr>
            <w:tcW w:type="dxa" w:w="3247"/>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5. Una universidad boliviana compra computadoras fabricadas en Taiwán</w:t>
            </w:r>
          </w:p>
        </w:tc>
        <w:tc>
          <w:tcPr>
            <w:tcW w:type="dxa" w:w="1082"/>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I y M</w:t>
            </w:r>
          </w:p>
          <w:p>
            <w:pPr>
              <w:spacing w:after="0" w:line="260"/>
              <w:jc w:val="left"/>
            </w:pPr>
            <w:r>
              <w:rPr>
                <w:rFonts w:ascii="Calibri" w:cs="Calibri" w:eastAsia="Calibri" w:hAnsi="Calibri"/>
                <w:color w:val="000000"/>
                <w:sz w:val="19"/>
                <w:szCs w:val="19"/>
              </w:rPr>
              <w:t xml:space="preserve">(o G y M)</w:t>
            </w:r>
          </w:p>
        </w:tc>
        <w:tc>
          <w:tcPr>
            <w:tcW w:type="dxa" w:w="4691"/>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Doble registro. Es un bien de capital, luego suma en I —o en G, si la universidad es pública—, y simultáneamente suma en M. </w:t>
            </w:r>
            <w:r>
              <w:rPr>
                <w:rFonts w:ascii="Calibri" w:cs="Calibri" w:eastAsia="Calibri" w:hAnsi="Calibri"/>
                <w:b/>
                <w:bCs/>
                <w:color w:val="000000"/>
                <w:sz w:val="19"/>
                <w:szCs w:val="19"/>
              </w:rPr>
              <w:t xml:space="preserve">Efecto neto sobre el PIB boliviano: cero</w:t>
            </w:r>
            <w:r>
              <w:rPr>
                <w:rFonts w:ascii="Calibri" w:cs="Calibri" w:eastAsia="Calibri" w:hAnsi="Calibri"/>
                <w:color w:val="000000"/>
                <w:sz w:val="19"/>
                <w:szCs w:val="19"/>
              </w:rPr>
              <w:t xml:space="preserve">, porque las computadoras no se produjeron en Bolivia.</w:t>
            </w:r>
          </w:p>
        </w:tc>
      </w:tr>
    </w:tbl>
    <w:p>
      <w:pPr>
        <w:spacing w:after="160"/>
      </w:pPr>
    </w:p>
    <w:tbl>
      <w:tblPr>
        <w:tblW w:type="dxa" w:w="9020"/>
        <w:tblBorders>
          <w:top w:val="single" w:color="BFBFBF" w:sz="2"/>
          <w:left w:val="single" w:color="BF9000" w:sz="14"/>
          <w:bottom w:val="single" w:color="BFBFBF" w:sz="2"/>
          <w:right w:val="single" w:color="BFBFBF" w:sz="2"/>
          <w:insideH w:val="none"/>
          <w:insideV w:val="none"/>
        </w:tblBorders>
      </w:tblPr>
      <w:tblGrid>
        <w:gridCol w:w="9020"/>
      </w:tblGrid>
      <w:tr>
        <w:tc>
          <w:tcPr>
            <w:tcW w:type="dxa" w:w="9020"/>
            <w:shd w:fill="FFF2CC"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El ítem 5 es el que separa notas</w:t>
            </w:r>
          </w:p>
          <w:p>
            <w:pPr>
              <w:spacing w:after="0" w:line="276"/>
              <w:jc w:val="both"/>
            </w:pPr>
            <w:r>
              <w:rPr>
                <w:rFonts w:ascii="Calibri" w:cs="Calibri" w:eastAsia="Calibri" w:hAnsi="Calibri"/>
                <w:color w:val="000000"/>
                <w:sz w:val="21"/>
                <w:szCs w:val="21"/>
              </w:rPr>
              <w:t xml:space="preserve">La respuesta "M" a secas está incompleta. Todo bien importado se registra </w:t>
            </w:r>
            <w:r>
              <w:rPr>
                <w:rFonts w:ascii="Calibri" w:cs="Calibri" w:eastAsia="Calibri" w:hAnsi="Calibri"/>
                <w:b/>
                <w:bCs/>
                <w:color w:val="000000"/>
                <w:sz w:val="21"/>
                <w:szCs w:val="21"/>
              </w:rPr>
              <w:t xml:space="preserve">dos veces</w:t>
            </w:r>
            <w:r>
              <w:rPr>
                <w:rFonts w:ascii="Calibri" w:cs="Calibri" w:eastAsia="Calibri" w:hAnsi="Calibri"/>
                <w:color w:val="000000"/>
                <w:sz w:val="21"/>
                <w:szCs w:val="21"/>
              </w:rPr>
              <w:t xml:space="preserve">: una en la categoría de gasto que corresponda (C, I o G) y otra, con signo negativo, en M. Quien responde solo "M" no ha entendido por qué las importaciones se restan.</w:t>
            </w:r>
          </w:p>
        </w:tc>
      </w:tr>
    </w:tbl>
    <w:p>
      <w:pPr>
        <w:pStyle w:val="Heading2"/>
        <w:spacing w:after="140" w:before="320"/>
      </w:pPr>
      <w:r>
        <w:rPr>
          <w:rFonts w:ascii="Calibri" w:cs="Calibri" w:eastAsia="Calibri" w:hAnsi="Calibri"/>
          <w:b/>
          <w:bCs/>
          <w:color w:val="1F3864"/>
          <w:sz w:val="26"/>
          <w:szCs w:val="26"/>
        </w:rPr>
        <w:t xml:space="preserve">Ejercicio 2 — Valor agregado e ingreso (Sesión 3)</w:t>
      </w:r>
    </w:p>
    <w:p>
      <w:pPr>
        <w:spacing w:after="140" w:line="276"/>
        <w:jc w:val="both"/>
      </w:pPr>
      <w:r>
        <w:rPr>
          <w:rFonts w:ascii="Calibri" w:cs="Calibri" w:eastAsia="Calibri" w:hAnsi="Calibri"/>
          <w:color w:val="000000"/>
          <w:sz w:val="21"/>
          <w:szCs w:val="21"/>
        </w:rPr>
        <w:t xml:space="preserve">Un ganadero vende cuero a una fábrica de zapatos por $ 400. La fábrica vende los zapatos terminados por $ 900.</w:t>
      </w:r>
    </w:p>
    <w:p>
      <w:pPr>
        <w:spacing w:after="120"/>
      </w:pPr>
    </w:p>
    <w:p>
      <w:pPr>
        <w:pStyle w:val="Heading3"/>
        <w:spacing w:after="120" w:before="240"/>
      </w:pPr>
      <w:r>
        <w:rPr>
          <w:rFonts w:ascii="Calibri" w:cs="Calibri" w:eastAsia="Calibri" w:hAnsi="Calibri"/>
          <w:b/>
          <w:bCs/>
          <w:color w:val="2E5496"/>
          <w:sz w:val="23"/>
          <w:szCs w:val="23"/>
        </w:rPr>
        <w:t xml:space="preserve">a) Enfoque de la producción</w:t>
      </w:r>
    </w:p>
    <w:tbl>
      <w:tblPr>
        <w:tblW w:type="dxa" w:w="9020"/>
        <w:tblBorders>
          <w:top w:val="single" w:color="1F3864" w:sz="4"/>
          <w:left w:val="none"/>
          <w:bottom w:val="single" w:color="1F3864" w:sz="4"/>
          <w:right w:val="none"/>
          <w:insideH w:val="single" w:color="D0D0D0" w:sz="1"/>
          <w:insideV w:val="single" w:color="D0D0D0" w:sz="1"/>
        </w:tblBorders>
      </w:tblPr>
      <w:tblGrid>
        <w:gridCol w:w="2526"/>
        <w:gridCol w:w="2165"/>
        <w:gridCol w:w="2165"/>
        <w:gridCol w:w="2164"/>
      </w:tblGrid>
      <w:tr>
        <w:trPr>
          <w:tblHeader/>
        </w:trPr>
        <w:tc>
          <w:tcPr>
            <w:tcW w:type="dxa" w:w="2526"/>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Eslabón</w:t>
            </w:r>
          </w:p>
        </w:tc>
        <w:tc>
          <w:tcPr>
            <w:tcW w:type="dxa" w:w="2165"/>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Producción (P)</w:t>
            </w:r>
          </w:p>
        </w:tc>
        <w:tc>
          <w:tcPr>
            <w:tcW w:type="dxa" w:w="2165"/>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Consumo intermedio (CI)</w:t>
            </w:r>
          </w:p>
        </w:tc>
        <w:tc>
          <w:tcPr>
            <w:tcW w:type="dxa" w:w="216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VAB = P − CI</w:t>
            </w:r>
          </w:p>
        </w:tc>
      </w:tr>
      <w:tr>
        <w:trPr>
          <w:tblHeader w:val="false"/>
        </w:trPr>
        <w:tc>
          <w:tcPr>
            <w:tcW w:type="dxa" w:w="2526"/>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Ganadero (cuero)</w:t>
            </w:r>
          </w:p>
        </w:tc>
        <w:tc>
          <w:tcPr>
            <w:tcW w:type="dxa" w:w="2165"/>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$ 400</w:t>
            </w:r>
          </w:p>
        </w:tc>
        <w:tc>
          <w:tcPr>
            <w:tcW w:type="dxa" w:w="2165"/>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$ 0</w:t>
            </w:r>
          </w:p>
        </w:tc>
        <w:tc>
          <w:tcPr>
            <w:tcW w:type="dxa" w:w="216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$ 400</w:t>
            </w:r>
          </w:p>
        </w:tc>
      </w:tr>
      <w:tr>
        <w:trPr>
          <w:tblHeader w:val="false"/>
        </w:trPr>
        <w:tc>
          <w:tcPr>
            <w:tcW w:type="dxa" w:w="2526"/>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Fábrica (zapatos)</w:t>
            </w:r>
          </w:p>
        </w:tc>
        <w:tc>
          <w:tcPr>
            <w:tcW w:type="dxa" w:w="2165"/>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$ 900</w:t>
            </w:r>
          </w:p>
        </w:tc>
        <w:tc>
          <w:tcPr>
            <w:tcW w:type="dxa" w:w="2165"/>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$ 400</w:t>
            </w:r>
          </w:p>
        </w:tc>
        <w:tc>
          <w:tcPr>
            <w:tcW w:type="dxa" w:w="2164"/>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$ 500</w:t>
            </w:r>
          </w:p>
        </w:tc>
      </w:tr>
      <w:tr>
        <w:trPr>
          <w:tblHeader w:val="false"/>
        </w:trPr>
        <w:tc>
          <w:tcPr>
            <w:tcW w:type="dxa" w:w="2526"/>
            <w:shd w:fill="F2F2F2"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PIB (producción)</w:t>
            </w:r>
          </w:p>
        </w:tc>
        <w:tc>
          <w:tcPr>
            <w:tcW w:type="dxa" w:w="2165"/>
            <w:shd w:fill="F2F2F2"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w:t>
            </w:r>
          </w:p>
        </w:tc>
        <w:tc>
          <w:tcPr>
            <w:tcW w:type="dxa" w:w="2165"/>
            <w:shd w:fill="F2F2F2"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w:t>
            </w:r>
          </w:p>
        </w:tc>
        <w:tc>
          <w:tcPr>
            <w:tcW w:type="dxa" w:w="2164"/>
            <w:shd w:fill="F2F2F2"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$ 900</w:t>
            </w:r>
          </w:p>
        </w:tc>
      </w:tr>
    </w:tbl>
    <w:p>
      <w:pPr>
        <w:spacing w:after="120"/>
      </w:pPr>
    </w:p>
    <w:p>
      <w:pPr>
        <w:spacing w:after="140" w:line="276"/>
        <w:jc w:val="both"/>
      </w:pPr>
      <w:r>
        <w:rPr>
          <w:rFonts w:ascii="Calibri" w:cs="Calibri" w:eastAsia="Calibri" w:hAnsi="Calibri"/>
          <w:color w:val="000000"/>
          <w:sz w:val="21"/>
          <w:szCs w:val="21"/>
        </w:rPr>
        <w:t xml:space="preserve">Sumar la producción bruta (400 + 900 = 1.300) sería incorrecto: contaría el cuero dos veces. El PIB es </w:t>
      </w:r>
      <w:r>
        <w:rPr>
          <w:rFonts w:ascii="Calibri" w:cs="Calibri" w:eastAsia="Calibri" w:hAnsi="Calibri"/>
          <w:b/>
          <w:bCs/>
          <w:color w:val="000000"/>
          <w:sz w:val="21"/>
          <w:szCs w:val="21"/>
        </w:rPr>
        <w:t xml:space="preserve">$ 900</w:t>
      </w:r>
      <w:r>
        <w:rPr>
          <w:rFonts w:ascii="Calibri" w:cs="Calibri" w:eastAsia="Calibri" w:hAnsi="Calibri"/>
          <w:color w:val="000000"/>
          <w:sz w:val="21"/>
          <w:szCs w:val="21"/>
        </w:rPr>
        <w:t xml:space="preserve">, que es exactamente el valor del único bien final, los zapatos.</w:t>
      </w:r>
    </w:p>
    <w:p>
      <w:pPr>
        <w:spacing w:after="120"/>
      </w:pPr>
    </w:p>
    <w:p>
      <w:pPr>
        <w:pStyle w:val="Heading3"/>
        <w:spacing w:after="120" w:before="240"/>
      </w:pPr>
      <w:r>
        <w:rPr>
          <w:rFonts w:ascii="Calibri" w:cs="Calibri" w:eastAsia="Calibri" w:hAnsi="Calibri"/>
          <w:b/>
          <w:bCs/>
          <w:color w:val="2E5496"/>
          <w:sz w:val="23"/>
          <w:szCs w:val="23"/>
        </w:rPr>
        <w:t xml:space="preserve">b) Bono: enfoque del ingreso</w:t>
      </w:r>
    </w:p>
    <w:p>
      <w:pPr>
        <w:spacing w:after="140" w:line="276"/>
        <w:jc w:val="both"/>
      </w:pPr>
      <w:r>
        <w:rPr>
          <w:rFonts w:ascii="Calibri" w:cs="Calibri" w:eastAsia="Calibri" w:hAnsi="Calibri"/>
          <w:color w:val="000000"/>
          <w:sz w:val="21"/>
          <w:szCs w:val="21"/>
        </w:rPr>
        <w:t xml:space="preserve">El ganadero recibe todo su ingreso como ingreso mixto. La fábrica reparte su valor agregado en 60% salarios y 40% beneficios.</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2706"/>
        <w:gridCol w:w="2165"/>
        <w:gridCol w:w="1984"/>
        <w:gridCol w:w="2165"/>
      </w:tblGrid>
      <w:tr>
        <w:trPr>
          <w:tblHeader/>
        </w:trPr>
        <w:tc>
          <w:tcPr>
            <w:tcW w:type="dxa" w:w="2706"/>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Perceptor</w:t>
            </w:r>
          </w:p>
        </w:tc>
        <w:tc>
          <w:tcPr>
            <w:tcW w:type="dxa" w:w="2165"/>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Tipo de ingreso</w:t>
            </w:r>
          </w:p>
        </w:tc>
        <w:tc>
          <w:tcPr>
            <w:tcW w:type="dxa" w:w="198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Cálculo</w:t>
            </w:r>
          </w:p>
        </w:tc>
        <w:tc>
          <w:tcPr>
            <w:tcW w:type="dxa" w:w="2165"/>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Monto</w:t>
            </w:r>
          </w:p>
        </w:tc>
      </w:tr>
      <w:tr>
        <w:trPr>
          <w:tblHeader w:val="false"/>
        </w:trPr>
        <w:tc>
          <w:tcPr>
            <w:tcW w:type="dxa" w:w="2706"/>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Ganadero</w:t>
            </w:r>
          </w:p>
        </w:tc>
        <w:tc>
          <w:tcPr>
            <w:tcW w:type="dxa" w:w="2165"/>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Ingreso mixto</w:t>
            </w:r>
          </w:p>
        </w:tc>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400</w:t>
            </w:r>
          </w:p>
        </w:tc>
        <w:tc>
          <w:tcPr>
            <w:tcW w:type="dxa" w:w="2165"/>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$ 400</w:t>
            </w:r>
          </w:p>
        </w:tc>
      </w:tr>
      <w:tr>
        <w:trPr>
          <w:tblHeader w:val="false"/>
        </w:trPr>
        <w:tc>
          <w:tcPr>
            <w:tcW w:type="dxa" w:w="2706"/>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Trabajadores de la fábrica</w:t>
            </w:r>
          </w:p>
        </w:tc>
        <w:tc>
          <w:tcPr>
            <w:tcW w:type="dxa" w:w="2165"/>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Salarios</w:t>
            </w:r>
          </w:p>
        </w:tc>
        <w:tc>
          <w:tcPr>
            <w:tcW w:type="dxa" w:w="1984"/>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60% × 500</w:t>
            </w:r>
          </w:p>
        </w:tc>
        <w:tc>
          <w:tcPr>
            <w:tcW w:type="dxa" w:w="2165"/>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$ 300</w:t>
            </w:r>
          </w:p>
        </w:tc>
      </w:tr>
      <w:tr>
        <w:trPr>
          <w:tblHeader w:val="false"/>
        </w:trPr>
        <w:tc>
          <w:tcPr>
            <w:tcW w:type="dxa" w:w="2706"/>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Dueño de la fábrica</w:t>
            </w:r>
          </w:p>
        </w:tc>
        <w:tc>
          <w:tcPr>
            <w:tcW w:type="dxa" w:w="2165"/>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Beneficios</w:t>
            </w:r>
          </w:p>
        </w:tc>
        <w:tc>
          <w:tcPr>
            <w:tcW w:type="dxa" w:w="198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40% × 500</w:t>
            </w:r>
          </w:p>
        </w:tc>
        <w:tc>
          <w:tcPr>
            <w:tcW w:type="dxa" w:w="2165"/>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$ 200</w:t>
            </w:r>
          </w:p>
        </w:tc>
      </w:tr>
      <w:tr>
        <w:trPr>
          <w:tblHeader w:val="false"/>
        </w:trPr>
        <w:tc>
          <w:tcPr>
            <w:tcW w:type="dxa" w:w="2706"/>
            <w:shd w:fill="F2F2F2"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PIB (ingreso)</w:t>
            </w:r>
          </w:p>
        </w:tc>
        <w:tc>
          <w:tcPr>
            <w:tcW w:type="dxa" w:w="2165"/>
            <w:shd w:fill="F2F2F2"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w:t>
            </w:r>
          </w:p>
        </w:tc>
        <w:tc>
          <w:tcPr>
            <w:tcW w:type="dxa" w:w="1984"/>
            <w:shd w:fill="F2F2F2"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w:t>
            </w:r>
          </w:p>
        </w:tc>
        <w:tc>
          <w:tcPr>
            <w:tcW w:type="dxa" w:w="2165"/>
            <w:shd w:fill="F2F2F2"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$ 900</w:t>
            </w:r>
          </w:p>
        </w:tc>
      </w:tr>
    </w:tbl>
    <w:p>
      <w:pPr>
        <w:spacing w:after="120"/>
      </w:pPr>
    </w:p>
    <w:p>
      <w:pPr>
        <w:spacing w:after="140" w:line="276"/>
        <w:jc w:val="both"/>
      </w:pPr>
      <w:r>
        <w:rPr>
          <w:rFonts w:ascii="Calibri" w:cs="Calibri" w:eastAsia="Calibri" w:hAnsi="Calibri"/>
          <w:color w:val="000000"/>
          <w:sz w:val="21"/>
          <w:szCs w:val="21"/>
        </w:rPr>
        <w:t xml:space="preserve">Coincide con el enfoque de la producción, como debe ser. </w:t>
      </w:r>
      <w:r>
        <w:rPr>
          <w:rFonts w:ascii="Calibri" w:cs="Calibri" w:eastAsia="Calibri" w:hAnsi="Calibri"/>
          <w:b/>
          <w:bCs/>
          <w:color w:val="000000"/>
          <w:sz w:val="21"/>
          <w:szCs w:val="21"/>
        </w:rPr>
        <w:t xml:space="preserve">Advertencia:</w:t>
      </w:r>
      <w:r>
        <w:rPr>
          <w:rFonts w:ascii="Calibri" w:cs="Calibri" w:eastAsia="Calibri" w:hAnsi="Calibri"/>
          <w:color w:val="000000"/>
          <w:sz w:val="21"/>
          <w:szCs w:val="21"/>
        </w:rPr>
        <w:t xml:space="preserve"> los porcentajes se aplican sobre el valor agregado de la fábrica ($ 500), no sobre su producción ($ 900). Aplicarlos sobre 900 es el error más frecuente en este ejercicio.</w:t>
      </w:r>
    </w:p>
    <w:p>
      <w:pPr>
        <w:pStyle w:val="Heading2"/>
        <w:spacing w:after="140" w:before="320"/>
      </w:pPr>
      <w:r>
        <w:rPr>
          <w:rFonts w:ascii="Calibri" w:cs="Calibri" w:eastAsia="Calibri" w:hAnsi="Calibri"/>
          <w:b/>
          <w:bCs/>
          <w:color w:val="1F3864"/>
          <w:sz w:val="26"/>
          <w:szCs w:val="26"/>
        </w:rPr>
        <w:t xml:space="preserve">Ejercicio 3 — Nominal, real y deflactor (Sesión 4)</w:t>
      </w:r>
    </w:p>
    <w:p>
      <w:pPr>
        <w:spacing w:after="140" w:line="276"/>
        <w:jc w:val="both"/>
      </w:pPr>
      <w:r>
        <w:rPr>
          <w:rFonts w:ascii="Calibri" w:cs="Calibri" w:eastAsia="Calibri" w:hAnsi="Calibri"/>
          <w:color w:val="000000"/>
          <w:sz w:val="21"/>
          <w:szCs w:val="21"/>
        </w:rPr>
        <w:t xml:space="preserve">Una economía produce solo café. Año 1: 500 quintales a $ 100/qq. Año 2: 550 quintales a $ 130/qq. Año base = Año 1.</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1263"/>
        <w:gridCol w:w="2706"/>
        <w:gridCol w:w="2706"/>
        <w:gridCol w:w="2345"/>
      </w:tblGrid>
      <w:tr>
        <w:trPr>
          <w:tblHeader/>
        </w:trPr>
        <w:tc>
          <w:tcPr>
            <w:tcW w:type="dxa" w:w="1263"/>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Año</w:t>
            </w:r>
          </w:p>
        </w:tc>
        <w:tc>
          <w:tcPr>
            <w:tcW w:type="dxa" w:w="2706"/>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PIB nominal</w:t>
            </w:r>
          </w:p>
        </w:tc>
        <w:tc>
          <w:tcPr>
            <w:tcW w:type="dxa" w:w="2706"/>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PIB real (base Año 1)</w:t>
            </w:r>
          </w:p>
        </w:tc>
        <w:tc>
          <w:tcPr>
            <w:tcW w:type="dxa" w:w="2345"/>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Deflactor</w:t>
            </w:r>
          </w:p>
        </w:tc>
      </w:tr>
      <w:tr>
        <w:trPr>
          <w:tblHeader w:val="false"/>
        </w:trPr>
        <w:tc>
          <w:tcPr>
            <w:tcW w:type="dxa" w:w="1263"/>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Año 1</w:t>
            </w:r>
          </w:p>
        </w:tc>
        <w:tc>
          <w:tcPr>
            <w:tcW w:type="dxa" w:w="270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500 × 100 = $ 50.000</w:t>
            </w:r>
          </w:p>
        </w:tc>
        <w:tc>
          <w:tcPr>
            <w:tcW w:type="dxa" w:w="2706"/>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500 × 100 = $ 50.000</w:t>
            </w:r>
          </w:p>
        </w:tc>
        <w:tc>
          <w:tcPr>
            <w:tcW w:type="dxa" w:w="2345"/>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100,0</w:t>
            </w:r>
          </w:p>
        </w:tc>
      </w:tr>
      <w:tr>
        <w:trPr>
          <w:tblHeader w:val="false"/>
        </w:trPr>
        <w:tc>
          <w:tcPr>
            <w:tcW w:type="dxa" w:w="1263"/>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Año 2</w:t>
            </w:r>
          </w:p>
        </w:tc>
        <w:tc>
          <w:tcPr>
            <w:tcW w:type="dxa" w:w="2706"/>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550 × 130 = $ 71.500</w:t>
            </w:r>
          </w:p>
        </w:tc>
        <w:tc>
          <w:tcPr>
            <w:tcW w:type="dxa" w:w="2706"/>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550 × 100 = $ 55.000</w:t>
            </w:r>
          </w:p>
        </w:tc>
        <w:tc>
          <w:tcPr>
            <w:tcW w:type="dxa" w:w="2345"/>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130,0</w:t>
            </w:r>
          </w:p>
        </w:tc>
      </w:tr>
    </w:tbl>
    <w:p>
      <w:pPr>
        <w:spacing w:after="160"/>
      </w:pPr>
    </w:p>
    <w:p>
      <w:pPr>
        <w:pStyle w:val="Heading3"/>
        <w:spacing w:after="120" w:before="240"/>
      </w:pPr>
      <w:r>
        <w:rPr>
          <w:rFonts w:ascii="Calibri" w:cs="Calibri" w:eastAsia="Calibri" w:hAnsi="Calibri"/>
          <w:b/>
          <w:bCs/>
          <w:color w:val="2E5496"/>
          <w:sz w:val="23"/>
          <w:szCs w:val="23"/>
        </w:rPr>
        <w:t xml:space="preserve">Bono: las tres tasas</w:t>
      </w:r>
    </w:p>
    <w:p>
      <w:pPr>
        <w:pStyle w:val="ListParagraph"/>
        <w:numPr>
          <w:ilvl w:val="0"/>
          <w:numId w:val="1"/>
        </w:numPr>
        <w:spacing w:after="70" w:line="276"/>
      </w:pPr>
      <w:r>
        <w:rPr>
          <w:rFonts w:ascii="Calibri" w:cs="Calibri" w:eastAsia="Calibri" w:hAnsi="Calibri"/>
          <w:b/>
          <w:bCs/>
          <w:color w:val="000000"/>
          <w:sz w:val="21"/>
          <w:szCs w:val="21"/>
        </w:rPr>
        <w:t xml:space="preserve">Crecimiento nominal:</w:t>
      </w:r>
      <w:r>
        <w:rPr>
          <w:rFonts w:ascii="Calibri" w:cs="Calibri" w:eastAsia="Calibri" w:hAnsi="Calibri"/>
          <w:color w:val="000000"/>
          <w:sz w:val="21"/>
          <w:szCs w:val="21"/>
        </w:rPr>
        <w:t xml:space="preserve"> (71.500 − 50.000) / 50.000 = </w:t>
      </w:r>
      <w:r>
        <w:rPr>
          <w:rFonts w:ascii="Calibri" w:cs="Calibri" w:eastAsia="Calibri" w:hAnsi="Calibri"/>
          <w:b/>
          <w:bCs/>
          <w:color w:val="000000"/>
          <w:sz w:val="21"/>
          <w:szCs w:val="21"/>
        </w:rPr>
        <w:t xml:space="preserve">43,0%</w:t>
      </w:r>
    </w:p>
    <w:p>
      <w:pPr>
        <w:pStyle w:val="ListParagraph"/>
        <w:numPr>
          <w:ilvl w:val="0"/>
          <w:numId w:val="1"/>
        </w:numPr>
        <w:spacing w:after="70" w:line="276"/>
      </w:pPr>
      <w:r>
        <w:rPr>
          <w:rFonts w:ascii="Calibri" w:cs="Calibri" w:eastAsia="Calibri" w:hAnsi="Calibri"/>
          <w:b/>
          <w:bCs/>
          <w:color w:val="000000"/>
          <w:sz w:val="21"/>
          <w:szCs w:val="21"/>
        </w:rPr>
        <w:t xml:space="preserve">Crecimiento real:</w:t>
      </w:r>
      <w:r>
        <w:rPr>
          <w:rFonts w:ascii="Calibri" w:cs="Calibri" w:eastAsia="Calibri" w:hAnsi="Calibri"/>
          <w:color w:val="000000"/>
          <w:sz w:val="21"/>
          <w:szCs w:val="21"/>
        </w:rPr>
        <w:t xml:space="preserve"> (55.000 − 50.000) / 50.000 = </w:t>
      </w:r>
      <w:r>
        <w:rPr>
          <w:rFonts w:ascii="Calibri" w:cs="Calibri" w:eastAsia="Calibri" w:hAnsi="Calibri"/>
          <w:b/>
          <w:bCs/>
          <w:color w:val="000000"/>
          <w:sz w:val="21"/>
          <w:szCs w:val="21"/>
        </w:rPr>
        <w:t xml:space="preserve">10,0%</w:t>
      </w:r>
    </w:p>
    <w:p>
      <w:pPr>
        <w:pStyle w:val="ListParagraph"/>
        <w:numPr>
          <w:ilvl w:val="0"/>
          <w:numId w:val="1"/>
        </w:numPr>
        <w:spacing w:after="70" w:line="276"/>
      </w:pPr>
      <w:r>
        <w:rPr>
          <w:rFonts w:ascii="Calibri" w:cs="Calibri" w:eastAsia="Calibri" w:hAnsi="Calibri"/>
          <w:b/>
          <w:bCs/>
          <w:color w:val="000000"/>
          <w:sz w:val="21"/>
          <w:szCs w:val="21"/>
        </w:rPr>
        <w:t xml:space="preserve">Inflación implícita (deflactor):</w:t>
      </w:r>
      <w:r>
        <w:rPr>
          <w:rFonts w:ascii="Calibri" w:cs="Calibri" w:eastAsia="Calibri" w:hAnsi="Calibri"/>
          <w:color w:val="000000"/>
          <w:sz w:val="21"/>
          <w:szCs w:val="21"/>
        </w:rPr>
        <w:t xml:space="preserve"> (130,0 − 100,0) / 100,0 = </w:t>
      </w:r>
      <w:r>
        <w:rPr>
          <w:rFonts w:ascii="Calibri" w:cs="Calibri" w:eastAsia="Calibri" w:hAnsi="Calibri"/>
          <w:b/>
          <w:bCs/>
          <w:color w:val="000000"/>
          <w:sz w:val="21"/>
          <w:szCs w:val="21"/>
        </w:rPr>
        <w:t xml:space="preserve">30,0%</w:t>
      </w:r>
    </w:p>
    <w:p>
      <w:pPr>
        <w:spacing w:after="120"/>
      </w:pPr>
    </w:p>
    <w:p>
      <w:pPr>
        <w:spacing w:after="140" w:line="276"/>
        <w:jc w:val="both"/>
      </w:pPr>
      <w:r>
        <w:rPr>
          <w:rFonts w:ascii="Calibri" w:cs="Calibri" w:eastAsia="Calibri" w:hAnsi="Calibri"/>
          <w:b/>
          <w:bCs/>
          <w:color w:val="000000"/>
          <w:sz w:val="21"/>
          <w:szCs w:val="21"/>
        </w:rPr>
        <w:t xml:space="preserve">Verificación con la identidad:</w:t>
      </w:r>
      <w:r>
        <w:rPr>
          <w:rFonts w:ascii="Calibri" w:cs="Calibri" w:eastAsia="Calibri" w:hAnsi="Calibri"/>
          <w:color w:val="000000"/>
          <w:sz w:val="21"/>
          <w:szCs w:val="21"/>
        </w:rPr>
        <w:t xml:space="preserve"> (1 + 0,10) × (1 + 0,30) = 1,43, es decir 43% de crecimiento nominal. Cierra.</w:t>
      </w:r>
    </w:p>
    <w:p>
      <w:pPr>
        <w:spacing w:after="120"/>
      </w:pPr>
    </w:p>
    <w:tbl>
      <w:tblPr>
        <w:tblW w:type="dxa" w:w="9020"/>
        <w:tblBorders>
          <w:top w:val="single" w:color="BFBFBF" w:sz="2"/>
          <w:left w:val="single" w:color="C00000" w:sz="14"/>
          <w:bottom w:val="single" w:color="BFBFBF" w:sz="2"/>
          <w:right w:val="single" w:color="BFBFBF" w:sz="2"/>
          <w:insideH w:val="none"/>
          <w:insideV w:val="none"/>
        </w:tblBorders>
      </w:tblPr>
      <w:tblGrid>
        <w:gridCol w:w="9020"/>
      </w:tblGrid>
      <w:tr>
        <w:tc>
          <w:tcPr>
            <w:tcW w:type="dxa" w:w="9020"/>
            <w:shd w:fill="FBE4E4"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Nota sobre la aproximación</w:t>
            </w:r>
          </w:p>
          <w:p>
            <w:pPr>
              <w:spacing w:after="0" w:line="276"/>
              <w:jc w:val="both"/>
            </w:pPr>
            <w:r>
              <w:rPr>
                <w:rFonts w:ascii="Calibri" w:cs="Calibri" w:eastAsia="Calibri" w:hAnsi="Calibri"/>
                <w:color w:val="000000"/>
                <w:sz w:val="21"/>
                <w:szCs w:val="21"/>
              </w:rPr>
              <w:t xml:space="preserve">La regla rápida daría 10% + 30% = 40%, frente al 43% verdadero: </w:t>
            </w:r>
            <w:r>
              <w:rPr>
                <w:rFonts w:ascii="Calibri" w:cs="Calibri" w:eastAsia="Calibri" w:hAnsi="Calibri"/>
                <w:b/>
                <w:bCs/>
                <w:color w:val="000000"/>
                <w:sz w:val="21"/>
                <w:szCs w:val="21"/>
              </w:rPr>
              <w:t xml:space="preserve">tres puntos de error</w:t>
            </w:r>
            <w:r>
              <w:rPr>
                <w:rFonts w:ascii="Calibri" w:cs="Calibri" w:eastAsia="Calibri" w:hAnsi="Calibri"/>
                <w:color w:val="000000"/>
                <w:sz w:val="21"/>
                <w:szCs w:val="21"/>
              </w:rPr>
              <w:t xml:space="preserve">. Con tasas de esta magnitud la aproximación ya no sirve, exactamente como se explicó en la sección 3.3.</w:t>
            </w:r>
          </w:p>
        </w:tc>
      </w:tr>
    </w:tbl>
    <w:p>
      <w:pPr>
        <w:pStyle w:val="Heading2"/>
        <w:spacing w:after="140" w:before="320"/>
      </w:pPr>
      <w:r>
        <w:rPr>
          <w:rFonts w:ascii="Calibri" w:cs="Calibri" w:eastAsia="Calibri" w:hAnsi="Calibri"/>
          <w:b/>
          <w:bCs/>
          <w:color w:val="1F3864"/>
          <w:sz w:val="26"/>
          <w:szCs w:val="26"/>
        </w:rPr>
        <w:t xml:space="preserve">Ejercicio 4 [AÑADIDO] — Encadenar dos años de inflación boliviana</w:t>
      </w:r>
    </w:p>
    <w:p>
      <w:pPr>
        <w:spacing w:after="140" w:line="276"/>
        <w:jc w:val="both"/>
      </w:pPr>
      <w:r>
        <w:rPr>
          <w:rFonts w:ascii="Calibri" w:cs="Calibri" w:eastAsia="Calibri" w:hAnsi="Calibri"/>
          <w:color w:val="000000"/>
          <w:sz w:val="21"/>
          <w:szCs w:val="21"/>
        </w:rPr>
        <w:t xml:space="preserve">La inflación acumulada fue de 9,97% en 2024 y de 20,40% en 2025 (INE). ¿Cuánto subieron los precios en total en los dos años?</w:t>
      </w:r>
    </w:p>
    <w:p>
      <w:pPr>
        <w:spacing w:after="120"/>
      </w:pPr>
    </w:p>
    <w:p>
      <w:pPr>
        <w:spacing w:after="140" w:before="140"/>
        <w:jc w:val="center"/>
      </w:pPr>
      <w:r>
        <w:rPr>
          <w:rFonts w:ascii="Cambria" w:cs="Cambria" w:eastAsia="Cambria" w:hAnsi="Cambria"/>
          <w:b/>
          <w:bCs/>
          <w:color w:val="1F3864"/>
          <w:sz w:val="24"/>
          <w:szCs w:val="24"/>
        </w:rPr>
        <w:t xml:space="preserve">(1 + 0,0997) × (1 + 0,2040) − 1 = 1,3240 − 1 = 0,3240</w:t>
      </w:r>
    </w:p>
    <w:p>
      <w:pPr>
        <w:spacing w:after="140" w:line="276"/>
        <w:jc w:val="both"/>
      </w:pPr>
      <w:r>
        <w:rPr>
          <w:rFonts w:ascii="Calibri" w:cs="Calibri" w:eastAsia="Calibri" w:hAnsi="Calibri"/>
          <w:b/>
          <w:bCs/>
          <w:color w:val="000000"/>
          <w:sz w:val="21"/>
          <w:szCs w:val="21"/>
        </w:rPr>
        <w:t xml:space="preserve">Respuesta: 32,40%.</w:t>
      </w:r>
      <w:r>
        <w:rPr>
          <w:rFonts w:ascii="Calibri" w:cs="Calibri" w:eastAsia="Calibri" w:hAnsi="Calibri"/>
          <w:color w:val="000000"/>
          <w:sz w:val="21"/>
          <w:szCs w:val="21"/>
        </w:rPr>
        <w:t xml:space="preserve"> La suma simple daría 30,37%, subestimando en dos puntos porcentuales.</w:t>
      </w:r>
    </w:p>
    <w:p>
      <w:pPr>
        <w:spacing w:after="120"/>
      </w:pPr>
    </w:p>
    <w:p>
      <w:pPr>
        <w:spacing w:after="140" w:line="276"/>
        <w:jc w:val="both"/>
      </w:pPr>
      <w:r>
        <w:rPr>
          <w:rFonts w:ascii="Calibri" w:cs="Calibri" w:eastAsia="Calibri" w:hAnsi="Calibri"/>
          <w:b/>
          <w:bCs/>
          <w:color w:val="000000"/>
          <w:sz w:val="21"/>
          <w:szCs w:val="21"/>
        </w:rPr>
        <w:t xml:space="preserve">Lectura económica:</w:t>
      </w:r>
      <w:r>
        <w:rPr>
          <w:rFonts w:ascii="Calibri" w:cs="Calibri" w:eastAsia="Calibri" w:hAnsi="Calibri"/>
          <w:color w:val="000000"/>
          <w:sz w:val="21"/>
          <w:szCs w:val="21"/>
        </w:rPr>
        <w:t xml:space="preserve"> una canasta que costaba Bs 1.000 a fines de 2023 costaba unos Bs 1.324 a fines de 2025. Dicho de otro modo, un salario nominal que no se movió en esos dos años perdió cerca de una cuarta parte de su poder de compra: 1 − (1/1,3240) = 24,5%.</w:t>
      </w:r>
    </w:p>
    <w:p>
      <w:pPr>
        <w:spacing w:after="120"/>
      </w:pPr>
    </w:p>
    <w:tbl>
      <w:tblPr>
        <w:tblW w:type="dxa" w:w="9020"/>
        <w:tblBorders>
          <w:top w:val="single" w:color="BFBFBF" w:sz="2"/>
          <w:left w:val="single" w:color="548235" w:sz="14"/>
          <w:bottom w:val="single" w:color="BFBFBF" w:sz="2"/>
          <w:right w:val="single" w:color="BFBFBF" w:sz="2"/>
          <w:insideH w:val="none"/>
          <w:insideV w:val="none"/>
        </w:tblBorders>
      </w:tblPr>
      <w:tblGrid>
        <w:gridCol w:w="9020"/>
      </w:tblGrid>
      <w:tr>
        <w:tc>
          <w:tcPr>
            <w:tcW w:type="dxa" w:w="9020"/>
            <w:shd w:fill="E2EFDA"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[AÑADIDO] El detalle que casi todos pasan por alto</w:t>
            </w:r>
          </w:p>
          <w:p>
            <w:pPr>
              <w:spacing w:after="80" w:line="276"/>
              <w:jc w:val="both"/>
            </w:pPr>
            <w:r>
              <w:rPr>
                <w:rFonts w:ascii="Calibri" w:cs="Calibri" w:eastAsia="Calibri" w:hAnsi="Calibri"/>
                <w:color w:val="000000"/>
                <w:sz w:val="21"/>
                <w:szCs w:val="21"/>
              </w:rPr>
              <w:t xml:space="preserve">Nota que la pérdida de poder adquisitivo (</w:t>
            </w:r>
            <w:r>
              <w:rPr>
                <w:rFonts w:ascii="Calibri" w:cs="Calibri" w:eastAsia="Calibri" w:hAnsi="Calibri"/>
                <w:b/>
                <w:bCs/>
                <w:color w:val="000000"/>
                <w:sz w:val="21"/>
                <w:szCs w:val="21"/>
              </w:rPr>
              <w:t xml:space="preserve">24,5%</w:t>
            </w:r>
            <w:r>
              <w:rPr>
                <w:rFonts w:ascii="Calibri" w:cs="Calibri" w:eastAsia="Calibri" w:hAnsi="Calibri"/>
                <w:color w:val="000000"/>
                <w:sz w:val="21"/>
                <w:szCs w:val="21"/>
              </w:rPr>
              <w:t xml:space="preserve">) no es igual a la inflación (</w:t>
            </w:r>
            <w:r>
              <w:rPr>
                <w:rFonts w:ascii="Calibri" w:cs="Calibri" w:eastAsia="Calibri" w:hAnsi="Calibri"/>
                <w:b/>
                <w:bCs/>
                <w:color w:val="000000"/>
                <w:sz w:val="21"/>
                <w:szCs w:val="21"/>
              </w:rPr>
              <w:t xml:space="preserve">32,40%</w:t>
            </w:r>
            <w:r>
              <w:rPr>
                <w:rFonts w:ascii="Calibri" w:cs="Calibri" w:eastAsia="Calibri" w:hAnsi="Calibri"/>
                <w:color w:val="000000"/>
                <w:sz w:val="21"/>
                <w:szCs w:val="21"/>
              </w:rPr>
              <w:t xml:space="preserve">). No es un error de cálculo: son dos preguntas distintas.</w:t>
            </w:r>
          </w:p>
          <w:p>
            <w:pPr>
              <w:spacing w:after="80" w:line="276"/>
              <w:jc w:val="both"/>
            </w:pPr>
            <w:r>
              <w:rPr>
                <w:rFonts w:ascii="Calibri" w:cs="Calibri" w:eastAsia="Calibri" w:hAnsi="Calibri"/>
                <w:b/>
                <w:bCs/>
                <w:color w:val="000000"/>
                <w:sz w:val="21"/>
                <w:szCs w:val="21"/>
              </w:rPr>
              <w:t xml:space="preserve">"¿Cuánto subieron los precios?"</w:t>
            </w:r>
            <w:r>
              <w:rPr>
                <w:rFonts w:ascii="Calibri" w:cs="Calibri" w:eastAsia="Calibri" w:hAnsi="Calibri"/>
                <w:color w:val="000000"/>
                <w:sz w:val="21"/>
                <w:szCs w:val="21"/>
              </w:rPr>
              <w:t xml:space="preserve"> → 32,40%. </w:t>
            </w:r>
            <w:r>
              <w:rPr>
                <w:rFonts w:ascii="Calibri" w:cs="Calibri" w:eastAsia="Calibri" w:hAnsi="Calibri"/>
                <w:b/>
                <w:bCs/>
                <w:color w:val="000000"/>
                <w:sz w:val="21"/>
                <w:szCs w:val="21"/>
              </w:rPr>
              <w:t xml:space="preserve">"¿Cuánto se redujo lo que puedo comprar con el mismo dinero?"</w:t>
            </w:r>
            <w:r>
              <w:rPr>
                <w:rFonts w:ascii="Calibri" w:cs="Calibri" w:eastAsia="Calibri" w:hAnsi="Calibri"/>
                <w:color w:val="000000"/>
                <w:sz w:val="21"/>
                <w:szCs w:val="21"/>
              </w:rPr>
              <w:t xml:space="preserve"> → 24,5%.</w:t>
            </w:r>
          </w:p>
          <w:p>
            <w:pPr>
              <w:spacing w:after="0" w:line="276"/>
              <w:jc w:val="both"/>
            </w:pPr>
            <w:r>
              <w:rPr>
                <w:rFonts w:ascii="Calibri" w:cs="Calibri" w:eastAsia="Calibri" w:hAnsi="Calibri"/>
                <w:color w:val="000000"/>
                <w:sz w:val="21"/>
                <w:szCs w:val="21"/>
              </w:rPr>
              <w:t xml:space="preserve">La relación general es: si los precios suben un factor </w:t>
            </w:r>
            <w:r>
              <w:rPr>
                <w:rFonts w:ascii="Calibri" w:cs="Calibri" w:eastAsia="Calibri" w:hAnsi="Calibri"/>
                <w:i/>
                <w:iCs/>
                <w:color w:val="000000"/>
                <w:sz w:val="21"/>
                <w:szCs w:val="21"/>
              </w:rPr>
              <w:t xml:space="preserve">(1+π)</w:t>
            </w:r>
            <w:r>
              <w:rPr>
                <w:rFonts w:ascii="Calibri" w:cs="Calibri" w:eastAsia="Calibri" w:hAnsi="Calibri"/>
                <w:color w:val="000000"/>
                <w:sz w:val="21"/>
                <w:szCs w:val="21"/>
              </w:rPr>
              <w:t xml:space="preserve">, el poder adquisitivo cae en //1 − 1/(1+π)//. Volverá a aparecer en el ejercicio 5 con el tipo de cambio, porque es la misma asimetría.</w:t>
            </w:r>
          </w:p>
        </w:tc>
      </w:tr>
    </w:tbl>
    <w:p>
      <w:pPr>
        <w:pStyle w:val="Heading2"/>
        <w:spacing w:after="140" w:before="320"/>
      </w:pPr>
      <w:r>
        <w:rPr>
          <w:rFonts w:ascii="Calibri" w:cs="Calibri" w:eastAsia="Calibri" w:hAnsi="Calibri"/>
          <w:b/>
          <w:bCs/>
          <w:color w:val="1F3864"/>
          <w:sz w:val="26"/>
          <w:szCs w:val="26"/>
        </w:rPr>
        <w:t xml:space="preserve">Ejercicio 5 [AÑADIDO] — Depreciación del boliviano</w:t>
      </w:r>
    </w:p>
    <w:p>
      <w:pPr>
        <w:spacing w:after="140" w:line="276"/>
        <w:jc w:val="both"/>
      </w:pPr>
      <w:r>
        <w:rPr>
          <w:rFonts w:ascii="Calibri" w:cs="Calibri" w:eastAsia="Calibri" w:hAnsi="Calibri"/>
          <w:color w:val="000000"/>
          <w:sz w:val="21"/>
          <w:szCs w:val="21"/>
        </w:rPr>
        <w:t xml:space="preserve">El tipo de cambio oficial estuvo fijo en torno a Bs 6,96 por dólar durante más de una década. Al 3 de septiembre de 2026, tras la adopción del régimen flexible, el BCB reportaba Bs 12,32 por dólar. Calcule la variación de dos maneras.</w:t>
      </w:r>
    </w:p>
    <w:p>
      <w:pPr>
        <w:spacing w:after="120"/>
      </w:pPr>
    </w:p>
    <w:p>
      <w:pPr>
        <w:pStyle w:val="Heading3"/>
        <w:spacing w:after="120" w:before="240"/>
      </w:pPr>
      <w:r>
        <w:rPr>
          <w:rFonts w:ascii="Calibri" w:cs="Calibri" w:eastAsia="Calibri" w:hAnsi="Calibri"/>
          <w:b/>
          <w:bCs/>
          <w:color w:val="2E5496"/>
          <w:sz w:val="23"/>
          <w:szCs w:val="23"/>
        </w:rPr>
        <w:t xml:space="preserve">a) ¿Cuánto se encareció el dólar?</w:t>
      </w:r>
    </w:p>
    <w:p>
      <w:pPr>
        <w:spacing w:after="140" w:before="140"/>
        <w:jc w:val="center"/>
      </w:pPr>
      <w:r>
        <w:rPr>
          <w:rFonts w:ascii="Cambria" w:cs="Cambria" w:eastAsia="Cambria" w:hAnsi="Cambria"/>
          <w:b/>
          <w:bCs/>
          <w:color w:val="1F3864"/>
          <w:sz w:val="24"/>
          <w:szCs w:val="24"/>
        </w:rPr>
        <w:t xml:space="preserve">(12,32 − 6,96) / 6,96 = 0,770 → +77,0%</w:t>
      </w:r>
    </w:p>
    <w:p>
      <w:pPr>
        <w:pStyle w:val="Heading3"/>
        <w:spacing w:after="120" w:before="240"/>
      </w:pPr>
      <w:r>
        <w:rPr>
          <w:rFonts w:ascii="Calibri" w:cs="Calibri" w:eastAsia="Calibri" w:hAnsi="Calibri"/>
          <w:b/>
          <w:bCs/>
          <w:color w:val="2E5496"/>
          <w:sz w:val="23"/>
          <w:szCs w:val="23"/>
        </w:rPr>
        <w:t xml:space="preserve">b) ¿Cuánto valor perdió el boliviano frente al dólar?</w:t>
      </w:r>
    </w:p>
    <w:p>
      <w:pPr>
        <w:spacing w:after="140" w:before="140"/>
        <w:jc w:val="center"/>
      </w:pPr>
      <w:r>
        <w:rPr>
          <w:rFonts w:ascii="Cambria" w:cs="Cambria" w:eastAsia="Cambria" w:hAnsi="Cambria"/>
          <w:b/>
          <w:bCs/>
          <w:color w:val="1F3864"/>
          <w:sz w:val="24"/>
          <w:szCs w:val="24"/>
        </w:rPr>
        <w:t xml:space="preserve">1 − (6,96 / 12,32) = 1 − 0,565 = 0,435 → −43,5%</w:t>
      </w:r>
    </w:p>
    <w:p>
      <w:pPr>
        <w:spacing w:after="120"/>
      </w:pPr>
    </w:p>
    <w:tbl>
      <w:tblPr>
        <w:tblW w:type="dxa" w:w="9020"/>
        <w:tblBorders>
          <w:top w:val="single" w:color="BFBFBF" w:sz="2"/>
          <w:left w:val="single" w:color="BF9000" w:sz="14"/>
          <w:bottom w:val="single" w:color="BFBFBF" w:sz="2"/>
          <w:right w:val="single" w:color="BFBFBF" w:sz="2"/>
          <w:insideH w:val="none"/>
          <w:insideV w:val="none"/>
        </w:tblBorders>
      </w:tblPr>
      <w:tblGrid>
        <w:gridCol w:w="9020"/>
      </w:tblGrid>
      <w:tr>
        <w:tc>
          <w:tcPr>
            <w:tcW w:type="dxa" w:w="9020"/>
            <w:shd w:fill="FFF2CC"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Las dos cifras son correctas y describen lo mismo</w:t>
            </w:r>
          </w:p>
          <w:p>
            <w:pPr>
              <w:spacing w:after="80" w:line="276"/>
              <w:jc w:val="both"/>
            </w:pPr>
            <w:r>
              <w:rPr>
                <w:rFonts w:ascii="Calibri" w:cs="Calibri" w:eastAsia="Calibri" w:hAnsi="Calibri"/>
                <w:color w:val="000000"/>
                <w:sz w:val="21"/>
                <w:szCs w:val="21"/>
              </w:rPr>
              <w:t xml:space="preserve">No son cifras contradictorias ni un truco: son la misma realidad vista desde las dos monedas. El dólar subió 77%; el boliviano perdió 43,5% de su valor en dólares.</w:t>
            </w:r>
          </w:p>
          <w:p>
            <w:pPr>
              <w:spacing w:after="80" w:line="276"/>
              <w:jc w:val="both"/>
            </w:pPr>
            <w:r>
              <w:rPr>
                <w:rFonts w:ascii="Calibri" w:cs="Calibri" w:eastAsia="Calibri" w:hAnsi="Calibri"/>
                <w:color w:val="000000"/>
                <w:sz w:val="21"/>
                <w:szCs w:val="21"/>
              </w:rPr>
              <w:t xml:space="preserve">Cuál usar depende de la pregunta. Para un importador que necesita dólares, la cifra relevante es el 77%: es cuánto más le cuesta en bolivianos cada dólar. Para alguien que evalúa cuánto se erosionaron sus ahorros en bolivianos medidos en dólares, la cifra es 43,5%.</w:t>
            </w:r>
          </w:p>
          <w:p>
            <w:pPr>
              <w:spacing w:after="0" w:line="276"/>
              <w:jc w:val="both"/>
            </w:pPr>
            <w:r>
              <w:rPr>
                <w:rFonts w:ascii="Calibri" w:cs="Calibri" w:eastAsia="Calibri" w:hAnsi="Calibri"/>
                <w:color w:val="000000"/>
                <w:sz w:val="21"/>
                <w:szCs w:val="21"/>
              </w:rPr>
              <w:t xml:space="preserve">En prensa se citan ambas indistintamente y sin aclarar cuál es. Saber cuál corresponde a cada pregunta es exactamente la clase de precisión que distingue un análisis serio.</w:t>
            </w:r>
          </w:p>
        </w:tc>
      </w:tr>
    </w:tbl>
    <w:p>
      <w:pPr>
        <w:pStyle w:val="Heading2"/>
        <w:spacing w:after="140" w:before="320"/>
      </w:pPr>
      <w:r>
        <w:rPr>
          <w:rFonts w:ascii="Calibri" w:cs="Calibri" w:eastAsia="Calibri" w:hAnsi="Calibri"/>
          <w:b/>
          <w:bCs/>
          <w:color w:val="1F3864"/>
          <w:sz w:val="26"/>
          <w:szCs w:val="26"/>
        </w:rPr>
        <w:t xml:space="preserve">Ejercicio 6 [AÑADIDO] — Del PIB nominal al PIB real</w:t>
      </w:r>
    </w:p>
    <w:p>
      <w:pPr>
        <w:spacing w:after="140" w:line="276"/>
        <w:jc w:val="both"/>
      </w:pPr>
      <w:r>
        <w:rPr>
          <w:rFonts w:ascii="Calibri" w:cs="Calibri" w:eastAsia="Calibri" w:hAnsi="Calibri"/>
          <w:color w:val="000000"/>
          <w:sz w:val="21"/>
          <w:szCs w:val="21"/>
        </w:rPr>
        <w:t xml:space="preserve">Suponga que el PIB nominal de un país creció </w:t>
      </w:r>
      <w:r>
        <w:rPr>
          <w:rFonts w:ascii="Calibri" w:cs="Calibri" w:eastAsia="Calibri" w:hAnsi="Calibri"/>
          <w:b/>
          <w:bCs/>
          <w:color w:val="000000"/>
          <w:sz w:val="21"/>
          <w:szCs w:val="21"/>
        </w:rPr>
        <w:t xml:space="preserve">18,5%</w:t>
      </w:r>
      <w:r>
        <w:rPr>
          <w:rFonts w:ascii="Calibri" w:cs="Calibri" w:eastAsia="Calibri" w:hAnsi="Calibri"/>
          <w:color w:val="000000"/>
          <w:sz w:val="21"/>
          <w:szCs w:val="21"/>
        </w:rPr>
        <w:t xml:space="preserve"> en 2025 y que el deflactor del PIB aumentó </w:t>
      </w:r>
      <w:r>
        <w:rPr>
          <w:rFonts w:ascii="Calibri" w:cs="Calibri" w:eastAsia="Calibri" w:hAnsi="Calibri"/>
          <w:b/>
          <w:bCs/>
          <w:color w:val="000000"/>
          <w:sz w:val="21"/>
          <w:szCs w:val="21"/>
        </w:rPr>
        <w:t xml:space="preserve">20,4%</w:t>
      </w:r>
      <w:r>
        <w:rPr>
          <w:rFonts w:ascii="Calibri" w:cs="Calibri" w:eastAsia="Calibri" w:hAnsi="Calibri"/>
          <w:color w:val="000000"/>
          <w:sz w:val="21"/>
          <w:szCs w:val="21"/>
        </w:rPr>
        <w:t xml:space="preserve"> en el mismo período. ¿Cuál fue el crecimiento real?</w:t>
      </w:r>
    </w:p>
    <w:p>
      <w:pPr>
        <w:spacing w:after="120"/>
      </w:pPr>
    </w:p>
    <w:p>
      <w:pPr>
        <w:spacing w:after="140" w:before="140"/>
        <w:jc w:val="center"/>
      </w:pPr>
      <w:r>
        <w:rPr>
          <w:rFonts w:ascii="Cambria" w:cs="Cambria" w:eastAsia="Cambria" w:hAnsi="Cambria"/>
          <w:b/>
          <w:bCs/>
          <w:color w:val="1F3864"/>
          <w:sz w:val="24"/>
          <w:szCs w:val="24"/>
        </w:rPr>
        <w:t xml:space="preserve">(1 + gr) = (1 + 0,185) / (1 + 0,204) = 1,185 / 1,204 = 0,9842</w:t>
      </w:r>
    </w:p>
    <w:p>
      <w:pPr>
        <w:spacing w:after="140" w:line="276"/>
        <w:jc w:val="both"/>
      </w:pPr>
      <w:r>
        <w:rPr>
          <w:rFonts w:ascii="Calibri" w:cs="Calibri" w:eastAsia="Calibri" w:hAnsi="Calibri"/>
          <w:b/>
          <w:bCs/>
          <w:color w:val="000000"/>
          <w:sz w:val="21"/>
          <w:szCs w:val="21"/>
        </w:rPr>
        <w:t xml:space="preserve">Respuesta: gr ≈ −1,58%.</w:t>
      </w:r>
      <w:r>
        <w:rPr>
          <w:rFonts w:ascii="Calibri" w:cs="Calibri" w:eastAsia="Calibri" w:hAnsi="Calibri"/>
          <w:color w:val="000000"/>
          <w:sz w:val="21"/>
          <w:szCs w:val="21"/>
        </w:rPr>
        <w:t xml:space="preserve"> La economía se contrajo, pese a que el PIB nominal creció casi un 19%.</w:t>
      </w:r>
    </w:p>
    <w:p>
      <w:pPr>
        <w:spacing w:after="120"/>
      </w:pPr>
    </w:p>
    <w:tbl>
      <w:tblPr>
        <w:tblW w:type="dxa" w:w="9020"/>
        <w:tblBorders>
          <w:top w:val="single" w:color="BFBFBF" w:sz="2"/>
          <w:left w:val="single" w:color="808080" w:sz="14"/>
          <w:bottom w:val="single" w:color="BFBFBF" w:sz="2"/>
          <w:right w:val="single" w:color="BFBFBF" w:sz="2"/>
          <w:insideH w:val="none"/>
          <w:insideV w:val="none"/>
        </w:tblBorders>
      </w:tblPr>
      <w:tblGrid>
        <w:gridCol w:w="9020"/>
      </w:tblGrid>
      <w:tr>
        <w:tc>
          <w:tcPr>
            <w:tcW w:type="dxa" w:w="9020"/>
            <w:shd w:fill="F2F2F2"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Advertencia metodológica sobre este ejercicio</w:t>
            </w:r>
          </w:p>
          <w:p>
            <w:pPr>
              <w:spacing w:after="80" w:line="276"/>
              <w:jc w:val="both"/>
            </w:pPr>
            <w:r>
              <w:rPr>
                <w:rFonts w:ascii="Calibri" w:cs="Calibri" w:eastAsia="Calibri" w:hAnsi="Calibri"/>
                <w:color w:val="000000"/>
                <w:sz w:val="21"/>
                <w:szCs w:val="21"/>
              </w:rPr>
              <w:t xml:space="preserve">El número 20,4% se tomó de la inflación del </w:t>
            </w:r>
            <w:r>
              <w:rPr>
                <w:rFonts w:ascii="Calibri" w:cs="Calibri" w:eastAsia="Calibri" w:hAnsi="Calibri"/>
                <w:b/>
                <w:bCs/>
                <w:color w:val="000000"/>
                <w:sz w:val="21"/>
                <w:szCs w:val="21"/>
              </w:rPr>
              <w:t xml:space="preserve">IPC</w:t>
            </w:r>
            <w:r>
              <w:rPr>
                <w:rFonts w:ascii="Calibri" w:cs="Calibri" w:eastAsia="Calibri" w:hAnsi="Calibri"/>
                <w:color w:val="000000"/>
                <w:sz w:val="21"/>
                <w:szCs w:val="21"/>
              </w:rPr>
              <w:t xml:space="preserve"> boliviano de 2025 únicamente para trabajar con una magnitud realista, y el resultado se aproxima a la contracción de 1,58% que reportó el INE. Pero </w:t>
            </w:r>
            <w:r>
              <w:rPr>
                <w:rFonts w:ascii="Calibri" w:cs="Calibri" w:eastAsia="Calibri" w:hAnsi="Calibri"/>
                <w:b/>
                <w:bCs/>
                <w:color w:val="000000"/>
                <w:sz w:val="21"/>
                <w:szCs w:val="21"/>
              </w:rPr>
              <w:t xml:space="preserve">el deflactor del PIB no es el IPC</w:t>
            </w:r>
            <w:r>
              <w:rPr>
                <w:rFonts w:ascii="Calibri" w:cs="Calibri" w:eastAsia="Calibri" w:hAnsi="Calibri"/>
                <w:color w:val="000000"/>
                <w:sz w:val="21"/>
                <w:szCs w:val="21"/>
              </w:rPr>
              <w:t xml:space="preserve">: como se explicó en la sección 3.5, miden universos distintos. Este es un ejercicio construido, no una reconstrucción de las cuentas nacionales bolivianas.</w:t>
            </w:r>
          </w:p>
          <w:p>
            <w:pPr>
              <w:spacing w:after="0" w:line="276"/>
              <w:jc w:val="both"/>
            </w:pPr>
            <w:r>
              <w:rPr>
                <w:rFonts w:ascii="Calibri" w:cs="Calibri" w:eastAsia="Calibri" w:hAnsi="Calibri"/>
                <w:color w:val="000000"/>
                <w:sz w:val="21"/>
                <w:szCs w:val="21"/>
              </w:rPr>
              <w:t xml:space="preserve">Que quede claro por qué se advierte esto: usar el IPC como si fuera el deflactor es un atajo tentador y técnicamente incorrecto. Si lo haces en un trabajo, decláralo.</w:t>
            </w:r>
          </w:p>
        </w:tc>
      </w:tr>
    </w:tbl>
    <w:p>
      <w:pPr>
        <w:pStyle w:val="Heading2"/>
        <w:spacing w:after="140" w:before="320"/>
      </w:pPr>
      <w:r>
        <w:rPr>
          <w:rFonts w:ascii="Calibri" w:cs="Calibri" w:eastAsia="Calibri" w:hAnsi="Calibri"/>
          <w:b/>
          <w:bCs/>
          <w:color w:val="1F3864"/>
          <w:sz w:val="26"/>
          <w:szCs w:val="26"/>
        </w:rPr>
        <w:t xml:space="preserve">Ejercicio 7 [AÑADIDO] — Leer un titular</w:t>
      </w:r>
    </w:p>
    <w:p>
      <w:pPr>
        <w:spacing w:after="140" w:line="276"/>
        <w:jc w:val="both"/>
      </w:pPr>
      <w:r>
        <w:rPr>
          <w:rFonts w:ascii="Calibri" w:cs="Calibri" w:eastAsia="Calibri" w:hAnsi="Calibri"/>
          <w:color w:val="000000"/>
          <w:sz w:val="21"/>
          <w:szCs w:val="21"/>
        </w:rPr>
        <w:t xml:space="preserve">Titular hipotético pero verosímil: </w:t>
      </w:r>
      <w:r>
        <w:rPr>
          <w:rFonts w:ascii="Calibri" w:cs="Calibri" w:eastAsia="Calibri" w:hAnsi="Calibri"/>
          <w:i/>
          <w:iCs/>
          <w:color w:val="000000"/>
          <w:sz w:val="21"/>
          <w:szCs w:val="21"/>
        </w:rPr>
        <w:t xml:space="preserve">"Las exportaciones bolivianas crecieron 40% en valor durante el último año."</w:t>
      </w:r>
      <w:r>
        <w:rPr>
          <w:rFonts w:ascii="Calibri" w:cs="Calibri" w:eastAsia="Calibri" w:hAnsi="Calibri"/>
          <w:color w:val="000000"/>
          <w:sz w:val="21"/>
          <w:szCs w:val="21"/>
        </w:rPr>
        <w:t xml:space="preserve"> Enumere qué hay que averiguar antes de celebrarlo.</w:t>
      </w:r>
    </w:p>
    <w:p>
      <w:pPr>
        <w:spacing w:after="120"/>
      </w:pPr>
    </w:p>
    <w:p>
      <w:pPr>
        <w:pStyle w:val="ListParagraph"/>
        <w:numPr>
          <w:ilvl w:val="0"/>
          <w:numId w:val="1"/>
        </w:numPr>
        <w:spacing w:after="70" w:line="276"/>
      </w:pPr>
      <w:r>
        <w:rPr>
          <w:rFonts w:ascii="Calibri" w:cs="Calibri" w:eastAsia="Calibri" w:hAnsi="Calibri"/>
          <w:b/>
          <w:bCs/>
          <w:color w:val="000000"/>
          <w:sz w:val="21"/>
          <w:szCs w:val="21"/>
        </w:rPr>
        <w:t xml:space="preserve">¿Valor o volumen?</w:t>
      </w:r>
      <w:r>
        <w:rPr>
          <w:rFonts w:ascii="Calibri" w:cs="Calibri" w:eastAsia="Calibri" w:hAnsi="Calibri"/>
          <w:color w:val="000000"/>
          <w:sz w:val="21"/>
          <w:szCs w:val="21"/>
        </w:rPr>
        <w:t xml:space="preserve"> "En valor" significa precio × cantidad. Si los precios internacionales subieron, el país puede estar exportando </w:t>
      </w:r>
      <w:r>
        <w:rPr>
          <w:rFonts w:ascii="Calibri" w:cs="Calibri" w:eastAsia="Calibri" w:hAnsi="Calibri"/>
          <w:i/>
          <w:iCs/>
          <w:color w:val="000000"/>
          <w:sz w:val="21"/>
          <w:szCs w:val="21"/>
        </w:rPr>
        <w:t xml:space="preserve">menos toneladas</w:t>
      </w:r>
      <w:r>
        <w:rPr>
          <w:rFonts w:ascii="Calibri" w:cs="Calibri" w:eastAsia="Calibri" w:hAnsi="Calibri"/>
          <w:color w:val="000000"/>
          <w:sz w:val="21"/>
          <w:szCs w:val="21"/>
        </w:rPr>
        <w:t xml:space="preserve"> y aun así registrar un valor mayor.</w:t>
      </w:r>
    </w:p>
    <w:p>
      <w:pPr>
        <w:pStyle w:val="ListParagraph"/>
        <w:numPr>
          <w:ilvl w:val="0"/>
          <w:numId w:val="1"/>
        </w:numPr>
        <w:spacing w:after="70" w:line="276"/>
      </w:pPr>
      <w:r>
        <w:rPr>
          <w:rFonts w:ascii="Calibri" w:cs="Calibri" w:eastAsia="Calibri" w:hAnsi="Calibri"/>
          <w:b/>
          <w:bCs/>
          <w:color w:val="000000"/>
          <w:sz w:val="21"/>
          <w:szCs w:val="21"/>
        </w:rPr>
        <w:t xml:space="preserve">¿En qué moneda está medido?</w:t>
      </w:r>
      <w:r>
        <w:rPr>
          <w:rFonts w:ascii="Calibri" w:cs="Calibri" w:eastAsia="Calibri" w:hAnsi="Calibri"/>
          <w:color w:val="000000"/>
          <w:sz w:val="21"/>
          <w:szCs w:val="21"/>
        </w:rPr>
        <w:t xml:space="preserve"> Un crecimiento medido en bolivianos, en un año en que el boliviano se depreció 43,5%, no es comparable con uno medido en dólares.</w:t>
      </w:r>
    </w:p>
    <w:p>
      <w:pPr>
        <w:pStyle w:val="ListParagraph"/>
        <w:numPr>
          <w:ilvl w:val="0"/>
          <w:numId w:val="1"/>
        </w:numPr>
        <w:spacing w:after="70" w:line="276"/>
      </w:pPr>
      <w:r>
        <w:rPr>
          <w:rFonts w:ascii="Calibri" w:cs="Calibri" w:eastAsia="Calibri" w:hAnsi="Calibri"/>
          <w:b/>
          <w:bCs/>
          <w:color w:val="000000"/>
          <w:sz w:val="21"/>
          <w:szCs w:val="21"/>
        </w:rPr>
        <w:t xml:space="preserve">¿Qué pasó con las importaciones?</w:t>
      </w:r>
      <w:r>
        <w:rPr>
          <w:rFonts w:ascii="Calibri" w:cs="Calibri" w:eastAsia="Calibri" w:hAnsi="Calibri"/>
          <w:color w:val="000000"/>
          <w:sz w:val="21"/>
          <w:szCs w:val="21"/>
        </w:rPr>
        <w:t xml:space="preserve"> Lo que entra en el PIB es (X − M), no X. Un salto de exportaciones acompañado de un salto mayor de importaciones deteriora la contribución neta.</w:t>
      </w:r>
    </w:p>
    <w:p>
      <w:pPr>
        <w:pStyle w:val="ListParagraph"/>
        <w:numPr>
          <w:ilvl w:val="0"/>
          <w:numId w:val="1"/>
        </w:numPr>
        <w:spacing w:after="70" w:line="276"/>
      </w:pPr>
      <w:r>
        <w:rPr>
          <w:rFonts w:ascii="Calibri" w:cs="Calibri" w:eastAsia="Calibri" w:hAnsi="Calibri"/>
          <w:b/>
          <w:bCs/>
          <w:color w:val="000000"/>
          <w:sz w:val="21"/>
          <w:szCs w:val="21"/>
        </w:rPr>
        <w:t xml:space="preserve">¿Qué producto explica el alza?</w:t>
      </w:r>
      <w:r>
        <w:rPr>
          <w:rFonts w:ascii="Calibri" w:cs="Calibri" w:eastAsia="Calibri" w:hAnsi="Calibri"/>
          <w:color w:val="000000"/>
          <w:sz w:val="21"/>
          <w:szCs w:val="21"/>
        </w:rPr>
        <w:t xml:space="preserve"> Si es un solo producto primario cuyo precio internacional subió, el resultado depende de un factor externo que puede revertirse.</w:t>
      </w:r>
    </w:p>
    <w:p>
      <w:pPr>
        <w:pStyle w:val="ListParagraph"/>
        <w:numPr>
          <w:ilvl w:val="0"/>
          <w:numId w:val="1"/>
        </w:numPr>
        <w:spacing w:after="70" w:line="276"/>
      </w:pPr>
      <w:r>
        <w:rPr>
          <w:rFonts w:ascii="Calibri" w:cs="Calibri" w:eastAsia="Calibri" w:hAnsi="Calibri"/>
          <w:b/>
          <w:bCs/>
          <w:color w:val="000000"/>
          <w:sz w:val="21"/>
          <w:szCs w:val="21"/>
        </w:rPr>
        <w:t xml:space="preserve">¿Cuál es la base de comparación?</w:t>
      </w:r>
      <w:r>
        <w:rPr>
          <w:rFonts w:ascii="Calibri" w:cs="Calibri" w:eastAsia="Calibri" w:hAnsi="Calibri"/>
          <w:color w:val="000000"/>
          <w:sz w:val="21"/>
          <w:szCs w:val="21"/>
        </w:rPr>
        <w:t xml:space="preserve"> Un 40% sobre un año excepcionalmente malo no equivale a un 40% sobre un año normal. Es el llamado </w:t>
      </w:r>
      <w:r>
        <w:rPr>
          <w:rFonts w:ascii="Calibri" w:cs="Calibri" w:eastAsia="Calibri" w:hAnsi="Calibri"/>
          <w:i/>
          <w:iCs/>
          <w:color w:val="000000"/>
          <w:sz w:val="21"/>
          <w:szCs w:val="21"/>
        </w:rPr>
        <w:t xml:space="preserve">efecto base</w:t>
      </w:r>
      <w:r>
        <w:rPr>
          <w:rFonts w:ascii="Calibri" w:cs="Calibri" w:eastAsia="Calibri" w:hAnsi="Calibri"/>
          <w:color w:val="000000"/>
          <w:sz w:val="21"/>
          <w:szCs w:val="21"/>
        </w:rPr>
        <w:t xml:space="preserve">.</w:t>
      </w:r>
    </w:p>
    <w:p>
      <w:pPr>
        <w:spacing w:after="120"/>
      </w:pPr>
    </w:p>
    <w:p>
      <w:pPr>
        <w:spacing w:after="140" w:line="276"/>
        <w:jc w:val="both"/>
      </w:pPr>
      <w:r>
        <w:rPr>
          <w:rFonts w:ascii="Calibri" w:cs="Calibri" w:eastAsia="Calibri" w:hAnsi="Calibri"/>
          <w:color w:val="000000"/>
          <w:sz w:val="21"/>
          <w:szCs w:val="21"/>
        </w:rPr>
        <w:t xml:space="preserve">Este ejercicio no tiene una respuesta numérica: la habilidad que evalúa es la de no aceptar una cifra sin preguntarle de dónde sale. Es, en el fondo, lo que el curso entero intenta enseñar.</w:t>
      </w:r>
    </w:p>
    <w:p>
      <w:r>
        <w:br w:type="page"/>
      </w:r>
    </w:p>
    <w:p>
      <w:pPr>
        <w:pStyle w:val="Heading1"/>
        <w:spacing w:after="200" w:before="400"/>
      </w:pPr>
      <w:r>
        <w:rPr>
          <w:rFonts w:ascii="Calibri" w:cs="Calibri" w:eastAsia="Calibri" w:hAnsi="Calibri"/>
          <w:b/>
          <w:bCs/>
          <w:color w:val="1F3864"/>
          <w:sz w:val="32"/>
          <w:szCs w:val="32"/>
        </w:rPr>
        <w:t xml:space="preserve">Parte IX · Síntesis, formulario y autoevaluación</w:t>
      </w:r>
    </w:p>
    <w:p>
      <w:pPr>
        <w:pStyle w:val="Heading2"/>
        <w:spacing w:after="140" w:before="320"/>
      </w:pPr>
      <w:r>
        <w:rPr>
          <w:rFonts w:ascii="Calibri" w:cs="Calibri" w:eastAsia="Calibri" w:hAnsi="Calibri"/>
          <w:b/>
          <w:bCs/>
          <w:color w:val="1F3864"/>
          <w:sz w:val="26"/>
          <w:szCs w:val="26"/>
        </w:rPr>
        <w:t xml:space="preserve">9.1 Mapa de relaciones: las cadenas causales</w:t>
      </w:r>
    </w:p>
    <w:p>
      <w:pPr>
        <w:spacing w:after="140" w:line="276"/>
        <w:jc w:val="both"/>
      </w:pPr>
      <w:r>
        <w:rPr>
          <w:rFonts w:ascii="Calibri" w:cs="Calibri" w:eastAsia="Calibri" w:hAnsi="Calibri"/>
          <w:color w:val="000000"/>
          <w:sz w:val="21"/>
          <w:szCs w:val="21"/>
        </w:rPr>
        <w:t xml:space="preserve">Una forma útil de estudiar macroeconomía es dejar de memorizar conceptos aislados y seguir las cadenas causales. Las cinco primeras son de tus apuntes; las tres últimas son [AÑADIDO] y conectan el material con la coyuntura.</w:t>
      </w:r>
    </w:p>
    <w:p>
      <w:pPr>
        <w:spacing w:after="120"/>
      </w:pPr>
    </w:p>
    <w:tbl>
      <w:tblPr>
        <w:tblW w:type="dxa" w:w="9020"/>
        <w:tblBorders>
          <w:top w:val="single" w:color="1F3864" w:sz="4"/>
          <w:left w:val="none"/>
          <w:bottom w:val="single" w:color="1F3864" w:sz="4"/>
          <w:right w:val="none"/>
          <w:insideH w:val="single" w:color="D0D0D0" w:sz="1"/>
          <w:insideV w:val="single" w:color="D0D0D0" w:sz="1"/>
        </w:tblBorders>
      </w:tblPr>
      <w:tblGrid>
        <w:gridCol w:w="451"/>
        <w:gridCol w:w="2255"/>
        <w:gridCol w:w="6314"/>
      </w:tblGrid>
      <w:tr>
        <w:trPr>
          <w:tblHeader/>
        </w:trPr>
        <w:tc>
          <w:tcPr>
            <w:tcW w:type="dxa" w:w="451"/>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w:t>
            </w:r>
          </w:p>
        </w:tc>
        <w:tc>
          <w:tcPr>
            <w:tcW w:type="dxa" w:w="2255"/>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Cadena</w:t>
            </w:r>
          </w:p>
        </w:tc>
        <w:tc>
          <w:tcPr>
            <w:tcW w:type="dxa" w:w="6314"/>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Secuencia</w:t>
            </w:r>
          </w:p>
        </w:tc>
      </w:tr>
      <w:tr>
        <w:trPr>
          <w:tblHeader w:val="false"/>
        </w:trPr>
        <w:tc>
          <w:tcPr>
            <w:tcW w:type="dxa" w:w="451"/>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1</w:t>
            </w:r>
          </w:p>
        </w:tc>
        <w:tc>
          <w:tcPr>
            <w:tcW w:type="dxa" w:w="2255"/>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Emisión e inflación</w:t>
            </w:r>
          </w:p>
        </w:tc>
        <w:tc>
          <w:tcPr>
            <w:tcW w:type="dxa" w:w="631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Financiamiento mediante emisión → aumento de dinero → presión sobre precios → inflación → pérdida de poder adquisitivo → impuesto inflacionario.</w:t>
            </w:r>
          </w:p>
        </w:tc>
      </w:tr>
      <w:tr>
        <w:trPr>
          <w:tblHeader w:val="false"/>
        </w:trPr>
        <w:tc>
          <w:tcPr>
            <w:tcW w:type="dxa" w:w="451"/>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2</w:t>
            </w:r>
          </w:p>
        </w:tc>
        <w:tc>
          <w:tcPr>
            <w:tcW w:type="dxa" w:w="2255"/>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Inflación y demanda de dinero</w:t>
            </w:r>
          </w:p>
        </w:tc>
        <w:tc>
          <w:tcPr>
            <w:tcW w:type="dxa" w:w="6314"/>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Inflación ↑ → mantener moneda nacional es menos atractivo → demanda de dinero ↓ → búsqueda de bienes, divisas y activos alternativos ↑.</w:t>
            </w:r>
          </w:p>
        </w:tc>
      </w:tr>
      <w:tr>
        <w:trPr>
          <w:tblHeader w:val="false"/>
        </w:trPr>
        <w:tc>
          <w:tcPr>
            <w:tcW w:type="dxa" w:w="451"/>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3</w:t>
            </w:r>
          </w:p>
        </w:tc>
        <w:tc>
          <w:tcPr>
            <w:tcW w:type="dxa" w:w="2255"/>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Hiperinflación y dolarización</w:t>
            </w:r>
          </w:p>
        </w:tc>
        <w:tc>
          <w:tcPr>
            <w:tcW w:type="dxa" w:w="631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Inflación extrema → pérdida de confianza → huida de la moneda nacional → sustitución por divisas → mayor dolarización.</w:t>
            </w:r>
          </w:p>
        </w:tc>
      </w:tr>
      <w:tr>
        <w:trPr>
          <w:tblHeader w:val="false"/>
        </w:trPr>
        <w:tc>
          <w:tcPr>
            <w:tcW w:type="dxa" w:w="451"/>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4</w:t>
            </w:r>
          </w:p>
        </w:tc>
        <w:tc>
          <w:tcPr>
            <w:tcW w:type="dxa" w:w="2255"/>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Precios y PIB</w:t>
            </w:r>
          </w:p>
        </w:tc>
        <w:tc>
          <w:tcPr>
            <w:tcW w:type="dxa" w:w="6314"/>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Nivel de precios ↑ puede elevar el PIB nominal → pero no implica mayor PIB real → para medir crecimiento hay que aislar el efecto precio.</w:t>
            </w:r>
          </w:p>
        </w:tc>
      </w:tr>
      <w:tr>
        <w:trPr>
          <w:tblHeader w:val="false"/>
        </w:trPr>
        <w:tc>
          <w:tcPr>
            <w:tcW w:type="dxa" w:w="451"/>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5</w:t>
            </w:r>
          </w:p>
        </w:tc>
        <w:tc>
          <w:tcPr>
            <w:tcW w:type="dxa" w:w="2255"/>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Mercado laboral</w:t>
            </w:r>
          </w:p>
        </w:tc>
        <w:tc>
          <w:tcPr>
            <w:tcW w:type="dxa" w:w="631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PEA = ocupados + desocupados → tasa de desempleo = desocupados/PEA → pero el desempleo no resume la calidad del mercado laboral.</w:t>
            </w:r>
          </w:p>
        </w:tc>
      </w:tr>
      <w:tr>
        <w:trPr>
          <w:tblHeader w:val="false"/>
        </w:trPr>
        <w:tc>
          <w:tcPr>
            <w:tcW w:type="dxa" w:w="451"/>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6</w:t>
            </w:r>
          </w:p>
        </w:tc>
        <w:tc>
          <w:tcPr>
            <w:tcW w:type="dxa" w:w="2255"/>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Límite del impuesto inflacionario</w:t>
            </w:r>
          </w:p>
        </w:tc>
        <w:tc>
          <w:tcPr>
            <w:tcW w:type="dxa" w:w="6314"/>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π ↑ → recaudación ↑ hasta cierto punto → pero M/P cae más rápido → recaudación real ↓ → el gobierno debe emitir aún más → espiral.</w:t>
            </w:r>
          </w:p>
        </w:tc>
      </w:tr>
      <w:tr>
        <w:trPr>
          <w:tblHeader w:val="false"/>
        </w:trPr>
        <w:tc>
          <w:tcPr>
            <w:tcW w:type="dxa" w:w="451"/>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7</w:t>
            </w:r>
          </w:p>
        </w:tc>
        <w:tc>
          <w:tcPr>
            <w:tcW w:type="dxa" w:w="2255"/>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Ancla nominal</w:t>
            </w:r>
          </w:p>
        </w:tc>
        <w:tc>
          <w:tcPr>
            <w:tcW w:type="dxa" w:w="6314"/>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Tipo de cambio fijo = ancla externa → se abandona → hace falta ancla nueva (base monetaria) → si el déficit se financia con emisión, el ancla no se sostiene.</w:t>
            </w:r>
          </w:p>
        </w:tc>
      </w:tr>
      <w:tr>
        <w:trPr>
          <w:tblHeader w:val="false"/>
        </w:trPr>
        <w:tc>
          <w:tcPr>
            <w:tcW w:type="dxa" w:w="451"/>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8</w:t>
            </w:r>
          </w:p>
        </w:tc>
        <w:tc>
          <w:tcPr>
            <w:tcW w:type="dxa" w:w="2255"/>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Subsidio y precios relativos</w:t>
            </w:r>
          </w:p>
        </w:tc>
        <w:tc>
          <w:tcPr>
            <w:tcW w:type="dxa" w:w="6314"/>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Retiro de subvención a carburantes → sube el precio del transporte → sube el IPC → pero es un ajuste de precios relativos, no necesariamente inflación monetaria permanente.</w:t>
            </w:r>
          </w:p>
        </w:tc>
      </w:tr>
    </w:tbl>
    <w:p>
      <w:pPr>
        <w:spacing w:after="200"/>
      </w:pPr>
    </w:p>
    <w:p>
      <w:pPr>
        <w:pStyle w:val="Heading2"/>
        <w:spacing w:after="140" w:before="320"/>
      </w:pPr>
      <w:r>
        <w:rPr>
          <w:rFonts w:ascii="Calibri" w:cs="Calibri" w:eastAsia="Calibri" w:hAnsi="Calibri"/>
          <w:b/>
          <w:bCs/>
          <w:color w:val="1F3864"/>
          <w:sz w:val="26"/>
          <w:szCs w:val="26"/>
        </w:rPr>
        <w:t xml:space="preserve">9.2 Formulario</w:t>
      </w:r>
    </w:p>
    <w:tbl>
      <w:tblPr>
        <w:tblW w:type="dxa" w:w="9020"/>
        <w:tblBorders>
          <w:top w:val="single" w:color="1F3864" w:sz="4"/>
          <w:left w:val="none"/>
          <w:bottom w:val="single" w:color="1F3864" w:sz="4"/>
          <w:right w:val="none"/>
          <w:insideH w:val="single" w:color="D0D0D0" w:sz="1"/>
          <w:insideV w:val="single" w:color="D0D0D0" w:sz="1"/>
        </w:tblBorders>
      </w:tblPr>
      <w:tblGrid>
        <w:gridCol w:w="3247"/>
        <w:gridCol w:w="5773"/>
      </w:tblGrid>
      <w:tr>
        <w:trPr>
          <w:tblHeader/>
        </w:trPr>
        <w:tc>
          <w:tcPr>
            <w:tcW w:type="dxa" w:w="3247"/>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Concepto</w:t>
            </w:r>
          </w:p>
        </w:tc>
        <w:tc>
          <w:tcPr>
            <w:tcW w:type="dxa" w:w="5773"/>
            <w:shd w:fill="D9E2F3" w:val="clear"/>
            <w:tcMar>
              <w:top w:type="dxa" w:w="90"/>
              <w:left w:type="dxa" w:w="130"/>
              <w:bottom w:type="dxa" w:w="90"/>
              <w:right w:type="dxa" w:w="130"/>
            </w:tcMar>
          </w:tcPr>
          <w:p>
            <w:pPr>
              <w:spacing w:after="0" w:line="260"/>
              <w:jc w:val="left"/>
            </w:pPr>
            <w:r>
              <w:rPr>
                <w:rFonts w:ascii="Calibri" w:cs="Calibri" w:eastAsia="Calibri" w:hAnsi="Calibri"/>
                <w:b/>
                <w:bCs/>
                <w:color w:val="1F3864"/>
                <w:sz w:val="19"/>
                <w:szCs w:val="19"/>
              </w:rPr>
              <w:t xml:space="preserve">Expresión</w:t>
            </w:r>
          </w:p>
        </w:tc>
      </w:tr>
      <w:tr>
        <w:trPr>
          <w:tblHeader w:val="false"/>
        </w:trPr>
        <w:tc>
          <w:tcPr>
            <w:tcW w:type="dxa" w:w="3247"/>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PIB por el gasto</w:t>
            </w:r>
          </w:p>
        </w:tc>
        <w:tc>
          <w:tcPr>
            <w:tcW w:type="dxa" w:w="5773"/>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Y = C + G + I + (X − M)</w:t>
            </w:r>
          </w:p>
        </w:tc>
      </w:tr>
      <w:tr>
        <w:trPr>
          <w:tblHeader w:val="false"/>
        </w:trPr>
        <w:tc>
          <w:tcPr>
            <w:tcW w:type="dxa" w:w="3247"/>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Valor agregado bruto</w:t>
            </w:r>
          </w:p>
        </w:tc>
        <w:tc>
          <w:tcPr>
            <w:tcW w:type="dxa" w:w="5773"/>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VAB = Producción − Consumo intermedio</w:t>
            </w:r>
          </w:p>
        </w:tc>
      </w:tr>
      <w:tr>
        <w:trPr>
          <w:tblHeader w:val="false"/>
        </w:trPr>
        <w:tc>
          <w:tcPr>
            <w:tcW w:type="dxa" w:w="3247"/>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PIB por la producción</w:t>
            </w:r>
          </w:p>
        </w:tc>
        <w:tc>
          <w:tcPr>
            <w:tcW w:type="dxa" w:w="5773"/>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PIB = Σ VAB de todas las actividades</w:t>
            </w:r>
          </w:p>
        </w:tc>
      </w:tr>
      <w:tr>
        <w:trPr>
          <w:tblHeader w:val="false"/>
        </w:trPr>
        <w:tc>
          <w:tcPr>
            <w:tcW w:type="dxa" w:w="3247"/>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PIB por el ingreso</w:t>
            </w:r>
          </w:p>
        </w:tc>
        <w:tc>
          <w:tcPr>
            <w:tcW w:type="dxa" w:w="5773"/>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PIB = salarios + renta + interés + beneficios (+ ingreso mixto)</w:t>
            </w:r>
          </w:p>
        </w:tc>
      </w:tr>
      <w:tr>
        <w:trPr>
          <w:tblHeader w:val="false"/>
        </w:trPr>
        <w:tc>
          <w:tcPr>
            <w:tcW w:type="dxa" w:w="3247"/>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PIB a precios de mercado</w:t>
            </w:r>
          </w:p>
        </w:tc>
        <w:tc>
          <w:tcPr>
            <w:tcW w:type="dxa" w:w="5773"/>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PIB p.m. = PIB c.f. + (impuestos indirectos − subsidios)</w:t>
            </w:r>
          </w:p>
        </w:tc>
      </w:tr>
      <w:tr>
        <w:trPr>
          <w:tblHeader w:val="false"/>
        </w:trPr>
        <w:tc>
          <w:tcPr>
            <w:tcW w:type="dxa" w:w="3247"/>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PNB / Ingreso Nacional Bruto</w:t>
            </w:r>
          </w:p>
        </w:tc>
        <w:tc>
          <w:tcPr>
            <w:tcW w:type="dxa" w:w="5773"/>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PNB = PIB + renta neta de factores del exterior</w:t>
            </w:r>
          </w:p>
        </w:tc>
      </w:tr>
      <w:tr>
        <w:trPr>
          <w:tblHeader w:val="false"/>
        </w:trPr>
        <w:tc>
          <w:tcPr>
            <w:tcW w:type="dxa" w:w="3247"/>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PIB nominal</w:t>
            </w:r>
          </w:p>
        </w:tc>
        <w:tc>
          <w:tcPr>
            <w:tcW w:type="dxa" w:w="5773"/>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Σ (Cantidad del año t × Precio del año t)</w:t>
            </w:r>
          </w:p>
        </w:tc>
      </w:tr>
      <w:tr>
        <w:trPr>
          <w:tblHeader w:val="false"/>
        </w:trPr>
        <w:tc>
          <w:tcPr>
            <w:tcW w:type="dxa" w:w="3247"/>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PIB real</w:t>
            </w:r>
          </w:p>
        </w:tc>
        <w:tc>
          <w:tcPr>
            <w:tcW w:type="dxa" w:w="5773"/>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Σ (Cantidad del año t × Precio del año base)</w:t>
            </w:r>
          </w:p>
        </w:tc>
      </w:tr>
      <w:tr>
        <w:trPr>
          <w:tblHeader w:val="false"/>
        </w:trPr>
        <w:tc>
          <w:tcPr>
            <w:tcW w:type="dxa" w:w="3247"/>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Deflactor del PIB</w:t>
            </w:r>
          </w:p>
        </w:tc>
        <w:tc>
          <w:tcPr>
            <w:tcW w:type="dxa" w:w="5773"/>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(PIB nominal / PIB real) × 100</w:t>
            </w:r>
          </w:p>
        </w:tc>
      </w:tr>
      <w:tr>
        <w:trPr>
          <w:tblHeader w:val="false"/>
        </w:trPr>
        <w:tc>
          <w:tcPr>
            <w:tcW w:type="dxa" w:w="3247"/>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Inflación por el deflactor</w:t>
            </w:r>
          </w:p>
        </w:tc>
        <w:tc>
          <w:tcPr>
            <w:tcW w:type="dxa" w:w="5773"/>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[(Deflactor t − Deflactor t−1) / Deflactor t−1] × 100</w:t>
            </w:r>
          </w:p>
        </w:tc>
      </w:tr>
      <w:tr>
        <w:trPr>
          <w:tblHeader w:val="false"/>
        </w:trPr>
        <w:tc>
          <w:tcPr>
            <w:tcW w:type="dxa" w:w="3247"/>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Inflación por el IPC</w:t>
            </w:r>
          </w:p>
        </w:tc>
        <w:tc>
          <w:tcPr>
            <w:tcW w:type="dxa" w:w="5773"/>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[(IPCt − IPCt−1) / IPCt−1] × 100</w:t>
            </w:r>
          </w:p>
        </w:tc>
      </w:tr>
      <w:tr>
        <w:trPr>
          <w:tblHeader w:val="false"/>
        </w:trPr>
        <w:tc>
          <w:tcPr>
            <w:tcW w:type="dxa" w:w="3247"/>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Encadenar inflaciones</w:t>
            </w:r>
          </w:p>
        </w:tc>
        <w:tc>
          <w:tcPr>
            <w:tcW w:type="dxa" w:w="5773"/>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(1 + π1) × (1 + π2) × ... − 1</w:t>
            </w:r>
          </w:p>
        </w:tc>
      </w:tr>
      <w:tr>
        <w:trPr>
          <w:tblHeader w:val="false"/>
        </w:trPr>
        <w:tc>
          <w:tcPr>
            <w:tcW w:type="dxa" w:w="3247"/>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Nominal, real e inflación (exacta)</w:t>
            </w:r>
          </w:p>
        </w:tc>
        <w:tc>
          <w:tcPr>
            <w:tcW w:type="dxa" w:w="5773"/>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(1 + gnominal) = (1 + greal) × (1 + π)</w:t>
            </w:r>
          </w:p>
        </w:tc>
      </w:tr>
      <w:tr>
        <w:trPr>
          <w:tblHeader w:val="false"/>
        </w:trPr>
        <w:tc>
          <w:tcPr>
            <w:tcW w:type="dxa" w:w="3247"/>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Nominal, real e inflación (aprox.)</w:t>
            </w:r>
          </w:p>
        </w:tc>
        <w:tc>
          <w:tcPr>
            <w:tcW w:type="dxa" w:w="5773"/>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gnominal ≈ greal + π   </w:t>
            </w:r>
            <w:r>
              <w:rPr>
                <w:rFonts w:ascii="Calibri" w:cs="Calibri" w:eastAsia="Calibri" w:hAnsi="Calibri"/>
                <w:i/>
                <w:iCs/>
                <w:color w:val="000000"/>
                <w:sz w:val="19"/>
                <w:szCs w:val="19"/>
              </w:rPr>
              <w:t xml:space="preserve">(solo con tasas bajas)</w:t>
            </w:r>
          </w:p>
        </w:tc>
      </w:tr>
      <w:tr>
        <w:trPr>
          <w:tblHeader w:val="false"/>
        </w:trPr>
        <w:tc>
          <w:tcPr>
            <w:tcW w:type="dxa" w:w="3247"/>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Pérdida de poder adquisitivo</w:t>
            </w:r>
          </w:p>
        </w:tc>
        <w:tc>
          <w:tcPr>
            <w:tcW w:type="dxa" w:w="5773"/>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1 − 1/(1 + π)</w:t>
            </w:r>
          </w:p>
        </w:tc>
      </w:tr>
      <w:tr>
        <w:trPr>
          <w:tblHeader w:val="false"/>
        </w:trPr>
        <w:tc>
          <w:tcPr>
            <w:tcW w:type="dxa" w:w="3247"/>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Población en edad de trabajar</w:t>
            </w:r>
          </w:p>
        </w:tc>
        <w:tc>
          <w:tcPr>
            <w:tcW w:type="dxa" w:w="5773"/>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PET = PEA + PEI</w:t>
            </w:r>
          </w:p>
        </w:tc>
      </w:tr>
      <w:tr>
        <w:trPr>
          <w:tblHeader w:val="false"/>
        </w:trPr>
        <w:tc>
          <w:tcPr>
            <w:tcW w:type="dxa" w:w="3247"/>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PEA</w:t>
            </w:r>
          </w:p>
        </w:tc>
        <w:tc>
          <w:tcPr>
            <w:tcW w:type="dxa" w:w="5773"/>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PEA = Ocupados + Desocupados</w:t>
            </w:r>
          </w:p>
        </w:tc>
      </w:tr>
      <w:tr>
        <w:trPr>
          <w:tblHeader w:val="false"/>
        </w:trPr>
        <w:tc>
          <w:tcPr>
            <w:tcW w:type="dxa" w:w="3247"/>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Tasa de desempleo</w:t>
            </w:r>
          </w:p>
        </w:tc>
        <w:tc>
          <w:tcPr>
            <w:tcW w:type="dxa" w:w="5773"/>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(Desocupados / PEA) × 100</w:t>
            </w:r>
          </w:p>
        </w:tc>
      </w:tr>
      <w:tr>
        <w:trPr>
          <w:tblHeader w:val="false"/>
        </w:trPr>
        <w:tc>
          <w:tcPr>
            <w:tcW w:type="dxa" w:w="3247"/>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Tasa de participación</w:t>
            </w:r>
          </w:p>
        </w:tc>
        <w:tc>
          <w:tcPr>
            <w:tcW w:type="dxa" w:w="5773"/>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(PEA / PET) × 100</w:t>
            </w:r>
          </w:p>
        </w:tc>
      </w:tr>
      <w:tr>
        <w:trPr>
          <w:tblHeader w:val="false"/>
        </w:trPr>
        <w:tc>
          <w:tcPr>
            <w:tcW w:type="dxa" w:w="3247"/>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Tasa de ocupación</w:t>
            </w:r>
          </w:p>
        </w:tc>
        <w:tc>
          <w:tcPr>
            <w:tcW w:type="dxa" w:w="5773"/>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(Ocupados / PET) × 100</w:t>
            </w:r>
          </w:p>
        </w:tc>
      </w:tr>
      <w:tr>
        <w:trPr>
          <w:tblHeader w:val="false"/>
        </w:trPr>
        <w:tc>
          <w:tcPr>
            <w:tcW w:type="dxa" w:w="3247"/>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Señoreaje</w:t>
            </w:r>
          </w:p>
        </w:tc>
        <w:tc>
          <w:tcPr>
            <w:tcW w:type="dxa" w:w="5773"/>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S = ΔM / P</w:t>
            </w:r>
          </w:p>
        </w:tc>
      </w:tr>
      <w:tr>
        <w:trPr>
          <w:tblHeader w:val="false"/>
        </w:trPr>
        <w:tc>
          <w:tcPr>
            <w:tcW w:type="dxa" w:w="3247"/>
            <w:shd w:fill="FAFAFA"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Impuesto inflacionario</w:t>
            </w:r>
          </w:p>
        </w:tc>
        <w:tc>
          <w:tcPr>
            <w:tcW w:type="dxa" w:w="5773"/>
            <w:shd w:fill="FAFAFA"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IT = π × (M/P)</w:t>
            </w:r>
          </w:p>
        </w:tc>
      </w:tr>
      <w:tr>
        <w:trPr>
          <w:tblHeader w:val="false"/>
        </w:trPr>
        <w:tc>
          <w:tcPr>
            <w:tcW w:type="dxa" w:w="3247"/>
            <w:shd w:fill="FFFFFF" w:val="clear"/>
            <w:tcMar>
              <w:top w:type="dxa" w:w="90"/>
              <w:left w:type="dxa" w:w="130"/>
              <w:bottom w:type="dxa" w:w="90"/>
              <w:right w:type="dxa" w:w="130"/>
            </w:tcMar>
          </w:tcPr>
          <w:p>
            <w:pPr>
              <w:spacing w:after="0" w:line="260"/>
              <w:jc w:val="left"/>
            </w:pPr>
            <w:r>
              <w:rPr>
                <w:rFonts w:ascii="Calibri" w:cs="Calibri" w:eastAsia="Calibri" w:hAnsi="Calibri"/>
                <w:b/>
                <w:bCs/>
                <w:color w:val="000000"/>
                <w:sz w:val="19"/>
                <w:szCs w:val="19"/>
              </w:rPr>
              <w:t xml:space="preserve">Ecuación cuantitativa</w:t>
            </w:r>
          </w:p>
        </w:tc>
        <w:tc>
          <w:tcPr>
            <w:tcW w:type="dxa" w:w="5773"/>
            <w:shd w:fill="FFFFFF" w:val="clear"/>
            <w:tcMar>
              <w:top w:type="dxa" w:w="90"/>
              <w:left w:type="dxa" w:w="130"/>
              <w:bottom w:type="dxa" w:w="90"/>
              <w:right w:type="dxa" w:w="130"/>
            </w:tcMar>
          </w:tcPr>
          <w:p>
            <w:pPr>
              <w:spacing w:after="0" w:line="260"/>
              <w:jc w:val="left"/>
            </w:pPr>
            <w:r>
              <w:rPr>
                <w:rFonts w:ascii="Calibri" w:cs="Calibri" w:eastAsia="Calibri" w:hAnsi="Calibri"/>
                <w:color w:val="000000"/>
                <w:sz w:val="19"/>
                <w:szCs w:val="19"/>
              </w:rPr>
              <w:t xml:space="preserve">M × V = P × Y</w:t>
            </w:r>
          </w:p>
        </w:tc>
      </w:tr>
    </w:tbl>
    <w:p>
      <w:pPr>
        <w:spacing w:after="200"/>
      </w:pPr>
    </w:p>
    <w:p>
      <w:pPr>
        <w:pStyle w:val="Heading2"/>
        <w:spacing w:after="140" w:before="320"/>
      </w:pPr>
      <w:r>
        <w:rPr>
          <w:rFonts w:ascii="Calibri" w:cs="Calibri" w:eastAsia="Calibri" w:hAnsi="Calibri"/>
          <w:b/>
          <w:bCs/>
          <w:color w:val="1F3864"/>
          <w:sz w:val="26"/>
          <w:szCs w:val="26"/>
        </w:rPr>
        <w:t xml:space="preserve">9.3 Errores frecuentes, consolidados</w:t>
      </w:r>
    </w:p>
    <w:tbl>
      <w:tblPr>
        <w:tblW w:type="dxa" w:w="9020"/>
        <w:tblBorders>
          <w:top w:val="single" w:color="BFBFBF" w:sz="2"/>
          <w:left w:val="single" w:color="C00000" w:sz="14"/>
          <w:bottom w:val="single" w:color="BFBFBF" w:sz="2"/>
          <w:right w:val="single" w:color="BFBFBF" w:sz="2"/>
          <w:insideH w:val="none"/>
          <w:insideV w:val="none"/>
        </w:tblBorders>
      </w:tblPr>
      <w:tblGrid>
        <w:gridCol w:w="9020"/>
      </w:tblGrid>
      <w:tr>
        <w:tc>
          <w:tcPr>
            <w:tcW w:type="dxa" w:w="9020"/>
            <w:shd w:fill="FBE4E4"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Repasa esta lista la noche antes del parcial</w:t>
            </w:r>
          </w:p>
          <w:p>
            <w:pPr>
              <w:spacing w:after="80" w:line="276"/>
              <w:jc w:val="both"/>
            </w:pPr>
            <w:r>
              <w:rPr>
                <w:rFonts w:ascii="Calibri" w:cs="Calibri" w:eastAsia="Calibri" w:hAnsi="Calibri"/>
                <w:b/>
                <w:bCs/>
                <w:color w:val="000000"/>
                <w:sz w:val="21"/>
                <w:szCs w:val="21"/>
              </w:rPr>
              <w:t xml:space="preserve">1.</w:t>
            </w:r>
            <w:r>
              <w:rPr>
                <w:rFonts w:ascii="Calibri" w:cs="Calibri" w:eastAsia="Calibri" w:hAnsi="Calibri"/>
                <w:color w:val="000000"/>
                <w:sz w:val="21"/>
                <w:szCs w:val="21"/>
              </w:rPr>
              <w:t xml:space="preserve"> Sumar la producción bruta de cada eslabón en lugar del valor agregado.</w:t>
            </w:r>
          </w:p>
          <w:p>
            <w:pPr>
              <w:spacing w:after="80" w:line="276"/>
              <w:jc w:val="both"/>
            </w:pPr>
            <w:r>
              <w:rPr>
                <w:rFonts w:ascii="Calibri" w:cs="Calibri" w:eastAsia="Calibri" w:hAnsi="Calibri"/>
                <w:b/>
                <w:bCs/>
                <w:color w:val="000000"/>
                <w:sz w:val="21"/>
                <w:szCs w:val="21"/>
              </w:rPr>
              <w:t xml:space="preserve">2.</w:t>
            </w:r>
            <w:r>
              <w:rPr>
                <w:rFonts w:ascii="Calibri" w:cs="Calibri" w:eastAsia="Calibri" w:hAnsi="Calibri"/>
                <w:color w:val="000000"/>
                <w:sz w:val="21"/>
                <w:szCs w:val="21"/>
              </w:rPr>
              <w:t xml:space="preserve"> Contar como inversión (I) la compra de acciones o de bienes usados.</w:t>
            </w:r>
          </w:p>
          <w:p>
            <w:pPr>
              <w:spacing w:after="80" w:line="276"/>
              <w:jc w:val="both"/>
            </w:pPr>
            <w:r>
              <w:rPr>
                <w:rFonts w:ascii="Calibri" w:cs="Calibri" w:eastAsia="Calibri" w:hAnsi="Calibri"/>
                <w:b/>
                <w:bCs/>
                <w:color w:val="000000"/>
                <w:sz w:val="21"/>
                <w:szCs w:val="21"/>
              </w:rPr>
              <w:t xml:space="preserve">3.</w:t>
            </w:r>
            <w:r>
              <w:rPr>
                <w:rFonts w:ascii="Calibri" w:cs="Calibri" w:eastAsia="Calibri" w:hAnsi="Calibri"/>
                <w:color w:val="000000"/>
                <w:sz w:val="21"/>
                <w:szCs w:val="21"/>
              </w:rPr>
              <w:t xml:space="preserve"> Contar como gasto de gobierno (G) las transferencias y los bonos.</w:t>
            </w:r>
          </w:p>
          <w:p>
            <w:pPr>
              <w:spacing w:after="80" w:line="276"/>
              <w:jc w:val="both"/>
            </w:pPr>
            <w:r>
              <w:rPr>
                <w:rFonts w:ascii="Calibri" w:cs="Calibri" w:eastAsia="Calibri" w:hAnsi="Calibri"/>
                <w:b/>
                <w:bCs/>
                <w:color w:val="000000"/>
                <w:sz w:val="21"/>
                <w:szCs w:val="21"/>
              </w:rPr>
              <w:t xml:space="preserve">4.</w:t>
            </w:r>
            <w:r>
              <w:rPr>
                <w:rFonts w:ascii="Calibri" w:cs="Calibri" w:eastAsia="Calibri" w:hAnsi="Calibri"/>
                <w:color w:val="000000"/>
                <w:sz w:val="21"/>
                <w:szCs w:val="21"/>
              </w:rPr>
              <w:t xml:space="preserve"> Responder solo "M" cuando un bien importado también entra en C, I o G.</w:t>
            </w:r>
          </w:p>
          <w:p>
            <w:pPr>
              <w:spacing w:after="80" w:line="276"/>
              <w:jc w:val="both"/>
            </w:pPr>
            <w:r>
              <w:rPr>
                <w:rFonts w:ascii="Calibri" w:cs="Calibri" w:eastAsia="Calibri" w:hAnsi="Calibri"/>
                <w:b/>
                <w:bCs/>
                <w:color w:val="000000"/>
                <w:sz w:val="21"/>
                <w:szCs w:val="21"/>
              </w:rPr>
              <w:t xml:space="preserve">5.</w:t>
            </w:r>
            <w:r>
              <w:rPr>
                <w:rFonts w:ascii="Calibri" w:cs="Calibri" w:eastAsia="Calibri" w:hAnsi="Calibri"/>
                <w:color w:val="000000"/>
                <w:sz w:val="21"/>
                <w:szCs w:val="21"/>
              </w:rPr>
              <w:t xml:space="preserve"> Olvidar el ingreso mixto de los cuentapropistas al usar el enfoque del ingreso.</w:t>
            </w:r>
          </w:p>
          <w:p>
            <w:pPr>
              <w:spacing w:after="80" w:line="276"/>
              <w:jc w:val="both"/>
            </w:pPr>
            <w:r>
              <w:rPr>
                <w:rFonts w:ascii="Calibri" w:cs="Calibri" w:eastAsia="Calibri" w:hAnsi="Calibri"/>
                <w:b/>
                <w:bCs/>
                <w:color w:val="000000"/>
                <w:sz w:val="21"/>
                <w:szCs w:val="21"/>
              </w:rPr>
              <w:t xml:space="preserve">6.</w:t>
            </w:r>
            <w:r>
              <w:rPr>
                <w:rFonts w:ascii="Calibri" w:cs="Calibri" w:eastAsia="Calibri" w:hAnsi="Calibri"/>
                <w:color w:val="000000"/>
                <w:sz w:val="21"/>
                <w:szCs w:val="21"/>
              </w:rPr>
              <w:t xml:space="preserve"> Aplicar porcentajes de reparto sobre la producción en lugar del valor agregado.</w:t>
            </w:r>
          </w:p>
          <w:p>
            <w:pPr>
              <w:spacing w:after="80" w:line="276"/>
              <w:jc w:val="both"/>
            </w:pPr>
            <w:r>
              <w:rPr>
                <w:rFonts w:ascii="Calibri" w:cs="Calibri" w:eastAsia="Calibri" w:hAnsi="Calibri"/>
                <w:b/>
                <w:bCs/>
                <w:color w:val="000000"/>
                <w:sz w:val="21"/>
                <w:szCs w:val="21"/>
              </w:rPr>
              <w:t xml:space="preserve">7.</w:t>
            </w:r>
            <w:r>
              <w:rPr>
                <w:rFonts w:ascii="Calibri" w:cs="Calibri" w:eastAsia="Calibri" w:hAnsi="Calibri"/>
                <w:color w:val="000000"/>
                <w:sz w:val="21"/>
                <w:szCs w:val="21"/>
              </w:rPr>
              <w:t xml:space="preserve"> Confundir el deflactor del PIB con el IPC.</w:t>
            </w:r>
          </w:p>
          <w:p>
            <w:pPr>
              <w:spacing w:after="80" w:line="276"/>
              <w:jc w:val="both"/>
            </w:pPr>
            <w:r>
              <w:rPr>
                <w:rFonts w:ascii="Calibri" w:cs="Calibri" w:eastAsia="Calibri" w:hAnsi="Calibri"/>
                <w:b/>
                <w:bCs/>
                <w:color w:val="000000"/>
                <w:sz w:val="21"/>
                <w:szCs w:val="21"/>
              </w:rPr>
              <w:t xml:space="preserve">8.</w:t>
            </w:r>
            <w:r>
              <w:rPr>
                <w:rFonts w:ascii="Calibri" w:cs="Calibri" w:eastAsia="Calibri" w:hAnsi="Calibri"/>
                <w:color w:val="000000"/>
                <w:sz w:val="21"/>
                <w:szCs w:val="21"/>
              </w:rPr>
              <w:t xml:space="preserve"> Olvidar que en el año base el deflactor vale 100 por definición.</w:t>
            </w:r>
          </w:p>
          <w:p>
            <w:pPr>
              <w:spacing w:after="80" w:line="276"/>
              <w:jc w:val="both"/>
            </w:pPr>
            <w:r>
              <w:rPr>
                <w:rFonts w:ascii="Calibri" w:cs="Calibri" w:eastAsia="Calibri" w:hAnsi="Calibri"/>
                <w:b/>
                <w:bCs/>
                <w:color w:val="000000"/>
                <w:sz w:val="21"/>
                <w:szCs w:val="21"/>
              </w:rPr>
              <w:t xml:space="preserve">9.</w:t>
            </w:r>
            <w:r>
              <w:rPr>
                <w:rFonts w:ascii="Calibri" w:cs="Calibri" w:eastAsia="Calibri" w:hAnsi="Calibri"/>
                <w:color w:val="000000"/>
                <w:sz w:val="21"/>
                <w:szCs w:val="21"/>
              </w:rPr>
              <w:t xml:space="preserve"> Sumar tasas de inflación de períodos sucesivos en lugar de encadenarlas.</w:t>
            </w:r>
          </w:p>
          <w:p>
            <w:pPr>
              <w:spacing w:after="80" w:line="276"/>
              <w:jc w:val="both"/>
            </w:pPr>
            <w:r>
              <w:rPr>
                <w:rFonts w:ascii="Calibri" w:cs="Calibri" w:eastAsia="Calibri" w:hAnsi="Calibri"/>
                <w:b/>
                <w:bCs/>
                <w:color w:val="000000"/>
                <w:sz w:val="21"/>
                <w:szCs w:val="21"/>
              </w:rPr>
              <w:t xml:space="preserve">10.</w:t>
            </w:r>
            <w:r>
              <w:rPr>
                <w:rFonts w:ascii="Calibri" w:cs="Calibri" w:eastAsia="Calibri" w:hAnsi="Calibri"/>
                <w:color w:val="000000"/>
                <w:sz w:val="21"/>
                <w:szCs w:val="21"/>
              </w:rPr>
              <w:t xml:space="preserve"> Usar la aproximación gn ≈ gr + π con tasas altas.</w:t>
            </w:r>
          </w:p>
          <w:p>
            <w:pPr>
              <w:spacing w:after="80" w:line="276"/>
              <w:jc w:val="both"/>
            </w:pPr>
            <w:r>
              <w:rPr>
                <w:rFonts w:ascii="Calibri" w:cs="Calibri" w:eastAsia="Calibri" w:hAnsi="Calibri"/>
                <w:b/>
                <w:bCs/>
                <w:color w:val="000000"/>
                <w:sz w:val="21"/>
                <w:szCs w:val="21"/>
              </w:rPr>
              <w:t xml:space="preserve">11.</w:t>
            </w:r>
            <w:r>
              <w:rPr>
                <w:rFonts w:ascii="Calibri" w:cs="Calibri" w:eastAsia="Calibri" w:hAnsi="Calibri"/>
                <w:color w:val="000000"/>
                <w:sz w:val="21"/>
                <w:szCs w:val="21"/>
              </w:rPr>
              <w:t xml:space="preserve"> Comparar una proyección con un dato observado sin fecharlos.</w:t>
            </w:r>
          </w:p>
          <w:p>
            <w:pPr>
              <w:spacing w:after="80" w:line="276"/>
              <w:jc w:val="both"/>
            </w:pPr>
            <w:r>
              <w:rPr>
                <w:rFonts w:ascii="Calibri" w:cs="Calibri" w:eastAsia="Calibri" w:hAnsi="Calibri"/>
                <w:b/>
                <w:bCs/>
                <w:color w:val="000000"/>
                <w:sz w:val="21"/>
                <w:szCs w:val="21"/>
              </w:rPr>
              <w:t xml:space="preserve">12.</w:t>
            </w:r>
            <w:r>
              <w:rPr>
                <w:rFonts w:ascii="Calibri" w:cs="Calibri" w:eastAsia="Calibri" w:hAnsi="Calibri"/>
                <w:color w:val="000000"/>
                <w:sz w:val="21"/>
                <w:szCs w:val="21"/>
              </w:rPr>
              <w:t xml:space="preserve"> Comparar series de PIB con distinto año base.</w:t>
            </w:r>
          </w:p>
          <w:p>
            <w:pPr>
              <w:spacing w:after="80" w:line="276"/>
              <w:jc w:val="both"/>
            </w:pPr>
            <w:r>
              <w:rPr>
                <w:rFonts w:ascii="Calibri" w:cs="Calibri" w:eastAsia="Calibri" w:hAnsi="Calibri"/>
                <w:b/>
                <w:bCs/>
                <w:color w:val="000000"/>
                <w:sz w:val="21"/>
                <w:szCs w:val="21"/>
              </w:rPr>
              <w:t xml:space="preserve">13.</w:t>
            </w:r>
            <w:r>
              <w:rPr>
                <w:rFonts w:ascii="Calibri" w:cs="Calibri" w:eastAsia="Calibri" w:hAnsi="Calibri"/>
                <w:color w:val="000000"/>
                <w:sz w:val="21"/>
                <w:szCs w:val="21"/>
              </w:rPr>
              <w:t xml:space="preserve"> Leer la tasa de desempleo sin mirar la participación ni la informalidad.</w:t>
            </w:r>
          </w:p>
          <w:p>
            <w:pPr>
              <w:spacing w:after="80" w:line="276"/>
              <w:jc w:val="both"/>
            </w:pPr>
            <w:r>
              <w:rPr>
                <w:rFonts w:ascii="Calibri" w:cs="Calibri" w:eastAsia="Calibri" w:hAnsi="Calibri"/>
                <w:b/>
                <w:bCs/>
                <w:color w:val="000000"/>
                <w:sz w:val="21"/>
                <w:szCs w:val="21"/>
              </w:rPr>
              <w:t xml:space="preserve">14.</w:t>
            </w:r>
            <w:r>
              <w:rPr>
                <w:rFonts w:ascii="Calibri" w:cs="Calibri" w:eastAsia="Calibri" w:hAnsi="Calibri"/>
                <w:color w:val="000000"/>
                <w:sz w:val="21"/>
                <w:szCs w:val="21"/>
              </w:rPr>
              <w:t xml:space="preserve"> Llamar "hiperinflación" a una inflación alta pero de dos dígitos.</w:t>
            </w:r>
          </w:p>
          <w:p>
            <w:pPr>
              <w:spacing w:after="0" w:line="276"/>
              <w:jc w:val="both"/>
            </w:pPr>
            <w:r>
              <w:rPr>
                <w:rFonts w:ascii="Calibri" w:cs="Calibri" w:eastAsia="Calibri" w:hAnsi="Calibri"/>
                <w:b/>
                <w:bCs/>
                <w:color w:val="000000"/>
                <w:sz w:val="21"/>
                <w:szCs w:val="21"/>
              </w:rPr>
              <w:t xml:space="preserve">15.</w:t>
            </w:r>
            <w:r>
              <w:rPr>
                <w:rFonts w:ascii="Calibri" w:cs="Calibri" w:eastAsia="Calibri" w:hAnsi="Calibri"/>
                <w:color w:val="000000"/>
                <w:sz w:val="21"/>
                <w:szCs w:val="21"/>
              </w:rPr>
              <w:t xml:space="preserve"> Tratar la identidad Y = C + G + I + (X−M) como si fuera una teoría del comportamiento.</w:t>
            </w:r>
          </w:p>
        </w:tc>
      </w:tr>
    </w:tbl>
    <w:p>
      <w:pPr>
        <w:pStyle w:val="Heading2"/>
        <w:spacing w:after="140" w:before="320"/>
      </w:pPr>
      <w:r>
        <w:rPr>
          <w:rFonts w:ascii="Calibri" w:cs="Calibri" w:eastAsia="Calibri" w:hAnsi="Calibri"/>
          <w:b/>
          <w:bCs/>
          <w:color w:val="1F3864"/>
          <w:sz w:val="26"/>
          <w:szCs w:val="26"/>
        </w:rPr>
        <w:t xml:space="preserve">9.4 Autoevaluación</w:t>
      </w:r>
    </w:p>
    <w:p>
      <w:pPr>
        <w:spacing w:after="140" w:line="276"/>
        <w:jc w:val="both"/>
      </w:pPr>
      <w:r>
        <w:rPr>
          <w:rFonts w:ascii="Calibri" w:cs="Calibri" w:eastAsia="Calibri" w:hAnsi="Calibri"/>
          <w:color w:val="000000"/>
          <w:sz w:val="21"/>
          <w:szCs w:val="21"/>
        </w:rPr>
        <w:t xml:space="preserve">Responde sin mirar el cuaderno. Las diez primeras son de tus apuntes; las demás cubren el material añadido. Las respuestas no están aquí a propósito.</w:t>
      </w:r>
    </w:p>
    <w:p>
      <w:pPr>
        <w:spacing w:after="120"/>
      </w:pPr>
    </w:p>
    <w:p>
      <w:pPr>
        <w:pStyle w:val="ListParagraph"/>
        <w:numPr>
          <w:ilvl w:val="0"/>
          <w:numId w:val="1"/>
        </w:numPr>
        <w:spacing w:after="70" w:line="276"/>
      </w:pPr>
      <w:r>
        <w:rPr>
          <w:rFonts w:ascii="Calibri" w:cs="Calibri" w:eastAsia="Calibri" w:hAnsi="Calibri"/>
          <w:color w:val="000000"/>
          <w:sz w:val="21"/>
          <w:szCs w:val="21"/>
        </w:rPr>
        <w:t xml:space="preserve">¿Por qué un aumento del PIB nominal no implica necesariamente crecimiento real?</w:t>
      </w:r>
    </w:p>
    <w:p>
      <w:pPr>
        <w:pStyle w:val="ListParagraph"/>
        <w:numPr>
          <w:ilvl w:val="0"/>
          <w:numId w:val="1"/>
        </w:numPr>
        <w:spacing w:after="70" w:line="276"/>
      </w:pPr>
      <w:r>
        <w:rPr>
          <w:rFonts w:ascii="Calibri" w:cs="Calibri" w:eastAsia="Calibri" w:hAnsi="Calibri"/>
          <w:color w:val="000000"/>
          <w:sz w:val="21"/>
          <w:szCs w:val="21"/>
        </w:rPr>
        <w:t xml:space="preserve">¿Por qué la inflación puede interpretarse como una pérdida de poder adquisitivo para los tenedores de dinero?</w:t>
      </w:r>
    </w:p>
    <w:p>
      <w:pPr>
        <w:pStyle w:val="ListParagraph"/>
        <w:numPr>
          <w:ilvl w:val="0"/>
          <w:numId w:val="1"/>
        </w:numPr>
        <w:spacing w:after="70" w:line="276"/>
      </w:pPr>
      <w:r>
        <w:rPr>
          <w:rFonts w:ascii="Calibri" w:cs="Calibri" w:eastAsia="Calibri" w:hAnsi="Calibri"/>
          <w:color w:val="000000"/>
          <w:sz w:val="21"/>
          <w:szCs w:val="21"/>
        </w:rPr>
        <w:t xml:space="preserve">¿Por qué el impuesto inflacionario deja de ser una fuente efectiva de recursos cuando la inflación se vuelve extrema?</w:t>
      </w:r>
    </w:p>
    <w:p>
      <w:pPr>
        <w:pStyle w:val="ListParagraph"/>
        <w:numPr>
          <w:ilvl w:val="0"/>
          <w:numId w:val="1"/>
        </w:numPr>
        <w:spacing w:after="70" w:line="276"/>
      </w:pPr>
      <w:r>
        <w:rPr>
          <w:rFonts w:ascii="Calibri" w:cs="Calibri" w:eastAsia="Calibri" w:hAnsi="Calibri"/>
          <w:color w:val="000000"/>
          <w:sz w:val="21"/>
          <w:szCs w:val="21"/>
        </w:rPr>
        <w:t xml:space="preserve">¿Qué ocurre con la demanda de moneda nacional cuando los agentes esperan una inflación muy elevada?</w:t>
      </w:r>
    </w:p>
    <w:p>
      <w:pPr>
        <w:pStyle w:val="ListParagraph"/>
        <w:numPr>
          <w:ilvl w:val="0"/>
          <w:numId w:val="1"/>
        </w:numPr>
        <w:spacing w:after="70" w:line="276"/>
      </w:pPr>
      <w:r>
        <w:rPr>
          <w:rFonts w:ascii="Calibri" w:cs="Calibri" w:eastAsia="Calibri" w:hAnsi="Calibri"/>
          <w:color w:val="000000"/>
          <w:sz w:val="21"/>
          <w:szCs w:val="21"/>
        </w:rPr>
        <w:t xml:space="preserve">¿Cómo se relacionan hiperinflación y dolarización?</w:t>
      </w:r>
    </w:p>
    <w:p>
      <w:pPr>
        <w:pStyle w:val="ListParagraph"/>
        <w:numPr>
          <w:ilvl w:val="0"/>
          <w:numId w:val="1"/>
        </w:numPr>
        <w:spacing w:after="70" w:line="276"/>
      </w:pPr>
      <w:r>
        <w:rPr>
          <w:rFonts w:ascii="Calibri" w:cs="Calibri" w:eastAsia="Calibri" w:hAnsi="Calibri"/>
          <w:color w:val="000000"/>
          <w:sz w:val="21"/>
          <w:szCs w:val="21"/>
        </w:rPr>
        <w:t xml:space="preserve">¿Por qué la tasa de desempleo no basta para evaluar la situación del mercado laboral?</w:t>
      </w:r>
    </w:p>
    <w:p>
      <w:pPr>
        <w:pStyle w:val="ListParagraph"/>
        <w:numPr>
          <w:ilvl w:val="0"/>
          <w:numId w:val="1"/>
        </w:numPr>
        <w:spacing w:after="70" w:line="276"/>
      </w:pPr>
      <w:r>
        <w:rPr>
          <w:rFonts w:ascii="Calibri" w:cs="Calibri" w:eastAsia="Calibri" w:hAnsi="Calibri"/>
          <w:color w:val="000000"/>
          <w:sz w:val="21"/>
          <w:szCs w:val="21"/>
        </w:rPr>
        <w:t xml:space="preserve">¿Qué representan las curvas IS y LM?</w:t>
      </w:r>
    </w:p>
    <w:p>
      <w:pPr>
        <w:pStyle w:val="ListParagraph"/>
        <w:numPr>
          <w:ilvl w:val="0"/>
          <w:numId w:val="1"/>
        </w:numPr>
        <w:spacing w:after="70" w:line="276"/>
      </w:pPr>
      <w:r>
        <w:rPr>
          <w:rFonts w:ascii="Calibri" w:cs="Calibri" w:eastAsia="Calibri" w:hAnsi="Calibri"/>
          <w:color w:val="000000"/>
          <w:sz w:val="21"/>
          <w:szCs w:val="21"/>
        </w:rPr>
        <w:t xml:space="preserve">¿Qué función cumplen las cuotas y los DEG dentro del FMI?</w:t>
      </w:r>
    </w:p>
    <w:p>
      <w:pPr>
        <w:pStyle w:val="ListParagraph"/>
        <w:numPr>
          <w:ilvl w:val="0"/>
          <w:numId w:val="1"/>
        </w:numPr>
        <w:spacing w:after="70" w:line="276"/>
      </w:pPr>
      <w:r>
        <w:rPr>
          <w:rFonts w:ascii="Calibri" w:cs="Calibri" w:eastAsia="Calibri" w:hAnsi="Calibri"/>
          <w:color w:val="000000"/>
          <w:sz w:val="21"/>
          <w:szCs w:val="21"/>
        </w:rPr>
        <w:t xml:space="preserve">¿Por qué el PIB mide únicamente bienes finales?</w:t>
      </w:r>
    </w:p>
    <w:p>
      <w:pPr>
        <w:pStyle w:val="ListParagraph"/>
        <w:numPr>
          <w:ilvl w:val="0"/>
          <w:numId w:val="1"/>
        </w:numPr>
        <w:spacing w:after="70" w:line="276"/>
      </w:pPr>
      <w:r>
        <w:rPr>
          <w:rFonts w:ascii="Calibri" w:cs="Calibri" w:eastAsia="Calibri" w:hAnsi="Calibri"/>
          <w:color w:val="000000"/>
          <w:sz w:val="21"/>
          <w:szCs w:val="21"/>
        </w:rPr>
        <w:t xml:space="preserve">¿Cuál es la diferencia entre PIB y PNB, y en qué caso se separan más?</w:t>
      </w:r>
    </w:p>
    <w:p>
      <w:pPr>
        <w:pStyle w:val="ListParagraph"/>
        <w:numPr>
          <w:ilvl w:val="0"/>
          <w:numId w:val="1"/>
        </w:numPr>
        <w:spacing w:after="70" w:line="276"/>
      </w:pPr>
      <w:r>
        <w:rPr>
          <w:rFonts w:ascii="Calibri" w:cs="Calibri" w:eastAsia="Calibri" w:hAnsi="Calibri"/>
          <w:color w:val="000000"/>
          <w:sz w:val="21"/>
          <w:szCs w:val="21"/>
        </w:rPr>
        <w:t xml:space="preserve">Explique por qué la identidad Y = C + G + I + (X−M) no puede ser falsa, y por qué eso no la convierte en una teoría.</w:t>
      </w:r>
    </w:p>
    <w:p>
      <w:pPr>
        <w:pStyle w:val="ListParagraph"/>
        <w:numPr>
          <w:ilvl w:val="0"/>
          <w:numId w:val="1"/>
        </w:numPr>
        <w:spacing w:after="70" w:line="276"/>
      </w:pPr>
      <w:r>
        <w:rPr>
          <w:rFonts w:ascii="Calibri" w:cs="Calibri" w:eastAsia="Calibri" w:hAnsi="Calibri"/>
          <w:color w:val="000000"/>
          <w:sz w:val="21"/>
          <w:szCs w:val="21"/>
        </w:rPr>
        <w:t xml:space="preserve">Un bien importado suma en C y resta en M. ¿Por qué el efecto neto sobre el PIB es cero, y qué error se comete al decir que "importar reduce el PIB"?</w:t>
      </w:r>
    </w:p>
    <w:p>
      <w:pPr>
        <w:pStyle w:val="ListParagraph"/>
        <w:numPr>
          <w:ilvl w:val="0"/>
          <w:numId w:val="1"/>
        </w:numPr>
        <w:spacing w:after="70" w:line="276"/>
      </w:pPr>
      <w:r>
        <w:rPr>
          <w:rFonts w:ascii="Calibri" w:cs="Calibri" w:eastAsia="Calibri" w:hAnsi="Calibri"/>
          <w:color w:val="000000"/>
          <w:sz w:val="21"/>
          <w:szCs w:val="21"/>
        </w:rPr>
        <w:t xml:space="preserve">Si la inflación mensual es de 2% durante doce meses, ¿cuál es la inflación anual? ¿Por qué no es 24%?</w:t>
      </w:r>
    </w:p>
    <w:p>
      <w:pPr>
        <w:pStyle w:val="ListParagraph"/>
        <w:numPr>
          <w:ilvl w:val="0"/>
          <w:numId w:val="1"/>
        </w:numPr>
        <w:spacing w:after="70" w:line="276"/>
      </w:pPr>
      <w:r>
        <w:rPr>
          <w:rFonts w:ascii="Calibri" w:cs="Calibri" w:eastAsia="Calibri" w:hAnsi="Calibri"/>
          <w:color w:val="000000"/>
          <w:sz w:val="21"/>
          <w:szCs w:val="21"/>
        </w:rPr>
        <w:t xml:space="preserve">¿En qué orden pierde el dinero sus tres funciones cuando la inflación se acelera, y qué dice eso sobre la fase en que se encuentra una economía?</w:t>
      </w:r>
    </w:p>
    <w:p>
      <w:pPr>
        <w:pStyle w:val="ListParagraph"/>
        <w:numPr>
          <w:ilvl w:val="0"/>
          <w:numId w:val="1"/>
        </w:numPr>
        <w:spacing w:after="70" w:line="276"/>
      </w:pPr>
      <w:r>
        <w:rPr>
          <w:rFonts w:ascii="Calibri" w:cs="Calibri" w:eastAsia="Calibri" w:hAnsi="Calibri"/>
          <w:color w:val="000000"/>
          <w:sz w:val="21"/>
          <w:szCs w:val="21"/>
        </w:rPr>
        <w:t xml:space="preserve">¿Por qué el IPC y el deflactor del PIB pueden divergir en una economía que importa la mayor parte de sus combustibles?</w:t>
      </w:r>
    </w:p>
    <w:p>
      <w:pPr>
        <w:pStyle w:val="ListParagraph"/>
        <w:numPr>
          <w:ilvl w:val="0"/>
          <w:numId w:val="1"/>
        </w:numPr>
        <w:spacing w:after="70" w:line="276"/>
      </w:pPr>
      <w:r>
        <w:rPr>
          <w:rFonts w:ascii="Calibri" w:cs="Calibri" w:eastAsia="Calibri" w:hAnsi="Calibri"/>
          <w:color w:val="000000"/>
          <w:sz w:val="21"/>
          <w:szCs w:val="21"/>
        </w:rPr>
        <w:t xml:space="preserve">¿Qué es un ancla nominal y qué ancla reemplazó al tipo de cambio fijo en Bolivia a partir de junio de 2026?</w:t>
      </w:r>
    </w:p>
    <w:p>
      <w:pPr>
        <w:pStyle w:val="ListParagraph"/>
        <w:numPr>
          <w:ilvl w:val="0"/>
          <w:numId w:val="1"/>
        </w:numPr>
        <w:spacing w:after="70" w:line="276"/>
      </w:pPr>
      <w:r>
        <w:rPr>
          <w:rFonts w:ascii="Calibri" w:cs="Calibri" w:eastAsia="Calibri" w:hAnsi="Calibri"/>
          <w:color w:val="000000"/>
          <w:sz w:val="21"/>
          <w:szCs w:val="21"/>
        </w:rPr>
        <w:t xml:space="preserve">¿Por qué una economía puede tener una tasa de desempleo baja y un problema laboral grave al mismo tiempo?</w:t>
      </w:r>
    </w:p>
    <w:p>
      <w:pPr>
        <w:pStyle w:val="ListParagraph"/>
        <w:numPr>
          <w:ilvl w:val="0"/>
          <w:numId w:val="1"/>
        </w:numPr>
        <w:spacing w:after="70" w:line="276"/>
      </w:pPr>
      <w:r>
        <w:rPr>
          <w:rFonts w:ascii="Calibri" w:cs="Calibri" w:eastAsia="Calibri" w:hAnsi="Calibri"/>
          <w:color w:val="000000"/>
          <w:sz w:val="21"/>
          <w:szCs w:val="21"/>
        </w:rPr>
        <w:t xml:space="preserve">Un titular dice que la economía creció 15%. ¿Qué cuatro preguntas le haría antes de aceptar la cifra?</w:t>
      </w:r>
    </w:p>
    <w:p>
      <w:pPr>
        <w:spacing w:after="200"/>
      </w:pPr>
    </w:p>
    <w:p>
      <w:pPr>
        <w:pStyle w:val="Heading2"/>
        <w:spacing w:after="140" w:before="320"/>
      </w:pPr>
      <w:r>
        <w:rPr>
          <w:rFonts w:ascii="Calibri" w:cs="Calibri" w:eastAsia="Calibri" w:hAnsi="Calibri"/>
          <w:b/>
          <w:bCs/>
          <w:color w:val="1F3864"/>
          <w:sz w:val="26"/>
          <w:szCs w:val="26"/>
        </w:rPr>
        <w:t xml:space="preserve">9.5 Qué viene en la Sesión 5</w:t>
      </w:r>
    </w:p>
    <w:p>
      <w:pPr>
        <w:spacing w:after="140" w:line="276"/>
        <w:jc w:val="both"/>
      </w:pPr>
      <w:r>
        <w:rPr>
          <w:rFonts w:ascii="Calibri" w:cs="Calibri" w:eastAsia="Calibri" w:hAnsi="Calibri"/>
          <w:color w:val="000000"/>
          <w:sz w:val="21"/>
          <w:szCs w:val="21"/>
        </w:rPr>
        <w:t xml:space="preserve">El Índice de Precios al Consumidor: construcción de una canasta familiar simple y cálculo de su costo en distintos años; diferencias entre el IPC y el deflactor del PIB (canasta fija frente a canasta variable, bienes importados); y sesgos de medición del IPC (sustitución, calidad, nuevos bienes). La sección 4.1 de este cuaderno ya adelanta buena parte del andamiaje.</w:t>
      </w:r>
    </w:p>
    <w:p>
      <w:pPr>
        <w:spacing w:after="200"/>
      </w:pPr>
    </w:p>
    <w:p>
      <w:pPr>
        <w:pStyle w:val="Heading2"/>
        <w:spacing w:after="140" w:before="320"/>
      </w:pPr>
      <w:r>
        <w:rPr>
          <w:rFonts w:ascii="Calibri" w:cs="Calibri" w:eastAsia="Calibri" w:hAnsi="Calibri"/>
          <w:b/>
          <w:bCs/>
          <w:color w:val="1F3864"/>
          <w:sz w:val="26"/>
          <w:szCs w:val="26"/>
        </w:rPr>
        <w:t xml:space="preserve">Nota metodológica y fuentes</w:t>
      </w:r>
    </w:p>
    <w:p>
      <w:pPr>
        <w:spacing w:after="140" w:line="276"/>
        <w:jc w:val="both"/>
      </w:pPr>
      <w:r>
        <w:rPr>
          <w:rFonts w:ascii="Calibri" w:cs="Calibri" w:eastAsia="Calibri" w:hAnsi="Calibri"/>
          <w:color w:val="000000"/>
          <w:sz w:val="21"/>
          <w:szCs w:val="21"/>
        </w:rPr>
        <w:t xml:space="preserve">Este cuaderno consolida el material de las Sesiones 1 a 4 con los apuntes previos, ordenando la redacción y precisando técnicamente algunas definiciones. Cuando una afirmación depende de un dato coyuntural o de una cifra mencionada oralmente en clase, se presenta como referencia de clase y no como constante universal.</w:t>
      </w:r>
    </w:p>
    <w:p>
      <w:pPr>
        <w:spacing w:after="120"/>
      </w:pPr>
    </w:p>
    <w:p>
      <w:pPr>
        <w:pStyle w:val="Heading3"/>
        <w:spacing w:after="120" w:before="240"/>
      </w:pPr>
      <w:r>
        <w:rPr>
          <w:rFonts w:ascii="Calibri" w:cs="Calibri" w:eastAsia="Calibri" w:hAnsi="Calibri"/>
          <w:b/>
          <w:bCs/>
          <w:color w:val="2E5496"/>
          <w:sz w:val="23"/>
          <w:szCs w:val="23"/>
        </w:rPr>
        <w:t xml:space="preserve">Fuentes de los datos bolivianos</w:t>
      </w:r>
    </w:p>
    <w:p>
      <w:pPr>
        <w:pStyle w:val="ListParagraph"/>
        <w:numPr>
          <w:ilvl w:val="0"/>
          <w:numId w:val="1"/>
        </w:numPr>
        <w:spacing w:after="70" w:line="276"/>
      </w:pPr>
      <w:r>
        <w:rPr>
          <w:rFonts w:ascii="Calibri" w:cs="Calibri" w:eastAsia="Calibri" w:hAnsi="Calibri"/>
          <w:b/>
          <w:bCs/>
          <w:color w:val="000000"/>
          <w:sz w:val="21"/>
          <w:szCs w:val="21"/>
        </w:rPr>
        <w:t xml:space="preserve">INE</w:t>
      </w:r>
      <w:r>
        <w:rPr>
          <w:rFonts w:ascii="Calibri" w:cs="Calibri" w:eastAsia="Calibri" w:hAnsi="Calibri"/>
          <w:color w:val="000000"/>
          <w:sz w:val="21"/>
          <w:szCs w:val="21"/>
        </w:rPr>
        <w:t xml:space="preserve"> — Instituto Nacional de Estadística: IPC de diciembre de 2025 (publicado el 6 de enero de 2026); PIB al cuarto trimestre de 2025 (publicado el 21 de abril de 2026); Índice de Precios al por Mayor de junio de 2026.</w:t>
      </w:r>
    </w:p>
    <w:p>
      <w:pPr>
        <w:pStyle w:val="ListParagraph"/>
        <w:numPr>
          <w:ilvl w:val="0"/>
          <w:numId w:val="1"/>
        </w:numPr>
        <w:spacing w:after="70" w:line="276"/>
      </w:pPr>
      <w:r>
        <w:rPr>
          <w:rFonts w:ascii="Calibri" w:cs="Calibri" w:eastAsia="Calibri" w:hAnsi="Calibri"/>
          <w:b/>
          <w:bCs/>
          <w:color w:val="000000"/>
          <w:sz w:val="21"/>
          <w:szCs w:val="21"/>
        </w:rPr>
        <w:t xml:space="preserve">BCB</w:t>
      </w:r>
      <w:r>
        <w:rPr>
          <w:rFonts w:ascii="Calibri" w:cs="Calibri" w:eastAsia="Calibri" w:hAnsi="Calibri"/>
          <w:color w:val="000000"/>
          <w:sz w:val="21"/>
          <w:szCs w:val="21"/>
        </w:rPr>
        <w:t xml:space="preserve"> — Banco Central de Bolivia: tipo de cambio oficial al 3 de septiembre de 2026; cronología de la flexibilización cambiaria; primer Reporte de Inflación y Política Monetaria (agosto de 2026).</w:t>
      </w:r>
    </w:p>
    <w:p>
      <w:pPr>
        <w:pStyle w:val="ListParagraph"/>
        <w:numPr>
          <w:ilvl w:val="0"/>
          <w:numId w:val="1"/>
        </w:numPr>
        <w:spacing w:after="70" w:line="276"/>
      </w:pPr>
      <w:r>
        <w:rPr>
          <w:rFonts w:ascii="Calibri" w:cs="Calibri" w:eastAsia="Calibri" w:hAnsi="Calibri"/>
          <w:b/>
          <w:bCs/>
          <w:color w:val="000000"/>
          <w:sz w:val="21"/>
          <w:szCs w:val="21"/>
        </w:rPr>
        <w:t xml:space="preserve">Ministerio de Economía y Finanzas Públicas</w:t>
      </w:r>
      <w:r>
        <w:rPr>
          <w:rFonts w:ascii="Calibri" w:cs="Calibri" w:eastAsia="Calibri" w:hAnsi="Calibri"/>
          <w:color w:val="000000"/>
          <w:sz w:val="21"/>
          <w:szCs w:val="21"/>
        </w:rPr>
        <w:t xml:space="preserve"> y </w:t>
      </w:r>
      <w:r>
        <w:rPr>
          <w:rFonts w:ascii="Calibri" w:cs="Calibri" w:eastAsia="Calibri" w:hAnsi="Calibri"/>
          <w:b/>
          <w:bCs/>
          <w:color w:val="000000"/>
          <w:sz w:val="21"/>
          <w:szCs w:val="21"/>
        </w:rPr>
        <w:t xml:space="preserve">Ministerio de Planificación del Desarrollo</w:t>
      </w:r>
      <w:r>
        <w:rPr>
          <w:rFonts w:ascii="Calibri" w:cs="Calibri" w:eastAsia="Calibri" w:hAnsi="Calibri"/>
          <w:color w:val="000000"/>
          <w:sz w:val="21"/>
          <w:szCs w:val="21"/>
        </w:rPr>
        <w:t xml:space="preserve">: comunicados sobre el IPC y metas del Presupuesto General del Estado.</w:t>
      </w:r>
    </w:p>
    <w:p>
      <w:pPr>
        <w:pStyle w:val="ListParagraph"/>
        <w:numPr>
          <w:ilvl w:val="0"/>
          <w:numId w:val="1"/>
        </w:numPr>
        <w:spacing w:after="70" w:line="276"/>
      </w:pPr>
      <w:r>
        <w:rPr>
          <w:rFonts w:ascii="Calibri" w:cs="Calibri" w:eastAsia="Calibri" w:hAnsi="Calibri"/>
          <w:b/>
          <w:bCs/>
          <w:color w:val="000000"/>
          <w:sz w:val="21"/>
          <w:szCs w:val="21"/>
        </w:rPr>
        <w:t xml:space="preserve">CEPAL</w:t>
      </w:r>
      <w:r>
        <w:rPr>
          <w:rFonts w:ascii="Calibri" w:cs="Calibri" w:eastAsia="Calibri" w:hAnsi="Calibri"/>
          <w:color w:val="000000"/>
          <w:sz w:val="21"/>
          <w:szCs w:val="21"/>
        </w:rPr>
        <w:t xml:space="preserve"> — Balance Preliminar de las Economías de América Latina y el Caribe 2025.</w:t>
      </w:r>
    </w:p>
    <w:p>
      <w:pPr>
        <w:pStyle w:val="ListParagraph"/>
        <w:numPr>
          <w:ilvl w:val="0"/>
          <w:numId w:val="1"/>
        </w:numPr>
        <w:spacing w:after="70" w:line="276"/>
      </w:pPr>
      <w:r>
        <w:rPr>
          <w:rFonts w:ascii="Calibri" w:cs="Calibri" w:eastAsia="Calibri" w:hAnsi="Calibri"/>
          <w:b/>
          <w:bCs/>
          <w:color w:val="000000"/>
          <w:sz w:val="21"/>
          <w:szCs w:val="21"/>
        </w:rPr>
        <w:t xml:space="preserve">FMI</w:t>
      </w:r>
      <w:r>
        <w:rPr>
          <w:rFonts w:ascii="Calibri" w:cs="Calibri" w:eastAsia="Calibri" w:hAnsi="Calibri"/>
          <w:color w:val="000000"/>
          <w:sz w:val="21"/>
          <w:szCs w:val="21"/>
        </w:rPr>
        <w:t xml:space="preserve"> — World Economic Outlook, octubre de 2025 y ediciones posteriores.</w:t>
      </w:r>
    </w:p>
    <w:p>
      <w:pPr>
        <w:pStyle w:val="ListParagraph"/>
        <w:numPr>
          <w:ilvl w:val="0"/>
          <w:numId w:val="1"/>
        </w:numPr>
        <w:spacing w:after="70" w:line="276"/>
      </w:pPr>
      <w:r>
        <w:rPr>
          <w:rFonts w:ascii="Calibri" w:cs="Calibri" w:eastAsia="Calibri" w:hAnsi="Calibri"/>
          <w:b/>
          <w:bCs/>
          <w:color w:val="000000"/>
          <w:sz w:val="21"/>
          <w:szCs w:val="21"/>
        </w:rPr>
        <w:t xml:space="preserve">Banco Mundial</w:t>
      </w:r>
      <w:r>
        <w:rPr>
          <w:rFonts w:ascii="Calibri" w:cs="Calibri" w:eastAsia="Calibri" w:hAnsi="Calibri"/>
          <w:color w:val="000000"/>
          <w:sz w:val="21"/>
          <w:szCs w:val="21"/>
        </w:rPr>
        <w:t xml:space="preserve"> — proyecciones de crecimiento.</w:t>
      </w:r>
    </w:p>
    <w:p>
      <w:pPr>
        <w:pStyle w:val="ListParagraph"/>
        <w:numPr>
          <w:ilvl w:val="0"/>
          <w:numId w:val="1"/>
        </w:numPr>
        <w:spacing w:after="70" w:line="276"/>
      </w:pPr>
      <w:r>
        <w:rPr>
          <w:rFonts w:ascii="Calibri" w:cs="Calibri" w:eastAsia="Calibri" w:hAnsi="Calibri"/>
          <w:b/>
          <w:bCs/>
          <w:color w:val="000000"/>
          <w:sz w:val="21"/>
          <w:szCs w:val="21"/>
        </w:rPr>
        <w:t xml:space="preserve">Fundación Milenio</w:t>
      </w:r>
      <w:r>
        <w:rPr>
          <w:rFonts w:ascii="Calibri" w:cs="Calibri" w:eastAsia="Calibri" w:hAnsi="Calibri"/>
          <w:color w:val="000000"/>
          <w:sz w:val="21"/>
          <w:szCs w:val="21"/>
        </w:rPr>
        <w:t xml:space="preserve"> y </w:t>
      </w:r>
      <w:r>
        <w:rPr>
          <w:rFonts w:ascii="Calibri" w:cs="Calibri" w:eastAsia="Calibri" w:hAnsi="Calibri"/>
          <w:b/>
          <w:bCs/>
          <w:color w:val="000000"/>
          <w:sz w:val="21"/>
          <w:szCs w:val="21"/>
        </w:rPr>
        <w:t xml:space="preserve">CERES</w:t>
      </w:r>
      <w:r>
        <w:rPr>
          <w:rFonts w:ascii="Calibri" w:cs="Calibri" w:eastAsia="Calibri" w:hAnsi="Calibri"/>
          <w:color w:val="000000"/>
          <w:sz w:val="21"/>
          <w:szCs w:val="21"/>
        </w:rPr>
        <w:t xml:space="preserve"> — análisis independiente sobre la coyuntura 2025–2026.</w:t>
      </w:r>
    </w:p>
    <w:p>
      <w:pPr>
        <w:spacing w:after="160"/>
      </w:pPr>
    </w:p>
    <w:tbl>
      <w:tblPr>
        <w:tblW w:type="dxa" w:w="9020"/>
        <w:tblBorders>
          <w:top w:val="single" w:color="BFBFBF" w:sz="2"/>
          <w:left w:val="single" w:color="808080" w:sz="14"/>
          <w:bottom w:val="single" w:color="BFBFBF" w:sz="2"/>
          <w:right w:val="single" w:color="BFBFBF" w:sz="2"/>
          <w:insideH w:val="none"/>
          <w:insideV w:val="none"/>
        </w:tblBorders>
      </w:tblPr>
      <w:tblGrid>
        <w:gridCol w:w="9020"/>
      </w:tblGrid>
      <w:tr>
        <w:tc>
          <w:tcPr>
            <w:tcW w:type="dxa" w:w="9020"/>
            <w:shd w:fill="F2F2F2"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Advertencia final sobre los datos</w:t>
            </w:r>
          </w:p>
          <w:p>
            <w:pPr>
              <w:spacing w:after="80" w:line="276"/>
              <w:jc w:val="both"/>
            </w:pPr>
            <w:r>
              <w:rPr>
                <w:rFonts w:ascii="Calibri" w:cs="Calibri" w:eastAsia="Calibri" w:hAnsi="Calibri"/>
                <w:color w:val="000000"/>
                <w:sz w:val="21"/>
                <w:szCs w:val="21"/>
              </w:rPr>
              <w:t xml:space="preserve">Las cifras de coyuntura tienen fecha de vencimiento. El dato de PIB de 2025 es </w:t>
            </w:r>
            <w:r>
              <w:rPr>
                <w:rFonts w:ascii="Calibri" w:cs="Calibri" w:eastAsia="Calibri" w:hAnsi="Calibri"/>
                <w:b/>
                <w:bCs/>
                <w:color w:val="000000"/>
                <w:sz w:val="21"/>
                <w:szCs w:val="21"/>
              </w:rPr>
              <w:t xml:space="preserve">preliminar</w:t>
            </w:r>
            <w:r>
              <w:rPr>
                <w:rFonts w:ascii="Calibri" w:cs="Calibri" w:eastAsia="Calibri" w:hAnsi="Calibri"/>
                <w:color w:val="000000"/>
                <w:sz w:val="21"/>
                <w:szCs w:val="21"/>
              </w:rPr>
              <w:t xml:space="preserve"> y puede revisarse; el tipo de cambio cambia a diario bajo el nuevo régimen flexible; y la inflación de 2026 sigue en curso. Antes de usar cualquier cifra de la Parte VII en un trabajo evaluado, verifícala en el sitio del INE o del BCB.</w:t>
            </w:r>
          </w:p>
          <w:p>
            <w:pPr>
              <w:spacing w:after="0" w:line="276"/>
              <w:jc w:val="both"/>
            </w:pPr>
            <w:r>
              <w:rPr>
                <w:rFonts w:ascii="Calibri" w:cs="Calibri" w:eastAsia="Calibri" w:hAnsi="Calibri"/>
                <w:color w:val="000000"/>
                <w:sz w:val="21"/>
                <w:szCs w:val="21"/>
              </w:rPr>
              <w:t xml:space="preserve">Ese hábito —ir siempre a la fuente primaria— es, probablemente, lo más transferible que se lleva uno de un curso de macroeconomía.</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6"/>
      </w:pBdr>
      <w:jc w:val="right"/>
    </w:pPr>
    <w:r>
      <w:rPr>
        <w:rFonts w:ascii="Calibri" w:cs="Calibri" w:eastAsia="Calibri" w:hAnsi="Calibri"/>
        <w:color w:val="808080"/>
        <w:sz w:val="16"/>
        <w:szCs w:val="16"/>
      </w:rPr>
      <w:t xml:space="preserve">Cuaderno de Macroeconomía · Unidad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Cuaderno de Macroeconomía — Unidad I: Fundamentos y medición</dc:title>
  <dc:creator>Cuaderno de Macroeconomía</dc:creator>
  <dc:description>Apuntes de clase consolidados con las Sesiones 1 a 4, ampliados</dc:description>
  <cp:lastModifiedBy>Un-named</cp:lastModifiedBy>
  <cp:revision>1</cp:revision>
  <dcterms:created xsi:type="dcterms:W3CDTF">2026-09-04T00:30:58.924Z</dcterms:created>
  <dcterms:modified xsi:type="dcterms:W3CDTF">2026-09-04T00:30:58.925Z</dcterms:modified>
</cp:coreProperties>
</file>

<file path=docProps/custom.xml><?xml version="1.0" encoding="utf-8"?>
<Properties xmlns="http://schemas.openxmlformats.org/officeDocument/2006/custom-properties" xmlns:vt="http://schemas.openxmlformats.org/officeDocument/2006/docPropsVTypes"/>
</file>