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2268" w:hRule="exact"/>
        </w:trPr>
        <w:tc>
          <w:tcPr>
            <w:tcW w:type="dxa" w:w="9072"/>
            <w:shd w:val="clear" w:color="auto" w:fill="1B3F3F"/>
            <w:tcW w:w="9355" w:type="dxa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Garamond" w:hAnsi="Garamond"/>
                <w:i/>
                <w:color w:val="FFFFFF"/>
                <w:sz w:val="144"/>
              </w:rPr>
              <w:t>φ</w:t>
            </w:r>
          </w:p>
        </w:tc>
      </w:tr>
    </w:tbl>
    <w:p>
      <w:pPr>
        <w:spacing w:before="0" w:after="0"/>
      </w:pPr>
    </w:p>
    <w:p>
      <w:pPr>
        <w:jc w:val="center"/>
        <w:spacing w:before="200" w:after="60"/>
      </w:pPr>
      <w:r>
        <w:rPr>
          <w:rFonts w:ascii="Garamond" w:hAnsi="Garamond"/>
          <w:b w:val="0"/>
          <w:i/>
          <w:color w:val="1B3F3F"/>
          <w:sz w:val="84"/>
        </w:rPr>
        <w:t>PHI</w:t>
      </w:r>
      <w:r>
        <w:rPr>
          <w:rFonts w:ascii="Calibri" w:hAnsi="Calibri"/>
          <w:b w:val="0"/>
          <w:color w:val="1B3F3F"/>
          <w:sz w:val="40"/>
        </w:rPr>
        <w:t xml:space="preserve">  FIDUCIAIRE</w:t>
      </w:r>
    </w:p>
    <w:p>
      <w:pPr>
        <w:jc w:val="center"/>
        <w:spacing w:before="60" w:after="60"/>
      </w:pPr>
      <w:r>
        <w:rPr>
          <w:rFonts w:ascii="Garamond" w:hAnsi="Garamond"/>
          <w:i/>
          <w:color w:val="555555"/>
          <w:sz w:val="28"/>
        </w:rPr>
        <w:t>“La rigueur suisse. L’expertise genevoise.”</w:t>
      </w:r>
    </w:p>
    <w:p>
      <w:pPr>
        <w:jc w:val="center"/>
        <w:spacing w:before="160" w:after="160"/>
        <w:pBdr>
          <w:bottom w:val="single" w:sz="8" w:space="1" w:color="EF3A24"/>
        </w:pBdr>
      </w:pPr>
    </w:p>
    <w:p>
      <w:pPr>
        <w:jc w:val="center"/>
        <w:spacing w:before="200" w:after="80"/>
      </w:pPr>
      <w:r>
        <w:rPr>
          <w:rFonts w:ascii="Garamond" w:hAnsi="Garamond"/>
          <w:b w:val="0"/>
          <w:color w:val="1A1A1A"/>
          <w:sz w:val="64"/>
        </w:rPr>
        <w:t>Brand Style Guide</w:t>
      </w:r>
    </w:p>
    <w:p>
      <w:pPr>
        <w:jc w:val="center"/>
        <w:spacing w:before="40" w:after="40"/>
      </w:pPr>
      <w:r>
        <w:rPr>
          <w:rFonts w:ascii="Calibri" w:hAnsi="Calibri"/>
          <w:color w:val="555555"/>
          <w:sz w:val="26"/>
        </w:rPr>
        <w:t>Visual Identity &amp; Design System v1.0</w:t>
      </w:r>
    </w:p>
    <w:p>
      <w:pPr>
        <w:jc w:val="center"/>
        <w:spacing w:before="40" w:after="40"/>
      </w:pPr>
      <w:r>
        <w:rPr>
          <w:rFonts w:ascii="Calibri" w:hAnsi="Calibri"/>
          <w:color w:val="555555"/>
          <w:sz w:val="22"/>
        </w:rPr>
        <w:t>Mars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0"/>
      </w:pPr>
      <w:r>
        <w:rPr>
          <w:rFonts w:ascii="Calibri" w:hAnsi="Calibri"/>
          <w:color w:val="555555"/>
          <w:sz w:val="18"/>
        </w:rPr>
        <w:t>Genève, Suisse  •  Fiduciaire Premium  •  Since 2010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680" w:hRule="exact"/>
        </w:trPr>
        <w:tc>
          <w:tcPr>
            <w:tcW w:type="dxa" w:w="9072"/>
            <w:shd w:val="clear" w:color="auto" w:fill="0F2626"/>
            <w:tcW w:w="9355" w:type="dx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phi-fiduciaire.ch  •  Genève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20"/>
        <w:pBdr>
          <w:bottom w:val="single" w:sz="4" w:space="1" w:color="1B3F3F"/>
        </w:pBdr>
      </w:pPr>
      <w:r>
        <w:rPr>
          <w:rFonts w:ascii="Garamond" w:hAnsi="Garamond"/>
          <w:b w:val="0"/>
          <w:color w:val="1B3F3F"/>
          <w:sz w:val="52"/>
        </w:rPr>
        <w:t>Table of Contents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1.  Brand Identity</w:t>
      </w:r>
      <w:r>
        <w:rPr>
          <w:rFonts w:ascii="Calibri" w:hAnsi="Calibri"/>
          <w:color w:val="555555"/>
          <w:sz w:val="21"/>
        </w:rPr>
        <w:tab/>
        <w:t>3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2.  Color Palette</w:t>
      </w:r>
      <w:r>
        <w:rPr>
          <w:rFonts w:ascii="Calibri" w:hAnsi="Calibri"/>
          <w:color w:val="555555"/>
          <w:sz w:val="21"/>
        </w:rPr>
        <w:tab/>
        <w:t>4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3.  Typography</w:t>
      </w:r>
      <w:r>
        <w:rPr>
          <w:rFonts w:ascii="Calibri" w:hAnsi="Calibri"/>
          <w:color w:val="555555"/>
          <w:sz w:val="21"/>
        </w:rPr>
        <w:tab/>
        <w:t>5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4.  Spacing System — Fibonacci / Golden Ratio</w:t>
      </w:r>
      <w:r>
        <w:rPr>
          <w:rFonts w:ascii="Calibri" w:hAnsi="Calibri"/>
          <w:color w:val="555555"/>
          <w:sz w:val="21"/>
        </w:rPr>
        <w:tab/>
        <w:t>7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5.  Design Principles</w:t>
      </w:r>
      <w:r>
        <w:rPr>
          <w:rFonts w:ascii="Calibri" w:hAnsi="Calibri"/>
          <w:color w:val="555555"/>
          <w:sz w:val="21"/>
        </w:rPr>
        <w:tab/>
        <w:t>8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6.  Image Treatment</w:t>
      </w:r>
      <w:r>
        <w:rPr>
          <w:rFonts w:ascii="Calibri" w:hAnsi="Calibri"/>
          <w:color w:val="555555"/>
          <w:sz w:val="21"/>
        </w:rPr>
        <w:tab/>
        <w:t>9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7.  UI Components</w:t>
      </w:r>
      <w:r>
        <w:rPr>
          <w:rFonts w:ascii="Calibri" w:hAnsi="Calibri"/>
          <w:color w:val="555555"/>
          <w:sz w:val="21"/>
        </w:rPr>
        <w:tab/>
        <w:t>11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8.  Section Visual Language</w:t>
      </w:r>
      <w:r>
        <w:rPr>
          <w:rFonts w:ascii="Calibri" w:hAnsi="Calibri"/>
          <w:color w:val="555555"/>
          <w:sz w:val="21"/>
        </w:rPr>
        <w:tab/>
        <w:t>13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9.  Applications — Carousels &amp; GMB Posts</w:t>
      </w:r>
      <w:r>
        <w:rPr>
          <w:rFonts w:ascii="Calibri" w:hAnsi="Calibri"/>
          <w:color w:val="555555"/>
          <w:sz w:val="21"/>
        </w:rPr>
        <w:tab/>
        <w:t>14</w:t>
      </w:r>
    </w:p>
    <w:p>
      <w:pPr>
        <w:spacing w:before="60" w:after="60"/>
        <w:tabs>
          <w:tab w:val="right" w:leader="dot" w:pos="9072"/>
        </w:tabs>
      </w:pPr>
      <w:r>
        <w:rPr>
          <w:rFonts w:ascii="Calibri" w:hAnsi="Calibri"/>
          <w:color w:val="1A1A1A"/>
          <w:sz w:val="21"/>
        </w:rPr>
        <w:t>10. Document Notes</w:t>
      </w:r>
      <w:r>
        <w:rPr>
          <w:rFonts w:ascii="Calibri" w:hAnsi="Calibri"/>
          <w:color w:val="555555"/>
          <w:sz w:val="21"/>
        </w:rPr>
        <w:tab/>
        <w:t>15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1.  Brand Identity</w:t>
      </w:r>
      <w:r>
        <w:bookmarkStart w:id="1" w:name="section1"/>
        <w:bookmarkEnd w:id="1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Brand Name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PHI Fiduciaire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Location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Genève, Suisse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Positioning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Premium Swiss fiduciary — rigorous, local, multilingual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Primary Tagline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“La rigueur suisse. L’expertise genevoise.”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Brand Promise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15 years of local expertise • Single point of contact • Response within 24h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Languages Served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23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French, English, German, Polish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The φ Symbol</w:t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PHI (φ) is the golden ratio (1.618). The brand name is intentionally the mathematical symbol — it represents precision, proportion, and the Fibonacci system that underpins all spacing decisions.</w:t>
      </w:r>
    </w:p>
    <w:p>
      <w:pPr>
        <w:spacing w:before="40" w:after="60"/>
        <w:pBdr>
          <w:left w:val="single" w:sz="12" w:space="6" w:color="EF3A24"/>
        </w:pBdr>
        <w:ind w:left="200"/>
      </w:pPr>
      <w:r>
        <w:rPr>
          <w:rFonts w:ascii="Calibri" w:hAnsi="Calibri"/>
          <w:i/>
          <w:color w:val="555555"/>
          <w:sz w:val="19"/>
        </w:rPr>
        <w:t>Critical: The φ symbol is NOT decorative; it is conceptual and must be respected in all communications. It connects the brand name directly to the mathematical principle of perfect proportion.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2.  Color Palette</w:t>
      </w:r>
      <w:r>
        <w:bookmarkStart w:id="2" w:name="section2"/>
        <w:bookmarkEnd w:id="2"/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The PHI Fiduciaire palette is built around deep teal, drawing on Swiss precision and Geneva's lakeside environment. Every color has a defined, limited role.</w:t>
      </w:r>
    </w:p>
    <w:p>
      <w:pPr>
        <w:spacing w:before="0" w:after="6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Color Swatches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rHeight w:val="850" w:hRule="exact"/>
          <w:trHeight w:val="850" w:hRule="exact"/>
          <w:trHeight w:val="850" w:hRule="exact"/>
          <w:trHeight w:val="850" w:hRule="exact"/>
          <w:trHeight w:val="850" w:hRule="exact"/>
        </w:trPr>
        <w:tc>
          <w:tcPr>
            <w:tcW w:type="dxa" w:w="1814"/>
            <w:shd w:val="clear" w:color="auto" w:fill="1B3F3F"/>
            <w:tcW w:w="1871" w:type="dxa"/>
          </w:tcPr>
          <w:p>
            <w:r/>
          </w:p>
        </w:tc>
        <w:tc>
          <w:tcPr>
            <w:tcW w:type="dxa" w:w="1814"/>
            <w:shd w:val="clear" w:color="auto" w:fill="0F2626"/>
            <w:tcW w:w="1871" w:type="dxa"/>
          </w:tcPr>
          <w:p>
            <w:r/>
          </w:p>
        </w:tc>
        <w:tc>
          <w:tcPr>
            <w:tcW w:type="dxa" w:w="1814"/>
            <w:shd w:val="clear" w:color="auto" w:fill="EF3A24"/>
            <w:tcW w:w="1871" w:type="dxa"/>
          </w:tcPr>
          <w:p>
            <w:r/>
          </w:p>
        </w:tc>
        <w:tc>
          <w:tcPr>
            <w:tcW w:type="dxa" w:w="1814"/>
            <w:shd w:val="clear" w:color="auto" w:fill="FFFFFF"/>
            <w:tcW w:w="1871" w:type="dxa"/>
          </w:tcPr>
          <w:p>
            <w:r/>
          </w:p>
        </w:tc>
        <w:tc>
          <w:tcPr>
            <w:tcW w:type="dxa" w:w="1814"/>
            <w:shd w:val="clear" w:color="auto" w:fill="F8F6F2"/>
            <w:tcW w:w="1871" w:type="dxa"/>
          </w:tcPr>
          <w:p>
            <w:r/>
          </w:p>
        </w:tc>
      </w:tr>
      <w:tr>
        <w:tc>
          <w:tcPr>
            <w:tcW w:type="dxa" w:w="1814"/>
            <w:shd w:val="clear" w:color="auto" w:fill="FFFFFF"/>
            <w:tcW w:w="1871" w:type="dx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Primary Teal</w:t>
              <w:br/>
            </w:r>
            <w:r>
              <w:rPr>
                <w:rFonts w:ascii="Courier New" w:hAnsi="Courier New"/>
                <w:color w:val="555555"/>
                <w:sz w:val="16"/>
              </w:rPr>
              <w:t>#1B3F3F</w:t>
            </w:r>
          </w:p>
        </w:tc>
        <w:tc>
          <w:tcPr>
            <w:tcW w:type="dxa" w:w="1814"/>
            <w:shd w:val="clear" w:color="auto" w:fill="FFFFFF"/>
            <w:tcW w:w="1871" w:type="dx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Footer Dark</w:t>
              <w:br/>
            </w:r>
            <w:r>
              <w:rPr>
                <w:rFonts w:ascii="Courier New" w:hAnsi="Courier New"/>
                <w:color w:val="555555"/>
                <w:sz w:val="16"/>
              </w:rPr>
              <w:t>#0F2626</w:t>
            </w:r>
          </w:p>
        </w:tc>
        <w:tc>
          <w:tcPr>
            <w:tcW w:type="dxa" w:w="1814"/>
            <w:shd w:val="clear" w:color="auto" w:fill="FFFFFF"/>
            <w:tcW w:w="1871" w:type="dx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Accent Red</w:t>
              <w:br/>
            </w:r>
            <w:r>
              <w:rPr>
                <w:rFonts w:ascii="Courier New" w:hAnsi="Courier New"/>
                <w:color w:val="555555"/>
                <w:sz w:val="16"/>
              </w:rPr>
              <w:t>#EF3A24</w:t>
            </w:r>
          </w:p>
        </w:tc>
        <w:tc>
          <w:tcPr>
            <w:tcW w:type="dxa" w:w="1814"/>
            <w:shd w:val="clear" w:color="auto" w:fill="FFFFFF"/>
            <w:tcW w:w="1871" w:type="dx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White</w:t>
              <w:br/>
            </w:r>
            <w:r>
              <w:rPr>
                <w:rFonts w:ascii="Courier New" w:hAnsi="Courier New"/>
                <w:color w:val="555555"/>
                <w:sz w:val="16"/>
              </w:rPr>
              <w:t>#FFFFFF</w:t>
            </w:r>
          </w:p>
        </w:tc>
        <w:tc>
          <w:tcPr>
            <w:tcW w:type="dxa" w:w="1814"/>
            <w:shd w:val="clear" w:color="auto" w:fill="FFFFFF"/>
            <w:tcW w:w="1871" w:type="dx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Off-white</w:t>
              <w:br/>
            </w:r>
            <w:r>
              <w:rPr>
                <w:rFonts w:ascii="Courier New" w:hAnsi="Courier New"/>
                <w:color w:val="555555"/>
                <w:sz w:val="16"/>
              </w:rPr>
              <w:t>#F8F6F2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Color Reference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RGB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Primary Teal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#1b3f3f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rgb(27, 63, 63)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Main brand color, headings, nav, cards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Footer Dark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#0f2626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rgb(15, 38, 38)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Footer, hero bottom band, contrast zones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Accent Red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#ef3a24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rgb(239, 58, 36)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Sparingly: label underlines, dividers, hover states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#ffffff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rgb(255, 255, 255)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Backgrounds, button text, reversed type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Off-white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#f8f6f2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rgb(248, 246, 242)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Blog section, alternating backgrounds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Border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rgba(27,63,63,0.12)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96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Subtle dividers, card borders</w:t>
            </w:r>
          </w:p>
        </w:tc>
      </w:tr>
    </w:tbl>
    <w:p>
      <w:pPr>
        <w:spacing w:before="0" w:after="0"/>
      </w:pPr>
    </w:p>
    <w:p>
      <w:pPr>
        <w:spacing w:before="40" w:after="60"/>
        <w:pBdr>
          <w:left w:val="single" w:sz="12" w:space="6" w:color="EF3A24"/>
        </w:pBdr>
        <w:ind w:left="200"/>
      </w:pPr>
      <w:r>
        <w:rPr>
          <w:rFonts w:ascii="Calibri" w:hAnsi="Calibri"/>
          <w:i/>
          <w:color w:val="555555"/>
          <w:sz w:val="19"/>
        </w:rPr>
        <w:t>Critical rule: The red accent (#ef3a24) must NEVER be overused. Maximum 2–3 instances visible at once in any single frame, carousel slide, or post. It is a signal, not a decoration.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3.  Typography</w:t>
      </w:r>
      <w:r>
        <w:bookmarkStart w:id="3" w:name="section3"/>
        <w:bookmarkEnd w:id="3"/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PHI Fiduciaire uses two typefaces: one editorial serif for display, one clean sans for body text. The contrast between these families IS the design — never substitute or mix additional typefaces.</w:t>
      </w: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Display Font: Cormorant Garamond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Source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Google Fonts (open license)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Used for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H1, H2, H3, pull quotes, italic emphasis lines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Character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Elegant, editorial, Swiss-luxury feel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Style note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Mix upright (H1) with italic (secondary headline) for typographic rhythm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Body Font: DM Sans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Source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Google Fonts (open license)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Used for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Body text, labels, navigation, buttons, captions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Character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80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Clean, modern, highly legible at small sizes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Type Scale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81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181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81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Font</w:t>
            </w:r>
          </w:p>
        </w:tc>
        <w:tc>
          <w:tcPr>
            <w:tcW w:type="dxa" w:w="181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Case</w:t>
            </w:r>
          </w:p>
        </w:tc>
      </w:tr>
      <w:tr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H1 hero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72px / clamp(48px, 6vw, 72px)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400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Cormorant Garamond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  <w:tr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H1 italic line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Same as H1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400 italic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Cormorant Garamond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  <w:tr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H2 section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clamp(36px, 3.6vw, 52px)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400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Cormorant Garamond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  <w:tr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H3 card title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20–22px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500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  <w:tr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Label / eyebrow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11–12px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500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UPPERCASE</w:t>
            </w:r>
          </w:p>
        </w:tc>
      </w:tr>
      <w:tr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Body text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16–17px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400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  <w:tr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Button text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13px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500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UPPERCASE, letter-spacing 0.08em</w:t>
            </w:r>
          </w:p>
        </w:tc>
      </w:tr>
      <w:tr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Caption / meta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12–13px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400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  <w:tr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Nav links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55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13px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0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400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</w:t>
            </w:r>
          </w:p>
        </w:tc>
        <w:tc>
          <w:tcPr>
            <w:tcW w:type="dxa" w:w="181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Sentence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Label Style (Eyebrow Pattern)</w:t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The eyebrow label is the consistent "section opener" pattern across the entire site. It must always appear in the same form: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DM Sans, 11–12px, UPPERCASE, letter-spacing 0.12em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Color: #1b3f3f on light backgrounds, #ffffff on dark backgrounds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Followed immediately by: a 34px × 2px red (#ef3a24) horizontal line below the label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Margin below: ~13px before the H2 headline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4.  Spacing System — Fibonacci / Golden Ratio</w:t>
      </w:r>
      <w:r>
        <w:bookmarkStart w:id="4" w:name="section4"/>
        <w:bookmarkEnd w:id="4"/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All spacing is derived from the Fibonacci sequence, starting at 13px. This creates a mathematically harmonious rhythm that mirrors the φ symbol itself.</w:t>
      </w: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Spacing Scale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02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02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--space-xs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13px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Tight gaps, small padding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--space-sm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21px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Component internal spacing</w:t>
            </w:r>
          </w:p>
        </w:tc>
      </w:tr>
      <w:tr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--space-md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34px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Standard gap, card padding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--space-lg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55px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Between components</w:t>
            </w:r>
          </w:p>
        </w:tc>
      </w:tr>
      <w:tr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--space-xl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89px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Section padding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--space-xxl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144px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Large section padding</w:t>
            </w:r>
          </w:p>
        </w:tc>
      </w:tr>
      <w:tr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--space-hero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233px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595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Hero-level vertical space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Golden Ratio Nav / Band System</w:t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All repeating bands use Fibonacci values: 34px and 55px alternating. This creates a palindrome rhythm that draws the eye to the center naturally.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302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Height</w:t>
            </w:r>
          </w:p>
        </w:tc>
        <w:tc>
          <w:tcPr>
            <w:tcW w:type="dxa" w:w="3024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Background</w:t>
            </w:r>
          </w:p>
        </w:tc>
      </w:tr>
      <w:tr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Mobile logo row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34px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#0f2626 (Footer Dark)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Mobile nav row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55px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</w:tr>
      <w:tr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Hero bottom teal band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55px</w:t>
            </w:r>
          </w:p>
        </w:tc>
        <w:tc>
          <w:tcPr>
            <w:tcW w:type="dxa" w:w="3024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#1b3f3f (Primary Teal)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11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Hero bottom dark band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34px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4819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#0f2626 (Footer Dark)</w:t>
            </w:r>
          </w:p>
        </w:tc>
      </w:tr>
    </w:tbl>
    <w:p>
      <w:pPr>
        <w:spacing w:before="0" w:after="0"/>
      </w:pPr>
    </w:p>
    <w:p>
      <w:pPr>
        <w:spacing w:before="40" w:after="60"/>
        <w:pBdr>
          <w:left w:val="single" w:sz="12" w:space="6" w:color="EF3A24"/>
        </w:pBdr>
        <w:ind w:left="200"/>
      </w:pPr>
      <w:r>
        <w:rPr>
          <w:rFonts w:ascii="Calibri" w:hAnsi="Calibri"/>
          <w:i/>
          <w:color w:val="555555"/>
          <w:sz w:val="19"/>
        </w:rPr>
        <w:t>Palindrome rhythm: 34 / 55 / [photo] / 55 / 34 — the eye is drawn to the center naturally. Never break this proportional system.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5.  Design Principles</w:t>
      </w:r>
      <w:r>
        <w:bookmarkStart w:id="5" w:name="section5"/>
        <w:bookmarkEnd w:id="5"/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These seven principles govern all visual decisions for PHI Fiduciaire. They are non-negotiable rules, not guidelines.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1.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No Repeated Visual Patterns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Each section must have a distinct visual treatment. Ghost numbers in Services → red accent lines in Why PHI → duotone images in Blog → etc. Repetition dilutes impact.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2.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Generous Whitespace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Never crowd content. When in doubt, add more breathing room. Whitespace communicates luxury and confidence.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3.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Swiss Precision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Every alignment is intentional. Left-aligned text blocks, controlled grid systems, nothing arbitrary. If something cannot be justified, it does not belong.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4.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Red is a Signal, Not Decoration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Use the red accent maximum 2–3 times per viewport. It should feel like punctuation, not color. When red appears everywhere, it means nothing.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5.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Premium Feel Through Restraint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Fewer elements, more space, higher quality. Avoid adding decorative elements that do not serve meaning. Subtract before you add.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6.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The φ Ghost Texture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On dark sections, a giant semi-transparent "φ" character (Cormorant Garamond, ~500px, 2–3% opacity) can appear as a background texture. Used in Final CTA only. Never overdone.</w:t>
      </w:r>
    </w:p>
    <w:p>
      <w:pPr>
        <w:spacing w:before="120" w:after="40"/>
      </w:pPr>
      <w:r>
        <w:rPr>
          <w:rFonts w:ascii="Garamond" w:hAnsi="Garamond"/>
          <w:b/>
          <w:color w:val="1B3F3F"/>
          <w:sz w:val="36"/>
        </w:rPr>
        <w:t>7.</w:t>
      </w:r>
      <w:r>
        <w:rPr>
          <w:sz w:val="22"/>
        </w:rPr>
        <w:t xml:space="preserve">  </w:t>
      </w:r>
      <w:r>
        <w:rPr>
          <w:rFonts w:ascii="Calibri" w:hAnsi="Calibri"/>
          <w:b/>
          <w:color w:val="1A1A1A"/>
          <w:sz w:val="22"/>
        </w:rPr>
        <w:t>Hierarchy Through Size Contrast</w:t>
      </w:r>
    </w:p>
    <w:p>
      <w:pPr>
        <w:spacing w:before="20" w:after="60"/>
        <w:ind w:left="360"/>
      </w:pPr>
      <w:r>
        <w:rPr>
          <w:rFonts w:ascii="Calibri" w:hAnsi="Calibri"/>
          <w:color w:val="1A1A1A"/>
          <w:sz w:val="21"/>
        </w:rPr>
        <w:t>Combine a large Cormorant Garamond display line with a much smaller DM Sans body — the contrast IS the design. Scale difference should be dramatic, not subtle.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6.  Image Treatment</w:t>
      </w:r>
      <w:r>
        <w:bookmarkStart w:id="6" w:name="section6"/>
        <w:bookmarkEnd w:id="6"/>
      </w: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Photography Style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Subject: Architectural / geometric — spiral staircases, Geneva lakeside, Swiss precision imagery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Color palette of photos: neutral, cool, with warm highlights acceptable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NO stock photo clichés (no handshakes, no generic office shots)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PHI uses its own photography (phi-stairs series) — always prefer proprietary images</w:t>
      </w:r>
    </w:p>
    <w:p>
      <w:pPr>
        <w:spacing w:before="0" w:after="6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Overlay Technique — Desktop (Left-to-Right)</w:t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Used on the hero section. The goal is to keep the photo vivid on the right while creating a dark, legible text zone on the left.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Source photo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Original color photo — NO desaturation, NO duotone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Overlay 1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Left solid teal (#1b3f3f) covering 15–20% of width → hard cut → smooth gradient fading to transparent at ~75%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Overlay 2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Bottom dark teal fade: bottom 25% fades from transparent to near-solid #0f2626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Result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Photo vivid and clear on right; text zone dark and legible on left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Overlay Technique — Mobile (Top-to-Bottom)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Zone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Treatment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0–50%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Pure photo, no overlay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50–80%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Gradient fading in to 95% teal (#1b3f3f) opacity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80%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Hard cut → solid main teal (#1b3f3f)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90%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65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Hard cut → solid footer dark (#0f2626)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Duotone Technique (Blog Cards, Quote Sections)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93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Step 1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93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Apply filter: grayscale(60%) brightness(1.1) to image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Step 2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93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Place a teal gradient overlay with mix-blend-mode: color at 50% opacity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Gradient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93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linear-gradient(150deg, #2a6565 0%, #1b3f3f 100%)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41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Result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93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Teal-tinted image that integrates seamlessly with brand palette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Hard Cut Technique</w:t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A "hard cut" is a pixel-sharp color band transition achieved by placing two CSS color stops at the same percentage:</w:t>
      </w:r>
    </w:p>
    <w:p>
      <w:pPr>
        <w:spacing w:before="60" w:after="60"/>
        <w:ind w:left="400"/>
        <w:pBdr>
          <w:left w:val="single" w:sz="8" w:space="6" w:color="1B3F3F"/>
        </w:pBdr>
      </w:pPr>
      <w:r>
        <w:rPr>
          <w:rFonts w:ascii="Courier New" w:hAnsi="Courier New"/>
          <w:color w:val="1B3F3F"/>
          <w:sz w:val="19"/>
        </w:rPr>
        <w:t>rgba(27,63,63,1.00) 80%, rgba(15,38,38,1.00) 80%</w:t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Used to create distinct color zones echoing the nav band structure.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7.  UI Components</w:t>
      </w:r>
      <w:r>
        <w:bookmarkStart w:id="7" w:name="section7"/>
        <w:bookmarkEnd w:id="7"/>
      </w: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Section Label (Eyebrow)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Font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DM Sans, 11px, uppercase, letter-spacing 0.12em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Color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#1b3f3f (white on dark backgrounds)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Accent element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34px × 2px red (#ef3a24) horizontal line below the label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Margin below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~13px before H2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Buttons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Text</w:t>
            </w:r>
          </w:p>
        </w:tc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Border</w:t>
            </w:r>
          </w:p>
        </w:tc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Radius</w:t>
            </w:r>
          </w:p>
        </w:tc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Padding</w:t>
            </w:r>
          </w:p>
        </w:tc>
        <w:tc>
          <w:tcPr>
            <w:tcW w:type="dxa" w:w="129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963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Hover</w:t>
            </w:r>
          </w:p>
        </w:tc>
      </w:tr>
      <w:tr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Primary (dark bg)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Teal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None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50px (pill)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16px × 34px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96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Red bg + red glow shadow</w:t>
            </w:r>
          </w:p>
        </w:tc>
      </w:tr>
      <w:tr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Ghost / Secondary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Transparent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 at 55%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1.5px white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50px (pill)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16px × 34px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96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Border brightens to 100%</w:t>
            </w:r>
          </w:p>
        </w:tc>
      </w:tr>
      <w:tr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Outline (light bg)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Transparent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Teal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36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1px teal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None (rect)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24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14px × 28px</w:t>
            </w:r>
          </w:p>
        </w:tc>
        <w:tc>
          <w:tcPr>
            <w:tcW w:type="dxa" w:w="129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963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Teal fill</w:t>
            </w:r>
          </w:p>
        </w:tc>
      </w:tr>
    </w:tbl>
    <w:p>
      <w:pPr>
        <w:spacing w:before="0" w:after="0"/>
      </w:pPr>
    </w:p>
    <w:p>
      <w:pPr>
        <w:spacing w:before="40" w:after="60"/>
        <w:pBdr>
          <w:left w:val="single" w:sz="12" w:space="6" w:color="EF3A24"/>
        </w:pBdr>
        <w:ind w:left="200"/>
      </w:pPr>
      <w:r>
        <w:rPr>
          <w:rFonts w:ascii="Calibri" w:hAnsi="Calibri"/>
          <w:i/>
          <w:color w:val="555555"/>
          <w:sz w:val="19"/>
        </w:rPr>
        <w:t>All button text: 13px DM Sans, UPPERCASE, letter-spacing 0.08em. Never use sentence case on buttons.</w:t>
      </w:r>
    </w:p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Cards (Why PHI, Blog)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Border top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1px solid rgba(27,63,63,0.12) + 34px × 2px red accent line above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Background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 (or off-white #f8f6f2 on off-white sections = white card)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Drop shadow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None — border only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Link style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Uppercase 11px DM Sans with → arrow, teal color, border-bottom on hover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FAQ Accordion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Toggle icon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Bare +/− character (no circle, no box) — 22px, weight 300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Closed state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Normal weight question text, no border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Open state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2px red (#ef3a24) left border on entire item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Open state text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Question text weight increases to 500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Animation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Max-height transition for smooth open/close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Navigation — Desktop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Behavior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Fixed, transparent on hero → solid teal (#1b3f3f) on scroll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Logo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"PHI" in Cormorant Garamond italic + "FIDUCIAIRE" in DM Sans small caps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Nav links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13px DM Sans, white at 75% opacity, sentence case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CTA button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Outlined, white border, ghost style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Phone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Visible on desktop nav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Navigation — Mobile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Band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Height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72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Band 1 (top)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34px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72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#0f2626 (Footer Dark)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Centered logo wordmark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81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Band 2 (bottom)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13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55px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72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368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Hamburger (left) + CTA button (right)</w:t>
            </w:r>
          </w:p>
        </w:tc>
      </w:tr>
    </w:tbl>
    <w:p>
      <w:pPr>
        <w:spacing w:before="0" w:after="0"/>
      </w:pPr>
    </w:p>
    <w:p>
      <w:pPr>
        <w:spacing w:before="40" w:after="60"/>
        <w:pBdr>
          <w:left w:val="single" w:sz="12" w:space="6" w:color="EF3A24"/>
        </w:pBdr>
        <w:ind w:left="200"/>
      </w:pPr>
      <w:r>
        <w:rPr>
          <w:rFonts w:ascii="Calibri" w:hAnsi="Calibri"/>
          <w:i/>
          <w:color w:val="555555"/>
          <w:sz w:val="19"/>
        </w:rPr>
        <w:t>CTA button icon: User/person icon in red (#ef3a24), thin stroke 1.5px. The two-band mobile nav mirrors the Fibonacci band rhythm (34 / 55).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8.  Section Visual Language</w:t>
      </w:r>
      <w:r>
        <w:bookmarkStart w:id="8" w:name="section8"/>
        <w:bookmarkEnd w:id="8"/>
      </w:r>
    </w:p>
    <w:p>
      <w:pPr>
        <w:spacing w:before="40" w:after="80"/>
      </w:pPr>
      <w:r>
        <w:rPr>
          <w:rFonts w:ascii="Calibri" w:hAnsi="Calibri"/>
          <w:i w:val="0"/>
          <w:color w:val="1A1A1A"/>
          <w:sz w:val="21"/>
        </w:rPr>
        <w:t>Each page section has a distinct visual identity. No two sections should look the same. Below is the master reference for section treatments.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Visual</w:t>
            </w:r>
          </w:p>
        </w:tc>
        <w:tc>
          <w:tcPr>
            <w:tcW w:type="dxa" w:w="2268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Hero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Full-bleed photo + directional overlay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Spiral staircase or architectural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Left/bottom gradient; text bottom-left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Services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Ghost φ numbers behind cards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3-column grid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Why PHI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40/60 header split + 3-col cards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Red accent line per card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Pricing Teaser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Full-bleed water photo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Left solid dark band (15%) + gradient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Mirabaud-style treatment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Local SEO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Left: rich text; Right: teal map + NAP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2-column layout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FAQ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Accordion; red left border on open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No decorative elements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Blog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Off-white (#f8f6f2)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 cards; duotone images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3-col grid, 34px gap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Final CTA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Full-bleed landscape photo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Ghost φ; left-gradient dark overlay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Single white CTA button</w:t>
            </w:r>
          </w:p>
        </w:tc>
      </w:tr>
      <w:tr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70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Footer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Footer dark (#0f2626)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4-column layout</w:t>
            </w:r>
          </w:p>
        </w:tc>
        <w:tc>
          <w:tcPr>
            <w:tcW w:type="dxa" w:w="2268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 text on dark</w:t>
            </w:r>
          </w:p>
        </w:tc>
      </w:tr>
    </w:tbl>
    <w:p>
      <w:pPr>
        <w:spacing w:before="0" w:after="80"/>
      </w:pPr>
    </w:p>
    <w:p>
      <w:pPr>
        <w:spacing w:before="40" w:after="60"/>
        <w:pBdr>
          <w:left w:val="single" w:sz="12" w:space="6" w:color="EF3A24"/>
        </w:pBdr>
        <w:ind w:left="200"/>
      </w:pPr>
      <w:r>
        <w:rPr>
          <w:rFonts w:ascii="Calibri" w:hAnsi="Calibri"/>
          <w:i/>
          <w:color w:val="555555"/>
          <w:sz w:val="19"/>
        </w:rPr>
        <w:t>The ghost φ texture (Cormorant Garamond, ~500px, 2–3% opacity on dark sections) is reserved exclusively for the Final CTA section. Never apply it to more than one section per page.</w:t>
      </w:r>
    </w:p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9.  Applications — Carousels &amp; GMB Posts</w:t>
      </w:r>
      <w:r>
        <w:bookmarkStart w:id="9" w:name="section9"/>
        <w:bookmarkEnd w:id="9"/>
      </w: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Carousel Slides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Format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1080×1080px (square) or 1080×1350px (portrait)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Safe zone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80px margin on all sides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Typography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Cormorant Garamond for headline; DM Sans for body/caption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Red accent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Max 1–2 uses per slide (label line OR small divider, not both)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Slide structure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Label (eyebrow) → Headline → Body → CTA or stat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Consistency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First and last slide must use brand teal (#1b3f3f) background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1A1A1A"/>
          <w:sz w:val="24"/>
        </w:rPr>
        <w:t>Background Options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Solid #1b3f3f with ghost φ texture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Photo with left-to-right or bottom overlay (same technique as hero)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Off-white #f8f6f2 for light slides</w:t>
      </w:r>
    </w:p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GMB (Google Business Profile) Posts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Format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1200×900px landscape or 1080×1080px square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Wordmark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PHI Fiduciaire wordmark: bottom-right or bottom-center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Tone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Professional, informative, local — never salesy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Image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Brand photography or teal-overlaid architectural photos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Text on image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Maximum 20% of image area (Google guideline)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268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Color lead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087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Teal (#1b3f3f) primary; red (#ef3a24) sparingly as accent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Social Media General Rules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Typography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Never use fonts other than Cormorant Garamond + DM Sans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Color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Never use colors outside the brand palette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φ presence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Always include the φ in some form: wordmark, ghost texture, or explicit reference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1984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Whitespace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7371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Maintain generous whitespace principle — never crowd the frame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00"/>
        <w:pBdr>
          <w:top w:val="single" w:sz="6" w:space="4" w:color="EF3A24"/>
        </w:pBdr>
      </w:pPr>
      <w:r>
        <w:rPr>
          <w:rFonts w:ascii="Garamond" w:hAnsi="Garamond"/>
          <w:b/>
          <w:color w:val="1B3F3F"/>
          <w:sz w:val="44"/>
        </w:rPr>
        <w:t>10. Document Notes</w:t>
      </w:r>
      <w:r>
        <w:bookmarkStart w:id="10" w:name="section10"/>
        <w:bookmarkEnd w:id="10"/>
      </w: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Version Information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536"/>
            <w:shd w:val="clear" w:color="auto" w:fill="1B3F3F"/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Document version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v1.0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Date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Mars 2026</w:t>
            </w:r>
          </w:p>
        </w:tc>
      </w:tr>
      <w:tr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Status</w:t>
            </w:r>
          </w:p>
        </w:tc>
        <w:tc>
          <w:tcPr>
            <w:tcW w:type="dxa" w:w="4536"/>
            <w:shd w:val="clear" w:color="auto" w:fill="F2F8F8"/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Living brief — will be updated as visual identity evolves</w:t>
            </w:r>
          </w:p>
        </w:tc>
      </w:tr>
      <w:tr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2835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Primary reference implementation</w:t>
            </w:r>
          </w:p>
        </w:tc>
        <w:tc>
          <w:tcPr>
            <w:tcW w:type="dxa" w:w="453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W w:w="6520" w:type="dxa"/>
            <w:vAlign w:val="center"/>
          </w:tcPr>
          <w:p>
            <w:r>
              <w:rPr>
                <w:rFonts w:ascii="Calibri" w:hAnsi="Calibri"/>
                <w:color w:val="1A1A1A"/>
                <w:sz w:val="19"/>
              </w:rPr>
              <w:t>https://noxuulab.github.io/phi-fiduciaire-design/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Garamond" w:hAnsi="Garamond"/>
          <w:b/>
          <w:color w:val="1B3F3F"/>
          <w:sz w:val="32"/>
        </w:rPr>
        <w:t>Usage Policy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This document is the single source of truth for all PHI Fiduciaire visual communications.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Any deviation from these guidelines requires written approval.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Third-party vendors, designers, and agencies must receive this guide before beginning any work.</w:t>
      </w:r>
    </w:p>
    <w:p>
      <w:pPr>
        <w:pStyle w:val="ListBullet"/>
        <w:spacing w:before="30" w:after="30"/>
      </w:pPr>
      <w:r>
        <w:rPr>
          <w:rFonts w:ascii="Calibri" w:hAnsi="Calibri"/>
          <w:color w:val="1A1A1A"/>
          <w:sz w:val="21"/>
        </w:rPr>
        <w:t>Digital assets (logo files, color palettes, font licenses) are maintained separately and available upon request.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B3F3F"/>
            <w:tcW w:w="9355" w:type="dxa"/>
            <w:tcMar>
              <w:top w:w="400" w:type="dxa"/>
              <w:bottom w:w="400" w:type="dxa"/>
              <w:left w:w="500" w:type="dxa"/>
              <w:right w:w="500" w:type="dxa"/>
            </w:tcMar>
          </w:tcPr>
          <w:p>
            <w:pPr>
              <w:jc w:val="center"/>
            </w:pPr>
            <w:r>
              <w:rPr>
                <w:rFonts w:ascii="Garamond" w:hAnsi="Garamond"/>
                <w:i/>
                <w:color w:val="FFFFFF"/>
                <w:sz w:val="40"/>
              </w:rPr>
              <w:t>PHI Fiduciaire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CCDDDD"/>
                <w:sz w:val="24"/>
              </w:rPr>
              <w:t>“La rigueur suisse. L’expertise genevoise.”</w:t>
            </w:r>
          </w:p>
          <w:p>
            <w:pPr>
              <w:jc w:val="center"/>
            </w:pPr>
            <w:r>
              <w:rPr>
                <w:rFonts w:ascii="Calibri" w:hAnsi="Calibri"/>
                <w:color w:val="99BBBB"/>
                <w:sz w:val="17"/>
              </w:rPr>
              <w:t>Brand Style Guide v1.0 — Mars 2026 — Strictly Confidential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