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360" w:after="240"/>
        <w:rPr>
          <w:sz w:val="18"/>
          <w:szCs w:val="18"/>
        </w:rPr>
      </w:pPr>
      <w:r>
        <w:rPr>
          <w:i/>
          <w:iCs/>
        </w:rPr>
        <w:t xml:space="preserve">Customizable methodology for structured analysis of software within isolated computational environments </w:t>
      </w:r>
      <w:r>
        <w:rPr>
          <w:i/>
          <w:iCs/>
          <w:shd w:fill="auto" w:val="clear"/>
        </w:rPr>
        <w:t>to secure critical IT infrastructures</w:t>
      </w:r>
    </w:p>
    <w:tbl>
      <w:tblPr>
        <w:tblW w:w="9857" w:type="dxa"/>
        <w:jc w:val="left"/>
        <w:tblInd w:w="0" w:type="dxa"/>
        <w:tblLayout w:type="fixed"/>
        <w:tblCellMar>
          <w:top w:w="0" w:type="dxa"/>
          <w:left w:w="108" w:type="dxa"/>
          <w:bottom w:w="0" w:type="dxa"/>
          <w:right w:w="108" w:type="dxa"/>
        </w:tblCellMar>
      </w:tblPr>
      <w:tblGrid>
        <w:gridCol w:w="3285"/>
        <w:gridCol w:w="3286"/>
        <w:gridCol w:w="3286"/>
      </w:tblGrid>
      <w:tr>
        <w:trPr/>
        <w:tc>
          <w:tcPr>
            <w:tcW w:w="3285" w:type="dxa"/>
            <w:tcBorders/>
          </w:tcPr>
          <w:p>
            <w:pPr>
              <w:pStyle w:val="Author"/>
              <w:rPr>
                <w:sz w:val="18"/>
                <w:szCs w:val="18"/>
              </w:rPr>
            </w:pPr>
            <w:r>
              <w:rPr>
                <w:sz w:val="18"/>
                <w:szCs w:val="18"/>
              </w:rPr>
              <w:t>1</w:t>
            </w:r>
            <w:r>
              <w:rPr>
                <w:sz w:val="18"/>
                <w:szCs w:val="18"/>
                <w:vertAlign w:val="superscript"/>
              </w:rPr>
              <w:t>st</w:t>
            </w:r>
            <w:r>
              <w:rPr>
                <w:sz w:val="18"/>
                <w:szCs w:val="18"/>
              </w:rPr>
              <w:t xml:space="preserve"> Noyan Tendikov</w:t>
              <w:br/>
            </w:r>
            <w:r>
              <w:rPr>
                <w:i/>
                <w:sz w:val="18"/>
                <w:szCs w:val="18"/>
              </w:rPr>
              <w:t>School of Cybersecurity</w:t>
            </w:r>
            <w:r>
              <w:rPr>
                <w:sz w:val="18"/>
                <w:szCs w:val="18"/>
              </w:rPr>
              <w:br/>
            </w:r>
            <w:r>
              <w:rPr>
                <w:i/>
                <w:iCs/>
                <w:sz w:val="18"/>
                <w:szCs w:val="18"/>
              </w:rPr>
              <w:t>Astana IT University</w:t>
            </w:r>
            <w:r>
              <w:rPr>
                <w:i/>
                <w:sz w:val="18"/>
                <w:szCs w:val="18"/>
              </w:rPr>
              <w:br/>
            </w:r>
            <w:r>
              <w:rPr>
                <w:i w:val="false"/>
                <w:iCs w:val="false"/>
                <w:sz w:val="18"/>
                <w:szCs w:val="18"/>
              </w:rPr>
              <w:t>Astana, Kazakhstan</w:t>
            </w:r>
            <w:r>
              <w:rPr>
                <w:sz w:val="18"/>
                <w:szCs w:val="18"/>
              </w:rPr>
              <w:br/>
              <w:t>242710@astanait.edu.kz</w:t>
            </w:r>
          </w:p>
          <w:p>
            <w:pPr>
              <w:pStyle w:val="Author"/>
              <w:rPr>
                <w:sz w:val="18"/>
                <w:szCs w:val="18"/>
              </w:rPr>
            </w:pPr>
            <w:r>
              <w:rPr>
                <w:sz w:val="18"/>
                <w:szCs w:val="18"/>
              </w:rPr>
              <w:t>ORCID: 0009-0009-7251-8830</w:t>
            </w:r>
          </w:p>
        </w:tc>
        <w:tc>
          <w:tcPr>
            <w:tcW w:w="3286" w:type="dxa"/>
            <w:tcBorders/>
          </w:tcPr>
          <w:p>
            <w:pPr>
              <w:pStyle w:val="Author"/>
              <w:rPr>
                <w:sz w:val="18"/>
                <w:szCs w:val="18"/>
              </w:rPr>
            </w:pPr>
            <w:r>
              <w:rPr>
                <w:sz w:val="18"/>
                <w:szCs w:val="18"/>
              </w:rPr>
              <w:t>2</w:t>
            </w:r>
            <w:r>
              <w:rPr>
                <w:sz w:val="18"/>
                <w:szCs w:val="18"/>
                <w:vertAlign w:val="superscript"/>
              </w:rPr>
              <w:t>nd</w:t>
            </w:r>
            <w:r>
              <w:rPr>
                <w:sz w:val="18"/>
                <w:szCs w:val="18"/>
              </w:rPr>
              <w:t xml:space="preserve"> Rostyslav Lisnevskyi</w:t>
              <w:br/>
            </w:r>
            <w:r>
              <w:rPr>
                <w:i/>
                <w:sz w:val="18"/>
                <w:szCs w:val="18"/>
              </w:rPr>
              <w:t>School of Cybersecurity</w:t>
            </w:r>
            <w:r>
              <w:rPr>
                <w:sz w:val="18"/>
                <w:szCs w:val="18"/>
              </w:rPr>
              <w:br/>
            </w:r>
            <w:r>
              <w:rPr>
                <w:i/>
                <w:iCs/>
                <w:sz w:val="18"/>
                <w:szCs w:val="18"/>
              </w:rPr>
              <w:t>Astana IT University</w:t>
            </w:r>
            <w:r>
              <w:rPr>
                <w:i/>
                <w:sz w:val="18"/>
                <w:szCs w:val="18"/>
              </w:rPr>
              <w:br/>
            </w:r>
            <w:r>
              <w:rPr>
                <w:i w:val="false"/>
                <w:iCs w:val="false"/>
                <w:sz w:val="18"/>
                <w:szCs w:val="18"/>
              </w:rPr>
              <w:t>Astana, Kazakhstan</w:t>
            </w:r>
            <w:r>
              <w:rPr>
                <w:sz w:val="18"/>
                <w:szCs w:val="18"/>
              </w:rPr>
              <w:br/>
              <w:t>rostyslav.lisnevskyi@astanait.edu.kz</w:t>
            </w:r>
          </w:p>
          <w:p>
            <w:pPr>
              <w:pStyle w:val="Author"/>
              <w:rPr>
                <w:sz w:val="18"/>
                <w:szCs w:val="18"/>
              </w:rPr>
            </w:pPr>
            <w:r>
              <w:rPr>
                <w:sz w:val="18"/>
                <w:szCs w:val="18"/>
              </w:rPr>
              <w:t>ORCID: 0000-0002-9006-6366</w:t>
            </w:r>
          </w:p>
        </w:tc>
        <w:tc>
          <w:tcPr>
            <w:tcW w:w="3286" w:type="dxa"/>
            <w:tcBorders/>
          </w:tcPr>
          <w:p>
            <w:pPr>
              <w:pStyle w:val="Author"/>
              <w:rPr>
                <w:sz w:val="18"/>
                <w:szCs w:val="18"/>
              </w:rPr>
            </w:pPr>
            <w:r>
              <w:rPr>
                <w:sz w:val="18"/>
                <w:szCs w:val="18"/>
              </w:rPr>
              <w:t>3</w:t>
            </w:r>
            <w:r>
              <w:rPr>
                <w:sz w:val="18"/>
                <w:szCs w:val="18"/>
                <w:vertAlign w:val="superscript"/>
              </w:rPr>
              <w:t>rd</w:t>
            </w:r>
            <w:r>
              <w:rPr>
                <w:sz w:val="18"/>
                <w:szCs w:val="18"/>
              </w:rPr>
              <w:t xml:space="preserve"> Leila Rzayeva</w:t>
              <w:br/>
            </w:r>
            <w:r>
              <w:rPr>
                <w:i/>
                <w:sz w:val="18"/>
                <w:szCs w:val="18"/>
              </w:rPr>
              <w:t>School of Cybersecurity</w:t>
            </w:r>
            <w:r>
              <w:rPr>
                <w:sz w:val="18"/>
                <w:szCs w:val="18"/>
              </w:rPr>
              <w:br/>
            </w:r>
            <w:r>
              <w:rPr>
                <w:i/>
                <w:iCs/>
                <w:sz w:val="18"/>
                <w:szCs w:val="18"/>
              </w:rPr>
              <w:t>Astana IT University</w:t>
            </w:r>
            <w:r>
              <w:rPr>
                <w:i/>
                <w:sz w:val="18"/>
                <w:szCs w:val="18"/>
              </w:rPr>
              <w:br/>
            </w:r>
            <w:r>
              <w:rPr>
                <w:i w:val="false"/>
                <w:iCs w:val="false"/>
                <w:sz w:val="18"/>
                <w:szCs w:val="18"/>
              </w:rPr>
              <w:t>Astana, Kazakhstan</w:t>
            </w:r>
            <w:r>
              <w:rPr>
                <w:sz w:val="18"/>
                <w:szCs w:val="18"/>
              </w:rPr>
              <w:br/>
              <w:t>l.rzayeva@astanait.edu.kz</w:t>
            </w:r>
          </w:p>
          <w:p>
            <w:pPr>
              <w:pStyle w:val="Author"/>
              <w:rPr>
                <w:sz w:val="18"/>
                <w:szCs w:val="18"/>
              </w:rPr>
            </w:pPr>
            <w:r>
              <w:rPr>
                <w:sz w:val="18"/>
                <w:szCs w:val="18"/>
              </w:rPr>
              <w:t>ORCID: 0000-0002-3382-4685</w:t>
            </w:r>
          </w:p>
        </w:tc>
      </w:tr>
    </w:tbl>
    <w:p>
      <w:pPr>
        <w:sectPr>
          <w:headerReference w:type="default" r:id="rId2"/>
          <w:headerReference w:type="first" r:id="rId3"/>
          <w:footerReference w:type="default" r:id="rId4"/>
          <w:footerReference w:type="first" r:id="rId5"/>
          <w:type w:val="nextPage"/>
          <w:pgSz w:w="11906" w:h="16838"/>
          <w:pgMar w:left="1134" w:right="1134" w:gutter="0" w:header="964" w:top="1077" w:footer="1247" w:bottom="2438"/>
          <w:pgNumType w:fmt="decimal"/>
          <w:formProt w:val="false"/>
          <w:titlePg/>
          <w:textDirection w:val="lrTb"/>
          <w:docGrid w:type="default" w:linePitch="360" w:charSpace="0"/>
        </w:sectPr>
      </w:pPr>
    </w:p>
    <w:p>
      <w:pPr>
        <w:pStyle w:val="Normal"/>
        <w:numPr>
          <w:ilvl w:val="0"/>
          <w:numId w:val="0"/>
        </w:numPr>
        <w:rPr/>
      </w:pPr>
      <w:r>
        <w:rPr/>
      </w:r>
    </w:p>
    <w:p>
      <w:pPr>
        <w:sectPr>
          <w:type w:val="continuous"/>
          <w:pgSz w:w="11906" w:h="16838"/>
          <w:pgMar w:left="1134" w:right="1134" w:gutter="0" w:header="964" w:top="1077" w:footer="1247" w:bottom="2438"/>
          <w:formProt w:val="false"/>
          <w:titlePg/>
          <w:textDirection w:val="lrTb"/>
          <w:docGrid w:type="default" w:linePitch="360" w:charSpace="0"/>
        </w:sectPr>
      </w:pPr>
    </w:p>
    <w:p>
      <w:pPr>
        <w:pStyle w:val="Normal"/>
        <w:numPr>
          <w:ilvl w:val="0"/>
          <w:numId w:val="0"/>
        </w:numPr>
        <w:rPr/>
      </w:pPr>
      <w:r>
        <w:rPr/>
      </w:r>
    </w:p>
    <w:p>
      <w:pPr>
        <w:sectPr>
          <w:type w:val="continuous"/>
          <w:pgSz w:w="11906" w:h="16838"/>
          <w:pgMar w:left="1134" w:right="1134" w:gutter="0" w:header="964" w:top="1077" w:footer="1247" w:bottom="2438"/>
          <w:formProt w:val="false"/>
          <w:titlePg/>
          <w:textDirection w:val="lrTb"/>
          <w:docGrid w:type="default" w:linePitch="360" w:charSpace="0"/>
        </w:sectPr>
      </w:pPr>
    </w:p>
    <w:p>
      <w:pPr>
        <w:pStyle w:val="Abstract"/>
        <w:rPr>
          <w:shd w:fill="auto" w:val="clear"/>
        </w:rPr>
      </w:pPr>
      <w:r>
        <w:rPr>
          <w:rStyle w:val="StyleAbstractItalicChar"/>
          <w:rFonts w:eastAsia="SimSun;宋体"/>
          <w:b/>
          <w:bCs w:val="false"/>
          <w:shd w:fill="auto" w:val="clear"/>
        </w:rPr>
        <w:t>Abstract</w:t>
      </w:r>
      <w:r>
        <w:rPr>
          <w:shd w:fill="auto" w:val="clear"/>
        </w:rPr>
        <w:t>—Critical IT infrastructures are vulnerable to indirect attacks, in which malicious actors compromise them through their software dependencies and internal components. This research aims to explore this issue by focusing on software composition and its unification, extending the current approaches through a conceptual framework for preventive analysis of software in specialized isolated environments. Practical results in a simulated environment demonstrate the dynamics of compromised package propagation among various actors. Our findings suggest that adopting restrictive quality gates and isolated analysis environments is a necessary step to shift toward proactive prevention, effectively controlling the spread of malicious software and catching complex threats before they reach a production state.</w:t>
      </w:r>
    </w:p>
    <w:p>
      <w:pPr>
        <w:pStyle w:val="Abstract"/>
        <w:rPr>
          <w:shd w:fill="auto" w:val="clear"/>
        </w:rPr>
      </w:pPr>
      <w:r>
        <w:rPr>
          <w:shd w:fill="auto" w:val="clear"/>
        </w:rPr>
      </w:r>
    </w:p>
    <w:p>
      <w:pPr>
        <w:pStyle w:val="keywords"/>
        <w:rPr>
          <w:shd w:fill="auto" w:val="clear"/>
        </w:rPr>
      </w:pPr>
      <w:r>
        <w:rPr/>
        <w:t>Keywords—software supply chain; infrastructure-as-code; critical IT infrastructure; software composition analysis; software dependencies; software bill of materials; sandboxing; malware and binary analysis; digital twins; intelligent agents</w:t>
      </w:r>
    </w:p>
    <w:p>
      <w:pPr>
        <w:pStyle w:val="Heading1"/>
        <w:rPr/>
      </w:pPr>
      <w:r>
        <w:rPr>
          <w:shd w:fill="auto" w:val="clear"/>
        </w:rPr>
        <w:t>Introduction</w:t>
      </w:r>
    </w:p>
    <w:p>
      <w:pPr>
        <w:pStyle w:val="BodyText"/>
        <w:rPr/>
      </w:pPr>
      <w:r>
        <w:rPr/>
        <w:t xml:space="preserve">Modern cyber conflicts have escalated into a condition of constant cyberwar, driven by countless threats. Unlike traditional military conflicts, this warfare is taking place within a digital space and often goes unnoticed by the general public due to their lack of awareness and competence [1]. The current policy of major states is dictated by the principle of "peace through strength", prioritizing the rule of power over ethical considerations and international law. It leads to an intensified arms race between multiple actors, such as government agencies, armies, corporations, and private groups. Under these circumstances of ongoing confrontations between defenders and attackers, ensuring security is only a continuous process rather than an absolute guarantee </w:t>
      </w:r>
      <w:r>
        <w:rPr>
          <w:b w:val="false"/>
          <w:i w:val="false"/>
          <w:caps w:val="false"/>
          <w:smallCaps w:val="false"/>
          <w:position w:val="0"/>
          <w:sz w:val="20"/>
          <w:sz w:val="20"/>
          <w:u w:val="none"/>
          <w:vertAlign w:val="baseline"/>
        </w:rPr>
        <w:t>[2, pp. 4–6]</w:t>
      </w:r>
      <w:r>
        <w:rPr/>
        <w:t xml:space="preserve">. So, the industry of information technology (IT) should be engaged in systematic risk assessment and apply reactive patches as problems emerge, because the number of potential threats and vulnerabilities is inherently unknown and cannot be fully identified or eliminated upfront. Moreover, the increasing rate of automation and digitalization exposes associated risks for critical infrastructure, where their compromise could create dangerous situations and collateral damage for citizens </w:t>
      </w:r>
      <w:r>
        <w:rPr>
          <w:b w:val="false"/>
          <w:i w:val="false"/>
          <w:caps w:val="false"/>
          <w:smallCaps w:val="false"/>
          <w:position w:val="0"/>
          <w:sz w:val="20"/>
          <w:sz w:val="20"/>
          <w:u w:val="none"/>
          <w:vertAlign w:val="baseline"/>
        </w:rPr>
        <w:t>[3, pp. 1–2]</w:t>
      </w:r>
      <w:r>
        <w:rPr/>
        <w:t xml:space="preserve">. For example, CISA (the Cybersecurity and Infrastructure Security Agency of the USA) adopted a classification that identifies 16 critical infrastructure sectors, including the context of IT infrastructures </w:t>
      </w:r>
      <w:r>
        <w:rPr>
          <w:b w:val="false"/>
          <w:i w:val="false"/>
          <w:caps w:val="false"/>
          <w:smallCaps w:val="false"/>
          <w:position w:val="0"/>
          <w:sz w:val="20"/>
          <w:sz w:val="20"/>
          <w:u w:val="none"/>
          <w:vertAlign w:val="baseline"/>
        </w:rPr>
        <w:t>[4, pp. 6–7]</w:t>
      </w:r>
      <w:r>
        <w:rPr/>
        <w:t>. This sector is composed of corresponding services and assets (e.g., maintenance personnel, electricity, networks, equipment, hardware, software), providing an operational basis or computational environment to utilize for information systems (IS) [5].</w:t>
      </w:r>
    </w:p>
    <w:p>
      <w:pPr>
        <w:pStyle w:val="BodyText"/>
        <w:rPr/>
      </w:pPr>
      <w:r>
        <w:rPr/>
        <w:t xml:space="preserve">Fundamentally, attacks targeting critical IT infrastructure are driven by diverse motives and reasons, overlapping with other industries [6]. Historical events have already shown that conflicts of national interests might trigger a security breach on highly protected facilities (e.g., nuclear power plants) [7]. </w:t>
      </w:r>
      <w:r>
        <w:rPr>
          <w:shd w:fill="auto" w:val="clear"/>
        </w:rPr>
        <w:t>For instance, Riggs et al. examined statistics on global cyberattacks against critical infrastructure from 2006 to 2022 and developed a prediction model for the following 5 years that shows an exponential growth of incidents, particularly within the military sector [8]</w:t>
      </w:r>
      <w:r>
        <w:rPr/>
        <w:t>. Another factor that may escalate the situation is the growing trend around artificial intelligence (AI), which increases the demand on data centers, stimulating competitors and other third parties to compromise or abuse that computational power for their own benefit [9]. Additionally, the increasing interconnectivity of IS, especially through Internet of Things (IoT) devices, causes fragility by exposing multiple points of failure and allows malicious actors or even device manufacturers to gain remote access to them [10], [11].</w:t>
      </w:r>
    </w:p>
    <w:p>
      <w:pPr>
        <w:pStyle w:val="BodyText"/>
        <w:rPr>
          <w:shd w:fill="auto" w:val="clear"/>
        </w:rPr>
      </w:pPr>
      <w:r>
        <w:rPr/>
        <w:t>Therefore, this study attempts to construct security measures for the IT infrastructure, emphasizing the process of collecting and accounting of its internal resources or components for reliability and early insider threat prevention. Firstly, the literature review covers the historical development of IT infrastructure, complexity management, and issues with software composition, addressing current needs and challenges in the field. Secondly, the methodology specifies the hypotheses and provides a framework for conducting customizable analyses within sandboxed environments. Thirdly, the results part examines features of the proposed solution. Lastly, the conclusion summarizes findings and potential drafts for future work.</w:t>
      </w:r>
    </w:p>
    <w:p>
      <w:pPr>
        <w:pStyle w:val="Heading1"/>
        <w:rPr/>
      </w:pPr>
      <w:r>
        <w:rPr>
          <w:shd w:fill="auto" w:val="clear"/>
        </w:rPr>
        <w:t>Literature review</w:t>
      </w:r>
    </w:p>
    <w:p>
      <w:pPr>
        <w:pStyle w:val="Heading2"/>
        <w:rPr/>
      </w:pPr>
      <w:r>
        <w:rPr/>
        <w:t>Historical development of IT infrastructure</w:t>
      </w:r>
    </w:p>
    <w:p>
      <w:pPr>
        <w:pStyle w:val="BodyText"/>
        <w:rPr/>
      </w:pPr>
      <w:r>
        <w:rPr/>
        <w:t>The computing ecosystem and its service models have evolved gradually to on-premises and cloud paradigms, becoming increasingly commercialized to meet customer demands and scaling issues, as broadly represented in Figure 1.</w:t>
      </w:r>
    </w:p>
    <w:tbl>
      <w:tblPr>
        <w:tblW w:w="4729" w:type="dxa"/>
        <w:jc w:val="center"/>
        <w:tblInd w:w="0" w:type="dxa"/>
        <w:tblLayout w:type="fixed"/>
        <w:tblCellMar>
          <w:top w:w="0" w:type="dxa"/>
          <w:left w:w="108" w:type="dxa"/>
          <w:bottom w:w="0" w:type="dxa"/>
          <w:right w:w="108" w:type="dxa"/>
        </w:tblCellMar>
      </w:tblPr>
      <w:tblGrid>
        <w:gridCol w:w="4729"/>
      </w:tblGrid>
      <w:tr>
        <w:trPr>
          <w:trHeight w:val="2354" w:hRule="atLeast"/>
        </w:trPr>
        <w:tc>
          <w:tcPr>
            <w:tcW w:w="4729" w:type="dxa"/>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2">
                  <wp:simplePos x="0" y="0"/>
                  <wp:positionH relativeFrom="margin">
                    <wp:align>center</wp:align>
                  </wp:positionH>
                  <wp:positionV relativeFrom="paragraph">
                    <wp:posOffset>635</wp:posOffset>
                  </wp:positionV>
                  <wp:extent cx="2865120" cy="12979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6"/>
                          <a:srcRect l="-1" t="-3" r="-1" b="-3"/>
                          <a:stretch>
                            <a:fillRect/>
                          </a:stretch>
                        </pic:blipFill>
                        <pic:spPr bwMode="auto">
                          <a:xfrm>
                            <a:off x="0" y="0"/>
                            <a:ext cx="2865120" cy="1297940"/>
                          </a:xfrm>
                          <a:prstGeom prst="rect">
                            <a:avLst/>
                          </a:prstGeom>
                          <a:solidFill>
                            <a:srgbClr val="ffffff"/>
                          </a:solidFill>
                        </pic:spPr>
                      </pic:pic>
                    </a:graphicData>
                  </a:graphic>
                </wp:anchor>
              </w:drawing>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2865120" cy="12979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7"/>
                          <a:srcRect l="-1" t="-3" r="-1" b="-3"/>
                          <a:stretch>
                            <a:fillRect/>
                          </a:stretch>
                        </pic:blipFill>
                        <pic:spPr bwMode="auto">
                          <a:xfrm>
                            <a:off x="0" y="0"/>
                            <a:ext cx="2865120" cy="1297940"/>
                          </a:xfrm>
                          <a:prstGeom prst="rect">
                            <a:avLst/>
                          </a:prstGeom>
                          <a:solidFill>
                            <a:srgbClr val="ffffff"/>
                          </a:solidFill>
                        </pic:spPr>
                      </pic:pic>
                    </a:graphicData>
                  </a:graphic>
                </wp:anchor>
              </w:drawing>
            </w:r>
          </w:p>
        </w:tc>
      </w:tr>
      <w:tr>
        <w:trPr/>
        <w:tc>
          <w:tcPr>
            <w:tcW w:w="4729" w:type="dxa"/>
            <w:tcBorders/>
          </w:tcPr>
          <w:p>
            <w:pPr>
              <w:pStyle w:val="figurecaption"/>
              <w:numPr>
                <w:ilvl w:val="0"/>
                <w:numId w:val="5"/>
              </w:numPr>
              <w:spacing w:before="80" w:after="200"/>
              <w:ind w:hanging="0" w:left="0" w:right="0"/>
              <w:rPr/>
            </w:pPr>
            <w:r>
              <w:rPr/>
              <w:t>Developmental milestones of computing environments (VM - virtual machine; C - container; PaaS, IaaS, SaaS - external services): (1) Mainframe. (2) Cluster of servers. (3) Geographically distributed servers with virtualization (visually represented by color difference). (4) Hybrid approach with cloud services.</w:t>
            </w:r>
          </w:p>
        </w:tc>
      </w:tr>
    </w:tbl>
    <w:p>
      <w:pPr>
        <w:pStyle w:val="BodyText"/>
        <w:rPr>
          <w:shd w:fill="auto" w:val="clear"/>
        </w:rPr>
      </w:pPr>
      <w:r>
        <w:rPr/>
        <w:t xml:space="preserve">Initially, there were only mainframes that required dedicated teams for maintenance and performed at a highly mechanical level, so their bulkiness and slow speed enforced considerations for the adaptation of distributed computations [12, Sec. 3.1]. Fortunately, improvements in IT manufacturing significantly contributed to the emergence of dedicated servers that could be networked together in a modular way to provide scalability. Following this trend, virtualization moved beyond bare-metal deployments by allowing isolation layers to securely run multiple virtual machines (VMs) on shared hardware to significantly enhance the efficiency of resource utilization [13]. Eventually, increasing demand for international connectivity and economic globalization naturally formed large-scale data centers with a network of geographically distributed servers in order to optimize content delivery and processing </w:t>
      </w:r>
      <w:r>
        <w:rPr>
          <w:b w:val="false"/>
          <w:i w:val="false"/>
          <w:caps w:val="false"/>
          <w:smallCaps w:val="false"/>
          <w:position w:val="0"/>
          <w:sz w:val="20"/>
          <w:sz w:val="20"/>
          <w:u w:val="none"/>
          <w:vertAlign w:val="baseline"/>
        </w:rPr>
        <w:t>[12, pp. 9–11]</w:t>
      </w:r>
      <w:r>
        <w:rPr/>
        <w:t>.</w:t>
      </w:r>
    </w:p>
    <w:p>
      <w:pPr>
        <w:pStyle w:val="BodyText"/>
        <w:rPr>
          <w:shd w:fill="auto" w:val="clear"/>
        </w:rPr>
      </w:pPr>
      <w:r>
        <w:rPr>
          <w:shd w:fill="auto" w:val="clear"/>
        </w:rPr>
        <w:t xml:space="preserve">Nowadays, organizations can offload many responsibilities and parts of their IT infrastructure to the cloud and service providers, which abstract physical machines and offer instant on-demand resource provisioning and management, thereby reducing operational burdens via "as-a-service" models with specialized offerings [14, Sec. 3.3]. Because of this, modern software engineers often operate within high-level abstractions where a deep understanding of underlying hardware-software interdependence is no longer a strict prerequisite for facilitating general-purpose tasks. Such a service-based outsourcing approach still requires integrating and coordinating operations across delegated areas (e.g., security policies, privacy compliance, and external monitoring). </w:t>
      </w:r>
      <w:r>
        <w:rPr/>
        <w:t>Moreover, certain strategic systems (i.e., governmental and military) and their data are prohibited from being hosted in the public cloud due to secrecy laws and regional restrictions [14, Sec. 3.4].</w:t>
      </w:r>
    </w:p>
    <w:p>
      <w:pPr>
        <w:pStyle w:val="Heading2"/>
        <w:rPr/>
      </w:pPr>
      <w:r>
        <w:rPr>
          <w:shd w:fill="auto" w:val="clear"/>
        </w:rPr>
        <w:t>Complexity management with codification and modeling</w:t>
      </w:r>
    </w:p>
    <w:p>
      <w:pPr>
        <w:pStyle w:val="BodyText"/>
        <w:rPr/>
      </w:pPr>
      <w:r>
        <w:rPr/>
        <w:t xml:space="preserve">As the sector of IT infrastructure has expanded, its complexity and associated challenges have emerged accordingly. Nonetheless, this complexity has become the primary factor for the process automation against manual, repetitive, and impractical operations. Therefore, automation and orchestration are no longer optional - they are critical for leveraging fully scalable and reliable systems from a strategic perspective. One of the natural strategies for complexity management is code. The process of codification captures procedures, routines, or algorithms of actions in a textual format </w:t>
      </w:r>
      <w:r>
        <w:rPr>
          <w:b w:val="false"/>
          <w:i w:val="false"/>
          <w:caps w:val="false"/>
          <w:smallCaps w:val="false"/>
          <w:position w:val="0"/>
          <w:sz w:val="20"/>
          <w:sz w:val="20"/>
          <w:u w:val="none"/>
          <w:vertAlign w:val="baseline"/>
        </w:rPr>
        <w:t>[15, pp. 1–2]</w:t>
      </w:r>
      <w:r>
        <w:rPr/>
        <w:t xml:space="preserve">. For example, Chuprikov et al. propose specifying security policies in IT systems in the form of domain specific language (DSL) that can be run within an execution engine [16]. </w:t>
      </w:r>
      <w:r>
        <w:rPr>
          <w:shd w:fill="auto" w:val="clear"/>
        </w:rPr>
        <w:t xml:space="preserve">Codification also established the paradigm of Infrastructure-as-Code (IaC), which is focused on specifying and maintaining the state and content of IT infrastructures within self-documenting code (structured files with  metadata, configurations, and procedures) with emphasis on provisioning reproducibility and transparent modifications </w:t>
      </w:r>
      <w:r>
        <w:rPr/>
        <w:t xml:space="preserve">[17]. </w:t>
      </w:r>
      <w:r>
        <w:rPr>
          <w:shd w:fill="auto" w:val="clear"/>
        </w:rPr>
        <w:t>This approach minimizes human errors and establishes immutable infrastructure using the phoenix model, allowing any server instance to be recreated from code without losing critical configurations. Thus, it eliminates the existence of snowflake servers, which are deviated systems with configuration drift and unpredictability due to their manual modification and a lack of documentation [18, Ch. 2].</w:t>
      </w:r>
    </w:p>
    <w:p>
      <w:pPr>
        <w:pStyle w:val="BodyText"/>
        <w:rPr>
          <w:shd w:fill="auto" w:val="clear"/>
        </w:rPr>
      </w:pPr>
      <w:r>
        <w:rPr/>
        <w:t>IaC operations are managed by system administrators, DevOps teams (Development and Operations), SREs (Site Reliability Engineers), or IT professionals. They utilize IaC to</w:t>
      </w:r>
      <w:r>
        <w:rPr>
          <w:shd w:fill="auto" w:val="clear"/>
        </w:rPr>
        <w:t>olkits based on a spectrum of paradigms:</w:t>
      </w:r>
    </w:p>
    <w:p>
      <w:pPr>
        <w:pStyle w:val="bulletlist"/>
        <w:numPr>
          <w:ilvl w:val="0"/>
          <w:numId w:val="3"/>
        </w:numPr>
        <w:rPr>
          <w:shd w:fill="auto" w:val="clear"/>
        </w:rPr>
      </w:pPr>
      <w:r>
        <w:rPr>
          <w:shd w:fill="auto" w:val="clear"/>
        </w:rPr>
        <w:t>Imperative describes the process of achieving the target state via scripting languages and native shell scripts.</w:t>
      </w:r>
    </w:p>
    <w:p>
      <w:pPr>
        <w:pStyle w:val="bulletlist"/>
        <w:numPr>
          <w:ilvl w:val="0"/>
          <w:numId w:val="3"/>
        </w:numPr>
        <w:rPr>
          <w:shd w:fill="auto" w:val="clear"/>
        </w:rPr>
      </w:pPr>
      <w:r>
        <w:rPr>
          <w:shd w:fill="auto" w:val="clear"/>
        </w:rPr>
        <w:t>Declarative describes the final target state using definition files, configurations, and manifests.</w:t>
      </w:r>
    </w:p>
    <w:p>
      <w:pPr>
        <w:pStyle w:val="BodyText"/>
        <w:ind w:hanging="0" w:right="0"/>
        <w:rPr/>
      </w:pPr>
      <w:r>
        <w:rPr>
          <w:shd w:fill="auto" w:val="clear"/>
        </w:rPr>
        <w:t>Usually, declarative ones (e.g., Terraform, Nix, Ansible) are implemented internally via general-purpose languages, but using configurations as application programming interfaces (APIs) [18, Ch. 4]. Fo</w:t>
      </w:r>
      <w:r>
        <w:rPr/>
        <w:t>r example, containerization tools like Docker use Dockerfiles to define application dependencies and versions, while the runtime builds a container with artifacts according to specified requirements, as shown in Figure 2.</w:t>
      </w:r>
    </w:p>
    <w:tbl>
      <w:tblPr>
        <w:tblW w:w="4729" w:type="dxa"/>
        <w:jc w:val="center"/>
        <w:tblInd w:w="0" w:type="dxa"/>
        <w:tblLayout w:type="fixed"/>
        <w:tblCellMar>
          <w:top w:w="0" w:type="dxa"/>
          <w:left w:w="108" w:type="dxa"/>
          <w:bottom w:w="0" w:type="dxa"/>
          <w:right w:w="108" w:type="dxa"/>
        </w:tblCellMar>
      </w:tblPr>
      <w:tblGrid>
        <w:gridCol w:w="4729"/>
      </w:tblGrid>
      <w:tr>
        <w:trPr>
          <w:trHeight w:val="1905" w:hRule="atLeast"/>
        </w:trPr>
        <w:tc>
          <w:tcPr>
            <w:tcW w:w="4729" w:type="dxa"/>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4">
                  <wp:simplePos x="0" y="0"/>
                  <wp:positionH relativeFrom="margin">
                    <wp:align>center</wp:align>
                  </wp:positionH>
                  <wp:positionV relativeFrom="paragraph">
                    <wp:posOffset>635</wp:posOffset>
                  </wp:positionV>
                  <wp:extent cx="2865120" cy="12979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8"/>
                          <a:srcRect l="-1" t="-3" r="-1" b="-3"/>
                          <a:stretch>
                            <a:fillRect/>
                          </a:stretch>
                        </pic:blipFill>
                        <pic:spPr bwMode="auto">
                          <a:xfrm>
                            <a:off x="0" y="0"/>
                            <a:ext cx="2865120" cy="1297940"/>
                          </a:xfrm>
                          <a:prstGeom prst="rect">
                            <a:avLst/>
                          </a:prstGeom>
                          <a:solidFill>
                            <a:srgbClr val="ffffff"/>
                          </a:solidFill>
                        </pic:spPr>
                      </pic:pic>
                    </a:graphicData>
                  </a:graphic>
                </wp:anchor>
              </w:drawing>
            </w:r>
          </w:p>
        </w:tc>
      </w:tr>
      <w:tr>
        <w:trPr/>
        <w:tc>
          <w:tcPr>
            <w:tcW w:w="4729" w:type="dxa"/>
            <w:tcBorders/>
          </w:tcPr>
          <w:p>
            <w:pPr>
              <w:pStyle w:val="figurecaption"/>
              <w:numPr>
                <w:ilvl w:val="0"/>
                <w:numId w:val="5"/>
              </w:numPr>
              <w:spacing w:before="80" w:after="200"/>
              <w:ind w:hanging="0" w:left="0" w:right="0"/>
              <w:rPr/>
            </w:pPr>
            <w:r>
              <w:rPr/>
              <w:t>Processes of applying changes to servers: (1) Manually or with simple scripts by following separate documentation. (2) IaC pipeline as a self-documenting system.</w:t>
            </w:r>
          </w:p>
        </w:tc>
      </w:tr>
    </w:tbl>
    <w:p>
      <w:pPr>
        <w:pStyle w:val="BodyText"/>
        <w:rPr>
          <w:shd w:fill="auto" w:val="clear"/>
        </w:rPr>
      </w:pPr>
      <w:r>
        <w:rPr/>
        <w:t xml:space="preserve">Any IaC file should be proceeded through the continuous integration and continuous delivery (CI/CD) pipeline, which maintains safe deployment by runtime verification tests within simulated conditions for dynamic analysis and automated scans with validation checks of the codebase for static analysis </w:t>
      </w:r>
      <w:r>
        <w:rPr>
          <w:b w:val="false"/>
          <w:i w:val="false"/>
          <w:caps w:val="false"/>
          <w:smallCaps w:val="false"/>
          <w:position w:val="0"/>
          <w:sz w:val="20"/>
          <w:sz w:val="20"/>
          <w:u w:val="none"/>
          <w:vertAlign w:val="baseline"/>
        </w:rPr>
        <w:t>[19, pp. 9–10]</w:t>
      </w:r>
      <w:r>
        <w:rPr/>
        <w:t xml:space="preserve">. According to Saavedra et al., incorporating intermediate representation (IR) and source-to-source translation into IaC static analysis facilitates the development of language-agnostic methods that can be ported to any IaC format [20]. </w:t>
      </w:r>
      <w:r>
        <w:rPr>
          <w:shd w:fill="auto" w:val="clear"/>
        </w:rPr>
        <w:t>So, IT specialists emphasize that IaC codebases should be maintained in accordance with secure coding standards on a regular basis (e.g., ISO/IEC series, NIST frameworks, etc.) [21].</w:t>
      </w:r>
    </w:p>
    <w:p>
      <w:pPr>
        <w:pStyle w:val="BodyText"/>
        <w:rPr/>
      </w:pPr>
      <w:r>
        <w:rPr>
          <w:shd w:fill="auto" w:val="clear"/>
        </w:rPr>
        <w:t>Sandobalin et al. examined the advisability of using IaC modeling tools by training control groups of computer science students on Argon and Ansible [22].</w:t>
      </w:r>
      <w:r>
        <w:rPr/>
        <w:t xml:space="preserve"> The research showed that Argon, as a visual toolkit, is easier to learn and can abstract complexity as a thin layer above existing IaC configuration formats </w:t>
      </w:r>
      <w:r>
        <w:rPr>
          <w:b w:val="false"/>
          <w:i w:val="false"/>
          <w:caps w:val="false"/>
          <w:smallCaps w:val="false"/>
          <w:position w:val="0"/>
          <w:sz w:val="20"/>
          <w:sz w:val="20"/>
          <w:u w:val="none"/>
          <w:vertAlign w:val="baseline"/>
        </w:rPr>
        <w:t>[22, pp. 14–15]</w:t>
      </w:r>
      <w:r>
        <w:rPr/>
        <w:t>. Thus, allowing users to simply draw their IT architecture, while the underlying system automatically generates a specific configuration for deployment. It implies that complexity management and computational thinking also extend to graphical and other representations of information. Diagrams and visualizations provide two-dimensional or multidimensional representations, enabling more structured modes of reasoning, whereas text is inherently a linear representation of information. Certainly, these forms should not be regarded as mutually exclusive, rather they synergize with each other and are interchangeable at different levels of abstraction.</w:t>
      </w:r>
    </w:p>
    <w:p>
      <w:pPr>
        <w:pStyle w:val="BodyText"/>
        <w:rPr>
          <w:shd w:fill="auto" w:val="clear"/>
        </w:rPr>
      </w:pPr>
      <w:r>
        <w:rPr/>
        <w:t>In this regard, Model Driven Engineering (MDE) methodology proposes treating documentation, specifications, and model definitions as primary and reference artifacts describing behavior and components of a system, from which code generation toolkits can facilitate transformation between them (e.g., into source code templates in any programming language or pseudocode) in order to achieve synchronization [23]. It bridges the gap between developers and business-oriented specialists by demonstrating certain domain-specific problems and rules, so they can focus more on business logic. For instance, Alfonso et al. developed the BESSER platform based on MDE, which provides a canvas editor and multiple design notations like UML (Unified Modeling Language) for generating backend applications from diagrams [24]. Such toolkits usually support the development of reliable prototypes and concepts, but they are not intended for high-load or performance-critical systems. MDE also allows structures to dynamically adapt to emerging requirements instead of manually rewriting boilerplate code and thinking about platform-specific implementations, so the development process is optimized. For example, Chillón et al. implemented a CodeQL parser to automatically propagate component changes and enable migration between layers (database, logic, and services) by defining a single synchronizable schema instead of repetitive manual transformations, conversions, and modifications [25]. Additionally, AI in the form of generative language models enables rapid code generation from specifications as detailed prompts and instructions [26]. Although they can cause challenges due to hallucinations and their stochastic nature, it might be partially mitigated through enforcing strict rules, validation mechanisms, and multiple series of output refinements [27].</w:t>
      </w:r>
    </w:p>
    <w:p>
      <w:pPr>
        <w:pStyle w:val="Heading2"/>
        <w:rPr>
          <w:shd w:fill="auto" w:val="clear"/>
        </w:rPr>
      </w:pPr>
      <w:r>
        <w:rPr>
          <w:shd w:fill="auto" w:val="clear"/>
        </w:rPr>
        <w:t>Resource management and accounting</w:t>
      </w:r>
    </w:p>
    <w:p>
      <w:pPr>
        <w:pStyle w:val="BodyText"/>
        <w:rPr>
          <w:shd w:fill="auto" w:val="clear"/>
        </w:rPr>
      </w:pPr>
      <w:r>
        <w:rPr>
          <w:shd w:fill="auto" w:val="clear"/>
        </w:rPr>
        <w:t xml:space="preserve">OWASP (Open Worldwide Application Security Project) identified 10 major risks for IT infrastructure, of which 5 are directly related to IT resources accounting [28]: "Outdated Software", "Insufficient Threat Detection", "Insecure Resource and User Management", "Insecure Access to Resources and Management Components", "Insufficient Asset Management and Documentation". </w:t>
      </w:r>
      <w:r>
        <w:rPr/>
        <w:t>This fact clearly emphasizes that proper management of all system components and organizational knowledge is mandatory. In this context, there is already a structured approach for collecting and accounting software components, such as software composition analysis (SCA), which defines common specifications and governance principles [29]. It facilitated the establishment of a widely adopted format for software bill of materials (SBOM) with its multiple variations that allows to reduce a total vulnerability response time [30]. Supporting this requires dedicated tools that collect data about software and infrastructure across various stages of their lifecycle.</w:t>
      </w:r>
      <w:r>
        <w:rPr>
          <w:shd w:fill="auto" w:val="clear"/>
        </w:rPr>
        <w:t xml:space="preserve"> For example, researchers of [31] developed an assisting toolkit that captures data from active production instances and further generates configurations or snapshots to recreate the environment on a different target machine or system. U</w:t>
      </w:r>
      <w:r>
        <w:rPr/>
        <w:t xml:space="preserve">sually, such procedures are combined with version control systems (VCS) that store and track versions of all project files, allowing teams to have: process of collaborative development, a single source of truth, and well-defined compliance by localizing areas of responsibility [32]. </w:t>
      </w:r>
    </w:p>
    <w:p>
      <w:pPr>
        <w:pStyle w:val="BodyText"/>
        <w:rPr/>
      </w:pPr>
      <w:r>
        <w:rPr>
          <w:shd w:fill="auto" w:val="clear"/>
        </w:rPr>
        <w:t>Specifically, SBOM and SCA provide an understanding of the connections and links between system components that form “dependencies”, which directly and indirectly influence the functionality and quality of the base system. As demonstrated in Figure 3, OS (operating system) can be an illustration of a complex system that requires the correct operation of its components providing emergent qualities.</w:t>
      </w:r>
    </w:p>
    <w:tbl>
      <w:tblPr>
        <w:tblW w:w="4729" w:type="dxa"/>
        <w:jc w:val="center"/>
        <w:tblInd w:w="0" w:type="dxa"/>
        <w:tblLayout w:type="fixed"/>
        <w:tblCellMar>
          <w:top w:w="0" w:type="dxa"/>
          <w:left w:w="108" w:type="dxa"/>
          <w:bottom w:w="0" w:type="dxa"/>
          <w:right w:w="108" w:type="dxa"/>
        </w:tblCellMar>
      </w:tblPr>
      <w:tblGrid>
        <w:gridCol w:w="4729"/>
      </w:tblGrid>
      <w:tr>
        <w:trPr>
          <w:trHeight w:val="1800" w:hRule="atLeast"/>
        </w:trPr>
        <w:tc>
          <w:tcPr>
            <w:tcW w:w="4729" w:type="dxa"/>
            <w:tcBorders/>
          </w:tcPr>
          <w:p>
            <w:pPr>
              <w:pStyle w:val="BodyText"/>
              <w:snapToGrid w:val="false"/>
              <w:ind w:hanging="0" w:right="0"/>
              <w:jc w:val="center"/>
              <w:rPr/>
            </w:pPr>
            <w:r>
              <w:rPr/>
              <w:drawing>
                <wp:anchor behindDoc="0" distT="0" distB="0" distL="0" distR="0" simplePos="0" locked="0" layoutInCell="0" allowOverlap="1" relativeHeight="5">
                  <wp:simplePos x="0" y="0"/>
                  <wp:positionH relativeFrom="margin">
                    <wp:posOffset>267335</wp:posOffset>
                  </wp:positionH>
                  <wp:positionV relativeFrom="paragraph">
                    <wp:posOffset>74930</wp:posOffset>
                  </wp:positionV>
                  <wp:extent cx="2445385" cy="97536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9"/>
                          <a:srcRect l="-1" t="-3" r="-1" b="-3"/>
                          <a:stretch>
                            <a:fillRect/>
                          </a:stretch>
                        </pic:blipFill>
                        <pic:spPr bwMode="auto">
                          <a:xfrm>
                            <a:off x="0" y="0"/>
                            <a:ext cx="2445385" cy="975360"/>
                          </a:xfrm>
                          <a:prstGeom prst="rect">
                            <a:avLst/>
                          </a:prstGeom>
                          <a:solidFill>
                            <a:srgbClr val="ffffff"/>
                          </a:solidFill>
                        </pic:spPr>
                      </pic:pic>
                    </a:graphicData>
                  </a:graphic>
                </wp:anchor>
              </w:drawing>
            </w:r>
          </w:p>
          <w:p>
            <w:pPr>
              <w:pStyle w:val="BodyText"/>
              <w:ind w:hanging="0" w:right="0"/>
              <w:jc w:val="center"/>
              <w:rPr/>
            </w:pPr>
            <w:r>
              <w:rPr/>
            </w:r>
          </w:p>
        </w:tc>
      </w:tr>
      <w:tr>
        <w:trPr/>
        <w:tc>
          <w:tcPr>
            <w:tcW w:w="4729" w:type="dxa"/>
            <w:tcBorders/>
          </w:tcPr>
          <w:p>
            <w:pPr>
              <w:pStyle w:val="figurecaption"/>
              <w:numPr>
                <w:ilvl w:val="0"/>
                <w:numId w:val="5"/>
              </w:numPr>
              <w:spacing w:before="80" w:after="200"/>
              <w:ind w:hanging="0" w:left="0" w:right="0"/>
              <w:rPr/>
            </w:pPr>
            <w:r>
              <w:rPr/>
              <w:t>An abstract complex system consists of multiple underlying operational components and subsystems.</w:t>
            </w:r>
          </w:p>
        </w:tc>
      </w:tr>
    </w:tbl>
    <w:p>
      <w:pPr>
        <w:pStyle w:val="BodyText"/>
        <w:rPr/>
      </w:pPr>
      <w:r>
        <w:rPr/>
        <w:t>According to statistics of the European Cyber Security Organisation (ECSO), solution-specific logic often represents only about 10% or less of an application's total code, while the remainder is largely made up of third-party dependencies such as software (module, package, library), service (requests to external systems and network API), infrastructure (like drivers and execution platform) [19, p. 8]. Given a script in the Python programming language, the internal dependency in this case is the self-contained code, while the external dependency is everything that was created by third parties such as the implementation of standard library, interpreter/compiler, specification, OS, platform-specific requirements, and so on, as shown in Figure 4.</w:t>
      </w:r>
    </w:p>
    <w:tbl>
      <w:tblPr>
        <w:tblW w:w="4729" w:type="dxa"/>
        <w:jc w:val="center"/>
        <w:tblInd w:w="0" w:type="dxa"/>
        <w:tblLayout w:type="fixed"/>
        <w:tblCellMar>
          <w:top w:w="0" w:type="dxa"/>
          <w:left w:w="108" w:type="dxa"/>
          <w:bottom w:w="0" w:type="dxa"/>
          <w:right w:w="108" w:type="dxa"/>
        </w:tblCellMar>
      </w:tblPr>
      <w:tblGrid>
        <w:gridCol w:w="4729"/>
      </w:tblGrid>
      <w:tr>
        <w:trPr>
          <w:trHeight w:val="2965" w:hRule="atLeast"/>
        </w:trPr>
        <w:tc>
          <w:tcPr>
            <w:tcW w:w="4729" w:type="dxa"/>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2498725" cy="157607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0"/>
                          <a:srcRect l="-1" t="-2" r="-1" b="-2"/>
                          <a:stretch>
                            <a:fillRect/>
                          </a:stretch>
                        </pic:blipFill>
                        <pic:spPr bwMode="auto">
                          <a:xfrm>
                            <a:off x="0" y="0"/>
                            <a:ext cx="2498725" cy="1576070"/>
                          </a:xfrm>
                          <a:prstGeom prst="rect">
                            <a:avLst/>
                          </a:prstGeom>
                          <a:solidFill>
                            <a:srgbClr val="ffffff"/>
                          </a:solidFill>
                        </pic:spPr>
                      </pic:pic>
                    </a:graphicData>
                  </a:graphic>
                </wp:anchor>
              </w:drawing>
            </w:r>
          </w:p>
        </w:tc>
      </w:tr>
      <w:tr>
        <w:trPr>
          <w:trHeight w:val="635" w:hRule="atLeast"/>
        </w:trPr>
        <w:tc>
          <w:tcPr>
            <w:tcW w:w="4729" w:type="dxa"/>
            <w:tcBorders/>
          </w:tcPr>
          <w:p>
            <w:pPr>
              <w:pStyle w:val="figurecaption"/>
              <w:numPr>
                <w:ilvl w:val="0"/>
                <w:numId w:val="5"/>
              </w:numPr>
              <w:spacing w:before="80" w:after="200"/>
              <w:ind w:hanging="0" w:left="0" w:right="0"/>
              <w:rPr/>
            </w:pPr>
            <w:r>
              <w:rPr/>
              <w:t>Ecosystem of the Python programming language from the perspective of dependencies. Adapted from [19, p. 8].</w:t>
            </w:r>
          </w:p>
        </w:tc>
      </w:tr>
    </w:tbl>
    <w:p>
      <w:pPr>
        <w:pStyle w:val="BodyText"/>
        <w:rPr/>
      </w:pPr>
      <w:r>
        <w:rPr>
          <w:shd w:fill="auto" w:val="clear"/>
        </w:rPr>
        <w:t>From a broader perspective, the modern economy is service-oriented and highly interconnected in the global supply chain, where everyone relies on each other, as represented in Figure 5. Hence, engineers can mitigate issues of resource constraints (e.g., schedule, personnel, risks, requirements, finance, and qualifications) by integrating external dependencies and reusing code as outsourcing for common problems during the implementation and maintenance of IT products.</w:t>
      </w:r>
    </w:p>
    <w:tbl>
      <w:tblPr>
        <w:tblW w:w="4729" w:type="dxa"/>
        <w:jc w:val="center"/>
        <w:tblInd w:w="0" w:type="dxa"/>
        <w:tblLayout w:type="fixed"/>
        <w:tblCellMar>
          <w:top w:w="0" w:type="dxa"/>
          <w:left w:w="108" w:type="dxa"/>
          <w:bottom w:w="0" w:type="dxa"/>
          <w:right w:w="108" w:type="dxa"/>
        </w:tblCellMar>
      </w:tblPr>
      <w:tblGrid>
        <w:gridCol w:w="4729"/>
      </w:tblGrid>
      <w:tr>
        <w:trPr>
          <w:trHeight w:val="1708" w:hRule="atLeast"/>
        </w:trPr>
        <w:tc>
          <w:tcPr>
            <w:tcW w:w="4729" w:type="dxa"/>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7">
                  <wp:simplePos x="0" y="0"/>
                  <wp:positionH relativeFrom="margin">
                    <wp:align>center</wp:align>
                  </wp:positionH>
                  <wp:positionV relativeFrom="paragraph">
                    <wp:posOffset>635</wp:posOffset>
                  </wp:positionV>
                  <wp:extent cx="2865120" cy="9874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1"/>
                          <a:srcRect l="-1" t="-4" r="-1" b="-4"/>
                          <a:stretch>
                            <a:fillRect/>
                          </a:stretch>
                        </pic:blipFill>
                        <pic:spPr bwMode="auto">
                          <a:xfrm>
                            <a:off x="0" y="0"/>
                            <a:ext cx="2865120" cy="987425"/>
                          </a:xfrm>
                          <a:prstGeom prst="rect">
                            <a:avLst/>
                          </a:prstGeom>
                          <a:solidFill>
                            <a:srgbClr val="ffffff"/>
                          </a:solidFill>
                        </pic:spPr>
                      </pic:pic>
                    </a:graphicData>
                  </a:graphic>
                </wp:anchor>
              </w:drawing>
            </w:r>
          </w:p>
        </w:tc>
      </w:tr>
      <w:tr>
        <w:trPr>
          <w:trHeight w:val="497" w:hRule="atLeast"/>
        </w:trPr>
        <w:tc>
          <w:tcPr>
            <w:tcW w:w="4729" w:type="dxa"/>
            <w:tcBorders/>
          </w:tcPr>
          <w:p>
            <w:pPr>
              <w:pStyle w:val="figurecaption"/>
              <w:numPr>
                <w:ilvl w:val="0"/>
                <w:numId w:val="5"/>
              </w:numPr>
              <w:spacing w:before="80" w:after="200"/>
              <w:ind w:hanging="0" w:left="0" w:right="0"/>
              <w:rPr/>
            </w:pPr>
            <w:r>
              <w:rPr/>
              <w:t xml:space="preserve">Simplified example of the global supply chain in the context of IT. Adapted from </w:t>
            </w:r>
            <w:r>
              <w:rPr>
                <w:b w:val="false"/>
                <w:i w:val="false"/>
                <w:caps w:val="false"/>
                <w:smallCaps w:val="false"/>
                <w:position w:val="0"/>
                <w:sz w:val="16"/>
                <w:sz w:val="16"/>
                <w:u w:val="none"/>
                <w:vertAlign w:val="baseline"/>
              </w:rPr>
              <w:t>[33, pp. 2–3]</w:t>
            </w:r>
            <w:r>
              <w:rPr/>
              <w:t>.</w:t>
            </w:r>
          </w:p>
        </w:tc>
      </w:tr>
    </w:tbl>
    <w:p>
      <w:pPr>
        <w:pStyle w:val="Heading2"/>
        <w:rPr/>
      </w:pPr>
      <w:r>
        <w:rPr>
          <w:shd w:fill="auto" w:val="clear"/>
        </w:rPr>
        <w:t>Supply chain attacks and dependency theory</w:t>
      </w:r>
    </w:p>
    <w:p>
      <w:pPr>
        <w:pStyle w:val="BodyText"/>
        <w:rPr/>
      </w:pPr>
      <w:r>
        <w:rPr/>
        <w:t xml:space="preserve">On the other hand, any risks and failures in a single link can cause a cascading effect across the entire chain, which is known as a supply chain attack. This attack vector exposes the ability to implicitly or explicitly influence on any IT infrastructure by leveraging direct and indirect (i.e., transitive) dependencies, invoking instability and fragility </w:t>
      </w:r>
      <w:r>
        <w:rPr>
          <w:b w:val="false"/>
          <w:i w:val="false"/>
          <w:caps w:val="false"/>
          <w:smallCaps w:val="false"/>
          <w:position w:val="0"/>
          <w:sz w:val="20"/>
          <w:sz w:val="20"/>
          <w:u w:val="none"/>
          <w:vertAlign w:val="baseline"/>
        </w:rPr>
        <w:t>[33, pp. 5–7]</w:t>
      </w:r>
      <w:r>
        <w:rPr/>
        <w:t>. It can be caused by any potential way of external influence, including unintentional flaws and defects, intentional threats like malicious software (malware), or destabilizing factors like breaking API changes and internal modifications [34]. Inadequately governed dependency practices within a team can increase the risk of exposure to software supply chain attacks. Accordingly, it is necessary to be familiar with approaches to dependency management, such as:</w:t>
      </w:r>
    </w:p>
    <w:p>
      <w:pPr>
        <w:pStyle w:val="bulletlist"/>
        <w:numPr>
          <w:ilvl w:val="0"/>
          <w:numId w:val="3"/>
        </w:numPr>
        <w:rPr/>
      </w:pPr>
      <w:r>
        <w:rPr/>
        <w:t>Manual ("vendoring") - by copying an external dependency directly into the codebase in order to maintain and modify it independently [35, p. 6].</w:t>
      </w:r>
    </w:p>
    <w:p>
      <w:pPr>
        <w:pStyle w:val="bulletlist"/>
        <w:numPr>
          <w:ilvl w:val="0"/>
          <w:numId w:val="3"/>
        </w:numPr>
        <w:rPr/>
      </w:pPr>
      <w:r>
        <w:rPr/>
        <w:t>Automatic - dependency/package managers as a separate software system that is responsible for retrieving, handling, updating, and executing additional lifecycle operations on project dependencies [35, p. 1].</w:t>
      </w:r>
    </w:p>
    <w:p>
      <w:pPr>
        <w:pStyle w:val="BodyText"/>
        <w:rPr>
          <w:shd w:fill="auto" w:val="clear"/>
        </w:rPr>
      </w:pPr>
      <w:r>
        <w:rPr/>
        <w:t xml:space="preserve">These techniques are combined with build specification files (e.g., CMake, Make, Setuptools) and various distribution formats (e.g., wheels, source files, compiled binaries, and so on). Although some practitioners argue that the manual approach provides a more detailed understanding of dependency contents (source and distributions) and greater control (updating only explicitly), both of them are equally susceptible to supply chain attacks due to the propagation of transitive dependencies. Consequently, dependencies that are not explicitly pinned should not be relied upon, since they may disappear or be replaced within the direct dependencies from which they originate. Adversaries actively exploit such kind of characteristics and behaviors. Someone can abuse identity confusion by impersonating existing packages (by name similarity, description, or other metadata), claiming unregistered package names, and performing additional actions intended to mislead tools or users [36]. Therefore, it is essential to understand the underlying mechanisms, such as dependency resolution and metadata parsing. </w:t>
      </w:r>
      <w:r>
        <w:rPr>
          <w:shd w:fill="auto" w:val="clear"/>
        </w:rPr>
        <w:t xml:space="preserve">From a theoretical standpoint, dependency resolution/solving is a variation on the topic of the constraint satisfaction problem where the objective is to satisfy a predefined set of conditions and rules. Abate et al. reveal that it is proven to be an NP-hard problem for which no global optimal solution exists, so there are variety of different solvers and algorithms for this task [37]. Ideally, such a solver should be decoupled as an independent module, regardless of the specific package ecosystem </w:t>
      </w:r>
      <w:r>
        <w:rPr>
          <w:b w:val="false"/>
          <w:i w:val="false"/>
          <w:caps w:val="false"/>
          <w:smallCaps w:val="false"/>
          <w:position w:val="0"/>
          <w:sz w:val="20"/>
          <w:sz w:val="20"/>
          <w:u w:val="none"/>
          <w:shd w:fill="auto" w:val="clear"/>
          <w:vertAlign w:val="baseline"/>
        </w:rPr>
        <w:t>[37, pp. 2–3]</w:t>
      </w:r>
      <w:r>
        <w:rPr>
          <w:shd w:fill="auto" w:val="clear"/>
        </w:rPr>
        <w:t>. For example, the process of dependency management in the Python ecosystem relies on two components:</w:t>
      </w:r>
    </w:p>
    <w:p>
      <w:pPr>
        <w:pStyle w:val="bulletlist"/>
        <w:numPr>
          <w:ilvl w:val="0"/>
          <w:numId w:val="3"/>
        </w:numPr>
        <w:rPr>
          <w:shd w:fill="auto" w:val="clear"/>
        </w:rPr>
      </w:pPr>
      <w:r>
        <w:rPr>
          <w:shd w:fill="auto" w:val="clear"/>
        </w:rPr>
        <w:t>The “venv” module is used to store packages in a local virtual environment, preventing the pollution of the global environment and keeping dependencies separated per project.</w:t>
      </w:r>
    </w:p>
    <w:p>
      <w:pPr>
        <w:pStyle w:val="bulletlist"/>
        <w:numPr>
          <w:ilvl w:val="0"/>
          <w:numId w:val="3"/>
        </w:numPr>
        <w:rPr/>
      </w:pPr>
      <w:r>
        <w:rPr>
          <w:shd w:fill="auto" w:val="clear"/>
        </w:rPr>
        <w:t>The “pip” package manager utilizes a backtracking dependency resolution algorithm to manage packages sourced from the PyPI (Python Package Index) repository, as shown in Figure 6. In other ecosystems, NodeJS and its “npm” package manager address this process through workarounds by downloading multiple duplicate dependencies of varying versions, which increases the size of the “node_modules” directory but prevents "dependency hell" where no valid resolution can be found [37, p. 5], [38].</w:t>
      </w:r>
    </w:p>
    <w:tbl>
      <w:tblPr>
        <w:tblW w:w="4729" w:type="dxa"/>
        <w:jc w:val="center"/>
        <w:tblInd w:w="0" w:type="dxa"/>
        <w:tblLayout w:type="fixed"/>
        <w:tblCellMar>
          <w:top w:w="0" w:type="dxa"/>
          <w:left w:w="108" w:type="dxa"/>
          <w:bottom w:w="0" w:type="dxa"/>
          <w:right w:w="108" w:type="dxa"/>
        </w:tblCellMar>
      </w:tblPr>
      <w:tblGrid>
        <w:gridCol w:w="4729"/>
      </w:tblGrid>
      <w:tr>
        <w:trPr>
          <w:trHeight w:val="1638" w:hRule="atLeast"/>
        </w:trPr>
        <w:tc>
          <w:tcPr>
            <w:tcW w:w="4729" w:type="dxa"/>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9">
                  <wp:simplePos x="0" y="0"/>
                  <wp:positionH relativeFrom="margin">
                    <wp:align>center</wp:align>
                  </wp:positionH>
                  <wp:positionV relativeFrom="paragraph">
                    <wp:posOffset>635</wp:posOffset>
                  </wp:positionV>
                  <wp:extent cx="2865120" cy="197866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2"/>
                          <a:srcRect l="-1" t="-2" r="-1" b="-2"/>
                          <a:stretch>
                            <a:fillRect/>
                          </a:stretch>
                        </pic:blipFill>
                        <pic:spPr bwMode="auto">
                          <a:xfrm>
                            <a:off x="0" y="0"/>
                            <a:ext cx="2865120" cy="1978660"/>
                          </a:xfrm>
                          <a:prstGeom prst="rect">
                            <a:avLst/>
                          </a:prstGeom>
                          <a:solidFill>
                            <a:srgbClr val="ffffff"/>
                          </a:solidFill>
                        </pic:spPr>
                      </pic:pic>
                    </a:graphicData>
                  </a:graphic>
                </wp:anchor>
              </w:drawing>
            </w:r>
          </w:p>
        </w:tc>
      </w:tr>
      <w:tr>
        <w:trPr>
          <w:trHeight w:val="383" w:hRule="atLeast"/>
        </w:trPr>
        <w:tc>
          <w:tcPr>
            <w:tcW w:w="4729" w:type="dxa"/>
            <w:tcBorders/>
          </w:tcPr>
          <w:p>
            <w:pPr>
              <w:pStyle w:val="figurecaption"/>
              <w:numPr>
                <w:ilvl w:val="0"/>
                <w:numId w:val="5"/>
              </w:numPr>
              <w:spacing w:before="80" w:after="200"/>
              <w:ind w:hanging="0" w:left="0" w:right="0"/>
              <w:rPr/>
            </w:pPr>
            <w:r>
              <w:rPr>
                <w:shd w:fill="auto" w:val="clear"/>
              </w:rPr>
              <w:t>Process of dependency management: (1) Dependency resolution in Python-like pseudocode. (2) Dependency parsing and pinning.</w:t>
            </w:r>
          </w:p>
        </w:tc>
      </w:tr>
    </w:tbl>
    <w:p>
      <w:pPr>
        <w:pStyle w:val="BodyText"/>
        <w:rPr/>
      </w:pPr>
      <w:r>
        <w:rPr>
          <w:shd w:fill="auto" w:val="clear"/>
        </w:rPr>
        <w:t>Constructing the dependency tree or graph becomes increasingly complex with each additional dependency and constraint (version requirements or other ecosystem-specific rules), as illustrated in Figure 7. Firstly, version constraints restrict the allowable range of package versions from the initial published version to the latest one according to the versioning format. Such versions basically represent a variation of the same entity. Secondly, dependency groups delimit or expand the number of required packages, because some components can be mandatory while others remain optional. Thirdly, Figure 7 represents only a basic example with a limited number of dependencies. In real projects, the amount of dependencies and constraints is significantly larger, leading to dependency conflicts characterized by cross-references, circular or recursive relations, loops, duplicates, and similar pathological structures. These situations might be resolved, for example, by flattening the dependency tree into a more linear structure.</w:t>
      </w:r>
    </w:p>
    <w:tbl>
      <w:tblPr>
        <w:tblW w:w="4729" w:type="dxa"/>
        <w:jc w:val="center"/>
        <w:tblInd w:w="0" w:type="dxa"/>
        <w:tblLayout w:type="fixed"/>
        <w:tblCellMar>
          <w:top w:w="0" w:type="dxa"/>
          <w:left w:w="108" w:type="dxa"/>
          <w:bottom w:w="0" w:type="dxa"/>
          <w:right w:w="108" w:type="dxa"/>
        </w:tblCellMar>
      </w:tblPr>
      <w:tblGrid>
        <w:gridCol w:w="4729"/>
      </w:tblGrid>
      <w:tr>
        <w:trPr>
          <w:trHeight w:val="1638" w:hRule="atLeast"/>
        </w:trPr>
        <w:tc>
          <w:tcPr>
            <w:tcW w:w="4729" w:type="dxa"/>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2865120" cy="95948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3"/>
                          <a:srcRect l="-1" t="-4" r="-1" b="-4"/>
                          <a:stretch>
                            <a:fillRect/>
                          </a:stretch>
                        </pic:blipFill>
                        <pic:spPr bwMode="auto">
                          <a:xfrm>
                            <a:off x="0" y="0"/>
                            <a:ext cx="2865120" cy="959485"/>
                          </a:xfrm>
                          <a:prstGeom prst="rect">
                            <a:avLst/>
                          </a:prstGeom>
                          <a:solidFill>
                            <a:srgbClr val="ffffff"/>
                          </a:solidFill>
                        </pic:spPr>
                      </pic:pic>
                    </a:graphicData>
                  </a:graphic>
                </wp:anchor>
              </w:drawing>
            </w:r>
          </w:p>
        </w:tc>
      </w:tr>
      <w:tr>
        <w:trPr/>
        <w:tc>
          <w:tcPr>
            <w:tcW w:w="4729" w:type="dxa"/>
            <w:tcBorders/>
          </w:tcPr>
          <w:p>
            <w:pPr>
              <w:pStyle w:val="figurecaption"/>
              <w:numPr>
                <w:ilvl w:val="0"/>
                <w:numId w:val="5"/>
              </w:numPr>
              <w:spacing w:before="80" w:after="200"/>
              <w:ind w:hanging="0" w:left="0" w:right="0"/>
              <w:rPr/>
            </w:pPr>
            <w:r>
              <w:rPr/>
              <w:t xml:space="preserve">Elements of dependency theory: (1) Version constraints. (2) Dependency groups (concept from set theory). (3) and </w:t>
            </w:r>
            <w:r>
              <w:rPr>
                <w:shd w:fill="auto" w:val="clear"/>
              </w:rPr>
              <w:t>(4) Nested dependency graph (concept from graph theory) with direct and transitive ones (e.g., "1:M" as "one to many" relationships and other types of relations between them).</w:t>
            </w:r>
          </w:p>
        </w:tc>
      </w:tr>
    </w:tbl>
    <w:p>
      <w:pPr>
        <w:pStyle w:val="Heading2"/>
        <w:rPr>
          <w:shd w:fill="auto" w:val="clear"/>
        </w:rPr>
      </w:pPr>
      <w:r>
        <w:rPr>
          <w:shd w:fill="auto" w:val="clear"/>
        </w:rPr>
        <w:t>Malicious threats and flaws in security regulations</w:t>
      </w:r>
    </w:p>
    <w:p>
      <w:pPr>
        <w:pStyle w:val="BodyText"/>
        <w:rPr/>
      </w:pPr>
      <w:r>
        <w:rPr>
          <w:shd w:fill="auto" w:val="clear"/>
        </w:rPr>
        <w:t>Software engineers often prioritize functionality over security and make critical trade-offs under the assumption that security measures represent unnecessary performance overhead and justifying a lack of access restrictions to maintain a community that is “open to everyone” [39].</w:t>
      </w:r>
      <w:r>
        <w:rPr/>
        <w:t xml:space="preserve"> As a result, they potentially expose themselves and others to the risk that anyone may maliciously influence ecosystems. So, </w:t>
      </w:r>
      <w:r>
        <w:rPr>
          <w:shd w:fill="auto" w:val="clear"/>
        </w:rPr>
        <w:t>users are left to manage the external chaos on their own. Despite rising SCA and SBOM adoption by developers, researchers of [40] indicate that supply chain incidents continue to increase, also noting that the remediation process in the Python ecosystem remains slow, with a median of 4 months required to fix all occurrences of a security vulnerability within the PyPI repository. Moreover</w:t>
      </w:r>
      <w:r>
        <w:rPr/>
        <w:t xml:space="preserve">, existing market solutions cannot be regarded as definitive protections against supply chain attacks, as experts identified several additional drawbacks and limitations of current SCA tools [41], [42], [43]: </w:t>
      </w:r>
    </w:p>
    <w:p>
      <w:pPr>
        <w:pStyle w:val="bulletlist"/>
        <w:numPr>
          <w:ilvl w:val="0"/>
          <w:numId w:val="3"/>
        </w:numPr>
        <w:rPr/>
      </w:pPr>
      <w:r>
        <w:rPr/>
        <w:t>focusing more on static analysis rather than on dynamic analysis during runtime execution;</w:t>
      </w:r>
    </w:p>
    <w:p>
      <w:pPr>
        <w:pStyle w:val="bulletlist"/>
        <w:numPr>
          <w:ilvl w:val="0"/>
          <w:numId w:val="3"/>
        </w:numPr>
        <w:rPr/>
      </w:pPr>
      <w:r>
        <w:rPr/>
        <w:t>comprehensive deep scanning of transitive dependencies is often missing;</w:t>
      </w:r>
    </w:p>
    <w:p>
      <w:pPr>
        <w:pStyle w:val="bulletlist"/>
        <w:numPr>
          <w:ilvl w:val="0"/>
          <w:numId w:val="3"/>
        </w:numPr>
        <w:rPr/>
      </w:pPr>
      <w:r>
        <w:rPr/>
        <w:t>insufficient integration with AI and data analytics-based systems.</w:t>
      </w:r>
    </w:p>
    <w:p>
      <w:pPr>
        <w:pStyle w:val="BodyText"/>
        <w:rPr/>
      </w:pPr>
      <w:r>
        <w:rPr/>
        <w:t>Furthermore, obtaining reliable data about software remains challenging due to its various distribution formats and categories:</w:t>
      </w:r>
    </w:p>
    <w:p>
      <w:pPr>
        <w:pStyle w:val="bulletlist"/>
        <w:numPr>
          <w:ilvl w:val="0"/>
          <w:numId w:val="3"/>
        </w:numPr>
        <w:rPr/>
      </w:pPr>
      <w:r>
        <w:rPr/>
        <w:t>white box - fully known content (e.g., open source software);</w:t>
      </w:r>
    </w:p>
    <w:p>
      <w:pPr>
        <w:pStyle w:val="bulletlist"/>
        <w:numPr>
          <w:ilvl w:val="0"/>
          <w:numId w:val="3"/>
        </w:numPr>
        <w:rPr/>
      </w:pPr>
      <w:r>
        <w:rPr/>
        <w:t>gray box - partially known content (e.g., leaked information, rumors, reverse engineering, insider knowledge, alternative products, or forks);</w:t>
      </w:r>
    </w:p>
    <w:p>
      <w:pPr>
        <w:pStyle w:val="bulletlist"/>
        <w:numPr>
          <w:ilvl w:val="0"/>
          <w:numId w:val="3"/>
        </w:numPr>
        <w:rPr/>
      </w:pPr>
      <w:r>
        <w:rPr/>
        <w:t>black box - unknown content (e.g., functionality behind API like software-as-service, proprietary and closed-source software).</w:t>
      </w:r>
    </w:p>
    <w:p>
      <w:pPr>
        <w:pStyle w:val="BodyText"/>
        <w:rPr>
          <w:shd w:fill="auto" w:val="clear"/>
        </w:rPr>
      </w:pPr>
      <w:r>
        <w:rPr/>
        <w:t xml:space="preserve">General SCA tools typically focus only on the white box approach by gathering already indexed vulnerabilities or components, thereby leaving critical gaps in threat visibility and transparency. </w:t>
      </w:r>
      <w:r>
        <w:rPr>
          <w:shd w:fill="auto" w:val="clear"/>
        </w:rPr>
        <w:t>Evidently, software analysis and detection/identification for other categories (both malware and legitimate) are inherently more complex and complicated due to their specifics, because anti-analysis techniques are used to protect such software and intellectual property, making component-level inspection difficult or reasonably impossible [44].</w:t>
      </w:r>
      <w:r>
        <w:rPr/>
        <w:t xml:space="preserve"> Although services like VirusTotal or similar antivirus platforms scan uploaded untrusted artifacts against numerous antivirus engines and databases to protect the corporate or personal sector, they cannot cover all possible forms of malware. For example, on platforms such as Google Play or similar repositories, there are many instances of hidden malware or fully undetectable malware (FUD) that have successfully bypassed the verification stage. Unfortunately, there is no universal solution or method against that, since software protection is constantly evolving. Therefore, it is mandatory to conduct additional reconnaissance and data gathering of existing samples and resources via well-known or standard deconstruction methods. In the realm of malware analysis, objects that are stored for threat intelligence are often termed as "IoCs" (Indicators of Compromise), "artifacts", or simply "samples" [45]. For example, these include entities such as IP addresses, URLs (links), DNS (domain names), virus signatures, hashes, files, and more. It is essential to clarify that the previously mentioned malware analysis is not limited solely to analyzing malware, and the term "malware" itself is quite vague/broad. Essentially, malware is any software which is considered potentially harmful or could lead to a security breach, depending on the specifics of our threat modeling with a predefined set of malicious characteristics and behavior. </w:t>
      </w:r>
      <w:r>
        <w:rPr>
          <w:shd w:fill="auto" w:val="clear"/>
        </w:rPr>
        <w:t xml:space="preserve">Malware analysis itself is typically categorized into four main types, which can be combined in various ways [46, Ch. 3], [47]: </w:t>
      </w:r>
    </w:p>
    <w:p>
      <w:pPr>
        <w:pStyle w:val="bulletlist"/>
        <w:numPr>
          <w:ilvl w:val="0"/>
          <w:numId w:val="3"/>
        </w:numPr>
        <w:rPr>
          <w:shd w:fill="auto" w:val="clear"/>
        </w:rPr>
      </w:pPr>
      <w:r>
        <w:rPr>
          <w:shd w:fill="auto" w:val="clear"/>
        </w:rPr>
        <w:t>Static analysis focuses on examining the malware without executing it, which involves inspecting code, file structure, metadata, strings, and other non-executable aspects.</w:t>
      </w:r>
    </w:p>
    <w:p>
      <w:pPr>
        <w:pStyle w:val="bulletlist"/>
        <w:numPr>
          <w:ilvl w:val="0"/>
          <w:numId w:val="3"/>
        </w:numPr>
        <w:rPr>
          <w:shd w:fill="auto" w:val="clear"/>
        </w:rPr>
      </w:pPr>
      <w:r>
        <w:rPr>
          <w:shd w:fill="auto" w:val="clear"/>
        </w:rPr>
        <w:t>Dynamic analysis, on the other hand, observes the malware in action by executing it in a controlled sandbox environment. This type of analysis monitors real-time / runtime behavior, such as network activity, file modifications, and registry changes, and is sometimes called "behavioral analysis".</w:t>
      </w:r>
    </w:p>
    <w:p>
      <w:pPr>
        <w:pStyle w:val="bulletlist"/>
        <w:numPr>
          <w:ilvl w:val="0"/>
          <w:numId w:val="3"/>
        </w:numPr>
        <w:rPr>
          <w:shd w:fill="auto" w:val="clear"/>
        </w:rPr>
      </w:pPr>
      <w:r>
        <w:rPr>
          <w:shd w:fill="auto" w:val="clear"/>
        </w:rPr>
        <w:t>Manual analysis involves hands-on inspection of code or source by an analyst, allowing for in-depth, targeted evaluation.</w:t>
      </w:r>
    </w:p>
    <w:p>
      <w:pPr>
        <w:pStyle w:val="bulletlist"/>
        <w:numPr>
          <w:ilvl w:val="0"/>
          <w:numId w:val="3"/>
        </w:numPr>
        <w:rPr/>
      </w:pPr>
      <w:r>
        <w:rPr>
          <w:shd w:fill="auto" w:val="clear"/>
        </w:rPr>
        <w:t>Automated analysis, on the other hand, leverages tools to systematically assess and classify malware or provide preliminary insights.</w:t>
      </w:r>
    </w:p>
    <w:p>
      <w:pPr>
        <w:pStyle w:val="BodyText"/>
        <w:rPr>
          <w:shd w:fill="auto" w:val="clear"/>
        </w:rPr>
      </w:pPr>
      <w:r>
        <w:rPr/>
        <w:t>The fragmented software ecosystem worsens this situation, making accountability for the many packages and their adherence to standards unclear [48]. For instance, Mirakhorli et al. reviewed 84 available SBOM management toolkits across multiple programming language ecosystems, which demonstrates the lack of unification and significant fragmentation in current solutions [49].</w:t>
      </w:r>
      <w:r>
        <w:rPr>
          <w:shd w:fill="auto" w:val="clear"/>
        </w:rPr>
        <w:t xml:space="preserve"> Even a software package trusted by the community cannot offer proper guarantees, because mainstream software licenses clearly state that their products are distributed on an "as is" basis, meaning any issues that arise fall entirely outside their scope of responsibility </w:t>
      </w:r>
      <w:r>
        <w:rPr>
          <w:b w:val="false"/>
          <w:i w:val="false"/>
          <w:caps w:val="false"/>
          <w:smallCaps w:val="false"/>
          <w:position w:val="0"/>
          <w:sz w:val="20"/>
          <w:sz w:val="20"/>
          <w:u w:val="none"/>
          <w:shd w:fill="auto" w:val="clear"/>
          <w:vertAlign w:val="baseline"/>
        </w:rPr>
        <w:t>[35, pp. 2–3]</w:t>
      </w:r>
      <w:r>
        <w:rPr>
          <w:shd w:fill="auto" w:val="clear"/>
        </w:rPr>
        <w:t>. Furthermore, software licenses contain other ambiguities [50]:</w:t>
      </w:r>
    </w:p>
    <w:p>
      <w:pPr>
        <w:pStyle w:val="bulletlist"/>
        <w:numPr>
          <w:ilvl w:val="0"/>
          <w:numId w:val="3"/>
        </w:numPr>
        <w:rPr/>
      </w:pPr>
      <w:r>
        <w:rPr>
          <w:shd w:fill="auto" w:val="clear"/>
        </w:rPr>
        <w:t>They have limited legal power and lack formal enforcement in certain countries, with cases of violations.</w:t>
      </w:r>
    </w:p>
    <w:p>
      <w:pPr>
        <w:pStyle w:val="bulletlist"/>
        <w:numPr>
          <w:ilvl w:val="0"/>
          <w:numId w:val="3"/>
        </w:numPr>
        <w:rPr/>
      </w:pPr>
      <w:r>
        <w:rPr/>
        <w:t>Transitive dependencies may have conflicting licenses compared to the primary dependency, requiring the use of scanning tools to account for overlapping permissive and restrictive licenses.</w:t>
      </w:r>
    </w:p>
    <w:p>
      <w:pPr>
        <w:pStyle w:val="BodyText"/>
        <w:rPr/>
      </w:pPr>
      <w:r>
        <w:rPr/>
        <w:t>Experts propose different solutions for the current status quo, ranging from weak to radical measures. Firstly, there should be an introduction of increased mandatory and strict basic requirements (“baselines”) at the platform level with compliance from end user side. This could reduce the number of attacks and malicious code due to high standards and improved quality. It also reflects the principle of "secure by default", where secure policies and good default configurations should become common for many, and not just the exception reserved for professionals:</w:t>
      </w:r>
    </w:p>
    <w:p>
      <w:pPr>
        <w:pStyle w:val="bulletlist"/>
        <w:numPr>
          <w:ilvl w:val="0"/>
          <w:numId w:val="3"/>
        </w:numPr>
        <w:rPr/>
      </w:pPr>
      <w:r>
        <w:rPr/>
        <w:t>Mandatory oversight and analysis before package publication and subsequently with every update/change. For example, the establishment of a moderation system where the community will naturally report and react to the appearance of malicious packages. Such movements as bug bounty programs can provide payment to the community for finding bugs to establish natural vulnerability research and embrace ethical hacking over illegal activities [51]. Also, there is a productive case within Astana IT University where they regularly implement CTF (capture the flag) and cyberpolygons to train security engineers, thereby validating skills and preparing professional specialists for organizations [52].</w:t>
      </w:r>
    </w:p>
    <w:p>
      <w:pPr>
        <w:pStyle w:val="bulletlist"/>
        <w:numPr>
          <w:ilvl w:val="0"/>
          <w:numId w:val="3"/>
        </w:numPr>
        <w:rPr>
          <w:shd w:fill="auto" w:val="clear"/>
        </w:rPr>
      </w:pPr>
      <w:r>
        <w:rPr/>
        <w:t>Policies for temporary blocking or issuing "call down" periods between user actions during anomalous activity (e.g., IP address change, password or specific token renewal, recent publications, and so on).</w:t>
      </w:r>
    </w:p>
    <w:p>
      <w:pPr>
        <w:pStyle w:val="bulletlist"/>
        <w:numPr>
          <w:ilvl w:val="0"/>
          <w:numId w:val="3"/>
        </w:numPr>
        <w:rPr>
          <w:shd w:fill="auto" w:val="clear"/>
        </w:rPr>
      </w:pPr>
      <w:r>
        <w:rPr>
          <w:shd w:fill="auto" w:val="clear"/>
        </w:rPr>
        <w:t>Movement towards slowing down of overproduction and starting to "recycle waste" by rethinking legacy systems or abandoned ideas (re-evaluating them, finding patterns, and recognizing repetition) [53]. Possibly, developers should also strive to regularly improve the standard library and make it better with "batteries included" in the official distribution. Otherwise, its position will be taken by many competing dependencies covering the exact same specific topic, thereby generating a high degree of entropy.</w:t>
      </w:r>
    </w:p>
    <w:p>
      <w:pPr>
        <w:pStyle w:val="bulletlist"/>
        <w:numPr>
          <w:ilvl w:val="0"/>
          <w:numId w:val="3"/>
        </w:numPr>
        <w:rPr>
          <w:shd w:fill="auto" w:val="clear"/>
        </w:rPr>
      </w:pPr>
      <w:r>
        <w:rPr>
          <w:shd w:fill="auto" w:val="clear"/>
        </w:rPr>
        <w:t>Designing systems in a way that they are "secure by design" in their foundation means that security and safety are built in initially, rather than being an additional element. This approach dictates that engineers strive to place security and features at least on the same level of value during the development process [54]. It eliminates specific categories of vulnerabilities, restricts/limits malware, and forms a multilayered security / defense-in-depth approach [55].</w:t>
      </w:r>
    </w:p>
    <w:p>
      <w:pPr>
        <w:pStyle w:val="bulletlist"/>
        <w:numPr>
          <w:ilvl w:val="0"/>
          <w:numId w:val="3"/>
        </w:numPr>
        <w:rPr>
          <w:shd w:fill="auto" w:val="clear"/>
        </w:rPr>
      </w:pPr>
      <w:r>
        <w:rPr>
          <w:shd w:fill="auto" w:val="clear"/>
        </w:rPr>
        <w:t>Next-generation and future-proof systems that are comprehensive to the extent that they can self-analyze and self-improve, making them more reliable and less fragile. For instance, Berhe et al. showed that companies are compelled to have a mitigation plan and a regular budget for automated software dependency recovery or manual actions such as replacing it with alternatives, upgrading it, or reverting to a previous release [56]. Ideally, these issues could be mitigated by well-decomposed systems that might still continue to function in such critical cases or have internal recovery mechanisms ("self-healing") for the failure of individual components only up to a certain limit [57].</w:t>
      </w:r>
    </w:p>
    <w:p>
      <w:pPr>
        <w:pStyle w:val="BodyText"/>
        <w:rPr>
          <w:shd w:fill="auto" w:val="clear"/>
        </w:rPr>
      </w:pPr>
      <w:r>
        <w:rPr>
          <w:shd w:fill="auto" w:val="clear"/>
        </w:rPr>
        <w:t xml:space="preserve">Secondly, the software market should pay more attention and show greater concern for formal regulatory mechanisms to increase trust and responsibility in the community, such as certification, auditing, and transparent processes, along with initiatives aimed at improving standards. Sammak et al. attended an interview among a small subset of experienced developers, which revealed that the majority of respondents are unfamiliar with details of software supply chain management or have a superficial understanding due to the absence of proper training on this topic for a broader audience [58]. Thirdly, popular or operation-critical software products have a strong influence on the whole landscape, so compromising them can undermine not just dependent infrastructure but also the global contracts of security, such as the cryptography stack [59]. For example, self-replicating malware or a virus might compromise a significant portion of the IT ecosystem by ensuring that any code compiled on an infected hardware platform, compiler, or OS becomes compromised as well [60]. This is due to the fact that definition files are merely instructions without guarantees that our intentions will be correctly expressed and transformed with preserved semantics in the produced output (e.g., machine code, process, and other representations) by an intermediary system (compiler, interpreter, execution environment) [61], as shown in Figure 8. Furthermore, conducting a compromise assessment or software evaluation for the produced product is complicated, because infected reverse engineering tools (e.g., debugger, decompiler, disassembler) or even their clean versions running in a compromised environment might hide the infected parts and backdoors as blind spots in the software in order to remain undetected. </w:t>
      </w:r>
    </w:p>
    <w:tbl>
      <w:tblPr>
        <w:tblW w:w="4729" w:type="dxa"/>
        <w:jc w:val="center"/>
        <w:tblInd w:w="0" w:type="dxa"/>
        <w:tblLayout w:type="fixed"/>
        <w:tblCellMar>
          <w:top w:w="0" w:type="dxa"/>
          <w:left w:w="108" w:type="dxa"/>
          <w:bottom w:w="0" w:type="dxa"/>
          <w:right w:w="108" w:type="dxa"/>
        </w:tblCellMar>
      </w:tblPr>
      <w:tblGrid>
        <w:gridCol w:w="4729"/>
      </w:tblGrid>
      <w:tr>
        <w:trPr>
          <w:trHeight w:val="1719" w:hRule="atLeast"/>
        </w:trPr>
        <w:tc>
          <w:tcPr>
            <w:tcW w:w="4729" w:type="dxa"/>
            <w:tcBorders/>
          </w:tcPr>
          <w:p>
            <w:pPr>
              <w:pStyle w:val="BodyText"/>
              <w:snapToGrid w:val="false"/>
              <w:ind w:hanging="0" w:right="0"/>
              <w:jc w:val="center"/>
              <w:rPr>
                <w:shd w:fill="auto" w:val="clear"/>
              </w:rPr>
            </w:pPr>
            <w:r>
              <w:rPr>
                <w:shd w:fill="auto" w:val="clear"/>
              </w:rPr>
            </w:r>
          </w:p>
          <w:p>
            <w:pPr>
              <w:pStyle w:val="BodyText"/>
              <w:ind w:hanging="0" w:right="0"/>
              <w:jc w:val="center"/>
              <w:rPr>
                <w:shd w:fill="auto" w:val="clear"/>
              </w:rPr>
            </w:pPr>
            <w:r>
              <w:rPr>
                <w:shd w:fill="auto" w:val="clear"/>
              </w:rPr>
              <w:drawing>
                <wp:anchor behindDoc="0" distT="0" distB="0" distL="0" distR="0" simplePos="0" locked="0" layoutInCell="0" allowOverlap="1" relativeHeight="8">
                  <wp:simplePos x="0" y="0"/>
                  <wp:positionH relativeFrom="margin">
                    <wp:align>center</wp:align>
                  </wp:positionH>
                  <wp:positionV relativeFrom="paragraph">
                    <wp:posOffset>635</wp:posOffset>
                  </wp:positionV>
                  <wp:extent cx="2865120" cy="92202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4"/>
                          <a:srcRect l="-1" t="-4" r="-1" b="-4"/>
                          <a:stretch>
                            <a:fillRect/>
                          </a:stretch>
                        </pic:blipFill>
                        <pic:spPr bwMode="auto">
                          <a:xfrm>
                            <a:off x="0" y="0"/>
                            <a:ext cx="2865120" cy="922020"/>
                          </a:xfrm>
                          <a:prstGeom prst="rect">
                            <a:avLst/>
                          </a:prstGeom>
                          <a:solidFill>
                            <a:srgbClr val="ffffff"/>
                          </a:solidFill>
                        </pic:spPr>
                      </pic:pic>
                    </a:graphicData>
                  </a:graphic>
                </wp:anchor>
              </w:drawing>
            </w:r>
          </w:p>
        </w:tc>
      </w:tr>
      <w:tr>
        <w:trPr>
          <w:trHeight w:val="424" w:hRule="atLeast"/>
        </w:trPr>
        <w:tc>
          <w:tcPr>
            <w:tcW w:w="4729" w:type="dxa"/>
            <w:tcBorders/>
          </w:tcPr>
          <w:p>
            <w:pPr>
              <w:pStyle w:val="figurecaption"/>
              <w:numPr>
                <w:ilvl w:val="0"/>
                <w:numId w:val="5"/>
              </w:numPr>
              <w:spacing w:before="80" w:after="200"/>
              <w:ind w:hanging="0" w:left="0" w:right="0"/>
              <w:rPr/>
            </w:pPr>
            <w:r>
              <w:rPr>
                <w:shd w:fill="auto" w:val="clear"/>
              </w:rPr>
              <w:t>An intermediary system between definition and implementation.</w:t>
            </w:r>
          </w:p>
        </w:tc>
      </w:tr>
    </w:tbl>
    <w:p>
      <w:pPr>
        <w:pStyle w:val="Heading2"/>
        <w:rPr/>
      </w:pPr>
      <w:r>
        <w:rPr>
          <w:shd w:fill="auto" w:val="clear"/>
        </w:rPr>
        <w:t>Trust factors and social aspects</w:t>
      </w:r>
    </w:p>
    <w:p>
      <w:pPr>
        <w:pStyle w:val="BodyText"/>
        <w:rPr/>
      </w:pPr>
      <w:r>
        <w:rPr/>
        <w:t>Due to the high stakes, it is crucial to determine whom to trust and based on what principles to minimize such risks beforehand. Researchers Singer and Bishop propose viewing trust in the form of a relationship model that makes us vulnerable because we rely and depend on a third party without any doubt due to assumptions and distractions, considering them trustworthy [62]. It means that our inherent tolerance to possible flaws/mistakes due to the factor of trust affects on our cybersecurity posture. They also suggest applying threat modeling and risk analysis before and during the design stage in the development lifecycle to minimize the factor of trust [62, Ch. 4]. Hence, trust should not be considered as a static and accurate indicator, but rather it is a dynamic probability of being trusted by someone else and vice versa, where any mistake from either party leads to its loss or reduction. For example, one of the parties (recipient or sender) can at any time disrupt data transmission and its correctness by intentionally beginning not to adhere to the given standard protocols and interaction interfaces.</w:t>
      </w:r>
    </w:p>
    <w:p>
      <w:pPr>
        <w:pStyle w:val="BodyText"/>
        <w:rPr/>
      </w:pPr>
      <w:r>
        <w:rPr/>
        <w:t>For these reasons, the National Institute of Standards and Technology (NIST) developed the concept of Zero Trust Architecture (ZTA), in which trust requires continuous verification [63]. Babenko et al. clearly demonstrated that empirical data on ZTA implementation correlates with a lower incident rate of insider threats [64]. Organizations can adopt this by following the key principles listed below:</w:t>
      </w:r>
    </w:p>
    <w:p>
      <w:pPr>
        <w:pStyle w:val="bulletlist"/>
        <w:numPr>
          <w:ilvl w:val="0"/>
          <w:numId w:val="3"/>
        </w:numPr>
        <w:rPr/>
      </w:pPr>
      <w:r>
        <w:rPr/>
        <w:t>Continuous evaluation of all actions and actors instead of granting full access within a protected perimeter. This means the environment itself does not affect how we trust someone/something, assuming operating in a hostile environment [63, Ch. 2.2].</w:t>
      </w:r>
    </w:p>
    <w:p>
      <w:pPr>
        <w:pStyle w:val="bulletlist"/>
        <w:numPr>
          <w:ilvl w:val="0"/>
          <w:numId w:val="3"/>
        </w:numPr>
        <w:rPr/>
      </w:pPr>
      <w:r>
        <w:rPr/>
        <w:t>Eliminating implicit trust in favor of explicit trust using a trust algorithm as a method for verifying access or credibility with transactional properties [63, Ch. 3.3].</w:t>
      </w:r>
    </w:p>
    <w:p>
      <w:pPr>
        <w:pStyle w:val="bulletlist"/>
        <w:numPr>
          <w:ilvl w:val="0"/>
          <w:numId w:val="3"/>
        </w:numPr>
        <w:rPr/>
      </w:pPr>
      <w:r>
        <w:rPr/>
        <w:t>Segmentation of the network and systems into atomic cells, which theoretically fragments the attack surface (e.g., a large monolith will expose more data than individual microservices), as visualized in Figure 9 [65].</w:t>
      </w:r>
    </w:p>
    <w:p>
      <w:pPr>
        <w:pStyle w:val="bulletlist"/>
        <w:numPr>
          <w:ilvl w:val="0"/>
          <w:numId w:val="3"/>
        </w:numPr>
        <w:rPr/>
      </w:pPr>
      <w:r>
        <w:rPr/>
        <w:t>Least privileges of access and minimizing the amount of dependencies via strict comprehensive assessments of vendors or suppliers [66]. On top of this, it is recommended to apply DevSecOps practices for the automation of software building, testing, and the overall "shift-left" movement for the early identification of problems in information security [67].</w:t>
      </w:r>
    </w:p>
    <w:p>
      <w:pPr>
        <w:pStyle w:val="bulletlist"/>
        <w:numPr>
          <w:ilvl w:val="0"/>
          <w:numId w:val="3"/>
        </w:numPr>
        <w:rPr/>
      </w:pPr>
      <w:r>
        <w:rPr/>
        <w:t>Security as a dynamic process and adaptive system is achieved through the continuous collection and analysis of data/statistics (resources, assets, incidents, etc.). In particular, Mushtaq et al. note the importance of compliance with GDPR (General Data Protection Regulation), explainable AI, and anomaly detection to maintain transparency in ZTA [68].</w:t>
      </w:r>
    </w:p>
    <w:tbl>
      <w:tblPr>
        <w:tblW w:w="4729" w:type="dxa"/>
        <w:jc w:val="center"/>
        <w:tblInd w:w="0" w:type="dxa"/>
        <w:tblLayout w:type="fixed"/>
        <w:tblCellMar>
          <w:top w:w="0" w:type="dxa"/>
          <w:left w:w="108" w:type="dxa"/>
          <w:bottom w:w="0" w:type="dxa"/>
          <w:right w:w="108" w:type="dxa"/>
        </w:tblCellMar>
      </w:tblPr>
      <w:tblGrid>
        <w:gridCol w:w="4729"/>
      </w:tblGrid>
      <w:tr>
        <w:trPr>
          <w:trHeight w:val="1546" w:hRule="atLeast"/>
        </w:trPr>
        <w:tc>
          <w:tcPr>
            <w:tcW w:w="4729" w:type="dxa"/>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11">
                  <wp:simplePos x="0" y="0"/>
                  <wp:positionH relativeFrom="margin">
                    <wp:align>center</wp:align>
                  </wp:positionH>
                  <wp:positionV relativeFrom="paragraph">
                    <wp:posOffset>635</wp:posOffset>
                  </wp:positionV>
                  <wp:extent cx="2861310" cy="84899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5"/>
                          <a:srcRect l="-1" t="-5" r="-1" b="-5"/>
                          <a:stretch>
                            <a:fillRect/>
                          </a:stretch>
                        </pic:blipFill>
                        <pic:spPr bwMode="auto">
                          <a:xfrm>
                            <a:off x="0" y="0"/>
                            <a:ext cx="2861310" cy="848995"/>
                          </a:xfrm>
                          <a:prstGeom prst="rect">
                            <a:avLst/>
                          </a:prstGeom>
                          <a:solidFill>
                            <a:srgbClr val="ffffff"/>
                          </a:solidFill>
                        </pic:spPr>
                      </pic:pic>
                    </a:graphicData>
                  </a:graphic>
                </wp:anchor>
              </w:drawing>
            </w:r>
          </w:p>
        </w:tc>
      </w:tr>
      <w:tr>
        <w:trPr>
          <w:trHeight w:val="531" w:hRule="atLeast"/>
        </w:trPr>
        <w:tc>
          <w:tcPr>
            <w:tcW w:w="4729" w:type="dxa"/>
            <w:tcBorders/>
          </w:tcPr>
          <w:p>
            <w:pPr>
              <w:pStyle w:val="figurecaption"/>
              <w:numPr>
                <w:ilvl w:val="0"/>
                <w:numId w:val="5"/>
              </w:numPr>
              <w:spacing w:before="80" w:after="200"/>
              <w:ind w:hanging="0" w:left="0" w:right="0"/>
              <w:rPr/>
            </w:pPr>
            <w:r>
              <w:rPr/>
              <w:t>Network segmentation in ZTA, where each segment consists of multiple defense layers and granular microservices.</w:t>
            </w:r>
          </w:p>
        </w:tc>
      </w:tr>
    </w:tbl>
    <w:p>
      <w:pPr>
        <w:pStyle w:val="BodyText"/>
        <w:rPr>
          <w:shd w:fill="auto" w:val="clear"/>
        </w:rPr>
      </w:pPr>
      <w:r>
        <w:rPr/>
        <w:t>One example of ZTA implementation is decentralized systems (e.g., blockchain), which contain zero-knowledge proofs and consensus algorithms such as "proof of work" and others that guarantee trust based on a defined trust factor (e.g., computational power, number of devices/actors, amount of specific tokens) [69]. Furthermore, there is a concept of "trustless" in the same sphere that further reinforces ZTA and trust management approaches in distributed systems. Certain studies even consider applying properties of distributed systems and blockchain to version control systems and secure package management, leveraging their data integrity and non-repudiation characteristics to en</w:t>
      </w:r>
      <w:r>
        <w:rPr>
          <w:shd w:fill="auto" w:val="clear"/>
        </w:rPr>
        <w:t xml:space="preserve">hance supply chain security </w:t>
      </w:r>
      <w:r>
        <w:rPr>
          <w:b w:val="false"/>
          <w:i w:val="false"/>
          <w:caps w:val="false"/>
          <w:smallCaps w:val="false"/>
          <w:position w:val="0"/>
          <w:sz w:val="20"/>
          <w:sz w:val="20"/>
          <w:u w:val="none"/>
          <w:vertAlign w:val="baseline"/>
        </w:rPr>
        <w:t>[33, pp. 8–12], [70]</w:t>
      </w:r>
      <w:r>
        <w:rPr/>
        <w:t>.</w:t>
      </w:r>
    </w:p>
    <w:p>
      <w:pPr>
        <w:pStyle w:val="BodyText"/>
        <w:rPr>
          <w:shd w:fill="auto" w:val="clear"/>
        </w:rPr>
      </w:pPr>
      <w:r>
        <w:rPr>
          <w:shd w:fill="auto" w:val="clear"/>
        </w:rPr>
        <w:t>Overall, the current landscape of security for critical IT infrastructure is broad and continues to evolve alongside the increasing sophistication of cyberattacks. It is now evident that there is a significant need for more robust dynamic analysis of software and its underlying components, as static source code analysis and standard tooling are insufficient. Future large-scale or critical incidents will likely serve as catalysts, compelling the global community to fundamentally rethink and restructure prevention strategies. So, the industry is going to shift toward proactive prevention, the establishment of comprehensive security protocols, and the rigorous verification and analysis of IS.</w:t>
      </w:r>
    </w:p>
    <w:p>
      <w:pPr>
        <w:pStyle w:val="Heading1"/>
        <w:rPr/>
      </w:pPr>
      <w:r>
        <w:rPr>
          <w:shd w:fill="auto" w:val="clear"/>
        </w:rPr>
        <w:t>Methodology</w:t>
      </w:r>
    </w:p>
    <w:p>
      <w:pPr>
        <w:pStyle w:val="Heading2"/>
        <w:rPr>
          <w:shd w:fill="auto" w:val="clear"/>
        </w:rPr>
      </w:pPr>
      <w:r>
        <w:rPr/>
        <w:t>Paradigm shift towards constant security</w:t>
      </w:r>
    </w:p>
    <w:p>
      <w:pPr>
        <w:pStyle w:val="BodyText"/>
        <w:rPr/>
      </w:pPr>
      <w:r>
        <w:rPr>
          <w:shd w:fill="auto" w:val="clear"/>
        </w:rPr>
        <w:t>Therefore, this study proposes to adopt principles from existing malware and binary analysis tools with digital forensics, which can be integrated into the process of collecting and analyzing both malware and legitimate components. These toolkits can effectively complement modern SCA approaches and enable a paradigm shift, as illustrated in Figure 10. It redirects the purpose of existing solutions toward a different target audience and analytical focus from regular end users to developers. Although this may appear to be a minor shift, it is both critical to have and straightforward to integrate.</w:t>
      </w:r>
    </w:p>
    <w:tbl>
      <w:tblPr>
        <w:tblW w:w="4729" w:type="dxa"/>
        <w:jc w:val="center"/>
        <w:tblInd w:w="0" w:type="dxa"/>
        <w:tblLayout w:type="fixed"/>
        <w:tblCellMar>
          <w:top w:w="0" w:type="dxa"/>
          <w:left w:w="108" w:type="dxa"/>
          <w:bottom w:w="0" w:type="dxa"/>
          <w:right w:w="108" w:type="dxa"/>
        </w:tblCellMar>
      </w:tblPr>
      <w:tblGrid>
        <w:gridCol w:w="4729"/>
      </w:tblGrid>
      <w:tr>
        <w:trPr>
          <w:trHeight w:val="1078" w:hRule="atLeast"/>
        </w:trPr>
        <w:tc>
          <w:tcPr>
            <w:tcW w:w="4729" w:type="dxa"/>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12">
                  <wp:simplePos x="0" y="0"/>
                  <wp:positionH relativeFrom="margin">
                    <wp:align>center</wp:align>
                  </wp:positionH>
                  <wp:positionV relativeFrom="paragraph">
                    <wp:posOffset>635</wp:posOffset>
                  </wp:positionV>
                  <wp:extent cx="2865120" cy="64135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6"/>
                          <a:srcRect l="-1" t="-6" r="-1" b="-6"/>
                          <a:stretch>
                            <a:fillRect/>
                          </a:stretch>
                        </pic:blipFill>
                        <pic:spPr bwMode="auto">
                          <a:xfrm>
                            <a:off x="0" y="0"/>
                            <a:ext cx="2865120" cy="641350"/>
                          </a:xfrm>
                          <a:prstGeom prst="rect">
                            <a:avLst/>
                          </a:prstGeom>
                          <a:solidFill>
                            <a:srgbClr val="ffffff"/>
                          </a:solidFill>
                        </pic:spPr>
                      </pic:pic>
                    </a:graphicData>
                  </a:graphic>
                </wp:anchor>
              </w:drawing>
            </w:r>
          </w:p>
        </w:tc>
      </w:tr>
      <w:tr>
        <w:trPr>
          <w:trHeight w:val="531" w:hRule="atLeast"/>
        </w:trPr>
        <w:tc>
          <w:tcPr>
            <w:tcW w:w="4729" w:type="dxa"/>
            <w:tcBorders/>
          </w:tcPr>
          <w:p>
            <w:pPr>
              <w:pStyle w:val="figurecaption"/>
              <w:numPr>
                <w:ilvl w:val="0"/>
                <w:numId w:val="5"/>
              </w:numPr>
              <w:spacing w:before="80" w:after="200"/>
              <w:ind w:hanging="0" w:left="0" w:right="0"/>
              <w:rPr/>
            </w:pPr>
            <w:r>
              <w:rPr/>
              <w:t>Paradigm shift by applying principles from malware and binary analysis for SCA-related tasks.</w:t>
            </w:r>
          </w:p>
        </w:tc>
      </w:tr>
    </w:tbl>
    <w:p>
      <w:pPr>
        <w:pStyle w:val="BodyText"/>
        <w:rPr/>
      </w:pPr>
      <w:r>
        <w:rPr>
          <w:shd w:fill="auto" w:val="clear"/>
        </w:rPr>
        <w:t>These systems are essential tools for a range of specialists, including reverse engineers, malware researchers, RnD (research and development) analysts, and SOC (security operations center) analysts, who use them to gain in-depth insights into malware behavior and potential threats. Companies often deploy these solutions in various configurations, including on-premises and SaaS models, as shown in Figure 11.</w:t>
      </w:r>
    </w:p>
    <w:tbl>
      <w:tblPr>
        <w:tblW w:w="4729" w:type="dxa"/>
        <w:jc w:val="center"/>
        <w:tblInd w:w="0" w:type="dxa"/>
        <w:tblLayout w:type="fixed"/>
        <w:tblCellMar>
          <w:top w:w="0" w:type="dxa"/>
          <w:left w:w="108" w:type="dxa"/>
          <w:bottom w:w="0" w:type="dxa"/>
          <w:right w:w="108" w:type="dxa"/>
        </w:tblCellMar>
      </w:tblPr>
      <w:tblGrid>
        <w:gridCol w:w="4729"/>
      </w:tblGrid>
      <w:tr>
        <w:trPr>
          <w:trHeight w:val="1454" w:hRule="atLeast"/>
        </w:trPr>
        <w:tc>
          <w:tcPr>
            <w:tcW w:w="4729" w:type="dxa"/>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2865120" cy="80835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7"/>
                          <a:srcRect l="-1" t="-3" r="-1" b="-3"/>
                          <a:stretch>
                            <a:fillRect/>
                          </a:stretch>
                        </pic:blipFill>
                        <pic:spPr bwMode="auto">
                          <a:xfrm>
                            <a:off x="0" y="0"/>
                            <a:ext cx="2865120" cy="808355"/>
                          </a:xfrm>
                          <a:prstGeom prst="rect">
                            <a:avLst/>
                          </a:prstGeom>
                          <a:solidFill>
                            <a:srgbClr val="ffffff"/>
                          </a:solidFill>
                        </pic:spPr>
                      </pic:pic>
                    </a:graphicData>
                  </a:graphic>
                </wp:anchor>
              </w:drawing>
            </w:r>
          </w:p>
        </w:tc>
      </w:tr>
      <w:tr>
        <w:trPr>
          <w:trHeight w:val="531" w:hRule="atLeast"/>
        </w:trPr>
        <w:tc>
          <w:tcPr>
            <w:tcW w:w="4729" w:type="dxa"/>
            <w:tcBorders/>
          </w:tcPr>
          <w:p>
            <w:pPr>
              <w:pStyle w:val="figurecaption"/>
              <w:numPr>
                <w:ilvl w:val="0"/>
                <w:numId w:val="5"/>
              </w:numPr>
              <w:spacing w:before="80" w:after="200"/>
              <w:ind w:hanging="0" w:left="0" w:right="0"/>
              <w:rPr/>
            </w:pPr>
            <w:r>
              <w:rPr/>
              <w:t>Landscape of well-known solutions for security analysis and sandboxing, listed from [71]. On-premises deployment is local within the organization due to data confidentiality and security req</w:t>
            </w:r>
            <w:r>
              <w:rPr>
                <w:shd w:fill="auto" w:val="clear"/>
              </w:rPr>
              <w:t>uirements. SaaS platforms contribute to broader landscape by aggregating and analyzing threat data from multiple worldwide sources.</w:t>
            </w:r>
          </w:p>
        </w:tc>
      </w:tr>
    </w:tbl>
    <w:p>
      <w:pPr>
        <w:pStyle w:val="BodyText"/>
        <w:rPr/>
      </w:pPr>
      <w:r>
        <w:rPr/>
        <w:t>Sandboxing approach is validated by NIST for ZTA, where it is recommended to manage software examination within isolated execution environments before allowing to add or change of any component into the IT infrastructure [63, Ch. 3.2.4]. However, only passive analysis with sandboxes and honeypots is limited, because security engineers cannot predict some situations due to a small subset of analyzed artifacts and insufficient data. Also, the behavior observed in a sandboxed environment is not always representative of the real system. Therefore, organizations should strive to simulate the original infrastructure and everything in it to be exactly precise to the production instance in order to obtain more correct and realistic results in general, as demonstrated in Figure 12.</w:t>
      </w:r>
    </w:p>
    <w:tbl>
      <w:tblPr>
        <w:tblW w:w="4729" w:type="dxa"/>
        <w:jc w:val="center"/>
        <w:tblInd w:w="0" w:type="dxa"/>
        <w:tblLayout w:type="fixed"/>
        <w:tblCellMar>
          <w:top w:w="0" w:type="dxa"/>
          <w:left w:w="108" w:type="dxa"/>
          <w:bottom w:w="0" w:type="dxa"/>
          <w:right w:w="108" w:type="dxa"/>
        </w:tblCellMar>
      </w:tblPr>
      <w:tblGrid>
        <w:gridCol w:w="4729"/>
      </w:tblGrid>
      <w:tr>
        <w:trPr>
          <w:trHeight w:val="2608" w:hRule="atLeast"/>
        </w:trPr>
        <w:tc>
          <w:tcPr>
            <w:tcW w:w="4729" w:type="dxa"/>
            <w:tcBorders/>
          </w:tcPr>
          <w:p>
            <w:pPr>
              <w:pStyle w:val="BodyText"/>
              <w:snapToGrid w:val="false"/>
              <w:ind w:hanging="0" w:right="0"/>
              <w:jc w:val="center"/>
              <w:rPr/>
            </w:pPr>
            <w:r>
              <w:rPr/>
              <w:drawing>
                <wp:anchor behindDoc="0" distT="0" distB="0" distL="0" distR="0" simplePos="0" locked="0" layoutInCell="0" allowOverlap="1" relativeHeight="14">
                  <wp:simplePos x="0" y="0"/>
                  <wp:positionH relativeFrom="margin">
                    <wp:posOffset>147955</wp:posOffset>
                  </wp:positionH>
                  <wp:positionV relativeFrom="paragraph">
                    <wp:posOffset>73660</wp:posOffset>
                  </wp:positionV>
                  <wp:extent cx="2492375" cy="153797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8"/>
                          <a:srcRect l="-1" t="-2" r="-1" b="-2"/>
                          <a:stretch>
                            <a:fillRect/>
                          </a:stretch>
                        </pic:blipFill>
                        <pic:spPr bwMode="auto">
                          <a:xfrm>
                            <a:off x="0" y="0"/>
                            <a:ext cx="2492375" cy="1537970"/>
                          </a:xfrm>
                          <a:prstGeom prst="rect">
                            <a:avLst/>
                          </a:prstGeom>
                          <a:solidFill>
                            <a:srgbClr val="ffffff"/>
                          </a:solidFill>
                        </pic:spPr>
                      </pic:pic>
                    </a:graphicData>
                  </a:graphic>
                </wp:anchor>
              </w:drawing>
            </w:r>
          </w:p>
          <w:p>
            <w:pPr>
              <w:pStyle w:val="BodyText"/>
              <w:ind w:hanging="0" w:right="0"/>
              <w:jc w:val="center"/>
              <w:rPr/>
            </w:pPr>
            <w:r>
              <w:rPr/>
            </w:r>
          </w:p>
        </w:tc>
      </w:tr>
      <w:tr>
        <w:trPr>
          <w:trHeight w:val="531" w:hRule="atLeast"/>
        </w:trPr>
        <w:tc>
          <w:tcPr>
            <w:tcW w:w="4729" w:type="dxa"/>
            <w:tcBorders/>
          </w:tcPr>
          <w:p>
            <w:pPr>
              <w:pStyle w:val="figurecaption"/>
              <w:numPr>
                <w:ilvl w:val="0"/>
                <w:numId w:val="5"/>
              </w:numPr>
              <w:spacing w:before="80" w:after="200"/>
              <w:ind w:hanging="0" w:left="0" w:right="0"/>
              <w:rPr/>
            </w:pPr>
            <w:r>
              <w:rPr/>
              <w:t>Transition to cycle of continuous security (SOC - security operations center; MSSP - managed security service provider): (1) Passive analysis with sandboxes and honeypots. (2) Reactive analysis with digital twins of IT infrastructures with AI agents.</w:t>
            </w:r>
          </w:p>
        </w:tc>
      </w:tr>
    </w:tbl>
    <w:p>
      <w:pPr>
        <w:pStyle w:val="BodyText"/>
        <w:rPr/>
      </w:pPr>
      <w:r>
        <w:rPr/>
        <w:t>Full-scale digital twins allow to create copies of specific workstations up to entire large systems as complex real-time simulations [72]. They might significantly reduce the time and cost of testing and validation, making the process truly continuous and assisting in identifying critical problems before publication into production. In essence, such an analysis laboratory establishes a validation and feedback loop against constantly expanding attack surfaces, where security specialists can simulate multiple attack scenarios and gather all data from the IT infrastructure. It also provides the following features and opportunities:</w:t>
      </w:r>
    </w:p>
    <w:p>
      <w:pPr>
        <w:pStyle w:val="bulletlist"/>
        <w:numPr>
          <w:ilvl w:val="0"/>
          <w:numId w:val="3"/>
        </w:numPr>
        <w:rPr/>
      </w:pPr>
      <w:r>
        <w:rPr/>
        <w:t>Digital hygiene via a mirrored, restricted, and remote environment for isolation and security. This ensures that any incoming untrusted artifacts from external sources, which may pose a hazard, do not create high risks associated with local execution during the parsing, downloading, and executing processes.</w:t>
      </w:r>
    </w:p>
    <w:p>
      <w:pPr>
        <w:pStyle w:val="bulletlist"/>
        <w:numPr>
          <w:ilvl w:val="0"/>
          <w:numId w:val="3"/>
        </w:numPr>
        <w:rPr/>
      </w:pPr>
      <w:r>
        <w:rPr/>
        <w:t>The connection can be secured by an encrypted VPN (virtual private network) tunnel, enabling the safe use of RPC (remote procedure calls), SSH (secure shell) connections, HTTP/HTTPS (hypertext transfer protocol) transfers, and so on. Additionally, the instance is restricted by a firewall to block all unauthorized inbound connections and prevent outbound connections (egress filtering) to mitigate risks such as reverse shells.</w:t>
      </w:r>
    </w:p>
    <w:p>
      <w:pPr>
        <w:pStyle w:val="bulletlist"/>
        <w:numPr>
          <w:ilvl w:val="0"/>
          <w:numId w:val="3"/>
        </w:numPr>
        <w:rPr/>
      </w:pPr>
      <w:r>
        <w:rPr/>
        <w:t>Hardening the environment to ensure a bad actor cannot interfere with or compromise data collection. For example, preventing a scenario where a malicious package contains a script that disrupts the installed monitoring agent or spoofs the collected data.</w:t>
      </w:r>
    </w:p>
    <w:p>
      <w:pPr>
        <w:pStyle w:val="bulletlist"/>
        <w:numPr>
          <w:ilvl w:val="0"/>
          <w:numId w:val="3"/>
        </w:numPr>
        <w:rPr/>
      </w:pPr>
      <w:r>
        <w:rPr/>
        <w:t>Regularly deconstructing and reconstructing IT infrastructure from self-documenting files. This opens opportunities for dynamic and configurable end-to-end testing, what-if analysis, and chaos engineering.</w:t>
      </w:r>
    </w:p>
    <w:p>
      <w:pPr>
        <w:pStyle w:val="bulletlist"/>
        <w:numPr>
          <w:ilvl w:val="0"/>
          <w:numId w:val="3"/>
        </w:numPr>
        <w:rPr/>
      </w:pPr>
      <w:r>
        <w:rPr/>
        <w:t>Immediately destroying an instance and clearing its resources upon completion of a task execution, meaning it is being constantly recreated by a new one as temporary and immutable (similar to short-living or stateless serverless functions). Such a mechanism minimizes the risk of sandbox escape, preventing a malicious actor from pivoting into internal infrastructure through the sandbox environment.</w:t>
      </w:r>
    </w:p>
    <w:p>
      <w:pPr>
        <w:pStyle w:val="bulletlist"/>
        <w:numPr>
          <w:ilvl w:val="0"/>
          <w:numId w:val="3"/>
        </w:numPr>
        <w:rPr/>
      </w:pPr>
      <w:r>
        <w:rPr/>
        <w:t>Portability and compatibility across various targets (device architectures, hardware combinations, OS platforms) with emulation.</w:t>
      </w:r>
    </w:p>
    <w:p>
      <w:pPr>
        <w:pStyle w:val="bulletlist"/>
        <w:numPr>
          <w:ilvl w:val="0"/>
          <w:numId w:val="3"/>
        </w:numPr>
        <w:rPr/>
      </w:pPr>
      <w:r>
        <w:rPr/>
        <w:t>Extensible distributed systems that are made of multiple server instances with virtual machines and containers based on different forms of hosting.</w:t>
      </w:r>
    </w:p>
    <w:p>
      <w:pPr>
        <w:pStyle w:val="BodyText"/>
        <w:rPr>
          <w:shd w:fill="auto" w:val="clear"/>
        </w:rPr>
      </w:pPr>
      <w:r>
        <w:rPr/>
        <w:t>Furthermore, current agentic AI capabilities have reached a significant level through multimodality (a combination of language, vision, audio, etc.), allowing for their orchestration toward specific tasks or the achievement of partial operational autonomy. These intelligent agents could be utilized as lightweight pentesters under customizable scripted scenarios [73]. This approach is effective because even a small specially targeted PoC (proof of concept) script, designed to exploit specific vulnerabilities, can possibly compromise the integrity of highly protected systems. So, it is beyond ordinary brute-forcing or fuzzing due to the flexibility and stochastic behavior of agents. Firstly, the entire infrastructure can be replicated in advance with multiple AI agents (depending on available resources) deployed to perform large-scale automated testing by actively stress-testing the system and identifying its weak points. In this context, they can conduct user/developer-like interactions or simulate entire communities with unique roles as natural traffic inside a digital twin over an extended period of time, thereby revealing hidden aspects of software during runtime, and finding weak points or unpredictable states of IS within extreme conditions. Secondly, they can be fine-tuned and configured for specific tasks by defining: behavioral patterns, rules, instruction or goals (e.g., according to use cases or user stories), APIs and tools, their simultaneous amount, etc. Obviously, it is a helpful botnet operating for benefit and risk prevention rather than harm to production systems. Thirdly, a similar approach can be extended to other types of simulations by leveraging game engines to regulate actors within the context of real markets, events, distributed systems, locations, and other cases.</w:t>
      </w:r>
    </w:p>
    <w:p>
      <w:pPr>
        <w:pStyle w:val="Heading2"/>
        <w:rPr>
          <w:shd w:fill="auto" w:val="clear"/>
        </w:rPr>
      </w:pPr>
      <w:r>
        <w:rPr>
          <w:shd w:fill="auto" w:val="clear"/>
        </w:rPr>
        <w:t>System modeling and operating mechanisms</w:t>
      </w:r>
    </w:p>
    <w:p>
      <w:pPr>
        <w:pStyle w:val="BodyText"/>
        <w:rPr/>
      </w:pPr>
      <w:r>
        <w:rPr>
          <w:shd w:fill="auto" w:val="clear"/>
        </w:rPr>
        <w:t>There is only a theoretical concept of foundational elements of the solution and their description without strict details on technical aspects and simplification in visualizations in order to be technology-agnostic and portable to other ecosystems. It was decomposed into several parts that align with components and services, ensuring extensibility and customizations. The architectural design is based on the hexagonal architecture because it provides a concept of adapters and ports for replacement or modification of implementations and clear context separation. The driving side represents the system’s entry points and exit points, including regular users and external automated systems that interact with the platform through backend APIs and web interfaces over network connections within a client-server model, as shown in Figure 13.</w:t>
      </w:r>
    </w:p>
    <w:tbl>
      <w:tblPr>
        <w:tblW w:w="4729" w:type="dxa"/>
        <w:jc w:val="center"/>
        <w:tblInd w:w="0" w:type="dxa"/>
        <w:tblLayout w:type="fixed"/>
        <w:tblCellMar>
          <w:top w:w="0" w:type="dxa"/>
          <w:left w:w="108" w:type="dxa"/>
          <w:bottom w:w="0" w:type="dxa"/>
          <w:right w:w="108" w:type="dxa"/>
        </w:tblCellMar>
      </w:tblPr>
      <w:tblGrid>
        <w:gridCol w:w="4729"/>
      </w:tblGrid>
      <w:tr>
        <w:trPr>
          <w:trHeight w:val="2792" w:hRule="atLeast"/>
        </w:trPr>
        <w:tc>
          <w:tcPr>
            <w:tcW w:w="4729" w:type="dxa"/>
            <w:tcBorders/>
          </w:tcPr>
          <w:p>
            <w:pPr>
              <w:pStyle w:val="BodyText"/>
              <w:snapToGrid w:val="false"/>
              <w:ind w:hanging="0" w:right="0"/>
              <w:jc w:val="center"/>
              <w:rPr/>
            </w:pPr>
            <w:r>
              <w:rPr/>
              <w:drawing>
                <wp:anchor behindDoc="0" distT="0" distB="0" distL="0" distR="0" simplePos="0" locked="0" layoutInCell="0" allowOverlap="1" relativeHeight="24">
                  <wp:simplePos x="0" y="0"/>
                  <wp:positionH relativeFrom="margin">
                    <wp:posOffset>194945</wp:posOffset>
                  </wp:positionH>
                  <wp:positionV relativeFrom="paragraph">
                    <wp:posOffset>102870</wp:posOffset>
                  </wp:positionV>
                  <wp:extent cx="2638425" cy="155448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9"/>
                          <a:srcRect l="-1" t="-2" r="-1" b="-2"/>
                          <a:stretch>
                            <a:fillRect/>
                          </a:stretch>
                        </pic:blipFill>
                        <pic:spPr bwMode="auto">
                          <a:xfrm>
                            <a:off x="0" y="0"/>
                            <a:ext cx="2638425" cy="1554480"/>
                          </a:xfrm>
                          <a:prstGeom prst="rect">
                            <a:avLst/>
                          </a:prstGeom>
                          <a:solidFill>
                            <a:srgbClr val="ffffff"/>
                          </a:solidFill>
                        </pic:spPr>
                      </pic:pic>
                    </a:graphicData>
                  </a:graphic>
                </wp:anchor>
              </w:drawing>
            </w:r>
          </w:p>
          <w:p>
            <w:pPr>
              <w:pStyle w:val="BodyText"/>
              <w:ind w:hanging="0" w:right="0"/>
              <w:jc w:val="center"/>
              <w:rPr/>
            </w:pPr>
            <w:r>
              <w:rPr/>
            </w:r>
          </w:p>
        </w:tc>
      </w:tr>
      <w:tr>
        <w:trPr>
          <w:trHeight w:val="131" w:hRule="atLeast"/>
        </w:trPr>
        <w:tc>
          <w:tcPr>
            <w:tcW w:w="4729" w:type="dxa"/>
            <w:tcBorders/>
          </w:tcPr>
          <w:p>
            <w:pPr>
              <w:pStyle w:val="figurecaption"/>
              <w:numPr>
                <w:ilvl w:val="0"/>
                <w:numId w:val="5"/>
              </w:numPr>
              <w:spacing w:before="80" w:after="200"/>
              <w:ind w:hanging="0" w:left="0" w:right="0"/>
              <w:rPr/>
            </w:pPr>
            <w:r>
              <w:rPr/>
              <w:t>The driving side of the platform.</w:t>
            </w:r>
          </w:p>
        </w:tc>
      </w:tr>
    </w:tbl>
    <w:p>
      <w:pPr>
        <w:pStyle w:val="BodyText"/>
        <w:rPr>
          <w:shd w:fill="auto" w:val="clear"/>
        </w:rPr>
      </w:pPr>
      <w:r>
        <w:rPr>
          <w:shd w:fill="auto" w:val="clear"/>
        </w:rPr>
        <w:t>The internal part is designed as a modular monolith, divided into multiple components or services, as illustrated in Figure 14:</w:t>
      </w:r>
    </w:p>
    <w:p>
      <w:pPr>
        <w:pStyle w:val="bulletlist"/>
        <w:numPr>
          <w:ilvl w:val="0"/>
          <w:numId w:val="3"/>
        </w:numPr>
        <w:rPr>
          <w:shd w:fill="auto" w:val="clear"/>
        </w:rPr>
      </w:pPr>
      <w:r>
        <w:rPr>
          <w:shd w:fill="auto" w:val="clear"/>
        </w:rPr>
        <w:t>"Identity provider, user and session management" - maintains all information about users in the platform with their metadata. Generally, "Authentication" and "Authorization" operate alongside each other, forming a comprehensive set of components responsible for user-related security operations: roles or access control based on permissions, login and register handling, access/refresh token management, checking behavior and actions of the user, multi-factor authentication (MFA), and so on.</w:t>
      </w:r>
    </w:p>
    <w:p>
      <w:pPr>
        <w:pStyle w:val="bulletlist"/>
        <w:numPr>
          <w:ilvl w:val="0"/>
          <w:numId w:val="3"/>
        </w:numPr>
        <w:rPr>
          <w:shd w:fill="auto" w:val="clear"/>
        </w:rPr>
      </w:pPr>
      <w:r>
        <w:rPr>
          <w:shd w:fill="auto" w:val="clear"/>
        </w:rPr>
        <w:t>"Groups and project system" - holds multiple analyses in which users can collaborate with each other.</w:t>
      </w:r>
    </w:p>
    <w:p>
      <w:pPr>
        <w:pStyle w:val="bulletlist"/>
        <w:numPr>
          <w:ilvl w:val="0"/>
          <w:numId w:val="3"/>
        </w:numPr>
        <w:rPr>
          <w:shd w:fill="auto" w:val="clear"/>
        </w:rPr>
      </w:pPr>
      <w:r>
        <w:rPr>
          <w:shd w:fill="auto" w:val="clear"/>
        </w:rPr>
        <w:t>"Moderation system" and "Administration system" - are intended for platform operators, enabling internal system management and response to user requests as needed.</w:t>
      </w:r>
    </w:p>
    <w:p>
      <w:pPr>
        <w:pStyle w:val="bulletlist"/>
        <w:numPr>
          <w:ilvl w:val="0"/>
          <w:numId w:val="3"/>
        </w:numPr>
        <w:rPr/>
      </w:pPr>
      <w:r>
        <w:rPr>
          <w:shd w:fill="auto" w:val="clear"/>
        </w:rPr>
        <w:t>"Analyses system" - is a critical component that performs all essential operations required for software analysis.</w:t>
      </w:r>
    </w:p>
    <w:tbl>
      <w:tblPr>
        <w:tblW w:w="4729" w:type="dxa"/>
        <w:jc w:val="center"/>
        <w:tblInd w:w="0" w:type="dxa"/>
        <w:tblLayout w:type="fixed"/>
        <w:tblCellMar>
          <w:top w:w="0" w:type="dxa"/>
          <w:left w:w="108" w:type="dxa"/>
          <w:bottom w:w="0" w:type="dxa"/>
          <w:right w:w="108" w:type="dxa"/>
        </w:tblCellMar>
      </w:tblPr>
      <w:tblGrid>
        <w:gridCol w:w="4729"/>
      </w:tblGrid>
      <w:tr>
        <w:trPr>
          <w:trHeight w:val="3069" w:hRule="atLeast"/>
        </w:trPr>
        <w:tc>
          <w:tcPr>
            <w:tcW w:w="4729" w:type="dxa"/>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15">
                  <wp:simplePos x="0" y="0"/>
                  <wp:positionH relativeFrom="margin">
                    <wp:align>center</wp:align>
                  </wp:positionH>
                  <wp:positionV relativeFrom="paragraph">
                    <wp:posOffset>635</wp:posOffset>
                  </wp:positionV>
                  <wp:extent cx="2865120" cy="168910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20"/>
                          <a:srcRect l="-1" t="-2" r="-1" b="-2"/>
                          <a:stretch>
                            <a:fillRect/>
                          </a:stretch>
                        </pic:blipFill>
                        <pic:spPr bwMode="auto">
                          <a:xfrm>
                            <a:off x="0" y="0"/>
                            <a:ext cx="2865120" cy="1689100"/>
                          </a:xfrm>
                          <a:prstGeom prst="rect">
                            <a:avLst/>
                          </a:prstGeom>
                          <a:solidFill>
                            <a:srgbClr val="ffffff"/>
                          </a:solidFill>
                        </pic:spPr>
                      </pic:pic>
                    </a:graphicData>
                  </a:graphic>
                </wp:anchor>
              </w:drawing>
            </w:r>
          </w:p>
        </w:tc>
      </w:tr>
      <w:tr>
        <w:trPr>
          <w:trHeight w:val="219" w:hRule="atLeast"/>
        </w:trPr>
        <w:tc>
          <w:tcPr>
            <w:tcW w:w="4729" w:type="dxa"/>
            <w:tcBorders/>
          </w:tcPr>
          <w:p>
            <w:pPr>
              <w:pStyle w:val="figurecaption"/>
              <w:numPr>
                <w:ilvl w:val="0"/>
                <w:numId w:val="5"/>
              </w:numPr>
              <w:spacing w:before="80" w:after="200"/>
              <w:ind w:hanging="0" w:left="0" w:right="0"/>
              <w:rPr/>
            </w:pPr>
            <w:r>
              <w:rPr/>
              <w:t>Internal components (i.e., services or subsystems).</w:t>
            </w:r>
          </w:p>
        </w:tc>
      </w:tr>
    </w:tbl>
    <w:p>
      <w:pPr>
        <w:pStyle w:val="BodyText"/>
        <w:rPr>
          <w:shd w:fill="auto" w:val="clear"/>
        </w:rPr>
      </w:pPr>
      <w:r>
        <w:rPr>
          <w:shd w:fill="auto" w:val="clear"/>
        </w:rPr>
        <w:t>Moreover, it has a flexibility aspect that such components can be added, modified, or disabled as needed, which improves security by reducing the attack surface, minimizing system states, decreasing computational complexity, and the factor of combinatorial explosion. The analysis engine in the analysis system also has a plugin and a modding system for fine-grained configuration and operation modes. Firstly, components within the analysis engine are structured according to the actor model, where each component is an object instance, OS process, or container running on the same system or in a distributed environment for scalability. Secondly, some of them are developed for specific use cases related to software packages, container images, computer networks, and other parts of the IT infrastructure. Thirdly, components can be implemented differently but must intercommunicate via JSON-RPC 2.0, and interfaces</w:t>
      </w:r>
      <w:r>
        <w:rPr>
          <w:b w:val="false"/>
          <w:i w:val="false"/>
          <w:shd w:fill="auto" w:val="clear"/>
        </w:rPr>
        <w:t xml:space="preserve"> describe their actions and roles (not limited </w:t>
      </w:r>
      <w:r>
        <w:rPr>
          <w:shd w:fill="auto" w:val="clear"/>
        </w:rPr>
        <w:t>to the presented set below) operating around the abstraction of "task":</w:t>
      </w:r>
    </w:p>
    <w:p>
      <w:pPr>
        <w:pStyle w:val="bulletlist"/>
        <w:numPr>
          <w:ilvl w:val="0"/>
          <w:numId w:val="3"/>
        </w:numPr>
        <w:rPr>
          <w:shd w:fill="auto" w:val="clear"/>
        </w:rPr>
      </w:pPr>
      <w:r>
        <w:rPr>
          <w:shd w:fill="auto" w:val="clear"/>
        </w:rPr>
        <w:t>"Orchestrator" - is responsible for task queuing, scheduling, and overall management operations. It serves as an intermediate layer that receives tasks directly from the analysis system, each with specific requirements that must be resolved before delegation to other components. For example, there are possible types of task requirements such as a package (single dependency or a group within one or multiple projects in VCS and archive/compressed format), microservices (container image or layers), and other supported resources. At the same time, “Orchestrator” manages and coordinates the overall execution process, acting as the central communication and control hub, because components cannot begin execution without confirmation or explicit request from Orchestrator. Other components in the analysis engine are a form of "task executors" that perform a specific task. The connection between “Orchestrator” and other components follows a one-to-many relationship, where Orchestrator determines which to use among several available ones or to spawn a specific one.</w:t>
      </w:r>
    </w:p>
    <w:p>
      <w:pPr>
        <w:pStyle w:val="bulletlist"/>
        <w:numPr>
          <w:ilvl w:val="0"/>
          <w:numId w:val="3"/>
        </w:numPr>
        <w:rPr>
          <w:shd w:fill="auto" w:val="clear"/>
        </w:rPr>
      </w:pPr>
      <w:r>
        <w:rPr>
          <w:shd w:fill="auto" w:val="clear"/>
        </w:rPr>
        <w:t>“</w:t>
      </w:r>
      <w:r>
        <w:rPr>
          <w:shd w:fill="auto" w:val="clear"/>
        </w:rPr>
        <w:t>Instancer” - provisions and manages via a common API the required environments (e.g., containers, VMs, specific OS or images, etc.).</w:t>
      </w:r>
    </w:p>
    <w:p>
      <w:pPr>
        <w:pStyle w:val="bulletlist"/>
        <w:numPr>
          <w:ilvl w:val="0"/>
          <w:numId w:val="3"/>
        </w:numPr>
        <w:rPr>
          <w:shd w:fill="auto" w:val="clear"/>
        </w:rPr>
      </w:pPr>
      <w:r>
        <w:rPr>
          <w:shd w:fill="auto" w:val="clear"/>
        </w:rPr>
        <w:t>“</w:t>
      </w:r>
      <w:r>
        <w:rPr>
          <w:shd w:fill="auto" w:val="clear"/>
        </w:rPr>
        <w:t>Collector” - continuously or periodically collects data from the created instance (e.g., compares and monitors changes in logs or files, results of build procedure, checking running programs and processes, making image screenshots or recording videos, memory or disk snapshots, constructing a tree of dependencies and processes to manifest file, etc.). Optionally, it is possible to specify a limited scope of data or sources to collect or ignore through regex-based filtering.</w:t>
      </w:r>
    </w:p>
    <w:p>
      <w:pPr>
        <w:pStyle w:val="bulletlist"/>
        <w:numPr>
          <w:ilvl w:val="0"/>
          <w:numId w:val="3"/>
        </w:numPr>
        <w:rPr>
          <w:shd w:fill="auto" w:val="clear"/>
        </w:rPr>
      </w:pPr>
      <w:r>
        <w:rPr>
          <w:shd w:fill="auto" w:val="clear"/>
        </w:rPr>
        <w:t>“</w:t>
      </w:r>
      <w:r>
        <w:rPr>
          <w:shd w:fill="auto" w:val="clear"/>
        </w:rPr>
        <w:t>Interactor” - performs a predefined set of actions or scripted scenarios in an isolated environment to simulate user behavior and trigger malware responses (e.g., interaction with the file system, launching or installing programs, managing input/output devices, etc.).</w:t>
      </w:r>
    </w:p>
    <w:p>
      <w:pPr>
        <w:pStyle w:val="bulletlist"/>
        <w:numPr>
          <w:ilvl w:val="0"/>
          <w:numId w:val="3"/>
        </w:numPr>
        <w:rPr>
          <w:shd w:fill="auto" w:val="clear"/>
        </w:rPr>
      </w:pPr>
      <w:r>
        <w:rPr>
          <w:shd w:fill="auto" w:val="clear"/>
        </w:rPr>
        <w:t>“</w:t>
      </w:r>
      <w:r>
        <w:rPr>
          <w:shd w:fill="auto" w:val="clear"/>
        </w:rPr>
        <w:t>Parser” - transforms the required data into a unified IR or converts it into a format suitable for “Analyzer”.</w:t>
      </w:r>
    </w:p>
    <w:p>
      <w:pPr>
        <w:pStyle w:val="bulletlist"/>
        <w:numPr>
          <w:ilvl w:val="0"/>
          <w:numId w:val="3"/>
        </w:numPr>
        <w:rPr>
          <w:shd w:fill="auto" w:val="clear"/>
        </w:rPr>
      </w:pPr>
      <w:r>
        <w:rPr>
          <w:shd w:fill="auto" w:val="clear"/>
        </w:rPr>
        <w:t>“</w:t>
      </w:r>
      <w:r>
        <w:rPr>
          <w:shd w:fill="auto" w:val="clear"/>
        </w:rPr>
        <w:t>Analyzer and Reporter” - produce specific verdicts or predictions based on the received data in a structured report (e.g., determining critical components within a dependency tree, performing other specialized analyses using both stochastic and deterministic algorithms).</w:t>
      </w:r>
    </w:p>
    <w:p>
      <w:pPr>
        <w:pStyle w:val="BodyText"/>
        <w:rPr/>
      </w:pPr>
      <w:r>
        <w:rPr>
          <w:shd w:fill="auto" w:val="clear"/>
        </w:rPr>
        <w:t>Figure 15 illustrates the driven side with infrastructural parts and external integrations. As illustrated in Figure 16, connectivity principles rely on four distinct concepts that can be flexibly combined: agent-based, agentless, push, and pull. An agent-based approach requires installing specific software directly on each endpoint to transfer data or control the system. In contrast, an agentless approach connects through a single, centralized collector without needing extra software on the endpoints. Depending on which entity triggers the data transfer, these methods can be paired with either "push" or "pull" strategies. In practice, these four concepts can be mixed and matched (e.g., using an agentless pull or an agent-based push architecture). Because each combination has distinct advantages and disadvantages regarding data transmission, organizations should ideally be offered multiple options to choose the best fit for their specific operational and maintenance needs.</w:t>
      </w:r>
    </w:p>
    <w:tbl>
      <w:tblPr>
        <w:tblW w:w="4729" w:type="dxa"/>
        <w:jc w:val="center"/>
        <w:tblInd w:w="0" w:type="dxa"/>
        <w:tblLayout w:type="fixed"/>
        <w:tblCellMar>
          <w:top w:w="0" w:type="dxa"/>
          <w:left w:w="108" w:type="dxa"/>
          <w:bottom w:w="0" w:type="dxa"/>
          <w:right w:w="108" w:type="dxa"/>
        </w:tblCellMar>
      </w:tblPr>
      <w:tblGrid>
        <w:gridCol w:w="4729"/>
      </w:tblGrid>
      <w:tr>
        <w:trPr>
          <w:trHeight w:val="2885" w:hRule="atLeast"/>
        </w:trPr>
        <w:tc>
          <w:tcPr>
            <w:tcW w:w="4729" w:type="dxa"/>
            <w:tcBorders/>
          </w:tcPr>
          <w:p>
            <w:pPr>
              <w:pStyle w:val="BodyText"/>
              <w:snapToGrid w:val="false"/>
              <w:ind w:hanging="0" w:right="0"/>
              <w:jc w:val="center"/>
              <w:rPr/>
            </w:pPr>
            <w:r>
              <w:rPr/>
              <w:drawing>
                <wp:anchor behindDoc="0" distT="0" distB="0" distL="0" distR="0" simplePos="0" locked="0" layoutInCell="0" allowOverlap="1" relativeHeight="16">
                  <wp:simplePos x="0" y="0"/>
                  <wp:positionH relativeFrom="margin">
                    <wp:posOffset>461010</wp:posOffset>
                  </wp:positionH>
                  <wp:positionV relativeFrom="paragraph">
                    <wp:posOffset>87630</wp:posOffset>
                  </wp:positionV>
                  <wp:extent cx="2082800" cy="1655445"/>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1"/>
                          <a:srcRect l="-1" t="-2" r="-1" b="-2"/>
                          <a:stretch>
                            <a:fillRect/>
                          </a:stretch>
                        </pic:blipFill>
                        <pic:spPr bwMode="auto">
                          <a:xfrm>
                            <a:off x="0" y="0"/>
                            <a:ext cx="2082800" cy="1655445"/>
                          </a:xfrm>
                          <a:prstGeom prst="rect">
                            <a:avLst/>
                          </a:prstGeom>
                          <a:solidFill>
                            <a:srgbClr val="ffffff"/>
                          </a:solidFill>
                        </pic:spPr>
                      </pic:pic>
                    </a:graphicData>
                  </a:graphic>
                </wp:anchor>
              </w:drawing>
            </w:r>
          </w:p>
          <w:p>
            <w:pPr>
              <w:pStyle w:val="BodyText"/>
              <w:ind w:hanging="0" w:right="0"/>
              <w:jc w:val="center"/>
              <w:rPr/>
            </w:pPr>
            <w:r>
              <w:rPr/>
            </w:r>
          </w:p>
        </w:tc>
      </w:tr>
      <w:tr>
        <w:trPr>
          <w:trHeight w:val="370" w:hRule="atLeast"/>
        </w:trPr>
        <w:tc>
          <w:tcPr>
            <w:tcW w:w="4729" w:type="dxa"/>
            <w:tcBorders/>
          </w:tcPr>
          <w:p>
            <w:pPr>
              <w:pStyle w:val="figurecaption"/>
              <w:numPr>
                <w:ilvl w:val="0"/>
                <w:numId w:val="5"/>
              </w:numPr>
              <w:spacing w:before="80" w:after="200"/>
              <w:ind w:hanging="0" w:left="0" w:right="0"/>
              <w:rPr/>
            </w:pPr>
            <w:r>
              <w:rPr/>
              <w:t>The driven side of the platform.</w:t>
            </w:r>
          </w:p>
        </w:tc>
      </w:tr>
      <w:tr>
        <w:trPr>
          <w:trHeight w:val="1350" w:hRule="atLeast"/>
        </w:trPr>
        <w:tc>
          <w:tcPr>
            <w:tcW w:w="4729" w:type="dxa"/>
            <w:tcBorders/>
          </w:tcPr>
          <w:p>
            <w:pPr>
              <w:pStyle w:val="BodyText"/>
              <w:snapToGrid w:val="false"/>
              <w:ind w:hanging="0" w:right="0"/>
              <w:jc w:val="center"/>
              <w:rPr/>
            </w:pPr>
            <w:r>
              <w:rPr/>
              <w:drawing>
                <wp:anchor behindDoc="0" distT="0" distB="0" distL="0" distR="0" simplePos="0" locked="0" layoutInCell="0" allowOverlap="1" relativeHeight="17">
                  <wp:simplePos x="0" y="0"/>
                  <wp:positionH relativeFrom="margin">
                    <wp:posOffset>333375</wp:posOffset>
                  </wp:positionH>
                  <wp:positionV relativeFrom="paragraph">
                    <wp:posOffset>87630</wp:posOffset>
                  </wp:positionV>
                  <wp:extent cx="2244090" cy="680085"/>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2"/>
                          <a:srcRect l="-1" t="-4" r="-1" b="-4"/>
                          <a:stretch>
                            <a:fillRect/>
                          </a:stretch>
                        </pic:blipFill>
                        <pic:spPr bwMode="auto">
                          <a:xfrm>
                            <a:off x="0" y="0"/>
                            <a:ext cx="2244090" cy="680085"/>
                          </a:xfrm>
                          <a:prstGeom prst="rect">
                            <a:avLst/>
                          </a:prstGeom>
                          <a:solidFill>
                            <a:srgbClr val="ffffff"/>
                          </a:solidFill>
                        </pic:spPr>
                      </pic:pic>
                    </a:graphicData>
                  </a:graphic>
                </wp:anchor>
              </w:drawing>
            </w:r>
          </w:p>
          <w:p>
            <w:pPr>
              <w:pStyle w:val="BodyText"/>
              <w:ind w:hanging="0" w:right="0"/>
              <w:jc w:val="center"/>
              <w:rPr/>
            </w:pPr>
            <w:r>
              <w:rPr/>
            </w:r>
          </w:p>
        </w:tc>
      </w:tr>
      <w:tr>
        <w:trPr>
          <w:trHeight w:val="749" w:hRule="atLeast"/>
        </w:trPr>
        <w:tc>
          <w:tcPr>
            <w:tcW w:w="4729" w:type="dxa"/>
            <w:tcBorders/>
          </w:tcPr>
          <w:p>
            <w:pPr>
              <w:pStyle w:val="figurecaption"/>
              <w:numPr>
                <w:ilvl w:val="0"/>
                <w:numId w:val="5"/>
              </w:numPr>
              <w:spacing w:before="80" w:after="200"/>
              <w:ind w:hanging="0" w:left="0" w:right="0"/>
              <w:rPr/>
            </w:pPr>
            <w:r>
              <w:rPr>
                <w:shd w:fill="auto" w:val="clear"/>
              </w:rPr>
              <w:t>In agent and agent-based strategies, an M:1 ("many-to-one") relationship exists between multiple instances and a single control node, with the directional arrow indicating whether a push or pull model is being utilized.</w:t>
            </w:r>
          </w:p>
        </w:tc>
      </w:tr>
    </w:tbl>
    <w:p>
      <w:pPr>
        <w:pStyle w:val="Heading2"/>
        <w:rPr>
          <w:shd w:fill="auto" w:val="clear"/>
        </w:rPr>
      </w:pPr>
      <w:r>
        <w:rPr>
          <w:shd w:fill="auto" w:val="clear"/>
        </w:rPr>
        <w:t>Practical experiment within a simulated setup</w:t>
      </w:r>
    </w:p>
    <w:p>
      <w:pPr>
        <w:pStyle w:val="BodyText"/>
        <w:rPr/>
      </w:pPr>
      <w:r>
        <w:rPr>
          <w:shd w:fill="auto" w:val="clear"/>
        </w:rPr>
        <w:t>From a practical standpoint, the proposed approaches can already be integrated into existing systems. For this purpose, we prepared a case study based on the PyPI software repository, which hosts multiple Python packages and operates under a FOSS (Free and Open Source Software) model. Under this model, policies allow any user to use the package manager or other mechanisms to upload, download, and publish packages in the form of source or build distributions. Our methodology is intended to enhance SCA and to establish the principle of a continuous security lifecycle, in which containment is applied prior to publication or modification, rather than immediately accepting changes into the public repository, as illustrated in Figure 17. Figure 18 shows the internal process of the analysis platform in a data-flow diagram. Other details of the analysis system and its engine are shown in Figure 19.</w:t>
      </w:r>
    </w:p>
    <w:tbl>
      <w:tblPr>
        <w:tblW w:w="4729" w:type="dxa"/>
        <w:jc w:val="center"/>
        <w:tblInd w:w="0" w:type="dxa"/>
        <w:tblLayout w:type="fixed"/>
        <w:tblCellMar>
          <w:top w:w="0" w:type="dxa"/>
          <w:left w:w="108" w:type="dxa"/>
          <w:bottom w:w="0" w:type="dxa"/>
          <w:right w:w="108" w:type="dxa"/>
        </w:tblCellMar>
      </w:tblPr>
      <w:tblGrid>
        <w:gridCol w:w="4675"/>
        <w:gridCol w:w="54"/>
      </w:tblGrid>
      <w:tr>
        <w:trPr>
          <w:trHeight w:val="2158" w:hRule="atLeast"/>
        </w:trPr>
        <w:tc>
          <w:tcPr>
            <w:tcW w:w="4675" w:type="dxa"/>
            <w:tcBorders/>
          </w:tcPr>
          <w:p>
            <w:pPr>
              <w:pStyle w:val="BodyText"/>
              <w:snapToGrid w:val="false"/>
              <w:ind w:hanging="0" w:right="0"/>
              <w:jc w:val="center"/>
              <w:rPr/>
            </w:pPr>
            <w:r>
              <w:rPr/>
              <w:drawing>
                <wp:anchor behindDoc="0" distT="0" distB="0" distL="0" distR="0" simplePos="0" locked="0" layoutInCell="0" allowOverlap="1" relativeHeight="18">
                  <wp:simplePos x="0" y="0"/>
                  <wp:positionH relativeFrom="margin">
                    <wp:posOffset>208915</wp:posOffset>
                  </wp:positionH>
                  <wp:positionV relativeFrom="paragraph">
                    <wp:posOffset>66675</wp:posOffset>
                  </wp:positionV>
                  <wp:extent cx="2450465" cy="1243965"/>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3"/>
                          <a:srcRect l="-1" t="-3" r="-1" b="-3"/>
                          <a:stretch>
                            <a:fillRect/>
                          </a:stretch>
                        </pic:blipFill>
                        <pic:spPr bwMode="auto">
                          <a:xfrm>
                            <a:off x="0" y="0"/>
                            <a:ext cx="2450465" cy="1243965"/>
                          </a:xfrm>
                          <a:prstGeom prst="rect">
                            <a:avLst/>
                          </a:prstGeom>
                          <a:solidFill>
                            <a:srgbClr val="ffffff"/>
                          </a:solidFill>
                        </pic:spPr>
                      </pic:pic>
                    </a:graphicData>
                  </a:graphic>
                </wp:anchor>
              </w:drawing>
            </w:r>
          </w:p>
          <w:p>
            <w:pPr>
              <w:pStyle w:val="BodyText"/>
              <w:ind w:hanging="0" w:right="0"/>
              <w:jc w:val="center"/>
              <w:rPr/>
            </w:pPr>
            <w:r>
              <w:rPr/>
            </w:r>
          </w:p>
        </w:tc>
        <w:tc>
          <w:tcPr>
            <w:tcW w:w="54" w:type="dxa"/>
            <w:tcBorders/>
            <w:tcMar>
              <w:left w:w="0" w:type="dxa"/>
              <w:right w:w="0" w:type="dxa"/>
            </w:tcMar>
          </w:tcPr>
          <w:p>
            <w:pPr>
              <w:pStyle w:val="Normal"/>
              <w:snapToGrid w:val="false"/>
              <w:rPr/>
            </w:pPr>
            <w:r>
              <w:rPr/>
            </w:r>
          </w:p>
        </w:tc>
      </w:tr>
      <w:tr>
        <w:trPr>
          <w:trHeight w:val="420" w:hRule="atLeast"/>
        </w:trPr>
        <w:tc>
          <w:tcPr>
            <w:tcW w:w="4675" w:type="dxa"/>
            <w:tcBorders/>
          </w:tcPr>
          <w:p>
            <w:pPr>
              <w:pStyle w:val="figurecaption"/>
              <w:numPr>
                <w:ilvl w:val="0"/>
                <w:numId w:val="5"/>
              </w:numPr>
              <w:spacing w:before="80" w:after="200"/>
              <w:ind w:hanging="0" w:left="0" w:right="0"/>
              <w:rPr/>
            </w:pPr>
            <w:r>
              <w:rPr/>
              <w:t>Secure software pipeline by integrating the proposed analysis platform (Part 1 of PyPI example).</w:t>
            </w:r>
          </w:p>
        </w:tc>
        <w:tc>
          <w:tcPr>
            <w:tcW w:w="54" w:type="dxa"/>
            <w:tcBorders/>
            <w:tcMar>
              <w:left w:w="0" w:type="dxa"/>
              <w:right w:w="0" w:type="dxa"/>
            </w:tcMar>
          </w:tcPr>
          <w:p>
            <w:pPr>
              <w:pStyle w:val="Normal"/>
              <w:snapToGrid w:val="false"/>
              <w:rPr/>
            </w:pPr>
            <w:r>
              <w:rPr/>
            </w:r>
          </w:p>
        </w:tc>
      </w:tr>
      <w:tr>
        <w:trPr>
          <w:trHeight w:val="2065" w:hRule="atLeast"/>
        </w:trPr>
        <w:tc>
          <w:tcPr>
            <w:tcW w:w="4729" w:type="dxa"/>
            <w:gridSpan w:val="2"/>
            <w:tcBorders/>
          </w:tcPr>
          <w:p>
            <w:pPr>
              <w:pStyle w:val="BodyText"/>
              <w:snapToGrid w:val="false"/>
              <w:ind w:hanging="0" w:right="0"/>
              <w:jc w:val="center"/>
              <w:rPr/>
            </w:pPr>
            <w:r>
              <w:rPr/>
              <w:drawing>
                <wp:anchor behindDoc="0" distT="0" distB="0" distL="0" distR="0" simplePos="0" locked="0" layoutInCell="0" allowOverlap="1" relativeHeight="19">
                  <wp:simplePos x="0" y="0"/>
                  <wp:positionH relativeFrom="margin">
                    <wp:posOffset>480060</wp:posOffset>
                  </wp:positionH>
                  <wp:positionV relativeFrom="paragraph">
                    <wp:posOffset>113665</wp:posOffset>
                  </wp:positionV>
                  <wp:extent cx="1993900" cy="1121410"/>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4"/>
                          <a:srcRect l="-1" t="-2" r="-1" b="-2"/>
                          <a:stretch>
                            <a:fillRect/>
                          </a:stretch>
                        </pic:blipFill>
                        <pic:spPr bwMode="auto">
                          <a:xfrm>
                            <a:off x="0" y="0"/>
                            <a:ext cx="1993900" cy="1121410"/>
                          </a:xfrm>
                          <a:prstGeom prst="rect">
                            <a:avLst/>
                          </a:prstGeom>
                          <a:solidFill>
                            <a:srgbClr val="ffffff"/>
                          </a:solidFill>
                        </pic:spPr>
                      </pic:pic>
                    </a:graphicData>
                  </a:graphic>
                </wp:anchor>
              </w:drawing>
            </w:r>
          </w:p>
          <w:p>
            <w:pPr>
              <w:pStyle w:val="BodyText"/>
              <w:ind w:hanging="0" w:right="0"/>
              <w:jc w:val="center"/>
              <w:rPr/>
            </w:pPr>
            <w:r>
              <w:rPr/>
            </w:r>
          </w:p>
        </w:tc>
      </w:tr>
      <w:tr>
        <w:trPr>
          <w:trHeight w:val="507" w:hRule="atLeast"/>
        </w:trPr>
        <w:tc>
          <w:tcPr>
            <w:tcW w:w="4729" w:type="dxa"/>
            <w:gridSpan w:val="2"/>
            <w:tcBorders/>
          </w:tcPr>
          <w:p>
            <w:pPr>
              <w:pStyle w:val="figurecaption"/>
              <w:numPr>
                <w:ilvl w:val="0"/>
                <w:numId w:val="5"/>
              </w:numPr>
              <w:spacing w:before="80" w:after="200"/>
              <w:ind w:hanging="0" w:left="0" w:right="0"/>
              <w:rPr/>
            </w:pPr>
            <w:r>
              <w:rPr>
                <w:shd w:fill="auto" w:val="clear"/>
              </w:rPr>
              <w:t>Internal processes of the analysis platform in data-flow diagram (Part 2 of PyPI example).</w:t>
            </w:r>
          </w:p>
        </w:tc>
      </w:tr>
      <w:tr>
        <w:trPr>
          <w:trHeight w:val="2700" w:hRule="atLeast"/>
        </w:trPr>
        <w:tc>
          <w:tcPr>
            <w:tcW w:w="4729" w:type="dxa"/>
            <w:gridSpan w:val="2"/>
            <w:tcBorders/>
          </w:tcPr>
          <w:p>
            <w:pPr>
              <w:pStyle w:val="BodyText"/>
              <w:snapToGrid w:val="false"/>
              <w:ind w:hanging="0" w:right="0"/>
              <w:jc w:val="center"/>
              <w:rPr/>
            </w:pPr>
            <w:r>
              <w:rPr/>
            </w:r>
          </w:p>
          <w:p>
            <w:pPr>
              <w:pStyle w:val="BodyText"/>
              <w:ind w:hanging="0" w:right="0"/>
              <w:jc w:val="center"/>
              <w:rPr/>
            </w:pPr>
            <w:r>
              <w:rPr/>
              <w:drawing>
                <wp:anchor behindDoc="0" distT="0" distB="0" distL="0" distR="0" simplePos="0" locked="0" layoutInCell="0" allowOverlap="1" relativeHeight="20">
                  <wp:simplePos x="0" y="0"/>
                  <wp:positionH relativeFrom="margin">
                    <wp:align>center</wp:align>
                  </wp:positionH>
                  <wp:positionV relativeFrom="paragraph">
                    <wp:posOffset>635</wp:posOffset>
                  </wp:positionV>
                  <wp:extent cx="2294890" cy="1430020"/>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5"/>
                          <a:srcRect l="-1" t="-1" r="-1" b="-1"/>
                          <a:stretch>
                            <a:fillRect/>
                          </a:stretch>
                        </pic:blipFill>
                        <pic:spPr bwMode="auto">
                          <a:xfrm>
                            <a:off x="0" y="0"/>
                            <a:ext cx="2294890" cy="1430020"/>
                          </a:xfrm>
                          <a:prstGeom prst="rect">
                            <a:avLst/>
                          </a:prstGeom>
                          <a:solidFill>
                            <a:srgbClr val="ffffff"/>
                          </a:solidFill>
                        </pic:spPr>
                      </pic:pic>
                    </a:graphicData>
                  </a:graphic>
                </wp:anchor>
              </w:drawing>
            </w:r>
          </w:p>
        </w:tc>
      </w:tr>
      <w:tr>
        <w:trPr>
          <w:trHeight w:val="625" w:hRule="atLeast"/>
        </w:trPr>
        <w:tc>
          <w:tcPr>
            <w:tcW w:w="4729" w:type="dxa"/>
            <w:gridSpan w:val="2"/>
            <w:tcBorders/>
          </w:tcPr>
          <w:p>
            <w:pPr>
              <w:pStyle w:val="figurecaption"/>
              <w:numPr>
                <w:ilvl w:val="0"/>
                <w:numId w:val="5"/>
              </w:numPr>
              <w:spacing w:before="80" w:after="200"/>
              <w:ind w:hanging="0" w:left="0" w:right="0"/>
              <w:rPr/>
            </w:pPr>
            <w:r>
              <w:rPr>
                <w:shd w:fill="auto" w:val="clear"/>
              </w:rPr>
              <w:t>Internal processes of the analysis system and its engine in a sequence diagram (Part 3 of PyPI example).</w:t>
            </w:r>
          </w:p>
        </w:tc>
      </w:tr>
    </w:tbl>
    <w:p>
      <w:pPr>
        <w:pStyle w:val="BodyText"/>
        <w:rPr>
          <w:shd w:fill="auto" w:val="clear"/>
        </w:rPr>
      </w:pPr>
      <w:r>
        <w:rPr>
          <w:shd w:fill="auto" w:val="clear"/>
        </w:rPr>
        <w:t>Therefore, we developed a closed-system computer simulation designed to analyze various dynamics, trends, and potential practical outcomes within a software supply chain. Our primary objective is to conduct a comparative analysis between a reactive approach and a preventive security setup based on a variety of systemic factors. Firstly, we utilized the SimPy library in Python for developing discrete event simulations with defined specific actors and programmed their individual behaviors to accurately model real-world interactions within the repository at a regular rate [74]. Secondly, each simulation step represents one day, with actor</w:t>
      </w:r>
      <w:r>
        <w:rPr/>
        <w:t>s performing one action per step. Thirdly, each actor's progression is defined by a specific set of actions, each with a customizable probability of occurrence:</w:t>
      </w:r>
    </w:p>
    <w:p>
      <w:pPr>
        <w:pStyle w:val="bulletlist"/>
        <w:numPr>
          <w:ilvl w:val="0"/>
          <w:numId w:val="3"/>
        </w:numPr>
        <w:rPr>
          <w:shd w:fill="auto" w:val="clear"/>
        </w:rPr>
      </w:pPr>
      <w:r>
        <w:rPr>
          <w:shd w:fill="auto" w:val="clear"/>
        </w:rPr>
        <w:t>Developer (i.e., regular user) can install packages with specific version specifiers, manage existing installations, and report suspicious packages to the repository. Additionally, users can perform self-checks to detect potential compromises caused by malicious packages. This detection occurs after a 1-7 day delay, after which the developer has a 50% chance to successfully remediate the compromise and restore their status.</w:t>
      </w:r>
    </w:p>
    <w:p>
      <w:pPr>
        <w:pStyle w:val="bulletlist"/>
        <w:numPr>
          <w:ilvl w:val="0"/>
          <w:numId w:val="3"/>
        </w:numPr>
        <w:rPr>
          <w:shd w:fill="auto" w:val="clear"/>
        </w:rPr>
      </w:pPr>
      <w:r>
        <w:rPr>
          <w:shd w:fill="auto" w:val="clear"/>
        </w:rPr>
        <w:t>Package publisher can create new packages and release updated versions within the repository. However, these actions are governed by specific repository constraints, including limits on the number of packages per publisher, total upload volumes, and restrictions on the maximum number of versions allowed.</w:t>
      </w:r>
    </w:p>
    <w:p>
      <w:pPr>
        <w:pStyle w:val="bulletlist"/>
        <w:numPr>
          <w:ilvl w:val="0"/>
          <w:numId w:val="3"/>
        </w:numPr>
        <w:rPr>
          <w:shd w:fill="auto" w:val="clear"/>
        </w:rPr>
      </w:pPr>
      <w:r>
        <w:rPr>
          <w:shd w:fill="auto" w:val="clear"/>
        </w:rPr>
        <w:t>Threat actor can release new versions of packages by impersonating  and taking control over legitimate publishers, simulating a hijacked account. This allows them to compromise dependencies or launch supply chain attacks designed to infect regular users.</w:t>
      </w:r>
    </w:p>
    <w:p>
      <w:pPr>
        <w:pStyle w:val="Heading1"/>
        <w:rPr>
          <w:shd w:fill="auto" w:val="clear"/>
        </w:rPr>
      </w:pPr>
      <w:r>
        <w:rPr>
          <w:shd w:fill="auto" w:val="clear"/>
        </w:rPr>
        <w:t>Results and discussions</w:t>
      </w:r>
    </w:p>
    <w:p>
      <w:pPr>
        <w:pStyle w:val="Heading2"/>
        <w:rPr>
          <w:shd w:fill="auto" w:val="clear"/>
        </w:rPr>
      </w:pPr>
      <w:r>
        <w:rPr>
          <w:shd w:fill="auto" w:val="clear"/>
        </w:rPr>
        <w:t>Results of simulation analysis to compare reactive and preventive approaches</w:t>
      </w:r>
    </w:p>
    <w:p>
      <w:pPr>
        <w:pStyle w:val="BodyText"/>
        <w:rPr/>
      </w:pPr>
      <w:r>
        <w:rPr>
          <w:shd w:fill="auto" w:val="clear"/>
        </w:rPr>
        <w:t>The practical results of the simulation iteration are presented below, alongside specific parameters detailed in Table 1.</w:t>
      </w:r>
    </w:p>
    <w:p>
      <w:pPr>
        <w:pStyle w:val="tablehead"/>
        <w:numPr>
          <w:ilvl w:val="0"/>
          <w:numId w:val="6"/>
        </w:numPr>
        <w:ind w:hanging="0" w:left="0" w:right="0"/>
        <w:rPr/>
      </w:pPr>
      <w:r>
        <w:rPr/>
        <w:t>Parameters of the simulation iteration</w:t>
      </w:r>
    </w:p>
    <w:tbl>
      <w:tblPr>
        <w:tblW w:w="4523" w:type="dxa"/>
        <w:jc w:val="center"/>
        <w:tblInd w:w="0" w:type="dxa"/>
        <w:tblLayout w:type="fixed"/>
        <w:tblCellMar>
          <w:top w:w="0" w:type="dxa"/>
          <w:left w:w="108" w:type="dxa"/>
          <w:bottom w:w="0" w:type="dxa"/>
          <w:right w:w="108" w:type="dxa"/>
        </w:tblCellMar>
      </w:tblPr>
      <w:tblGrid>
        <w:gridCol w:w="2446"/>
        <w:gridCol w:w="2077"/>
      </w:tblGrid>
      <w:tr>
        <w:trPr>
          <w:trHeight w:val="369" w:hRule="atLeast"/>
        </w:trPr>
        <w:tc>
          <w:tcPr>
            <w:tcW w:w="2446" w:type="dxa"/>
            <w:tcBorders>
              <w:top w:val="single" w:sz="4" w:space="0" w:color="000000"/>
              <w:left w:val="single" w:sz="4" w:space="0" w:color="000000"/>
              <w:bottom w:val="single" w:sz="4" w:space="0" w:color="000000"/>
              <w:right w:val="single" w:sz="4" w:space="0" w:color="000000"/>
            </w:tcBorders>
            <w:vAlign w:val="center"/>
          </w:tcPr>
          <w:p>
            <w:pPr>
              <w:pStyle w:val="tablecolhead"/>
              <w:rPr/>
            </w:pPr>
            <w:r>
              <w:rPr/>
              <w:t>Fields</w:t>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tablecolhead"/>
              <w:rPr/>
            </w:pPr>
            <w:r>
              <w:rPr/>
              <w:t>Values</w:t>
            </w:r>
          </w:p>
        </w:tc>
      </w:tr>
      <w:tr>
        <w:trPr>
          <w:trHeight w:val="188" w:hRule="atLeast"/>
        </w:trPr>
        <w:tc>
          <w:tcPr>
            <w:tcW w:w="2446" w:type="dxa"/>
            <w:tcBorders>
              <w:top w:val="single" w:sz="4" w:space="0" w:color="000000"/>
              <w:left w:val="single" w:sz="4" w:space="0" w:color="000000"/>
              <w:bottom w:val="single" w:sz="4" w:space="0" w:color="000000"/>
              <w:right w:val="single" w:sz="4" w:space="0" w:color="000000"/>
            </w:tcBorders>
          </w:tcPr>
          <w:p>
            <w:pPr>
              <w:pStyle w:val="tablecopy"/>
              <w:jc w:val="left"/>
              <w:rPr/>
            </w:pPr>
            <w:r>
              <w:rPr/>
              <w:t>random_seed</w:t>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42</w:t>
            </w:r>
          </w:p>
        </w:tc>
      </w:tr>
      <w:tr>
        <w:trPr>
          <w:trHeight w:val="197" w:hRule="atLeast"/>
        </w:trPr>
        <w:tc>
          <w:tcPr>
            <w:tcW w:w="2446" w:type="dxa"/>
            <w:tcBorders>
              <w:top w:val="single" w:sz="4" w:space="0" w:color="000000"/>
              <w:left w:val="single" w:sz="4" w:space="0" w:color="000000"/>
              <w:bottom w:val="single" w:sz="4" w:space="0" w:color="000000"/>
              <w:right w:val="single" w:sz="4" w:space="0" w:color="000000"/>
            </w:tcBorders>
          </w:tcPr>
          <w:p>
            <w:pPr>
              <w:pStyle w:val="tablecopy"/>
              <w:jc w:val="left"/>
              <w:rPr/>
            </w:pPr>
            <w:r>
              <w:rPr/>
              <w:t>num_developers</w:t>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tablecopy"/>
              <w:snapToGrid w:val="false"/>
              <w:rPr/>
            </w:pPr>
            <w:r>
              <w:rPr/>
              <w:t>300</w:t>
            </w:r>
          </w:p>
        </w:tc>
      </w:tr>
      <w:tr>
        <w:trPr>
          <w:trHeight w:val="240" w:hRule="atLeast"/>
        </w:trPr>
        <w:tc>
          <w:tcPr>
            <w:tcW w:w="2446" w:type="dxa"/>
            <w:tcBorders>
              <w:top w:val="single" w:sz="4" w:space="0" w:color="000000"/>
              <w:left w:val="single" w:sz="4" w:space="0" w:color="000000"/>
              <w:bottom w:val="single" w:sz="4" w:space="0" w:color="000000"/>
              <w:right w:val="single" w:sz="4" w:space="0" w:color="000000"/>
            </w:tcBorders>
          </w:tcPr>
          <w:p>
            <w:pPr>
              <w:pStyle w:val="tablecopy"/>
              <w:jc w:val="left"/>
              <w:rPr/>
            </w:pPr>
            <w:r>
              <w:rPr/>
              <w:t>num_threat_actors</w:t>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tablecopy"/>
              <w:snapToGrid w:val="false"/>
              <w:rPr/>
            </w:pPr>
            <w:r>
              <w:rPr/>
              <w:t>5</w:t>
            </w:r>
          </w:p>
        </w:tc>
      </w:tr>
      <w:tr>
        <w:trPr>
          <w:trHeight w:val="240" w:hRule="atLeast"/>
        </w:trPr>
        <w:tc>
          <w:tcPr>
            <w:tcW w:w="2446" w:type="dxa"/>
            <w:tcBorders>
              <w:left w:val="single" w:sz="4" w:space="0" w:color="000000"/>
              <w:bottom w:val="single" w:sz="4" w:space="0" w:color="000000"/>
              <w:right w:val="single" w:sz="4" w:space="0" w:color="000000"/>
            </w:tcBorders>
          </w:tcPr>
          <w:p>
            <w:pPr>
              <w:pStyle w:val="tablecopy"/>
              <w:jc w:val="left"/>
              <w:rPr/>
            </w:pPr>
            <w:r>
              <w:rPr/>
              <w:t>num_publishers</w:t>
            </w:r>
          </w:p>
        </w:tc>
        <w:tc>
          <w:tcPr>
            <w:tcW w:w="2077" w:type="dxa"/>
            <w:tcBorders>
              <w:left w:val="single" w:sz="4" w:space="0" w:color="000000"/>
              <w:bottom w:val="single" w:sz="4" w:space="0" w:color="000000"/>
              <w:right w:val="single" w:sz="4" w:space="0" w:color="000000"/>
            </w:tcBorders>
            <w:vAlign w:val="center"/>
          </w:tcPr>
          <w:p>
            <w:pPr>
              <w:pStyle w:val="tablecopy"/>
              <w:snapToGrid w:val="false"/>
              <w:rPr/>
            </w:pPr>
            <w:r>
              <w:rPr/>
              <w:t>30</w:t>
            </w:r>
          </w:p>
        </w:tc>
      </w:tr>
      <w:tr>
        <w:trPr>
          <w:trHeight w:val="240" w:hRule="atLeast"/>
        </w:trPr>
        <w:tc>
          <w:tcPr>
            <w:tcW w:w="2446" w:type="dxa"/>
            <w:tcBorders>
              <w:left w:val="single" w:sz="4" w:space="0" w:color="000000"/>
              <w:bottom w:val="single" w:sz="4" w:space="0" w:color="000000"/>
              <w:right w:val="single" w:sz="4" w:space="0" w:color="000000"/>
            </w:tcBorders>
          </w:tcPr>
          <w:p>
            <w:pPr>
              <w:pStyle w:val="tablecopy"/>
              <w:jc w:val="left"/>
              <w:rPr/>
            </w:pPr>
            <w:r>
              <w:rPr/>
              <w:t>max_packages</w:t>
            </w:r>
          </w:p>
        </w:tc>
        <w:tc>
          <w:tcPr>
            <w:tcW w:w="2077" w:type="dxa"/>
            <w:tcBorders>
              <w:left w:val="single" w:sz="4" w:space="0" w:color="000000"/>
              <w:bottom w:val="single" w:sz="4" w:space="0" w:color="000000"/>
              <w:right w:val="single" w:sz="4" w:space="0" w:color="000000"/>
            </w:tcBorders>
            <w:vAlign w:val="center"/>
          </w:tcPr>
          <w:p>
            <w:pPr>
              <w:pStyle w:val="tablecopy"/>
              <w:snapToGrid w:val="false"/>
              <w:rPr/>
            </w:pPr>
            <w:r>
              <w:rPr/>
              <w:t>500 (unique by names)</w:t>
            </w:r>
          </w:p>
        </w:tc>
      </w:tr>
      <w:tr>
        <w:trPr>
          <w:trHeight w:val="240" w:hRule="atLeast"/>
        </w:trPr>
        <w:tc>
          <w:tcPr>
            <w:tcW w:w="2446" w:type="dxa"/>
            <w:tcBorders>
              <w:left w:val="single" w:sz="4" w:space="0" w:color="000000"/>
              <w:bottom w:val="single" w:sz="4" w:space="0" w:color="000000"/>
              <w:right w:val="single" w:sz="4" w:space="0" w:color="000000"/>
            </w:tcBorders>
          </w:tcPr>
          <w:p>
            <w:pPr>
              <w:pStyle w:val="tablecopy"/>
              <w:jc w:val="left"/>
              <w:rPr/>
            </w:pPr>
            <w:r>
              <w:rPr/>
              <w:t>max_packages_per_publisher</w:t>
            </w:r>
          </w:p>
        </w:tc>
        <w:tc>
          <w:tcPr>
            <w:tcW w:w="2077" w:type="dxa"/>
            <w:tcBorders>
              <w:left w:val="single" w:sz="4" w:space="0" w:color="000000"/>
              <w:bottom w:val="single" w:sz="4" w:space="0" w:color="000000"/>
              <w:right w:val="single" w:sz="4" w:space="0" w:color="000000"/>
            </w:tcBorders>
            <w:vAlign w:val="center"/>
          </w:tcPr>
          <w:p>
            <w:pPr>
              <w:pStyle w:val="tablecopy"/>
              <w:snapToGrid w:val="false"/>
              <w:rPr/>
            </w:pPr>
            <w:r>
              <w:rPr/>
              <w:t>20</w:t>
            </w:r>
          </w:p>
        </w:tc>
      </w:tr>
      <w:tr>
        <w:trPr>
          <w:trHeight w:val="240" w:hRule="atLeast"/>
        </w:trPr>
        <w:tc>
          <w:tcPr>
            <w:tcW w:w="2446" w:type="dxa"/>
            <w:tcBorders>
              <w:left w:val="single" w:sz="4" w:space="0" w:color="000000"/>
              <w:bottom w:val="single" w:sz="4" w:space="0" w:color="000000"/>
              <w:right w:val="single" w:sz="4" w:space="0" w:color="000000"/>
            </w:tcBorders>
          </w:tcPr>
          <w:p>
            <w:pPr>
              <w:pStyle w:val="tablecopy"/>
              <w:jc w:val="left"/>
              <w:rPr/>
            </w:pPr>
            <w:r>
              <w:rPr/>
              <w:t>max_package_versions</w:t>
            </w:r>
          </w:p>
        </w:tc>
        <w:tc>
          <w:tcPr>
            <w:tcW w:w="2077" w:type="dxa"/>
            <w:tcBorders>
              <w:left w:val="single" w:sz="4" w:space="0" w:color="000000"/>
              <w:bottom w:val="single" w:sz="4" w:space="0" w:color="000000"/>
              <w:right w:val="single" w:sz="4" w:space="0" w:color="000000"/>
            </w:tcBorders>
            <w:vAlign w:val="center"/>
          </w:tcPr>
          <w:p>
            <w:pPr>
              <w:pStyle w:val="tablecopy"/>
              <w:snapToGrid w:val="false"/>
              <w:rPr/>
            </w:pPr>
            <w:r>
              <w:rPr/>
              <w:t>9 (variations of package)</w:t>
            </w:r>
          </w:p>
        </w:tc>
      </w:tr>
      <w:tr>
        <w:trPr>
          <w:trHeight w:val="240" w:hRule="atLeast"/>
        </w:trPr>
        <w:tc>
          <w:tcPr>
            <w:tcW w:w="2446" w:type="dxa"/>
            <w:tcBorders>
              <w:left w:val="single" w:sz="4" w:space="0" w:color="000000"/>
              <w:bottom w:val="single" w:sz="4" w:space="0" w:color="000000"/>
              <w:right w:val="single" w:sz="4" w:space="0" w:color="000000"/>
            </w:tcBorders>
          </w:tcPr>
          <w:p>
            <w:pPr>
              <w:pStyle w:val="tablecopy"/>
              <w:jc w:val="left"/>
              <w:rPr/>
            </w:pPr>
            <w:r>
              <w:rPr/>
              <w:t>max_steps</w:t>
            </w:r>
          </w:p>
        </w:tc>
        <w:tc>
          <w:tcPr>
            <w:tcW w:w="2077" w:type="dxa"/>
            <w:tcBorders>
              <w:left w:val="single" w:sz="4" w:space="0" w:color="000000"/>
              <w:bottom w:val="single" w:sz="4" w:space="0" w:color="000000"/>
              <w:right w:val="single" w:sz="4" w:space="0" w:color="000000"/>
            </w:tcBorders>
            <w:vAlign w:val="center"/>
          </w:tcPr>
          <w:p>
            <w:pPr>
              <w:pStyle w:val="tablecopy"/>
              <w:snapToGrid w:val="false"/>
              <w:rPr/>
            </w:pPr>
            <w:r>
              <w:rPr/>
              <w:t>365</w:t>
            </w:r>
          </w:p>
        </w:tc>
      </w:tr>
      <w:tr>
        <w:trPr>
          <w:trHeight w:val="240" w:hRule="atLeast"/>
        </w:trPr>
        <w:tc>
          <w:tcPr>
            <w:tcW w:w="2446" w:type="dxa"/>
            <w:tcBorders>
              <w:left w:val="single" w:sz="4" w:space="0" w:color="000000"/>
              <w:bottom w:val="single" w:sz="4" w:space="0" w:color="000000"/>
              <w:right w:val="single" w:sz="4" w:space="0" w:color="000000"/>
            </w:tcBorders>
          </w:tcPr>
          <w:p>
            <w:pPr>
              <w:pStyle w:val="tablecopy"/>
              <w:jc w:val="left"/>
              <w:rPr/>
            </w:pPr>
            <w:r>
              <w:rPr/>
              <w:t>developer_actions</w:t>
            </w:r>
          </w:p>
        </w:tc>
        <w:tc>
          <w:tcPr>
            <w:tcW w:w="2077" w:type="dxa"/>
            <w:tcBorders>
              <w:left w:val="single" w:sz="4" w:space="0" w:color="000000"/>
              <w:bottom w:val="single" w:sz="4" w:space="0" w:color="000000"/>
              <w:right w:val="single" w:sz="4" w:space="0" w:color="000000"/>
            </w:tcBorders>
            <w:vAlign w:val="center"/>
          </w:tcPr>
          <w:p>
            <w:pPr>
              <w:pStyle w:val="tablecopy"/>
              <w:snapToGrid w:val="false"/>
              <w:jc w:val="left"/>
              <w:rPr/>
            </w:pPr>
            <w:r>
              <w:rPr/>
              <w:t>check_state: 45%, install_package: 20%, change_package: 30%, remove_package: 5%</w:t>
            </w:r>
          </w:p>
        </w:tc>
      </w:tr>
      <w:tr>
        <w:trPr>
          <w:trHeight w:val="240" w:hRule="atLeast"/>
        </w:trPr>
        <w:tc>
          <w:tcPr>
            <w:tcW w:w="2446" w:type="dxa"/>
            <w:tcBorders>
              <w:left w:val="single" w:sz="4" w:space="0" w:color="000000"/>
              <w:bottom w:val="single" w:sz="4" w:space="0" w:color="000000"/>
              <w:right w:val="single" w:sz="4" w:space="0" w:color="000000"/>
            </w:tcBorders>
          </w:tcPr>
          <w:p>
            <w:pPr>
              <w:pStyle w:val="tablecopy"/>
              <w:jc w:val="left"/>
              <w:rPr/>
            </w:pPr>
            <w:r>
              <w:rPr/>
              <w:t>publish_actions</w:t>
            </w:r>
          </w:p>
        </w:tc>
        <w:tc>
          <w:tcPr>
            <w:tcW w:w="2077" w:type="dxa"/>
            <w:tcBorders>
              <w:left w:val="single" w:sz="4" w:space="0" w:color="000000"/>
              <w:bottom w:val="single" w:sz="4" w:space="0" w:color="000000"/>
              <w:right w:val="single" w:sz="4" w:space="0" w:color="000000"/>
            </w:tcBorders>
            <w:vAlign w:val="center"/>
          </w:tcPr>
          <w:p>
            <w:pPr>
              <w:pStyle w:val="tablecopy"/>
              <w:snapToGrid w:val="false"/>
              <w:jc w:val="left"/>
              <w:rPr/>
            </w:pPr>
            <w:r>
              <w:rPr/>
              <w:t>publish_package: 25%, update_package: 75%</w:t>
            </w:r>
          </w:p>
        </w:tc>
      </w:tr>
      <w:tr>
        <w:trPr>
          <w:trHeight w:val="240" w:hRule="atLeast"/>
        </w:trPr>
        <w:tc>
          <w:tcPr>
            <w:tcW w:w="2446" w:type="dxa"/>
            <w:tcBorders>
              <w:left w:val="single" w:sz="4" w:space="0" w:color="000000"/>
              <w:bottom w:val="single" w:sz="4" w:space="0" w:color="000000"/>
              <w:right w:val="single" w:sz="4" w:space="0" w:color="000000"/>
            </w:tcBorders>
          </w:tcPr>
          <w:p>
            <w:pPr>
              <w:pStyle w:val="tablecopy"/>
              <w:jc w:val="left"/>
              <w:rPr/>
            </w:pPr>
            <w:r>
              <w:rPr/>
              <w:t>developer_decompromise_success</w:t>
            </w:r>
          </w:p>
        </w:tc>
        <w:tc>
          <w:tcPr>
            <w:tcW w:w="2077" w:type="dxa"/>
            <w:tcBorders>
              <w:left w:val="single" w:sz="4" w:space="0" w:color="000000"/>
              <w:bottom w:val="single" w:sz="4" w:space="0" w:color="000000"/>
              <w:right w:val="single" w:sz="4" w:space="0" w:color="000000"/>
            </w:tcBorders>
            <w:vAlign w:val="center"/>
          </w:tcPr>
          <w:p>
            <w:pPr>
              <w:pStyle w:val="tablecopy"/>
              <w:snapToGrid w:val="false"/>
              <w:jc w:val="left"/>
              <w:rPr/>
            </w:pPr>
            <w:r>
              <w:rPr/>
              <w:t>50%</w:t>
            </w:r>
          </w:p>
        </w:tc>
      </w:tr>
      <w:tr>
        <w:trPr>
          <w:trHeight w:val="240" w:hRule="atLeast"/>
        </w:trPr>
        <w:tc>
          <w:tcPr>
            <w:tcW w:w="2446" w:type="dxa"/>
            <w:tcBorders>
              <w:left w:val="single" w:sz="4" w:space="0" w:color="000000"/>
              <w:bottom w:val="single" w:sz="4" w:space="0" w:color="000000"/>
              <w:right w:val="single" w:sz="4" w:space="0" w:color="000000"/>
            </w:tcBorders>
          </w:tcPr>
          <w:p>
            <w:pPr>
              <w:pStyle w:val="tablecopy"/>
              <w:jc w:val="left"/>
              <w:rPr/>
            </w:pPr>
            <w:r>
              <w:rPr/>
              <w:t>package_compromisation_reveal_time</w:t>
            </w:r>
          </w:p>
        </w:tc>
        <w:tc>
          <w:tcPr>
            <w:tcW w:w="2077" w:type="dxa"/>
            <w:tcBorders>
              <w:left w:val="single" w:sz="4" w:space="0" w:color="000000"/>
              <w:bottom w:val="single" w:sz="4" w:space="0" w:color="000000"/>
              <w:right w:val="single" w:sz="4" w:space="0" w:color="000000"/>
            </w:tcBorders>
            <w:vAlign w:val="center"/>
          </w:tcPr>
          <w:p>
            <w:pPr>
              <w:pStyle w:val="tablecopy"/>
              <w:snapToGrid w:val="false"/>
              <w:jc w:val="left"/>
              <w:rPr/>
            </w:pPr>
            <w:r>
              <w:rPr/>
              <w:t>range(7, 14)</w:t>
            </w:r>
          </w:p>
        </w:tc>
      </w:tr>
      <w:tr>
        <w:trPr>
          <w:trHeight w:val="240" w:hRule="atLeast"/>
        </w:trPr>
        <w:tc>
          <w:tcPr>
            <w:tcW w:w="2446" w:type="dxa"/>
            <w:tcBorders>
              <w:left w:val="single" w:sz="4" w:space="0" w:color="000000"/>
              <w:bottom w:val="single" w:sz="4" w:space="0" w:color="000000"/>
              <w:right w:val="single" w:sz="4" w:space="0" w:color="000000"/>
            </w:tcBorders>
          </w:tcPr>
          <w:p>
            <w:pPr>
              <w:pStyle w:val="tablecopy"/>
              <w:jc w:val="left"/>
              <w:rPr/>
            </w:pPr>
            <w:r>
              <w:rPr/>
              <w:t>threat_actor_attack_rate</w:t>
            </w:r>
          </w:p>
        </w:tc>
        <w:tc>
          <w:tcPr>
            <w:tcW w:w="2077" w:type="dxa"/>
            <w:tcBorders>
              <w:left w:val="single" w:sz="4" w:space="0" w:color="000000"/>
              <w:bottom w:val="single" w:sz="4" w:space="0" w:color="000000"/>
              <w:right w:val="single" w:sz="4" w:space="0" w:color="000000"/>
            </w:tcBorders>
            <w:vAlign w:val="center"/>
          </w:tcPr>
          <w:p>
            <w:pPr>
              <w:pStyle w:val="tablecopy"/>
              <w:snapToGrid w:val="false"/>
              <w:jc w:val="left"/>
              <w:rPr/>
            </w:pPr>
            <w:r>
              <w:rPr/>
              <w:t>14</w:t>
            </w:r>
          </w:p>
        </w:tc>
      </w:tr>
    </w:tbl>
    <w:p>
      <w:pPr>
        <w:pStyle w:val="BodyText"/>
        <w:rPr/>
      </w:pPr>
      <w:r>
        <w:rPr>
          <w:shd w:fill="auto" w:val="clear"/>
        </w:rPr>
        <w:t>Figures 20 and 21 illustrate the propagation of compromised packages compared to clean packages and the final state of the simulation iteration. Firstly, the simulation shows a rapid creation of clean packages because package publishers perform actions at every step. We acknowledge that this is a limitation of our model, as real-world publishers release new versions or separate packages much less frequently. Secondly, the results for both package types eventually reach a plateau because the model enforces strict limits on the number of versions per package, the number of packages per publisher, and the total number of packages in the ecosystem. If these constraints were removed, the growth would likely follow an exponential trajectory. Despite these limits, the data on figures shows that the number of compromised developers fluctuates around 100 out of a total of 300 developers. This indicates that even a small count of 261 infected package instances out of 2478 total packages can affect one-third of the given ecosystem, according to our model. Thirdly, the outcomes are also heavily influenced by the predefined “developer_actions” parameters. In a real-world setting, developers do not check their status as consistently as the model suggests, but instead primarily interact with the ecosystem by uploading packages for specific tasks at irregular intervals.</w:t>
      </w:r>
    </w:p>
    <w:tbl>
      <w:tblPr>
        <w:tblW w:w="4765" w:type="dxa"/>
        <w:jc w:val="center"/>
        <w:tblInd w:w="0" w:type="dxa"/>
        <w:tblLayout w:type="fixed"/>
        <w:tblCellMar>
          <w:top w:w="0" w:type="dxa"/>
          <w:left w:w="108" w:type="dxa"/>
          <w:bottom w:w="0" w:type="dxa"/>
          <w:right w:w="108" w:type="dxa"/>
        </w:tblCellMar>
      </w:tblPr>
      <w:tblGrid>
        <w:gridCol w:w="4765"/>
      </w:tblGrid>
      <w:tr>
        <w:trPr>
          <w:trHeight w:val="2882" w:hRule="atLeast"/>
        </w:trPr>
        <w:tc>
          <w:tcPr>
            <w:tcW w:w="4765" w:type="dxa"/>
            <w:tcBorders/>
          </w:tcPr>
          <w:p>
            <w:pPr>
              <w:pStyle w:val="BodyText"/>
              <w:snapToGrid w:val="false"/>
              <w:ind w:hanging="0" w:right="0"/>
              <w:jc w:val="center"/>
              <w:rPr/>
            </w:pPr>
            <w:r>
              <w:rPr/>
              <w:drawing>
                <wp:anchor behindDoc="0" distT="0" distB="0" distL="0" distR="0" simplePos="0" locked="0" layoutInCell="0" allowOverlap="1" relativeHeight="21">
                  <wp:simplePos x="0" y="0"/>
                  <wp:positionH relativeFrom="margin">
                    <wp:posOffset>415925</wp:posOffset>
                  </wp:positionH>
                  <wp:positionV relativeFrom="paragraph">
                    <wp:posOffset>76200</wp:posOffset>
                  </wp:positionV>
                  <wp:extent cx="1988820" cy="1666240"/>
                  <wp:effectExtent l="0" t="0" r="0" b="0"/>
                  <wp:wrapSquare wrapText="largest"/>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6"/>
                          <a:srcRect l="715" t="-4" r="778" b="925"/>
                          <a:stretch>
                            <a:fillRect/>
                          </a:stretch>
                        </pic:blipFill>
                        <pic:spPr bwMode="auto">
                          <a:xfrm>
                            <a:off x="0" y="0"/>
                            <a:ext cx="1988820" cy="1666240"/>
                          </a:xfrm>
                          <a:prstGeom prst="rect">
                            <a:avLst/>
                          </a:prstGeom>
                          <a:solidFill>
                            <a:srgbClr val="ffffff"/>
                          </a:solidFill>
                        </pic:spPr>
                      </pic:pic>
                    </a:graphicData>
                  </a:graphic>
                </wp:anchor>
              </w:drawing>
            </w:r>
          </w:p>
          <w:p>
            <w:pPr>
              <w:pStyle w:val="BodyText"/>
              <w:ind w:hanging="0" w:right="0"/>
              <w:jc w:val="center"/>
              <w:rPr/>
            </w:pPr>
            <w:r>
              <w:rPr/>
            </w:r>
          </w:p>
        </w:tc>
      </w:tr>
      <w:tr>
        <w:trPr>
          <w:trHeight w:val="91" w:hRule="atLeast"/>
        </w:trPr>
        <w:tc>
          <w:tcPr>
            <w:tcW w:w="4765" w:type="dxa"/>
            <w:tcBorders/>
          </w:tcPr>
          <w:p>
            <w:pPr>
              <w:pStyle w:val="figurecaption"/>
              <w:numPr>
                <w:ilvl w:val="0"/>
                <w:numId w:val="5"/>
              </w:numPr>
              <w:spacing w:before="80" w:after="200"/>
              <w:ind w:hanging="0" w:left="0" w:right="0"/>
              <w:rPr/>
            </w:pPr>
            <w:r>
              <w:rPr/>
              <w:t>Trends in compromises of package and developer.</w:t>
            </w:r>
          </w:p>
        </w:tc>
      </w:tr>
      <w:tr>
        <w:trPr>
          <w:trHeight w:val="2164" w:hRule="atLeast"/>
        </w:trPr>
        <w:tc>
          <w:tcPr>
            <w:tcW w:w="4765" w:type="dxa"/>
            <w:tcBorders/>
          </w:tcPr>
          <w:p>
            <w:pPr>
              <w:pStyle w:val="BodyText"/>
              <w:snapToGrid w:val="false"/>
              <w:ind w:hanging="0" w:right="0"/>
              <w:jc w:val="center"/>
              <w:rPr/>
            </w:pPr>
            <w:r>
              <w:rPr/>
              <w:drawing>
                <wp:anchor behindDoc="0" distT="0" distB="0" distL="0" distR="0" simplePos="0" locked="0" layoutInCell="0" allowOverlap="1" relativeHeight="22">
                  <wp:simplePos x="0" y="0"/>
                  <wp:positionH relativeFrom="margin">
                    <wp:posOffset>265430</wp:posOffset>
                  </wp:positionH>
                  <wp:positionV relativeFrom="paragraph">
                    <wp:posOffset>53975</wp:posOffset>
                  </wp:positionV>
                  <wp:extent cx="2357120" cy="1252855"/>
                  <wp:effectExtent l="0" t="0" r="0" b="0"/>
                  <wp:wrapSquare wrapText="largest"/>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7"/>
                          <a:srcRect l="-3" t="-5" r="-3" b="-5"/>
                          <a:stretch>
                            <a:fillRect/>
                          </a:stretch>
                        </pic:blipFill>
                        <pic:spPr bwMode="auto">
                          <a:xfrm>
                            <a:off x="0" y="0"/>
                            <a:ext cx="2357120" cy="1252855"/>
                          </a:xfrm>
                          <a:prstGeom prst="rect">
                            <a:avLst/>
                          </a:prstGeom>
                          <a:solidFill>
                            <a:srgbClr val="ffffff"/>
                          </a:solidFill>
                        </pic:spPr>
                      </pic:pic>
                    </a:graphicData>
                  </a:graphic>
                </wp:anchor>
              </w:drawing>
            </w:r>
          </w:p>
        </w:tc>
      </w:tr>
      <w:tr>
        <w:trPr>
          <w:trHeight w:val="91" w:hRule="atLeast"/>
        </w:trPr>
        <w:tc>
          <w:tcPr>
            <w:tcW w:w="4765" w:type="dxa"/>
            <w:tcBorders/>
          </w:tcPr>
          <w:p>
            <w:pPr>
              <w:pStyle w:val="figurecaption"/>
              <w:numPr>
                <w:ilvl w:val="0"/>
                <w:numId w:val="5"/>
              </w:numPr>
              <w:spacing w:before="80" w:after="200"/>
              <w:ind w:hanging="0" w:left="0" w:right="0"/>
              <w:rPr/>
            </w:pPr>
            <w:r>
              <w:rPr/>
              <w:t>Integrity snapshot of the simulation.</w:t>
            </w:r>
          </w:p>
        </w:tc>
      </w:tr>
    </w:tbl>
    <w:p>
      <w:pPr>
        <w:pStyle w:val="BodyText"/>
        <w:rPr>
          <w:shd w:fill="auto" w:val="clear"/>
        </w:rPr>
      </w:pPr>
      <w:r>
        <w:rPr>
          <w:shd w:fill="auto" w:val="clear"/>
        </w:rPr>
        <w:t>However, this simulation is an abstract model designed to represent reality within a limited framework, consisting of an environment, defined rules, entities, specific behaviors, and a temporal structure (using either tick-based steps or event-based sequences). While simulations are essential for predictive analysis in scenarios that are too costly or dangerous to test in the real world, they are inherently prone to "drift". Without continuous recalibration, a model can rapidly diverge from reality, especially when major real-world shifts occur that the simulation cannot account for due to its predefined, static boundaries. Beyond these challenges, our simulation is subject to several other specific assumptions and limitations:</w:t>
      </w:r>
    </w:p>
    <w:p>
      <w:pPr>
        <w:pStyle w:val="bulletlist"/>
        <w:numPr>
          <w:ilvl w:val="0"/>
          <w:numId w:val="3"/>
        </w:numPr>
        <w:rPr>
          <w:shd w:fill="auto" w:val="clear"/>
        </w:rPr>
      </w:pPr>
      <w:r>
        <w:rPr>
          <w:shd w:fill="auto" w:val="clear"/>
        </w:rPr>
        <w:t>Closed ecosystem environment - the simulation operates as a strictly closed system focused on a single repository without mirrors. Additionally, we assume the platform infrastructure itself is immutable and cannot be compromised.</w:t>
      </w:r>
    </w:p>
    <w:p>
      <w:pPr>
        <w:pStyle w:val="bulletlist"/>
        <w:numPr>
          <w:ilvl w:val="0"/>
          <w:numId w:val="3"/>
        </w:numPr>
        <w:rPr>
          <w:shd w:fill="auto" w:val="clear"/>
        </w:rPr>
      </w:pPr>
      <w:r>
        <w:rPr>
          <w:shd w:fill="auto" w:val="clear"/>
        </w:rPr>
        <w:t>Stochasticity and randomness - event probabilities and distributions rely on pseudo-random number generation (via the Python standard library random module, which interfaces with /dev/urandom or /dev/random on Linux).</w:t>
      </w:r>
    </w:p>
    <w:p>
      <w:pPr>
        <w:pStyle w:val="bulletlist"/>
        <w:numPr>
          <w:ilvl w:val="0"/>
          <w:numId w:val="3"/>
        </w:numPr>
        <w:rPr>
          <w:shd w:fill="auto" w:val="clear"/>
        </w:rPr>
      </w:pPr>
      <w:r>
        <w:rPr>
          <w:shd w:fill="auto" w:val="clear"/>
        </w:rPr>
        <w:t>Absence of actor confrontation - the model does not account for direct confrontations or interference between different actors, such as active conflicts between competing threat actors.</w:t>
      </w:r>
    </w:p>
    <w:p>
      <w:pPr>
        <w:pStyle w:val="bulletlist"/>
        <w:numPr>
          <w:ilvl w:val="0"/>
          <w:numId w:val="3"/>
        </w:numPr>
        <w:rPr>
          <w:shd w:fill="auto" w:val="clear"/>
        </w:rPr>
      </w:pPr>
      <w:r>
        <w:rPr>
          <w:shd w:fill="auto" w:val="clear"/>
        </w:rPr>
        <w:t>Simplified network logistics - network-level variables, such as latency, bandwidth constraints, or connectivity issues during package uploads and downloads, are not represented.</w:t>
      </w:r>
    </w:p>
    <w:p>
      <w:pPr>
        <w:pStyle w:val="bulletlist"/>
        <w:numPr>
          <w:ilvl w:val="0"/>
          <w:numId w:val="3"/>
        </w:numPr>
        <w:rPr>
          <w:shd w:fill="auto" w:val="clear"/>
        </w:rPr>
      </w:pPr>
      <w:r>
        <w:rPr>
          <w:shd w:fill="auto" w:val="clear"/>
        </w:rPr>
        <w:t>Scaling constraints - the total volume of packages and agents is significantly lower than the scales observed in real-world ecosystems.</w:t>
      </w:r>
    </w:p>
    <w:p>
      <w:pPr>
        <w:pStyle w:val="bulletlist"/>
        <w:numPr>
          <w:ilvl w:val="0"/>
          <w:numId w:val="3"/>
        </w:numPr>
        <w:rPr>
          <w:shd w:fill="auto" w:val="clear"/>
        </w:rPr>
      </w:pPr>
      <w:r>
        <w:rPr>
          <w:shd w:fill="auto" w:val="clear"/>
        </w:rPr>
        <w:t>Agents have predefined roles, but in reality, they can shift between / act on multiple roles simultaneously. For example, a package publisher can do the same things as a regular user. Moreover, some developers and package publishers can be malicious like regular threat actors, but we assume that they have passively good intensions or behavior with goodwill.</w:t>
      </w:r>
    </w:p>
    <w:p>
      <w:pPr>
        <w:pStyle w:val="bulletlist"/>
        <w:numPr>
          <w:ilvl w:val="0"/>
          <w:numId w:val="3"/>
        </w:numPr>
        <w:rPr>
          <w:shd w:fill="auto" w:val="clear"/>
        </w:rPr>
      </w:pPr>
      <w:r>
        <w:rPr>
          <w:shd w:fill="auto" w:val="clear"/>
        </w:rPr>
        <w:t>Single-project assumption - each developer or user is limited to one active project at a time. Consequently, all dependencies are grouped into a single pool rather than being isolated by specific projects or environments.</w:t>
      </w:r>
    </w:p>
    <w:p>
      <w:pPr>
        <w:pStyle w:val="bulletlist"/>
        <w:numPr>
          <w:ilvl w:val="0"/>
          <w:numId w:val="3"/>
        </w:numPr>
        <w:rPr>
          <w:shd w:fill="auto" w:val="clear"/>
        </w:rPr>
      </w:pPr>
      <w:r>
        <w:rPr>
          <w:shd w:fill="auto" w:val="clear"/>
        </w:rPr>
        <w:t>Lack of organizational structure - the simulation does not represent organized groups, teams, or corporate entities. So, it misses the collaborative nature of departments (e.g., data science teams favor specific libraries like “numpy”) and the influence of internal company policies or domain-specific dependency preferences.</w:t>
      </w:r>
    </w:p>
    <w:p>
      <w:pPr>
        <w:pStyle w:val="bulletlist"/>
        <w:numPr>
          <w:ilvl w:val="0"/>
          <w:numId w:val="3"/>
        </w:numPr>
        <w:rPr>
          <w:shd w:fill="auto" w:val="clear"/>
        </w:rPr>
      </w:pPr>
      <w:r>
        <w:rPr>
          <w:shd w:fill="auto" w:val="clear"/>
        </w:rPr>
        <w:t>Manual vs. automated actions - the model exclusively simulates manual interactions performed by a person via a package manager toolkit. It excludes automated CI/CD pipelines, build scripts, and automated test environments that frequently pull packages from repositories.</w:t>
      </w:r>
    </w:p>
    <w:p>
      <w:pPr>
        <w:pStyle w:val="bulletlist"/>
        <w:numPr>
          <w:ilvl w:val="0"/>
          <w:numId w:val="3"/>
        </w:numPr>
        <w:rPr/>
      </w:pPr>
      <w:r>
        <w:rPr>
          <w:shd w:fill="auto" w:val="clear"/>
        </w:rPr>
        <w:t>Direct dependency focus - the simulation only accounts for direct dependencies. Supply chain attacks via transitive dependencies are excluded, as these would require a full dependency resolution implementation. Some of these trends, specifically regarding how threat actors affect compromised package variation, are illustrated in Figure 22.</w:t>
      </w:r>
    </w:p>
    <w:tbl>
      <w:tblPr>
        <w:tblW w:w="4765" w:type="dxa"/>
        <w:jc w:val="center"/>
        <w:tblInd w:w="0" w:type="dxa"/>
        <w:tblLayout w:type="fixed"/>
        <w:tblCellMar>
          <w:top w:w="0" w:type="dxa"/>
          <w:left w:w="108" w:type="dxa"/>
          <w:bottom w:w="0" w:type="dxa"/>
          <w:right w:w="108" w:type="dxa"/>
        </w:tblCellMar>
      </w:tblPr>
      <w:tblGrid>
        <w:gridCol w:w="4765"/>
      </w:tblGrid>
      <w:tr>
        <w:trPr>
          <w:trHeight w:val="2786" w:hRule="atLeast"/>
        </w:trPr>
        <w:tc>
          <w:tcPr>
            <w:tcW w:w="4765" w:type="dxa"/>
            <w:tcBorders/>
          </w:tcPr>
          <w:p>
            <w:pPr>
              <w:pStyle w:val="BodyText"/>
              <w:snapToGrid w:val="false"/>
              <w:ind w:hanging="0" w:right="0"/>
              <w:jc w:val="center"/>
              <w:rPr/>
            </w:pPr>
            <w:r>
              <w:rPr/>
              <w:drawing>
                <wp:anchor behindDoc="0" distT="0" distB="0" distL="0" distR="0" simplePos="0" locked="0" layoutInCell="0" allowOverlap="1" relativeHeight="23">
                  <wp:simplePos x="0" y="0"/>
                  <wp:positionH relativeFrom="margin">
                    <wp:posOffset>461010</wp:posOffset>
                  </wp:positionH>
                  <wp:positionV relativeFrom="paragraph">
                    <wp:posOffset>65405</wp:posOffset>
                  </wp:positionV>
                  <wp:extent cx="2000250" cy="1647190"/>
                  <wp:effectExtent l="0" t="0" r="0" b="0"/>
                  <wp:wrapSquare wrapText="largest"/>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8"/>
                          <a:srcRect l="-5" t="-6" r="-5" b="-6"/>
                          <a:stretch>
                            <a:fillRect/>
                          </a:stretch>
                        </pic:blipFill>
                        <pic:spPr bwMode="auto">
                          <a:xfrm>
                            <a:off x="0" y="0"/>
                            <a:ext cx="2000250" cy="1647190"/>
                          </a:xfrm>
                          <a:prstGeom prst="rect">
                            <a:avLst/>
                          </a:prstGeom>
                          <a:solidFill>
                            <a:srgbClr val="ffffff"/>
                          </a:solidFill>
                        </pic:spPr>
                      </pic:pic>
                    </a:graphicData>
                  </a:graphic>
                </wp:anchor>
              </w:drawing>
            </w:r>
          </w:p>
          <w:p>
            <w:pPr>
              <w:pStyle w:val="BodyText"/>
              <w:ind w:hanging="0" w:right="0"/>
              <w:jc w:val="center"/>
              <w:rPr/>
            </w:pPr>
            <w:r>
              <w:rPr/>
            </w:r>
          </w:p>
        </w:tc>
      </w:tr>
      <w:tr>
        <w:trPr>
          <w:trHeight w:val="315" w:hRule="atLeast"/>
        </w:trPr>
        <w:tc>
          <w:tcPr>
            <w:tcW w:w="4765" w:type="dxa"/>
            <w:tcBorders/>
          </w:tcPr>
          <w:p>
            <w:pPr>
              <w:pStyle w:val="figurecaption"/>
              <w:numPr>
                <w:ilvl w:val="0"/>
                <w:numId w:val="5"/>
              </w:numPr>
              <w:spacing w:before="80" w:after="200"/>
              <w:ind w:hanging="0" w:left="0" w:right="0"/>
              <w:rPr/>
            </w:pPr>
            <w:r>
              <w:rPr/>
              <w:t>Example of single threat actor with a relationship to his produced compromised packages in a simulation iteration.</w:t>
            </w:r>
          </w:p>
        </w:tc>
      </w:tr>
    </w:tbl>
    <w:p>
      <w:pPr>
        <w:pStyle w:val="Heading2"/>
        <w:rPr>
          <w:shd w:fill="auto" w:val="clear"/>
        </w:rPr>
      </w:pPr>
      <w:r>
        <w:rPr>
          <w:shd w:fill="auto" w:val="clear"/>
        </w:rPr>
        <w:t>General limitations and trade-offs</w:t>
      </w:r>
    </w:p>
    <w:p>
      <w:pPr>
        <w:pStyle w:val="BodyText"/>
        <w:rPr>
          <w:shd w:fill="auto" w:val="clear"/>
        </w:rPr>
      </w:pPr>
      <w:r>
        <w:rPr>
          <w:shd w:fill="auto" w:val="clear"/>
        </w:rPr>
        <w:t>By simulating a complex dynamic system across both micro and macro levels, we can analyze how these quality gates and restrictive policies effectively reduce the propagation speed of malware, vulnerabilities, and supply chain attacks. These gates can protect and regulate the community by temporarily blocking packages based on various factors, moving them through lifecycle states such as under consideration, public, blocked, or reported. In this paradigm, both actors and packages carry implicit and explicit trust levels, representing either internal peer opinions or external platform scores, which shift dynamically based on observed compromises. It is important to note that in a real-world environment, neither static nor dynamic preventive scanners are absolute, so preventive measures should be combined with reactive approaches to create a multi-layered defense.</w:t>
      </w:r>
    </w:p>
    <w:p>
      <w:pPr>
        <w:pStyle w:val="BodyText"/>
        <w:rPr>
          <w:shd w:fill="auto" w:val="clear"/>
        </w:rPr>
      </w:pPr>
      <w:r>
        <w:rPr>
          <w:shd w:fill="auto" w:val="clear"/>
        </w:rPr>
        <w:t>Regarding the platform architecture, we decided to implement the analysis engine components as separate entities to facilitate concurrency and asynchronous inter-process communications across multiple instances to prevent performance bottlenecks. On the other hand, there are still unresolved issues regarding software isolation:</w:t>
      </w:r>
    </w:p>
    <w:p>
      <w:pPr>
        <w:pStyle w:val="bulletlist"/>
        <w:numPr>
          <w:ilvl w:val="0"/>
          <w:numId w:val="3"/>
        </w:numPr>
        <w:rPr>
          <w:shd w:fill="auto" w:val="clear"/>
        </w:rPr>
      </w:pPr>
      <w:r>
        <w:rPr>
          <w:shd w:fill="auto" w:val="clear"/>
        </w:rPr>
        <w:t>Emulation and virtualization differ from physical hardware in both performance and qualitative properties, often preventing hardware-level vulnerabilities or side-channel attacks from manifesting accurately. Sophisticated software may employ evasion techniques to detect these isolated environments, allowing it to hide malicious behavior or cease execution entirely. Even techniques like hardware rotation or mimicking the characteristics of physical devices often fail, as real hardware continues to behave differently under specific conditions.</w:t>
      </w:r>
    </w:p>
    <w:p>
      <w:pPr>
        <w:pStyle w:val="bulletlist"/>
        <w:numPr>
          <w:ilvl w:val="0"/>
          <w:numId w:val="3"/>
        </w:numPr>
        <w:rPr>
          <w:shd w:fill="auto" w:val="clear"/>
        </w:rPr>
      </w:pPr>
      <w:r>
        <w:rPr>
          <w:shd w:fill="auto" w:val="clear"/>
        </w:rPr>
        <w:t>Certain software requires manual intervention that disrupts full automation, such as patching binaries or recompiling source code.</w:t>
      </w:r>
    </w:p>
    <w:p>
      <w:pPr>
        <w:pStyle w:val="bulletlist"/>
        <w:numPr>
          <w:ilvl w:val="0"/>
          <w:numId w:val="3"/>
        </w:numPr>
        <w:rPr>
          <w:shd w:fill="auto" w:val="clear"/>
        </w:rPr>
      </w:pPr>
      <w:r>
        <w:rPr>
          <w:shd w:fill="auto" w:val="clear"/>
        </w:rPr>
        <w:t>The risk of escapes from isolated environments necessitates constant updates to keep the analysis environment secure, requiring ongoing maintenance such as replacing outdated third-party tools, integrating emerging detection techniques, and reconfiguring monitoring systems.</w:t>
      </w:r>
    </w:p>
    <w:p>
      <w:pPr>
        <w:pStyle w:val="Heading1"/>
        <w:rPr>
          <w:shd w:fill="auto" w:val="clear"/>
        </w:rPr>
      </w:pPr>
      <w:r>
        <w:rPr>
          <w:shd w:fill="auto" w:val="clear"/>
        </w:rPr>
        <w:t>Conclusion</w:t>
      </w:r>
    </w:p>
    <w:p>
      <w:pPr>
        <w:pStyle w:val="BodyText"/>
        <w:rPr>
          <w:shd w:fill="auto" w:val="clear"/>
        </w:rPr>
      </w:pPr>
      <w:r>
        <w:rPr>
          <w:shd w:fill="auto" w:val="clear"/>
        </w:rPr>
        <w:t>The management of supply chain security within critical IT infrastructure remains a vital concern, as the frequency of incidents continues to rise despite the development of new standards and tools. Given the current instability of the digital landscape, a natural shift toward preventive measures during the initial stages of software production and distribution is generally expected. However, our initial simulation iteration is insufficient to fully demonstrate these trends. A more detailed and repetitive approach is necessary to uncover deeper patterns and analyze real-world supply chain attacks more comprehensively. Specifically, leveraging Graph Neural Networks (GNNs) to analyze microservices connections and package dependencies might allow for a more robust identification of patterns and connections within the ecosystem.</w:t>
      </w:r>
    </w:p>
    <w:p>
      <w:pPr>
        <w:pStyle w:val="BodyText"/>
        <w:rPr>
          <w:shd w:fill="auto" w:val="clear"/>
        </w:rPr>
      </w:pPr>
      <w:r>
        <w:rPr>
          <w:shd w:fill="auto" w:val="clear"/>
        </w:rPr>
        <w:t>Other future works will focus on the full practical implementation of the proposed system, alongside a rigorous analysis of software components to validate the conceptual framework using real-world data and gathered statistics. We are planning a more advanced experiment utilizing an adversarial simulation that leverages local language models to represent users more accurately and dynamically. Each agent will be provided with a unique persona that influences their actions and social interactions, such as discussing news or reporting issues within community groups. By hosting this within an environment of multiple virtual machines and services, we can create a much more realistic representation of reality compared to simulations based purely on pseudo-random generation. However, the integration of AI agents as “Interactors” currently presents reliability challenges, specifically regarding vulnerabilities like cross-prompt injection, as they require creating and adding guardrails.</w:t>
      </w:r>
    </w:p>
    <w:p>
      <w:pPr>
        <w:pStyle w:val="Heading5"/>
        <w:rPr>
          <w:shd w:fill="auto" w:val="clear"/>
        </w:rPr>
      </w:pPr>
      <w:r>
        <w:rPr>
          <w:shd w:fill="auto" w:val="clear"/>
        </w:rPr>
        <w:t>References</w:t>
      </w:r>
    </w:p>
    <w:p>
      <w:pPr>
        <w:pStyle w:val="references"/>
        <w:numPr>
          <w:ilvl w:val="0"/>
          <w:numId w:val="4"/>
        </w:numPr>
        <w:rPr/>
      </w:pPr>
      <w:r>
        <w:rPr/>
        <w:t xml:space="preserve">F. Almeida, “Comparative analysis of EU-based cybersecurity skills frameworks,” </w:t>
      </w:r>
      <w:r>
        <w:rPr>
          <w:i/>
        </w:rPr>
        <w:t>Computers &amp; Security</w:t>
      </w:r>
      <w:r>
        <w:rPr/>
        <w:t>, vol. 151, p. 104329, Apr. 2025, doi: 10.1016/j.cose.2025.104329.</w:t>
      </w:r>
    </w:p>
    <w:p>
      <w:pPr>
        <w:pStyle w:val="references"/>
        <w:numPr>
          <w:ilvl w:val="0"/>
          <w:numId w:val="4"/>
        </w:numPr>
        <w:rPr/>
      </w:pPr>
      <w:r>
        <w:rPr/>
        <w:t xml:space="preserve">M. F. Safitra, M. Lubis, and H. Fakhrurroja, “Counterattacking Cyber Threats: A Framework for the Future of Cybersecurity,” </w:t>
      </w:r>
      <w:r>
        <w:rPr>
          <w:i/>
        </w:rPr>
        <w:t>Sustainability</w:t>
      </w:r>
      <w:r>
        <w:rPr/>
        <w:t>, vol. 15, no. 18, p. 13369, Sep. 2023, doi: 10.3390/su151813369.</w:t>
      </w:r>
    </w:p>
    <w:p>
      <w:pPr>
        <w:pStyle w:val="references"/>
        <w:numPr>
          <w:ilvl w:val="0"/>
          <w:numId w:val="4"/>
        </w:numPr>
        <w:rPr/>
      </w:pPr>
      <w:r>
        <w:rPr/>
        <w:t>National Institute of Standards and Technology, “Framework for improving critical infrastructure cybersecurity, version 1.1,” National Institute of Standards and Technology, Gaithersburg, MD, NIST CSWP 04162018, Apr. 2018. doi: 10.6028/NIST.CSWP.04162018.</w:t>
      </w:r>
    </w:p>
    <w:p>
      <w:pPr>
        <w:pStyle w:val="references"/>
        <w:numPr>
          <w:ilvl w:val="0"/>
          <w:numId w:val="4"/>
        </w:numPr>
        <w:rPr/>
      </w:pPr>
      <w:r>
        <w:rPr/>
        <w:t>Cybersecurity and Infrastructure Security Agency (CISA), “Infrastructure resilience planning framework (IRPF),” U.S. Department of Homeland Security, Jan. 2025. Accessed: Nov. 23, 2025. [Online]. Available: https://www.cisa.gov/sites/default/files/2025-03/IRPF_3.17.2025.pdf</w:t>
      </w:r>
    </w:p>
    <w:p>
      <w:pPr>
        <w:pStyle w:val="references"/>
        <w:numPr>
          <w:ilvl w:val="0"/>
          <w:numId w:val="4"/>
        </w:numPr>
        <w:rPr/>
      </w:pPr>
      <w:r>
        <w:rPr/>
        <w:t xml:space="preserve">A. M. Qatawneh and M. Al-Okaily, “The mediating role of technological vigilance between IT infrastructure and AIS efficiency,” </w:t>
      </w:r>
      <w:r>
        <w:rPr>
          <w:i/>
        </w:rPr>
        <w:t>Journal of Open Innovation: Technology, Market, and Complexity</w:t>
      </w:r>
      <w:r>
        <w:rPr/>
        <w:t>, vol. 10, no. 1, p. 100212, Mar. 2024, doi: 10.1016/j.joitmc.2024.100212.</w:t>
      </w:r>
    </w:p>
    <w:p>
      <w:pPr>
        <w:pStyle w:val="references"/>
        <w:numPr>
          <w:ilvl w:val="0"/>
          <w:numId w:val="4"/>
        </w:numPr>
        <w:rPr/>
      </w:pPr>
      <w:r>
        <w:rPr/>
        <w:t xml:space="preserve">M. Lehto, “Cyber-attacks against critical infrastructure,” in </w:t>
      </w:r>
      <w:r>
        <w:rPr>
          <w:i/>
        </w:rPr>
        <w:t>Cyber Security</w:t>
      </w:r>
      <w:r>
        <w:rPr/>
        <w:t>, vol. 56, M. Lehto and P. Neittaanmäki, Eds., Cham: Springer International Publishing, 2022, pp. 3–42. doi: 10.1007/978-3-030-91293-2_1.</w:t>
      </w:r>
    </w:p>
    <w:p>
      <w:pPr>
        <w:pStyle w:val="references"/>
        <w:numPr>
          <w:ilvl w:val="0"/>
          <w:numId w:val="4"/>
        </w:numPr>
        <w:rPr/>
      </w:pPr>
      <w:r>
        <w:rPr/>
        <w:t xml:space="preserve">G. M. Makrakis, C. Kolias, G. Kambourakis, C. Rieger, and J. Benjamin, “Industrial and critical infrastructure security: Technical analysis of real-life security incidents,” </w:t>
      </w:r>
      <w:r>
        <w:rPr>
          <w:i/>
        </w:rPr>
        <w:t>IEEE Access</w:t>
      </w:r>
      <w:r>
        <w:rPr/>
        <w:t>, vol. 9, pp. 165295–165325, 2021, doi: 10.1109/ACCESS.2021.3133348.</w:t>
      </w:r>
    </w:p>
    <w:p>
      <w:pPr>
        <w:pStyle w:val="references"/>
        <w:numPr>
          <w:ilvl w:val="0"/>
          <w:numId w:val="4"/>
        </w:numPr>
        <w:rPr>
          <w:shd w:fill="auto" w:val="clear"/>
        </w:rPr>
      </w:pPr>
      <w:r>
        <w:rPr/>
        <w:t xml:space="preserve">H. Riggs </w:t>
      </w:r>
      <w:r>
        <w:rPr>
          <w:i/>
        </w:rPr>
        <w:t>et al.</w:t>
      </w:r>
      <w:r>
        <w:rPr/>
        <w:t xml:space="preserve">, “Impact, vulnerabilities, and mitigation strategies for cyber-secure critical infrastructure,” </w:t>
      </w:r>
      <w:r>
        <w:rPr>
          <w:i/>
        </w:rPr>
        <w:t>Sensors</w:t>
      </w:r>
      <w:r>
        <w:rPr/>
        <w:t>, vol. 23, no. 8, p. 4060, Apr. 2023, doi: 10.3390/s23084060.</w:t>
      </w:r>
    </w:p>
    <w:p>
      <w:pPr>
        <w:pStyle w:val="references"/>
        <w:numPr>
          <w:ilvl w:val="0"/>
          <w:numId w:val="4"/>
        </w:numPr>
        <w:rPr/>
      </w:pPr>
      <w:r>
        <w:rPr>
          <w:shd w:fill="auto" w:val="clear"/>
        </w:rPr>
        <w:t>Y. Yigit et al., “Critical Infrastructure Protection: Generative AI, Challenges, and Opportunities,” 2024, arXiv. doi: 10.48550/ARXIV.2405.04874.</w:t>
      </w:r>
    </w:p>
    <w:p>
      <w:pPr>
        <w:pStyle w:val="references"/>
        <w:numPr>
          <w:ilvl w:val="0"/>
          <w:numId w:val="4"/>
        </w:numPr>
        <w:rPr/>
      </w:pPr>
      <w:r>
        <w:rPr/>
        <w:t xml:space="preserve">G. Vardakis, G. Hatzivasilis, E. Koutsaki, and N. Papadakis, “Review of smart-home security using the internet of things,” </w:t>
      </w:r>
      <w:r>
        <w:rPr>
          <w:i/>
        </w:rPr>
        <w:t>Electronics</w:t>
      </w:r>
      <w:r>
        <w:rPr/>
        <w:t>, vol. 13, no. 16, p. 3343, Aug. 2024, doi: 10.3390/electronics13163343.</w:t>
      </w:r>
    </w:p>
    <w:p>
      <w:pPr>
        <w:pStyle w:val="references"/>
        <w:numPr>
          <w:ilvl w:val="0"/>
          <w:numId w:val="4"/>
        </w:numPr>
        <w:rPr/>
      </w:pPr>
      <w:r>
        <w:rPr/>
        <w:t xml:space="preserve">J. Rauhala, “Physical weaponization of a smartphone by a third party,” in </w:t>
      </w:r>
      <w:r>
        <w:rPr>
          <w:i/>
        </w:rPr>
        <w:t>Cyber Security</w:t>
      </w:r>
      <w:r>
        <w:rPr/>
        <w:t>, vol. 56, M. Lehto and P. Neittaanmäki, Eds., Cham: Springer International Publishing, 2022, pp. 445–460. doi: 10.1007/978-3-030-91293-2_19.</w:t>
      </w:r>
    </w:p>
    <w:p>
      <w:pPr>
        <w:pStyle w:val="references"/>
        <w:numPr>
          <w:ilvl w:val="0"/>
          <w:numId w:val="4"/>
        </w:numPr>
        <w:rPr/>
      </w:pPr>
      <w:r>
        <w:rPr/>
        <w:t xml:space="preserve">D. Lindsay, S. S. Gill, D. Smirnova, and P. Garraghan, “The evolution of distributed computing systems: From fundamental to new frontiers,” </w:t>
      </w:r>
      <w:r>
        <w:rPr>
          <w:i/>
        </w:rPr>
        <w:t>Computing</w:t>
      </w:r>
      <w:r>
        <w:rPr/>
        <w:t>, vol. 103, no. 8, pp. 1859–1878, Aug. 2021, doi: 10.1007/s00607-020-00900-y.</w:t>
      </w:r>
    </w:p>
    <w:p>
      <w:pPr>
        <w:pStyle w:val="references"/>
        <w:numPr>
          <w:ilvl w:val="0"/>
          <w:numId w:val="4"/>
        </w:numPr>
        <w:rPr/>
      </w:pPr>
      <w:r>
        <w:rPr/>
        <w:t xml:space="preserve">A. Randal, “The Ideal Versus the Real: Revisiting the History of Virtual Machines and Containers,” </w:t>
      </w:r>
      <w:r>
        <w:rPr>
          <w:i/>
        </w:rPr>
        <w:t>ACM Comput. Surv.</w:t>
      </w:r>
      <w:r>
        <w:rPr/>
        <w:t>, vol. 53, no. 1, pp. 1–31, Jan. 2021, doi: 10.1145/3365199.</w:t>
      </w:r>
    </w:p>
    <w:p>
      <w:pPr>
        <w:pStyle w:val="references"/>
        <w:numPr>
          <w:ilvl w:val="0"/>
          <w:numId w:val="4"/>
        </w:numPr>
        <w:rPr/>
      </w:pPr>
      <w:r>
        <w:rPr/>
        <w:t xml:space="preserve">Y. Alghofaili, A. Albattah, N. Alrajeh, M. A. Rassam, and B. A. S. Al-rimy, “Secure Cloud Infrastructure: A Survey on Issues, Current Solutions, and Open Challenges,” </w:t>
      </w:r>
      <w:r>
        <w:rPr>
          <w:i/>
        </w:rPr>
        <w:t>Applied Sciences</w:t>
      </w:r>
      <w:r>
        <w:rPr/>
        <w:t>, vol. 11, no. 19, p. 9005, Sep. 2021, doi: 10.3390/app11199005.</w:t>
      </w:r>
    </w:p>
    <w:p>
      <w:pPr>
        <w:pStyle w:val="references"/>
        <w:numPr>
          <w:ilvl w:val="0"/>
          <w:numId w:val="4"/>
        </w:numPr>
        <w:rPr/>
      </w:pPr>
      <w:r>
        <w:rPr/>
        <w:t xml:space="preserve">R. Ouriques, K. Wnuk, T. Gorschek, and R. B. Svensson, “The role of knowledge-based resources in Agile Software Development contexts,” </w:t>
      </w:r>
      <w:r>
        <w:rPr>
          <w:i/>
        </w:rPr>
        <w:t>Journal of Systems and Software</w:t>
      </w:r>
      <w:r>
        <w:rPr/>
        <w:t>, vol. 197, p. 111572, Mar. 2023, doi: 10.1016/j.jss.2022.111572.</w:t>
      </w:r>
    </w:p>
    <w:p>
      <w:pPr>
        <w:pStyle w:val="references"/>
        <w:numPr>
          <w:ilvl w:val="0"/>
          <w:numId w:val="4"/>
        </w:numPr>
        <w:rPr/>
      </w:pPr>
      <w:r>
        <w:rPr/>
        <w:t xml:space="preserve">P. Chuprikov, P. Eugster, and S. Mangipudi, “Security Policy as Code,” </w:t>
      </w:r>
      <w:r>
        <w:rPr>
          <w:i/>
        </w:rPr>
        <w:t>IEEE Secur. Privacy</w:t>
      </w:r>
      <w:r>
        <w:rPr/>
        <w:t>, vol. 23, no. 2, pp. 23–31, Mar. 2025, doi: 10.1109/MSEC.2025.3535803.</w:t>
      </w:r>
    </w:p>
    <w:p>
      <w:pPr>
        <w:pStyle w:val="references"/>
        <w:numPr>
          <w:ilvl w:val="0"/>
          <w:numId w:val="4"/>
        </w:numPr>
        <w:rPr>
          <w:shd w:fill="auto" w:val="clear"/>
        </w:rPr>
      </w:pPr>
      <w:r>
        <w:rPr/>
        <w:t xml:space="preserve">C. Pahl, N. Gunduz, Ö. Sezen, A. Ghamgosar, and N. El Ioini, “Infrastructure as Code: Technology Review and Research Challenges:,” in </w:t>
      </w:r>
      <w:r>
        <w:rPr>
          <w:i/>
        </w:rPr>
        <w:t>Proceedings of the 15th International Conference on Cloud Computing and Services Science</w:t>
      </w:r>
      <w:r>
        <w:rPr/>
        <w:t>, Porto, Portugal: SCITEPRESS - Science and Technology Publications, 2025, pp. 151–158. doi: 10.5220/0013247700003950.</w:t>
      </w:r>
    </w:p>
    <w:p>
      <w:pPr>
        <w:pStyle w:val="references"/>
        <w:numPr>
          <w:ilvl w:val="0"/>
          <w:numId w:val="4"/>
        </w:numPr>
        <w:rPr/>
      </w:pPr>
      <w:r>
        <w:rPr>
          <w:shd w:fill="auto" w:val="clear"/>
        </w:rPr>
        <w:t xml:space="preserve">K. Morris, </w:t>
      </w:r>
      <w:r>
        <w:rPr>
          <w:i/>
          <w:shd w:fill="auto" w:val="clear"/>
        </w:rPr>
        <w:t>Infrastructure as code: Dynamic systems for the cloud age</w:t>
      </w:r>
      <w:r>
        <w:rPr>
          <w:shd w:fill="auto" w:val="clear"/>
        </w:rPr>
        <w:t>, Second edition. O’Reilly, 2020.</w:t>
      </w:r>
    </w:p>
    <w:p>
      <w:pPr>
        <w:pStyle w:val="references"/>
        <w:numPr>
          <w:ilvl w:val="0"/>
          <w:numId w:val="4"/>
        </w:numPr>
        <w:rPr/>
      </w:pPr>
      <w:r>
        <w:rPr/>
        <w:t>European Cyber Security Organisation (ECSO), “Technical paper: Software supply chain security,” European Cyber Security Organisation, WG6, Sep. 2024. [Online]. Available: https://ecs-org.eu/ecso-uploads/2024/09/ECSO-WG6-Technical-Paper-%E2%80%94-Software-Supply-Chain-Security.pdf</w:t>
      </w:r>
    </w:p>
    <w:p>
      <w:pPr>
        <w:pStyle w:val="references"/>
        <w:numPr>
          <w:ilvl w:val="0"/>
          <w:numId w:val="4"/>
        </w:numPr>
        <w:rPr>
          <w:shd w:fill="auto" w:val="clear"/>
        </w:rPr>
      </w:pPr>
      <w:r>
        <w:rPr/>
        <w:t xml:space="preserve">N. Saavedra, J. Gonçalves, M. Henriques, J. F. Ferreira, and A. Mendes, “Polyglot Code Smell Detection for Infrastructure as Code with GLITCH,” in </w:t>
      </w:r>
      <w:r>
        <w:rPr>
          <w:i/>
        </w:rPr>
        <w:t>2023 38th IEEE/ACM International Conference on Automated Software Engineering (ASE)</w:t>
      </w:r>
      <w:r>
        <w:rPr/>
        <w:t>, Luxembourg, Luxembourg: IEEE, Sep. 2023, pp. 2042–2045. doi: 10.1109/ASE56229.2023.00162.</w:t>
      </w:r>
    </w:p>
    <w:p>
      <w:pPr>
        <w:pStyle w:val="references"/>
        <w:numPr>
          <w:ilvl w:val="0"/>
          <w:numId w:val="4"/>
        </w:numPr>
        <w:rPr/>
      </w:pPr>
      <w:r>
        <w:rPr>
          <w:shd w:fill="auto" w:val="clear"/>
        </w:rPr>
        <w:t>P. R. R. Konala, V. Kumar, D. Bainbridge, and J. Haseeb, “A Framework for Measuring the Quality of Infrastructure-as-Code Scripts,” 2025, arXiv. doi: 10.48550/ARXIV.2502.03127.</w:t>
      </w:r>
    </w:p>
    <w:p>
      <w:pPr>
        <w:pStyle w:val="references"/>
        <w:numPr>
          <w:ilvl w:val="0"/>
          <w:numId w:val="4"/>
        </w:numPr>
        <w:rPr/>
      </w:pPr>
      <w:r>
        <w:rPr/>
        <w:t xml:space="preserve">J. Sandobalin, E. Insfran, and S. Abrahao, “On the Effectiveness of Tools to Support Infrastructure as Code: Model-Driven Versus Code-Centric,” </w:t>
      </w:r>
      <w:r>
        <w:rPr>
          <w:i/>
        </w:rPr>
        <w:t>IEEE Access</w:t>
      </w:r>
      <w:r>
        <w:rPr/>
        <w:t>, vol. 8, pp. 17734–17761, 2020, doi: 10.1109/ACCESS.2020.2966597.</w:t>
      </w:r>
    </w:p>
    <w:p>
      <w:pPr>
        <w:pStyle w:val="references"/>
        <w:numPr>
          <w:ilvl w:val="0"/>
          <w:numId w:val="4"/>
        </w:numPr>
        <w:rPr>
          <w:shd w:fill="auto" w:val="clear"/>
        </w:rPr>
      </w:pPr>
      <w:r>
        <w:rPr/>
        <w:t xml:space="preserve">C. Verbruggen and M. Snoeck, “Practitioners’ experiences with model-driven engineering: a meta-review,” </w:t>
      </w:r>
      <w:r>
        <w:rPr>
          <w:i/>
        </w:rPr>
        <w:t>Softw Syst Model</w:t>
      </w:r>
      <w:r>
        <w:rPr/>
        <w:t>, vol. 22, no. 1, pp. 111–129, Feb. 2023, doi: 10.1007/s10270-022-01020-1.</w:t>
      </w:r>
    </w:p>
    <w:p>
      <w:pPr>
        <w:pStyle w:val="references"/>
        <w:numPr>
          <w:ilvl w:val="0"/>
          <w:numId w:val="4"/>
        </w:numPr>
        <w:rPr/>
      </w:pPr>
      <w:r>
        <w:rPr>
          <w:shd w:fill="auto" w:val="clear"/>
        </w:rPr>
        <w:t>I. Alfonso et al., “Building BESSER: An Open-Source Low-Code Platform,” in Enterprise, Business-Process and Information Systems Modeling, vol. 511, H. Van Der Aa, D. Bork, R. Schmidt, and A. Sturm, Eds., Cham: Springer Nature Switzerland, 2024, pp. 203–212. doi: 10.1007/978-3-031-61007-3_16.</w:t>
      </w:r>
    </w:p>
    <w:p>
      <w:pPr>
        <w:pStyle w:val="references"/>
        <w:numPr>
          <w:ilvl w:val="0"/>
          <w:numId w:val="4"/>
        </w:numPr>
        <w:rPr>
          <w:shd w:fill="auto" w:val="clear"/>
        </w:rPr>
      </w:pPr>
      <w:r>
        <w:rPr/>
        <w:t xml:space="preserve">A. H. Chillón, J. G. Molina, J. R. Hoyos, and M. J. Ortín, “Propagating Schema Changes to Code: An Approach Based on a Unified Data Model,” in </w:t>
      </w:r>
      <w:r>
        <w:rPr>
          <w:i/>
        </w:rPr>
        <w:t>Proceedings of the workshops of the EDBT/ICDT 2023 joint conference</w:t>
      </w:r>
      <w:r>
        <w:rPr/>
        <w:t>, CEUR-WS, Mar. 2023. [Online]. Available: https://ceur-ws.org/Vol-3379/CoMoNoS_2023_id251_Alberto_Hernandez_Chillon.pdf</w:t>
      </w:r>
    </w:p>
    <w:p>
      <w:pPr>
        <w:pStyle w:val="references"/>
        <w:numPr>
          <w:ilvl w:val="0"/>
          <w:numId w:val="4"/>
        </w:numPr>
        <w:rPr/>
      </w:pPr>
      <w:r>
        <w:rPr>
          <w:shd w:fill="auto" w:val="clear"/>
        </w:rPr>
        <w:t>I. Stoica et al., “Specifications: The missing link to making the development of LLM systems an engineering discipline,” 2024, arXiv. doi: 10.48550/ARXIV.2412.05299.</w:t>
      </w:r>
    </w:p>
    <w:p>
      <w:pPr>
        <w:pStyle w:val="references"/>
        <w:numPr>
          <w:ilvl w:val="0"/>
          <w:numId w:val="4"/>
        </w:numPr>
        <w:rPr>
          <w:i/>
          <w:i/>
        </w:rPr>
      </w:pPr>
      <w:r>
        <w:rPr/>
        <w:t xml:space="preserve">S. Shankar, J. D. Zamfirescu-Pereira, B. Hartmann, A. Parameswaran, and I. Arawjo, “Who Validates the Validators? Aligning LLM-Assisted Evaluation of LLM Outputs with Human Preferences,” in </w:t>
      </w:r>
      <w:r>
        <w:rPr>
          <w:i/>
        </w:rPr>
        <w:t>Proceedings of the 37th Annual ACM Symposium on User Interface Software and Technology</w:t>
      </w:r>
      <w:r>
        <w:rPr/>
        <w:t>, Pittsburgh PA USA: ACM, Oct. 2024, pp. 1–14. doi: 10.1145/3654777.3676450.</w:t>
      </w:r>
    </w:p>
    <w:p>
      <w:pPr>
        <w:pStyle w:val="references"/>
        <w:numPr>
          <w:ilvl w:val="0"/>
          <w:numId w:val="4"/>
        </w:numPr>
        <w:rPr/>
      </w:pPr>
      <w:r>
        <w:rPr>
          <w:i/>
        </w:rPr>
        <w:t>OWASP/www-project-top-10-infrastructure-security-risks</w:t>
      </w:r>
      <w:r>
        <w:rPr/>
        <w:t>. (Oct. 22, 2025). OWASP. Accessed: Nov. 05, 2025. [Online]. Available: https://github.com/OWASP/www-project-top-10-infrastructure-security-risks</w:t>
      </w:r>
    </w:p>
    <w:p>
      <w:pPr>
        <w:pStyle w:val="references"/>
        <w:numPr>
          <w:ilvl w:val="0"/>
          <w:numId w:val="4"/>
        </w:numPr>
        <w:rPr/>
      </w:pPr>
      <w:r>
        <w:rPr/>
        <w:t xml:space="preserve">A. Sabetta </w:t>
      </w:r>
      <w:r>
        <w:rPr>
          <w:i/>
        </w:rPr>
        <w:t>et al.</w:t>
      </w:r>
      <w:r>
        <w:rPr/>
        <w:t xml:space="preserve">, “Known Vulnerabilities of Open Source Projects: Where Are the Fixes?,” </w:t>
      </w:r>
      <w:r>
        <w:rPr>
          <w:i/>
        </w:rPr>
        <w:t>IEEE Secur. Privacy</w:t>
      </w:r>
      <w:r>
        <w:rPr/>
        <w:t>, vol. 22, no. 2, pp. 49–59, Mar. 2024, doi: 10.1109/MSEC.2023.3343836.</w:t>
      </w:r>
    </w:p>
    <w:p>
      <w:pPr>
        <w:pStyle w:val="references"/>
        <w:numPr>
          <w:ilvl w:val="0"/>
          <w:numId w:val="4"/>
        </w:numPr>
        <w:rPr/>
      </w:pPr>
      <w:r>
        <w:rPr/>
        <w:t>Cybersecurity and Infrastructure Security Agency (CISA), “A Shared Vision of Software Bill of Materials (SBOM) for Cybersecurity,” U.S. Department of Homeland Security, Sep. 2025. Accessed: Nov. 23, 2025. [Online]. Available: https://www.cisa.gov/sites/default/files/2025-09/joint-guidance-a-shared-vision-of-software-bill-of-materials-for-cybersecurity_508c.pdf</w:t>
      </w:r>
    </w:p>
    <w:p>
      <w:pPr>
        <w:pStyle w:val="references"/>
        <w:numPr>
          <w:ilvl w:val="0"/>
          <w:numId w:val="4"/>
        </w:numPr>
        <w:rPr/>
      </w:pPr>
      <w:r>
        <w:rPr/>
        <w:t>J. Klein and D. Reynolds, “Infrastructure as Code: Final Report,” Carnegie Mellon University, Dec. 2018. [Online]. Available: https://www.sei.cmu.edu/documents/576/2019_019_001_539335.pdf</w:t>
      </w:r>
    </w:p>
    <w:p>
      <w:pPr>
        <w:pStyle w:val="references"/>
        <w:numPr>
          <w:ilvl w:val="0"/>
          <w:numId w:val="4"/>
        </w:numPr>
        <w:rPr/>
      </w:pPr>
      <w:r>
        <w:rPr/>
        <w:t xml:space="preserve">S. S. Ragavan, M. Codoban, D. Piorkowski, D. Dig, and M. Burnett, “Version Control Systems: An Information Foraging Perspective,” </w:t>
      </w:r>
      <w:r>
        <w:rPr>
          <w:i/>
        </w:rPr>
        <w:t>IIEEE Trans. Software Eng.</w:t>
      </w:r>
      <w:r>
        <w:rPr/>
        <w:t>, vol. 47, no. 8, pp. 1644–1655, Aug. 2021, doi: 10.1109/TSE.2019.2931296.</w:t>
      </w:r>
    </w:p>
    <w:p>
      <w:pPr>
        <w:pStyle w:val="references"/>
        <w:numPr>
          <w:ilvl w:val="0"/>
          <w:numId w:val="4"/>
        </w:numPr>
        <w:rPr/>
      </w:pPr>
      <w:r>
        <w:rPr/>
        <w:t xml:space="preserve">B. Hammi and S. Zeadally, “Software Supply-Chain Security: Issues and Countermeasures,” </w:t>
      </w:r>
      <w:r>
        <w:rPr>
          <w:i/>
        </w:rPr>
        <w:t>Computer</w:t>
      </w:r>
      <w:r>
        <w:rPr/>
        <w:t>, vol. 56, no. 7, pp. 54–66, Jul. 2023, doi: 10.1109/MC.2023.3273491.</w:t>
      </w:r>
    </w:p>
    <w:p>
      <w:pPr>
        <w:pStyle w:val="references"/>
        <w:numPr>
          <w:ilvl w:val="0"/>
          <w:numId w:val="4"/>
        </w:numPr>
        <w:rPr/>
      </w:pPr>
      <w:r>
        <w:rPr/>
        <w:t xml:space="preserve">C. Okafor, T. R. Schorlemmer, S. Torres-Arias, and J. C. Davis, “SoK: Analysis of Software Supply Chain Security by Establishing Secure Design Properties,” in </w:t>
      </w:r>
      <w:r>
        <w:rPr>
          <w:i/>
        </w:rPr>
        <w:t>Proceedings of the 2022 ACM Workshop on Software Supply Chain Offensive Research and Ecosystem Defenses</w:t>
      </w:r>
      <w:r>
        <w:rPr/>
        <w:t>, Los Angeles CA USA: ACM, Nov. 2022, pp. 15–24. doi: 10.1145/3560835.3564556.</w:t>
      </w:r>
    </w:p>
    <w:p>
      <w:pPr>
        <w:pStyle w:val="references"/>
        <w:numPr>
          <w:ilvl w:val="0"/>
          <w:numId w:val="4"/>
        </w:numPr>
        <w:rPr/>
      </w:pPr>
      <w:r>
        <w:rPr/>
        <w:t xml:space="preserve">R. Cox, “Surviving software dependencies,” </w:t>
      </w:r>
      <w:r>
        <w:rPr>
          <w:i/>
        </w:rPr>
        <w:t>Commun. ACM</w:t>
      </w:r>
      <w:r>
        <w:rPr/>
        <w:t>, vol. 62, no. 9, pp. 36–43, Aug. 2019, doi: 10.1145/3347446.</w:t>
      </w:r>
    </w:p>
    <w:p>
      <w:pPr>
        <w:pStyle w:val="references"/>
        <w:numPr>
          <w:ilvl w:val="0"/>
          <w:numId w:val="4"/>
        </w:numPr>
        <w:rPr/>
      </w:pPr>
      <w:r>
        <w:rPr/>
        <w:t xml:space="preserve">S. Neupane, G. Holmes, E. Wyss, D. Davidson, and L. D. Carli, “Beyond typosquatting: An in-depth look at package confusion,” in </w:t>
      </w:r>
      <w:r>
        <w:rPr>
          <w:i/>
        </w:rPr>
        <w:t>32nd USENIX security symposium (USENIX security 23)</w:t>
      </w:r>
      <w:r>
        <w:rPr/>
        <w:t>, Anaheim, CA: USENIX Association, Aug. 2023, pp. 3439–3456. [Online]. Available: https://www.usenix.org/conference/usenixsecurity23/presentation/neupane</w:t>
      </w:r>
    </w:p>
    <w:p>
      <w:pPr>
        <w:pStyle w:val="references"/>
        <w:numPr>
          <w:ilvl w:val="0"/>
          <w:numId w:val="4"/>
        </w:numPr>
        <w:rPr>
          <w:shd w:fill="auto" w:val="clear"/>
        </w:rPr>
      </w:pPr>
      <w:r>
        <w:rPr/>
        <w:t xml:space="preserve">P. Abate, R. Di Cosmo, G. Gousios, and S. Zacchiroli, “Dependency Solving Is Still Hard, but We Are Getting Better at It,” in </w:t>
      </w:r>
      <w:r>
        <w:rPr>
          <w:i/>
        </w:rPr>
        <w:t>2020 IEEE 27th International Conference on Software Analysis, Evolution and Reengineering (SANER)</w:t>
      </w:r>
      <w:r>
        <w:rPr/>
        <w:t xml:space="preserve">, London, ON, Canada: IEEE, Feb. 2020, pp. 547–551. doi: </w:t>
      </w:r>
      <w:r>
        <w:rPr>
          <w:shd w:fill="auto" w:val="clear"/>
        </w:rPr>
        <w:t>10.1109/SANER48275.2020.9054837.</w:t>
      </w:r>
    </w:p>
    <w:p>
      <w:pPr>
        <w:pStyle w:val="references"/>
        <w:numPr>
          <w:ilvl w:val="0"/>
          <w:numId w:val="4"/>
        </w:numPr>
        <w:rPr/>
      </w:pPr>
      <w:r>
        <w:rPr>
          <w:shd w:fill="auto" w:val="clear"/>
        </w:rPr>
        <w:t>A. J. Jafari, D. E. Costa, A. Abdellatif, and E. Shihab, “Dependency Practices for Vulnerability Mitigation,” 2023, arXiv. doi: 10.48550/ARXIV.2310.07847.</w:t>
      </w:r>
    </w:p>
    <w:p>
      <w:pPr>
        <w:pStyle w:val="references"/>
        <w:numPr>
          <w:ilvl w:val="0"/>
          <w:numId w:val="4"/>
        </w:numPr>
        <w:rPr/>
      </w:pPr>
      <w:r>
        <w:rPr/>
        <w:t xml:space="preserve">M. A. Sasse, M. Smith, C. Herley, H. Lipford, and K. Vaniea, “Debunking Security-Usability Tradeoff Myths,” </w:t>
      </w:r>
      <w:r>
        <w:rPr>
          <w:i/>
        </w:rPr>
        <w:t>IEEE Secur. Privacy</w:t>
      </w:r>
      <w:r>
        <w:rPr/>
        <w:t>, vol. 14, no. 5, pp. 33–39, Sep. 2016, doi: 10.1109/MSP.2016.110.</w:t>
      </w:r>
    </w:p>
    <w:p>
      <w:pPr>
        <w:pStyle w:val="references"/>
        <w:numPr>
          <w:ilvl w:val="0"/>
          <w:numId w:val="4"/>
        </w:numPr>
        <w:rPr>
          <w:shd w:fill="auto" w:val="clear"/>
        </w:rPr>
      </w:pPr>
      <w:r>
        <w:rPr/>
        <w:t xml:space="preserve">M. Alfadel, D. E. Costa, and E. Shihab, “Empirical Analysis of Security Vulnerabilities in Python Packages,” in </w:t>
      </w:r>
      <w:r>
        <w:rPr>
          <w:i/>
        </w:rPr>
        <w:t>2021 IEEE International Conference on Software Analysis, Evolution and Reengineering (SANER)</w:t>
      </w:r>
      <w:r>
        <w:rPr/>
        <w:t>, Honolulu, HI, USA: IEEE, Mar. 2021, pp. 446–457. doi: 10.1109/SANER50967.2021.00048.</w:t>
      </w:r>
    </w:p>
    <w:p>
      <w:pPr>
        <w:pStyle w:val="references"/>
        <w:numPr>
          <w:ilvl w:val="0"/>
          <w:numId w:val="4"/>
        </w:numPr>
        <w:rPr/>
      </w:pPr>
      <w:r>
        <w:rPr>
          <w:shd w:fill="auto" w:val="clear"/>
        </w:rPr>
        <w:t>J. Dietrich, S. Rasheed, A. Jordan, and T. White, “On the Security Blind Spots of Software Composition Analysis,” 2023, arXiv. doi: 10.48550/ARXIV.2306.05534.</w:t>
      </w:r>
    </w:p>
    <w:p>
      <w:pPr>
        <w:pStyle w:val="references"/>
        <w:numPr>
          <w:ilvl w:val="0"/>
          <w:numId w:val="4"/>
        </w:numPr>
        <w:rPr/>
      </w:pPr>
      <w:r>
        <w:rPr/>
        <w:t xml:space="preserve">W. Enck and L. Williams, “Top Five Challenges in Software Supply Chain Security: Observations From 30 Industry and Government Organizations,” </w:t>
      </w:r>
      <w:r>
        <w:rPr>
          <w:i/>
        </w:rPr>
        <w:t>IEEE Secur. Privacy</w:t>
      </w:r>
      <w:r>
        <w:rPr/>
        <w:t>, vol. 20, no. 2, pp. 96–100, Mar. 2022, doi: 10.1109/MSEC.2022.3142338.</w:t>
      </w:r>
    </w:p>
    <w:p>
      <w:pPr>
        <w:pStyle w:val="references"/>
        <w:numPr>
          <w:ilvl w:val="0"/>
          <w:numId w:val="4"/>
        </w:numPr>
        <w:rPr/>
      </w:pPr>
      <w:r>
        <w:rPr/>
        <w:t xml:space="preserve">M. Böhme, E. Bodden, T. Bultan, C. Cadar, Y. Liu, and G. Scanniello, “Software Security Analysis in 2030 and Beyond: A Research Roadmap,” </w:t>
      </w:r>
      <w:r>
        <w:rPr>
          <w:i/>
        </w:rPr>
        <w:t>ACM Trans. Softw. Eng. Methodol.</w:t>
      </w:r>
      <w:r>
        <w:rPr/>
        <w:t>, vol. 34, no. 5, pp. 1–26, Jun. 2025, doi: 10.1145/3708533.</w:t>
      </w:r>
    </w:p>
    <w:p>
      <w:pPr>
        <w:pStyle w:val="references"/>
        <w:numPr>
          <w:ilvl w:val="0"/>
          <w:numId w:val="4"/>
        </w:numPr>
        <w:rPr>
          <w:shd w:fill="auto" w:val="clear"/>
        </w:rPr>
      </w:pPr>
      <w:r>
        <w:rPr/>
        <w:t xml:space="preserve">N. Zaidenberg, M. Kiperberg, </w:t>
      </w:r>
      <w:r>
        <w:rPr>
          <w:shd w:fill="auto" w:val="clear"/>
        </w:rPr>
        <w:t xml:space="preserve">and A. Resh, “TrulyProtect—Virtualization-Based Protection Against Reverse Engineering,” in </w:t>
      </w:r>
      <w:r>
        <w:rPr>
          <w:i/>
          <w:shd w:fill="auto" w:val="clear"/>
        </w:rPr>
        <w:t>Cyber Security</w:t>
      </w:r>
      <w:r>
        <w:rPr>
          <w:shd w:fill="auto" w:val="clear"/>
        </w:rPr>
        <w:t>, vol. 56, M. Lehto and P. Neittaanmäki, Eds., Cham: Springer International Publishing, 2022, pp. 353–366. doi: 10.1007/978-3-030-91293-2_15.</w:t>
      </w:r>
    </w:p>
    <w:p>
      <w:pPr>
        <w:pStyle w:val="references"/>
        <w:numPr>
          <w:ilvl w:val="0"/>
          <w:numId w:val="4"/>
        </w:numPr>
        <w:rPr/>
      </w:pPr>
      <w:r>
        <w:rPr>
          <w:shd w:fill="auto" w:val="clear"/>
        </w:rPr>
        <w:t>A. Iklody, G. Wagener, A. Dulaunoy, S. Mokaddem, and C. Wagner, “Decaying Indicators of Compromise.” arXiv, Mar. 2018. doi: 10.48550/arXiv.1803.11052.</w:t>
      </w:r>
    </w:p>
    <w:p>
      <w:pPr>
        <w:pStyle w:val="references"/>
        <w:numPr>
          <w:ilvl w:val="0"/>
          <w:numId w:val="4"/>
        </w:numPr>
        <w:rPr/>
      </w:pPr>
      <w:r>
        <w:rPr/>
        <w:t xml:space="preserve">C. P. Chenet, A. Savino, and S. Di Carlo, “A Survey on Hardware-Based Malware Detection Approaches,” </w:t>
      </w:r>
      <w:r>
        <w:rPr>
          <w:i/>
        </w:rPr>
        <w:t>IEEE Access</w:t>
      </w:r>
      <w:r>
        <w:rPr/>
        <w:t>, vol. 12, pp. 54115–54128, 2024, doi: 10.1109/ACCESS.2024.3388716.</w:t>
      </w:r>
    </w:p>
    <w:p>
      <w:pPr>
        <w:pStyle w:val="references"/>
        <w:numPr>
          <w:ilvl w:val="0"/>
          <w:numId w:val="4"/>
        </w:numPr>
        <w:rPr/>
      </w:pPr>
      <w:r>
        <w:rPr/>
        <w:t xml:space="preserve">O. Or-Meir, N. Nissim, Y. Elovici, and L. Rokach, “Dynamic Malware Analysis in the Modern Era—A State of the Art Survey,” </w:t>
      </w:r>
      <w:r>
        <w:rPr>
          <w:i/>
        </w:rPr>
        <w:t>ACM Comput. Surv.</w:t>
      </w:r>
      <w:r>
        <w:rPr/>
        <w:t>, vol. 52, no. 5, pp. 1–48, Sep. 2020, doi: 10.1145/3329786.</w:t>
      </w:r>
    </w:p>
    <w:p>
      <w:pPr>
        <w:pStyle w:val="references"/>
        <w:numPr>
          <w:ilvl w:val="0"/>
          <w:numId w:val="4"/>
        </w:numPr>
        <w:rPr>
          <w:shd w:fill="auto" w:val="clear"/>
        </w:rPr>
      </w:pPr>
      <w:r>
        <w:rPr/>
        <w:t xml:space="preserve">Williams A. D., “Enabling Global Collaboration,” The Linux </w:t>
      </w:r>
      <w:r>
        <w:rPr>
          <w:shd w:fill="auto" w:val="clear"/>
        </w:rPr>
        <w:t>Foundation, Jan. 2025. [Online]. Available: https://project.linuxfoundation.org/hubfs/LF%20Research/Overcoming%20OS%20Fragmentation%20-%20Report.pdf</w:t>
      </w:r>
    </w:p>
    <w:p>
      <w:pPr>
        <w:pStyle w:val="references"/>
        <w:numPr>
          <w:ilvl w:val="0"/>
          <w:numId w:val="4"/>
        </w:numPr>
        <w:rPr>
          <w:shd w:fill="auto" w:val="clear"/>
        </w:rPr>
      </w:pPr>
      <w:r>
        <w:rPr>
          <w:shd w:fill="auto" w:val="clear"/>
        </w:rPr>
        <w:t>M. Mirakhorli et al., “A Landscape Study of Open Source and Proprietary Tools for Software Bill of Materials (SBOM),” 2024, arXiv. doi: 10.48550/ARXIV.2402.11151.</w:t>
      </w:r>
    </w:p>
    <w:p>
      <w:pPr>
        <w:pStyle w:val="references"/>
        <w:numPr>
          <w:ilvl w:val="0"/>
          <w:numId w:val="4"/>
        </w:numPr>
        <w:rPr/>
      </w:pPr>
      <w:r>
        <w:rPr>
          <w:shd w:fill="auto" w:val="clear"/>
        </w:rPr>
        <w:t xml:space="preserve">N. Wintersgill, T. Stalnaker, L. A. Heymann, </w:t>
      </w:r>
      <w:r>
        <w:rPr/>
        <w:t xml:space="preserve">O. Chaparro, and D. Poshyvanyk, “‘The Law Doesn’t Work Like a Computer’: Exploring Software Licensing Issues Faced by Legal Practitioners,” </w:t>
      </w:r>
      <w:r>
        <w:rPr>
          <w:i/>
        </w:rPr>
        <w:t>Proc. ACM Softw. Eng.</w:t>
      </w:r>
      <w:r>
        <w:rPr/>
        <w:t>, vol. 1, no. FSE, pp. 882–905, Jul. 2024, doi: 10.1145/3643766.</w:t>
      </w:r>
    </w:p>
    <w:p>
      <w:pPr>
        <w:pStyle w:val="references"/>
        <w:numPr>
          <w:ilvl w:val="0"/>
          <w:numId w:val="4"/>
        </w:numPr>
        <w:rPr/>
      </w:pPr>
      <w:r>
        <w:rPr/>
        <w:t xml:space="preserve">D. Bozzini, “The regimes of ethical hacking: Moral projects and the emergence of a market for vulnerability,” </w:t>
      </w:r>
      <w:r>
        <w:rPr>
          <w:i/>
        </w:rPr>
        <w:t>Information, Communication &amp; Society</w:t>
      </w:r>
      <w:r>
        <w:rPr/>
        <w:t>, pp. 1–18, May 2025, doi: 10.1080/1369118X.2025.2498683.</w:t>
      </w:r>
    </w:p>
    <w:p>
      <w:pPr>
        <w:pStyle w:val="references"/>
        <w:numPr>
          <w:ilvl w:val="0"/>
          <w:numId w:val="4"/>
        </w:numPr>
        <w:rPr/>
      </w:pPr>
      <w:r>
        <w:rPr/>
        <w:t xml:space="preserve">A. S. Abdiraman, L. S. Aldasheva, B. Darmenov, T. I. Omurzakov, and A. B. Zakirova, “Comparative analysis of application platform for learning cybersecurity through the Capturing the Flag Competitions,” </w:t>
      </w:r>
      <w:r>
        <w:rPr>
          <w:i/>
        </w:rPr>
        <w:t>bultechenukz</w:t>
      </w:r>
      <w:r>
        <w:rPr/>
        <w:t>, vol. 145, no. 4, pp. 49–57, Dec. 2023, doi: 10.32523/2616-7263-2023-145-4-49-57.</w:t>
      </w:r>
    </w:p>
    <w:p>
      <w:pPr>
        <w:pStyle w:val="references"/>
        <w:numPr>
          <w:ilvl w:val="0"/>
          <w:numId w:val="4"/>
        </w:numPr>
        <w:rPr>
          <w:shd w:fill="auto" w:val="clear"/>
        </w:rPr>
      </w:pPr>
      <w:r>
        <w:rPr/>
        <w:t xml:space="preserve">W. K. G. Assunção, L. Marchezan, L. Arkoh, A. Egyed, and R. Ramler, “Contemporary Software Modernization: Strategies, Driving Forces, and Research Opportunities,” </w:t>
      </w:r>
      <w:r>
        <w:rPr>
          <w:i/>
        </w:rPr>
        <w:t>ACM Trans. Softw. Eng. Methodol.</w:t>
      </w:r>
      <w:r>
        <w:rPr/>
        <w:t>, vol. 34, no. 5, pp. 1–35, Jun. 2025, doi: 10.1145/3708527.</w:t>
      </w:r>
    </w:p>
    <w:p>
      <w:pPr>
        <w:pStyle w:val="references"/>
        <w:numPr>
          <w:ilvl w:val="0"/>
          <w:numId w:val="4"/>
        </w:numPr>
        <w:rPr/>
      </w:pPr>
      <w:r>
        <w:rPr>
          <w:shd w:fill="auto" w:val="clear"/>
        </w:rPr>
        <w:t xml:space="preserve">C. Pohl and H.-J. Hof, “Secure Scrum: Development of Secure Software with Scrum,” Jul. 10, 2015, </w:t>
      </w:r>
      <w:r>
        <w:rPr>
          <w:i/>
          <w:shd w:fill="auto" w:val="clear"/>
        </w:rPr>
        <w:t>arXiv</w:t>
      </w:r>
      <w:r>
        <w:rPr>
          <w:shd w:fill="auto" w:val="clear"/>
        </w:rPr>
        <w:t>: arXiv:1507.02992. doi: 10.48550/arXiv.1507.02992.</w:t>
      </w:r>
    </w:p>
    <w:p>
      <w:pPr>
        <w:pStyle w:val="references"/>
        <w:numPr>
          <w:ilvl w:val="0"/>
          <w:numId w:val="4"/>
        </w:numPr>
        <w:rPr/>
      </w:pPr>
      <w:r>
        <w:rPr/>
        <w:t xml:space="preserve">P. Mell, J. Shook, and R. Harang, “Measuring and Improving the Effectiveness of Defense-in-Depth Postures,” in </w:t>
      </w:r>
      <w:r>
        <w:rPr>
          <w:i/>
        </w:rPr>
        <w:t>Proceedings of the 2nd Annual Industrial Control System Security Workshop</w:t>
      </w:r>
      <w:r>
        <w:rPr/>
        <w:t>, Los Angeles CA USA: ACM, Dec. 2016, pp. 15–22. doi: 10.1145/3018981.3018986.</w:t>
      </w:r>
    </w:p>
    <w:p>
      <w:pPr>
        <w:pStyle w:val="references"/>
        <w:numPr>
          <w:ilvl w:val="0"/>
          <w:numId w:val="4"/>
        </w:numPr>
        <w:rPr/>
      </w:pPr>
      <w:r>
        <w:rPr/>
        <w:t xml:space="preserve">S. Berhe, M. Maynard, and F. Khomh, “Maintenance Cost of Software Ecosystem Updates,” </w:t>
      </w:r>
      <w:r>
        <w:rPr>
          <w:i/>
        </w:rPr>
        <w:t>Procedia Computer Science</w:t>
      </w:r>
      <w:r>
        <w:rPr/>
        <w:t>, vol. 220, pp. 608–615, 2023, doi: 10.1016/j.procs.2023.03.077.</w:t>
      </w:r>
    </w:p>
    <w:p>
      <w:pPr>
        <w:pStyle w:val="references"/>
        <w:numPr>
          <w:ilvl w:val="0"/>
          <w:numId w:val="4"/>
        </w:numPr>
        <w:rPr/>
      </w:pPr>
      <w:r>
        <w:rPr/>
        <w:t xml:space="preserve">P. Dehraj and A. Sharma, “A review on architecture and models for autonomic software systems,” </w:t>
      </w:r>
      <w:r>
        <w:rPr>
          <w:i/>
        </w:rPr>
        <w:t>J Supercomput</w:t>
      </w:r>
      <w:r>
        <w:rPr/>
        <w:t>, vol. 77, no. 1, pp. 388–417, Jan. 2021, doi: 10.1007/s11227-020-03268-0.</w:t>
      </w:r>
    </w:p>
    <w:p>
      <w:pPr>
        <w:pStyle w:val="references"/>
        <w:numPr>
          <w:ilvl w:val="0"/>
          <w:numId w:val="4"/>
        </w:numPr>
        <w:rPr/>
      </w:pPr>
      <w:r>
        <w:rPr/>
        <w:t xml:space="preserve">R. Sammak, A. L. Rotthaler, H. S. Ramulu, D. Wermke, and Y. Acar, “Developers’ Approaches to Software Supply Chain Security: An Interview Study,” in </w:t>
      </w:r>
      <w:r>
        <w:rPr>
          <w:i/>
        </w:rPr>
        <w:t>Proceedings of the 2024 Workshop on Software Supply Chain Offensive Research and Ecosystem Defenses</w:t>
      </w:r>
      <w:r>
        <w:rPr/>
        <w:t>, Salt Lake City UT USA: ACM, Nov. 2023, pp. 56–66. doi: 10.1145/3689944.3696160.</w:t>
      </w:r>
    </w:p>
    <w:p>
      <w:pPr>
        <w:pStyle w:val="references"/>
        <w:numPr>
          <w:ilvl w:val="0"/>
          <w:numId w:val="4"/>
        </w:numPr>
        <w:rPr>
          <w:shd w:fill="auto" w:val="clear"/>
        </w:rPr>
      </w:pPr>
      <w:r>
        <w:rPr/>
        <w:t xml:space="preserve">R. M. Tsoupidi, E. Troubitsyna, and P. Papadimitratos, “Protecting Cryptographic Libraries Against Side-Channel and Code-Reuse Attacks,” </w:t>
      </w:r>
      <w:r>
        <w:rPr>
          <w:i/>
        </w:rPr>
        <w:t>IEEE Secur. Privacy</w:t>
      </w:r>
      <w:r>
        <w:rPr/>
        <w:t>, vol. 23, no. 5, pp. 46–55, Sep. 2025, doi: 10.1109/MSEC.2024.3498736.</w:t>
      </w:r>
    </w:p>
    <w:p>
      <w:pPr>
        <w:pStyle w:val="references"/>
        <w:numPr>
          <w:ilvl w:val="0"/>
          <w:numId w:val="4"/>
        </w:numPr>
        <w:rPr/>
      </w:pPr>
      <w:r>
        <w:rPr>
          <w:shd w:fill="auto" w:val="clear"/>
        </w:rPr>
        <w:t>P. Ladisa, H. Plate, M. Martinez, and O. Barais, “Taxonomy of Attacks on Open-Source Software Supply Chains,” 2022, doi: 10.48550/ARXIV.2204.04008.</w:t>
      </w:r>
    </w:p>
    <w:p>
      <w:pPr>
        <w:pStyle w:val="references"/>
        <w:numPr>
          <w:ilvl w:val="0"/>
          <w:numId w:val="4"/>
        </w:numPr>
        <w:rPr/>
      </w:pPr>
      <w:r>
        <w:rPr/>
        <w:t xml:space="preserve">J. Gottschlich </w:t>
      </w:r>
      <w:r>
        <w:rPr>
          <w:i/>
        </w:rPr>
        <w:t>et al.</w:t>
      </w:r>
      <w:r>
        <w:rPr/>
        <w:t xml:space="preserve">, “The three pillars of machine programming,” in </w:t>
      </w:r>
      <w:r>
        <w:rPr>
          <w:i/>
        </w:rPr>
        <w:t>Proceedings of the 2nd ACM SIGPLAN International Workshop on Machine Learning and Programming Languages</w:t>
      </w:r>
      <w:r>
        <w:rPr/>
        <w:t>, Philadelphia PA USA: ACM, Jun. 2018, pp. 69–80. doi: 10.1145/3211346.3211355.</w:t>
      </w:r>
    </w:p>
    <w:p>
      <w:pPr>
        <w:pStyle w:val="references"/>
        <w:numPr>
          <w:ilvl w:val="0"/>
          <w:numId w:val="4"/>
        </w:numPr>
        <w:rPr/>
      </w:pPr>
      <w:r>
        <w:rPr/>
        <w:t xml:space="preserve">A. Singer and M. Bishop, “Trust-Based Security; Or, Trust Considered Harmful,” in </w:t>
      </w:r>
      <w:r>
        <w:rPr>
          <w:i/>
        </w:rPr>
        <w:t>New Security Paradigms Workshop 2020</w:t>
      </w:r>
      <w:r>
        <w:rPr/>
        <w:t>, Online USA: ACM, Oct. 2020, pp. 76–89. doi: 10.1145/3442167.3442179.</w:t>
      </w:r>
    </w:p>
    <w:p>
      <w:pPr>
        <w:pStyle w:val="references"/>
        <w:numPr>
          <w:ilvl w:val="0"/>
          <w:numId w:val="4"/>
        </w:numPr>
        <w:rPr/>
      </w:pPr>
      <w:r>
        <w:rPr/>
        <w:t>S. Rose, O. Borchert, S. Mitchell, and S. Connelly, “Zero Trust Architecture,” National Institute of Standards and Technology, Aug. 2020. doi: 10.6028/NIST.SP.800-207.</w:t>
      </w:r>
    </w:p>
    <w:p>
      <w:pPr>
        <w:pStyle w:val="references"/>
        <w:numPr>
          <w:ilvl w:val="0"/>
          <w:numId w:val="4"/>
        </w:numPr>
        <w:rPr/>
      </w:pPr>
      <w:r>
        <w:rPr/>
        <w:t xml:space="preserve">T. Babenko, S. Amanzholova, R. Lisnevskyi, and A. Abylgazy, “Cybersecurity-level assessment models,” in </w:t>
      </w:r>
      <w:r>
        <w:rPr>
          <w:i/>
        </w:rPr>
        <w:t>DTESI 2024: 9th international conference on digital technologies in education, science and industry</w:t>
      </w:r>
      <w:r>
        <w:rPr/>
        <w:t>, CEUR-WS, Oct. 2024. [Online]. Available: https://ceur-ws.org/Vol-3966/W4Paper2.pdf</w:t>
      </w:r>
    </w:p>
    <w:p>
      <w:pPr>
        <w:pStyle w:val="references"/>
        <w:numPr>
          <w:ilvl w:val="0"/>
          <w:numId w:val="4"/>
        </w:numPr>
        <w:rPr/>
      </w:pPr>
      <w:r>
        <w:rPr/>
        <w:t>Cybersecurity and Infrastructure Security Agency (CISA), “The Journey to Zero Trust: Microsegmentation in Zero Trust Part One: Introduction and Planning,” U.S. Department of Homeland Security, Jul. 2025. [Online]. Available: https://www.cisa.gov/sites/default/files/2025-07/ZT-Microsegmentation-Guidance-Part-One_508c.pdf</w:t>
      </w:r>
    </w:p>
    <w:p>
      <w:pPr>
        <w:pStyle w:val="references"/>
        <w:numPr>
          <w:ilvl w:val="0"/>
          <w:numId w:val="4"/>
        </w:numPr>
        <w:rPr/>
      </w:pPr>
      <w:r>
        <w:rPr/>
        <w:t xml:space="preserve">Z. A. Collier and J. Sarkis, “The zero trust supply chain: Managing supply chain risk in the absence of trust,” </w:t>
      </w:r>
      <w:r>
        <w:rPr>
          <w:i/>
        </w:rPr>
        <w:t>International Journal of Production Research</w:t>
      </w:r>
      <w:r>
        <w:rPr/>
        <w:t>, vol. 59, no. 11, pp. 3430–3445, Jun. 2021, doi: 10.1080/00207543.2021.1884311.</w:t>
      </w:r>
    </w:p>
    <w:p>
      <w:pPr>
        <w:pStyle w:val="references"/>
        <w:numPr>
          <w:ilvl w:val="0"/>
          <w:numId w:val="4"/>
        </w:numPr>
        <w:rPr/>
      </w:pPr>
      <w:r>
        <w:rPr/>
        <w:t>U.S. Department of Defense, Chief Information Officer (DoD CIO), “DoD enterprise DevSecOps fundamentals, v2.5,” U.S. Department of Defense, v2.5, Oct. 2024. [Online]. Available: https://dodcio.defense.gov/Portals/0/Documents/Library/DoD%20Enterprise%20DevSecOps%20Fundamentals%20v2.5.pdf</w:t>
      </w:r>
    </w:p>
    <w:p>
      <w:pPr>
        <w:pStyle w:val="references"/>
        <w:numPr>
          <w:ilvl w:val="0"/>
          <w:numId w:val="4"/>
        </w:numPr>
        <w:rPr/>
      </w:pPr>
      <w:r>
        <w:rPr/>
        <w:t xml:space="preserve">S. Mushtaq, M. Mohsin, and M. M. Mushtaq, “A Systematic Literature Review on the Implementation and Challenges of Zero Trust Architecture Across Domains,” </w:t>
      </w:r>
      <w:r>
        <w:rPr>
          <w:i/>
        </w:rPr>
        <w:t>Sensors</w:t>
      </w:r>
      <w:r>
        <w:rPr/>
        <w:t>, vol. 25, no. 19, p. 6118, Oct. 2025, doi: 10.3390/s25196118.</w:t>
      </w:r>
    </w:p>
    <w:p>
      <w:pPr>
        <w:pStyle w:val="references"/>
        <w:numPr>
          <w:ilvl w:val="0"/>
          <w:numId w:val="4"/>
        </w:numPr>
        <w:rPr/>
      </w:pPr>
      <w:r>
        <w:rPr/>
        <w:t xml:space="preserve">H. Bangui, M. Ge, and B. Buhnova, “When Trustless meets Trust: Blockchain Consensus Review and Reconsideration,” </w:t>
      </w:r>
      <w:r>
        <w:rPr>
          <w:i/>
        </w:rPr>
        <w:t>Procedia Computer Science</w:t>
      </w:r>
      <w:r>
        <w:rPr/>
        <w:t>, vol. 246, pp. 3351–3360, 2024, doi: 10.1016/j.procs.2024.09.222.</w:t>
      </w:r>
    </w:p>
    <w:p>
      <w:pPr>
        <w:pStyle w:val="references"/>
        <w:numPr>
          <w:ilvl w:val="0"/>
          <w:numId w:val="4"/>
        </w:numPr>
        <w:rPr>
          <w:shd w:fill="auto" w:val="clear"/>
        </w:rPr>
      </w:pPr>
      <w:r>
        <w:rPr/>
        <w:t xml:space="preserve">L. Grilli and P. Speziali, “Combining Git and Blockchain for Trusted Information Sharing,” </w:t>
      </w:r>
      <w:r>
        <w:rPr>
          <w:i/>
        </w:rPr>
        <w:t>IEEE Access</w:t>
      </w:r>
      <w:r>
        <w:rPr/>
        <w:t>, vol. 12, pp. 88383–88409, 2024, doi: 10.1109/ACCESS.2024.3418749.</w:t>
      </w:r>
    </w:p>
    <w:p>
      <w:pPr>
        <w:pStyle w:val="references"/>
        <w:numPr>
          <w:ilvl w:val="0"/>
          <w:numId w:val="4"/>
        </w:numPr>
        <w:rPr/>
      </w:pPr>
      <w:r>
        <w:rPr>
          <w:shd w:fill="auto" w:val="clear"/>
        </w:rPr>
        <w:t>S. Bistarelli, E. P. Burberi, and F. Santini, “A Classification of Malware Sandboxes and Their Architectures,” in ITASEC &amp; SERICS 2025: Joint National Conference on Cybersecurity, CEUR-WS, Feb. 2025. [Online]. Available: https://ceur-ws.org/Vol-3962/paper1.pdf</w:t>
      </w:r>
    </w:p>
    <w:p>
      <w:pPr>
        <w:pStyle w:val="references"/>
        <w:numPr>
          <w:ilvl w:val="0"/>
          <w:numId w:val="4"/>
        </w:numPr>
        <w:rPr/>
      </w:pPr>
      <w:r>
        <w:rPr/>
        <w:t xml:space="preserve">N. Alhamam, M. M. Hafizur Rahman, and A. Aljughaiman, “A Comprehensive Review on Cybersecurity of Digital Twins Issues, Challenges, and Future Research Directions,” </w:t>
      </w:r>
      <w:r>
        <w:rPr>
          <w:i/>
        </w:rPr>
        <w:t>IEEE Access</w:t>
      </w:r>
      <w:r>
        <w:rPr/>
        <w:t>, vol. 13, pp. 45106–45124, 2025, doi: 10.1109/ACCESS.2025.3545004.</w:t>
      </w:r>
    </w:p>
    <w:p>
      <w:pPr>
        <w:pStyle w:val="references"/>
        <w:numPr>
          <w:ilvl w:val="0"/>
          <w:numId w:val="4"/>
        </w:numPr>
        <w:rPr>
          <w:shd w:fill="auto" w:val="clear"/>
        </w:rPr>
      </w:pPr>
      <w:r>
        <w:rPr/>
        <w:t>Anthropic, “Disrupting the first reported AI-orchestrated cyber espionage campaign,” Anthropic, Nov. 2025. [Online]. Available: https://assets.anthropic.com/m/ec212e6566a0d47/original/Disrupting-the-first-reported-AI-orchestrated-cyber-espionage-campaign.pdf</w:t>
      </w:r>
    </w:p>
    <w:p>
      <w:pPr>
        <w:pStyle w:val="references"/>
        <w:numPr>
          <w:ilvl w:val="0"/>
          <w:numId w:val="4"/>
        </w:numPr>
        <w:rPr/>
      </w:pPr>
      <w:r>
        <w:rPr>
          <w:shd w:fill="auto" w:val="clear"/>
        </w:rPr>
        <w:t>N. Tendikov, "aitu-sist-2026_research-paper," GitHub repository, Mar. 22, 2026. [Online]. Available: https://github.com/NoyanTM/aitu-sist-2026_research-paper. [Accessed: Apr. 3, 2026].</w:t>
      </w:r>
    </w:p>
    <w:sectPr>
      <w:type w:val="continuous"/>
      <w:pgSz w:w="11906" w:h="16838"/>
      <w:pgMar w:left="1134" w:right="1134" w:gutter="0" w:header="964" w:top="1077" w:footer="1247" w:bottom="2438"/>
      <w:cols w:num="2" w:space="340" w:equalWidth="true" w:sep="false"/>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default"/>
  </w:font>
  <w:font w:name="Wingdings">
    <w:charset w:val="02"/>
    <w:family w:val="auto"/>
    <w:pitch w:val="variable"/>
  </w:font>
  <w:font w:name="Cambria">
    <w:charset w:val="01"/>
    <w:family w:val="roman"/>
    <w:pitch w:val="variable"/>
  </w:font>
  <w:font w:name="Calibri">
    <w:charset w:val="01"/>
    <w:family w:val="swiss"/>
    <w:pitch w:val="variable"/>
  </w:font>
  <w:font w:name="Tahoma">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irstHeader"/>
      <w:rPr/>
    </w:pPr>
    <w:r>
      <w:rPr/>
      <w:t>202</w:t>
    </w:r>
    <w:r>
      <w:rPr>
        <w:lang w:val="kk-KZ"/>
      </w:rPr>
      <w:t>6</w:t>
    </w:r>
    <w:r>
      <w:rPr/>
      <w:t xml:space="preserve"> IEEE </w:t>
    </w:r>
    <w:r>
      <w:rPr>
        <w:lang w:val="kk-KZ"/>
      </w:rPr>
      <w:t>6</w:t>
    </w:r>
    <w:r>
      <w:rPr/>
      <w:t>th International Conference on Smart Information Systems and Technologies (SIST)</w:t>
    </w:r>
  </w:p>
  <w:p>
    <w:pPr>
      <w:pStyle w:val="FirstHeader"/>
      <w:rPr/>
    </w:pPr>
    <w:r>
      <w:rPr/>
      <w:t>1</w:t>
    </w:r>
    <w:r>
      <w:rPr>
        <w:lang w:val="kk-KZ"/>
      </w:rPr>
      <w:t>3</w:t>
    </w:r>
    <w:r>
      <w:rPr/>
      <w:t>-1</w:t>
    </w:r>
    <w:r>
      <w:rPr>
        <w:lang w:val="kk-KZ"/>
      </w:rPr>
      <w:t>5</w:t>
    </w:r>
    <w:r>
      <w:rPr/>
      <w:t xml:space="preserve"> May, 202</w:t>
    </w:r>
    <w:r>
      <w:rPr>
        <w:lang w:val="kk-KZ"/>
      </w:rPr>
      <w:t>6</w:t>
    </w:r>
    <w:r>
      <w:rPr/>
      <w:t>, Astana, Kazakhstan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outline w:val="false"/>
        <w:dstrike w:val="false"/>
        <w:strike w:val="false"/>
        <w:vertAlign w:val="baseline"/>
        <w:position w:val="0"/>
        <w:sz w:val="20"/>
        <w:sz w:val="20"/>
        <w:shadow w:val="false"/>
        <w:szCs w:val="20"/>
        <w:vanish w:val="false"/>
        <w:rFonts w:ascii="Times New Roman" w:hAnsi="Times New Roman" w:cs="Times New Roman"/>
        <w:color w:val="000000"/>
      </w:rPr>
    </w:lvl>
    <w:lvl w:ilvl="1">
      <w:start w:val="1"/>
      <w:pStyle w:val="Heading2"/>
      <w:numFmt w:val="upperLetter"/>
      <w:lvlText w:val="%2."/>
      <w:lvlJc w:val="left"/>
      <w:pPr>
        <w:tabs>
          <w:tab w:val="num" w:pos="360"/>
        </w:tabs>
        <w:ind w:left="288" w:hanging="288"/>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2">
      <w:start w:val="1"/>
      <w:pStyle w:val="Heading3"/>
      <w:numFmt w:val="decimal"/>
      <w:lvlText w:val="%3)"/>
      <w:lvlJc w:val="left"/>
      <w:pPr>
        <w:tabs>
          <w:tab w:val="num" w:pos="540"/>
        </w:tabs>
        <w:ind w:left="0" w:firstLine="180"/>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3">
      <w:start w:val="1"/>
      <w:pStyle w:val="Heading4"/>
      <w:numFmt w:val="lowerLetter"/>
      <w:lvlText w:val="%4)"/>
      <w:lvlJc w:val="left"/>
      <w:pPr>
        <w:tabs>
          <w:tab w:val="num" w:pos="720"/>
        </w:tabs>
        <w:ind w:left="0" w:firstLine="360"/>
      </w:pPr>
      <w:rPr>
        <w:sz w:val="20"/>
        <w:i/>
        <w:b w:val="false"/>
        <w:szCs w:val="20"/>
        <w:iCs/>
        <w:bCs w:val="false"/>
        <w:rFonts w:ascii="Times New Roman" w:hAnsi="Times New Roman" w:cs="Times New Roman"/>
      </w:rPr>
    </w:lvl>
    <w:lvl w:ilvl="4">
      <w:start w:val="1"/>
      <w:numFmt w:val="none"/>
      <w:suff w:val="nothing"/>
      <w:lvlText w:val="%5"/>
      <w:lvlJc w:val="left"/>
      <w:pPr>
        <w:tabs>
          <w:tab w:val="num" w:pos="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decimal"/>
      <w:lvlText w:val="%1 "/>
      <w:lvlJc w:val="left"/>
      <w:pPr>
        <w:tabs>
          <w:tab w:val="num" w:pos="648"/>
        </w:tabs>
        <w:ind w:left="0" w:firstLine="288"/>
      </w:pPr>
      <w:rPr>
        <w:smallCaps w:val="false"/>
        <w:caps w:val="false"/>
        <w:outline w:val="false"/>
        <w:dstrike w:val="false"/>
        <w:strike w:val="false"/>
        <w:vertAlign w:val="superscript"/>
        <w:sz w:val="16"/>
        <w:i w:val="false"/>
        <w:shadow w:val="false"/>
        <w:b w:val="false"/>
        <w:szCs w:val="16"/>
        <w:iCs w:val="false"/>
        <w:bCs w:val="false"/>
        <w:vanish w:val="false"/>
        <w:rFonts w:ascii="Times New Roman" w:hAnsi="Times New Roman" w:cs="Times New Roman"/>
      </w:rPr>
    </w:lvl>
  </w:abstractNum>
  <w:abstractNum w:abstractNumId="3">
    <w:lvl w:ilvl="0">
      <w:start w:val="1"/>
      <w:numFmt w:val="bullet"/>
      <w:lvlText w:val=""/>
      <w:lvlJc w:val="left"/>
      <w:pPr>
        <w:tabs>
          <w:tab w:val="num" w:pos="648"/>
        </w:tabs>
        <w:ind w:left="648" w:hanging="360"/>
      </w:pPr>
      <w:rPr>
        <w:rFonts w:ascii="Symbol" w:hAnsi="Symbol" w:cs="Symbol" w:hint="default"/>
      </w:rPr>
    </w:lvl>
  </w:abstractNum>
  <w:abstractNum w:abstractNumId="4">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abstractNum>
  <w:abstractNum w:abstractNumId="5">
    <w:lvl w:ilvl="0">
      <w:start w:val="1"/>
      <w:numFmt w:val="decimal"/>
      <w:lvlText w:val="Figure %1. "/>
      <w:lvlJc w:val="left"/>
      <w:pPr>
        <w:tabs>
          <w:tab w:val="num" w:pos="862"/>
        </w:tabs>
        <w:ind w:left="0" w:hanging="0"/>
      </w:pPr>
      <w:rPr>
        <w:smallCaps w:val="false"/>
        <w:caps w:val="false"/>
        <w:outline w:val="false"/>
        <w:dstrike w:val="false"/>
        <w:strike w:val="false"/>
        <w:vertAlign w:val="baseline"/>
        <w:position w:val="0"/>
        <w:sz w:val="16"/>
        <w:sz w:val="16"/>
        <w:spacing w:val="0"/>
        <w:i w:val="false"/>
        <w:shadow w:val="false"/>
        <w:u w:val="none"/>
        <w:kern w:val="0"/>
        <w:szCs w:val="16"/>
        <w:iCs w:val="false"/>
        <w:w w:val="100"/>
        <w:vanish w:val="false"/>
        <w:rFonts w:ascii="Times New Roman" w:hAnsi="Times New Roman" w:eastAsia="SimSun;宋体" w:cs="Times New Roman"/>
        <w:color w:val="000000"/>
      </w:rPr>
    </w:lvl>
  </w:abstractNum>
  <w:abstractNum w:abstractNumId="6">
    <w:lvl w:ilvl="0">
      <w:start w:val="1"/>
      <w:numFmt w:val="upperRoman"/>
      <w:lvlText w:val="TABLE %1. "/>
      <w:lvlJc w:val="left"/>
      <w:pPr>
        <w:tabs>
          <w:tab w:val="num" w:pos="1080"/>
        </w:tabs>
        <w:ind w:left="0" w:hanging="0"/>
      </w:pPr>
      <w:rPr>
        <w:smallCaps w:val="false"/>
        <w:caps w:val="false"/>
        <w:outline w:val="false"/>
        <w:dstrike w:val="false"/>
        <w:strike w:val="false"/>
        <w:vertAlign w:val="baseline"/>
        <w:position w:val="0"/>
        <w:sz w:val="16"/>
        <w:sz w:val="16"/>
        <w:spacing w:val="0"/>
        <w:i w:val="false"/>
        <w:shadow w:val="false"/>
        <w:u w:val="none"/>
        <w:b w:val="false"/>
        <w:kern w:val="0"/>
        <w:szCs w:val="16"/>
        <w:iCs w:val="false"/>
        <w:bCs w:val="false"/>
        <w:w w:val="100"/>
        <w:vanish w:val="false"/>
        <w:rFonts w:ascii="Times New Roman" w:hAnsi="Times New Roman" w:eastAsia="SimSun;宋体"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KaitiM GB"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jc w:val="center"/>
    </w:pPr>
    <w:rPr>
      <w:rFonts w:ascii="Times New Roman" w:hAnsi="Times New Roman" w:eastAsia="SimSun;宋体" w:cs="Times New Roman"/>
      <w:color w:val="auto"/>
      <w:sz w:val="20"/>
      <w:szCs w:val="20"/>
      <w:lang w:val="en-US" w:eastAsia="zh-CN" w:bidi="ar-SA"/>
    </w:rPr>
  </w:style>
  <w:style w:type="paragraph" w:styleId="Heading1">
    <w:name w:val="heading 1"/>
    <w:basedOn w:val="Normal"/>
    <w:next w:val="Normal"/>
    <w:qFormat/>
    <w:pPr>
      <w:keepNext w:val="true"/>
      <w:keepLines/>
      <w:numPr>
        <w:ilvl w:val="0"/>
        <w:numId w:val="1"/>
      </w:numPr>
      <w:tabs>
        <w:tab w:val="clear" w:pos="720"/>
        <w:tab w:val="left" w:pos="216" w:leader="none"/>
        <w:tab w:val="left" w:pos="576" w:leader="none"/>
      </w:tabs>
      <w:spacing w:before="160" w:after="80"/>
      <w:ind w:firstLine="216" w:left="0" w:right="0"/>
      <w:outlineLvl w:val="0"/>
    </w:pPr>
    <w:rPr>
      <w:smallCaps/>
      <w:lang w:val="en-US" w:eastAsia="en-US"/>
    </w:rPr>
  </w:style>
  <w:style w:type="paragraph" w:styleId="Heading2">
    <w:name w:val="heading 2"/>
    <w:basedOn w:val="Normal"/>
    <w:next w:val="Normal"/>
    <w:qFormat/>
    <w:pPr>
      <w:keepNext w:val="true"/>
      <w:keepLines/>
      <w:numPr>
        <w:ilvl w:val="1"/>
        <w:numId w:val="1"/>
      </w:numPr>
      <w:spacing w:before="120" w:after="60"/>
      <w:ind w:hanging="288" w:left="288" w:right="0"/>
      <w:jc w:val="left"/>
      <w:outlineLvl w:val="1"/>
    </w:pPr>
    <w:rPr>
      <w:i/>
      <w:iCs/>
      <w:lang w:val="en-US" w:eastAsia="en-US"/>
    </w:rPr>
  </w:style>
  <w:style w:type="paragraph" w:styleId="Heading3">
    <w:name w:val="heading 3"/>
    <w:basedOn w:val="Normal"/>
    <w:next w:val="Normal"/>
    <w:qFormat/>
    <w:pPr>
      <w:numPr>
        <w:ilvl w:val="2"/>
        <w:numId w:val="1"/>
      </w:numPr>
      <w:tabs>
        <w:tab w:val="clear" w:pos="720"/>
        <w:tab w:val="left" w:pos="540" w:leader="none"/>
      </w:tabs>
      <w:spacing w:lineRule="exact" w:line="240"/>
      <w:ind w:firstLine="180" w:left="0" w:right="0"/>
      <w:jc w:val="both"/>
      <w:outlineLvl w:val="2"/>
    </w:pPr>
    <w:rPr>
      <w:i/>
      <w:iCs/>
      <w:lang w:val="en-US" w:eastAsia="en-US"/>
    </w:rPr>
  </w:style>
  <w:style w:type="paragraph" w:styleId="Heading4">
    <w:name w:val="heading 4"/>
    <w:basedOn w:val="Normal"/>
    <w:next w:val="Normal"/>
    <w:qFormat/>
    <w:pPr>
      <w:numPr>
        <w:ilvl w:val="3"/>
        <w:numId w:val="1"/>
      </w:numPr>
      <w:tabs>
        <w:tab w:val="left" w:pos="720" w:leader="none"/>
      </w:tabs>
      <w:spacing w:before="40" w:after="40"/>
      <w:ind w:firstLine="360" w:left="0" w:right="0"/>
      <w:jc w:val="both"/>
      <w:outlineLvl w:val="3"/>
    </w:pPr>
    <w:rPr>
      <w:i/>
      <w:iCs/>
      <w:lang w:val="en-US" w:eastAsia="en-US"/>
    </w:rPr>
  </w:style>
  <w:style w:type="paragraph" w:styleId="Heading5">
    <w:name w:val="heading 5"/>
    <w:basedOn w:val="Normal"/>
    <w:next w:val="Normal"/>
    <w:qFormat/>
    <w:pPr>
      <w:numPr>
        <w:ilvl w:val="0"/>
        <w:numId w:val="0"/>
      </w:numPr>
      <w:tabs>
        <w:tab w:val="clear" w:pos="720"/>
        <w:tab w:val="left" w:pos="360" w:leader="none"/>
      </w:tabs>
      <w:spacing w:before="160" w:after="80"/>
      <w:ind w:hanging="0" w:left="0" w:right="0"/>
      <w:outlineLvl w:val="4"/>
    </w:pPr>
    <w:rPr>
      <w:smallCaps/>
      <w:lang w:val="en-US" w:eastAsia="en-US"/>
    </w:rPr>
  </w:style>
  <w:style w:type="character" w:styleId="WW8Num1z0">
    <w:name w:val="WW8Num1z0"/>
    <w:qFormat/>
    <w:rPr>
      <w:rFonts w:ascii="Times New Roman" w:hAnsi="Times New Roman" w:cs="Times New Roman"/>
      <w:caps w:val="false"/>
      <w:smallCaps w:val="false"/>
      <w:strike w:val="false"/>
      <w:dstrike w:val="false"/>
      <w:outline w:val="false"/>
      <w:shadow w:val="false"/>
      <w:vanish w:val="false"/>
      <w:color w:val="000000"/>
      <w:position w:val="0"/>
      <w:sz w:val="20"/>
      <w:sz w:val="20"/>
      <w:szCs w:val="20"/>
      <w:vertAlign w:val="baseline"/>
    </w:rPr>
  </w:style>
  <w:style w:type="character" w:styleId="WW8Num1z1">
    <w:name w:val="WW8Num1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 w:val="20"/>
      <w:szCs w:val="20"/>
      <w:vertAlign w:val="baseline"/>
    </w:rPr>
  </w:style>
  <w:style w:type="character" w:styleId="WW8Num1z3">
    <w:name w:val="WW8Num1z3"/>
    <w:qFormat/>
    <w:rPr>
      <w:rFonts w:ascii="Times New Roman" w:hAnsi="Times New Roman" w:cs="Times New Roman"/>
      <w:b w:val="false"/>
      <w:bCs w:val="false"/>
      <w:i/>
      <w:iCs/>
      <w:sz w:val="20"/>
      <w:szCs w:val="20"/>
    </w:rPr>
  </w:style>
  <w:style w:type="character" w:styleId="WW8Num1z4">
    <w:name w:val="WW8Num1z4"/>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3z0">
    <w:name w:val="WW8Num3z0"/>
    <w:qFormat/>
    <w:rPr>
      <w:rFonts w:ascii="Symbol" w:hAnsi="Symbol" w:cs="Symbol"/>
    </w:rPr>
  </w:style>
  <w:style w:type="character" w:styleId="WW8Num4z0">
    <w:name w:val="WW8Num4z0"/>
    <w:qFormat/>
    <w:rPr>
      <w:rFonts w:ascii="Times New Roman" w:hAnsi="Times New Roman" w:cs="Times New Roman"/>
      <w:b w:val="false"/>
      <w:bCs w:val="false"/>
      <w:i w:val="false"/>
      <w:iCs w:val="false"/>
      <w:sz w:val="16"/>
      <w:szCs w:val="16"/>
    </w:rPr>
  </w:style>
  <w:style w:type="character" w:styleId="WW8Num5z0">
    <w:name w:val="WW8Num5z0"/>
    <w:qFormat/>
    <w:rPr>
      <w:rFonts w:ascii="Times New Roman" w:hAnsi="Times New Roman" w:eastAsia="SimSun;宋体" w:cs="Times New Roman"/>
      <w:i w:val="false"/>
      <w:iCs w:val="false"/>
      <w:caps w:val="false"/>
      <w:smallCaps w:val="false"/>
      <w:strike w:val="false"/>
      <w:dstrike w:val="false"/>
      <w:outline w:val="false"/>
      <w:shadow w:val="false"/>
      <w:vanish w:val="false"/>
      <w:color w:val="000000"/>
      <w:spacing w:val="0"/>
      <w:w w:val="100"/>
      <w:kern w:val="0"/>
      <w:position w:val="0"/>
      <w:sz w:val="16"/>
      <w:sz w:val="16"/>
      <w:szCs w:val="16"/>
      <w:u w:val="none"/>
      <w:vertAlign w:val="baseline"/>
    </w:rPr>
  </w:style>
  <w:style w:type="character" w:styleId="WW8Num6z0">
    <w:name w:val="WW8Num6z0"/>
    <w:qFormat/>
    <w:rPr>
      <w:rFonts w:ascii="Times New Roman" w:hAnsi="Times New Roman" w:eastAsia="SimSun;宋体" w:cs="Times New Roman"/>
      <w:b w:val="false"/>
      <w:bCs w:val="false"/>
      <w:i w:val="false"/>
      <w:iCs w:val="false"/>
      <w:caps w:val="false"/>
      <w:smallCaps w:val="false"/>
      <w:strike w:val="false"/>
      <w:dstrike w:val="false"/>
      <w:outline w:val="false"/>
      <w:shadow w:val="false"/>
      <w:vanish w:val="false"/>
      <w:color w:val="000000"/>
      <w:spacing w:val="0"/>
      <w:w w:val="100"/>
      <w:kern w:val="0"/>
      <w:position w:val="0"/>
      <w:sz w:val="16"/>
      <w:sz w:val="16"/>
      <w:szCs w:val="16"/>
      <w:u w:val="none"/>
      <w:vertAlign w:val="baseline"/>
    </w:rPr>
  </w:style>
  <w:style w:type="character" w:styleId="WW8Num2z1">
    <w:name w:val="WW8Num2z1"/>
    <w:qFormat/>
    <w:rPr>
      <w:rFonts w:cs="Times New Roman"/>
    </w:rPr>
  </w:style>
  <w:style w:type="character" w:styleId="WW8Num3z1">
    <w:name w:val="WW8Num3z1"/>
    <w:qFormat/>
    <w:rPr>
      <w:rFonts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1">
    <w:name w:val="WW8Num6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 w:val="20"/>
      <w:szCs w:val="20"/>
      <w:vertAlign w:val="baseline"/>
    </w:rPr>
  </w:style>
  <w:style w:type="character" w:styleId="WW8Num6z3">
    <w:name w:val="WW8Num6z3"/>
    <w:qFormat/>
    <w:rPr>
      <w:rFonts w:ascii="Times New Roman" w:hAnsi="Times New Roman" w:cs="Times New Roman"/>
      <w:b w:val="false"/>
      <w:bCs w:val="false"/>
      <w:i/>
      <w:iCs/>
      <w:sz w:val="20"/>
      <w:szCs w:val="20"/>
    </w:rPr>
  </w:style>
  <w:style w:type="character" w:styleId="WW8Num6z4">
    <w:name w:val="WW8Num6z4"/>
    <w:qFormat/>
    <w:rPr>
      <w:rFonts w:cs="Times New Roman"/>
    </w:rPr>
  </w:style>
  <w:style w:type="character" w:styleId="WW8Num7z0">
    <w:name w:val="WW8Num7z0"/>
    <w:qFormat/>
    <w:rPr>
      <w:rFonts w:cs="Times New Roman"/>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WW8Num9z0">
    <w:name w:val="WW8Num9z0"/>
    <w:qFormat/>
    <w:rPr>
      <w:rFonts w:ascii="Times New Roman" w:hAnsi="Times New Roman" w:eastAsia="SimSun;宋体" w:cs="Times New Roman"/>
      <w:i w:val="false"/>
      <w:iCs w:val="false"/>
      <w:caps w:val="false"/>
      <w:smallCaps w:val="false"/>
      <w:strike w:val="false"/>
      <w:dstrike w:val="false"/>
      <w:outline w:val="false"/>
      <w:shadow w:val="false"/>
      <w:vanish w:val="false"/>
      <w:color w:val="000000"/>
      <w:spacing w:val="0"/>
      <w:w w:val="100"/>
      <w:kern w:val="0"/>
      <w:position w:val="0"/>
      <w:sz w:val="16"/>
      <w:sz w:val="16"/>
      <w:szCs w:val="16"/>
      <w:u w:val="none"/>
      <w:vertAlign w:val="baseline"/>
    </w:rPr>
  </w:style>
  <w:style w:type="character" w:styleId="WW8Num9z1">
    <w:name w:val="WW8Num9z1"/>
    <w:qFormat/>
    <w:rPr>
      <w:rFonts w:cs="Times New Roman"/>
    </w:rPr>
  </w:style>
  <w:style w:type="character" w:styleId="WW8Num10z0">
    <w:name w:val="WW8Num10z0"/>
    <w:qFormat/>
    <w:rPr>
      <w:rFonts w:ascii="Times New Roman" w:hAnsi="Times New Roman" w:eastAsia="SimSun;宋体" w:cs="Times New Roman"/>
      <w:b w:val="false"/>
      <w:bCs w:val="false"/>
      <w:i w:val="false"/>
      <w:iCs w:val="false"/>
      <w:caps w:val="false"/>
      <w:smallCaps w:val="false"/>
      <w:strike w:val="false"/>
      <w:dstrike w:val="false"/>
      <w:outline w:val="false"/>
      <w:shadow w:val="false"/>
      <w:vanish w:val="false"/>
      <w:color w:val="000000"/>
      <w:spacing w:val="0"/>
      <w:w w:val="100"/>
      <w:kern w:val="0"/>
      <w:position w:val="0"/>
      <w:sz w:val="16"/>
      <w:sz w:val="16"/>
      <w:szCs w:val="16"/>
      <w:u w:val="none"/>
      <w:vertAlign w:val="baseline"/>
    </w:rPr>
  </w:style>
  <w:style w:type="character" w:styleId="WW8Num11z0">
    <w:name w:val="WW8Num11z0"/>
    <w:qFormat/>
    <w:rPr>
      <w:rFonts w:cs="Times New Roman"/>
    </w:rPr>
  </w:style>
  <w:style w:type="character" w:styleId="Style9">
    <w:name w:val="Основной шрифт абзаца"/>
    <w:qFormat/>
    <w:rPr/>
  </w:style>
  <w:style w:type="character" w:styleId="1">
    <w:name w:val="Заголовок 1 Знак"/>
    <w:qFormat/>
    <w:rPr>
      <w:rFonts w:ascii="Cambria" w:hAnsi="Cambria" w:cs="Cambria"/>
      <w:b/>
      <w:bCs/>
      <w:kern w:val="2"/>
      <w:sz w:val="32"/>
      <w:szCs w:val="32"/>
      <w:lang w:val="en-US"/>
    </w:rPr>
  </w:style>
  <w:style w:type="character" w:styleId="2">
    <w:name w:val="Заголовок 2 Знак"/>
    <w:qFormat/>
    <w:rPr>
      <w:rFonts w:ascii="Cambria" w:hAnsi="Cambria" w:cs="Cambria"/>
      <w:b/>
      <w:bCs/>
      <w:i/>
      <w:iCs/>
      <w:sz w:val="28"/>
      <w:szCs w:val="28"/>
      <w:lang w:val="en-US"/>
    </w:rPr>
  </w:style>
  <w:style w:type="character" w:styleId="3">
    <w:name w:val="Заголовок 3 Знак"/>
    <w:qFormat/>
    <w:rPr>
      <w:rFonts w:ascii="Cambria" w:hAnsi="Cambria" w:cs="Cambria"/>
      <w:b/>
      <w:bCs/>
      <w:sz w:val="26"/>
      <w:szCs w:val="26"/>
      <w:lang w:val="en-US"/>
    </w:rPr>
  </w:style>
  <w:style w:type="character" w:styleId="4">
    <w:name w:val="Заголовок 4 Знак"/>
    <w:qFormat/>
    <w:rPr>
      <w:rFonts w:ascii="Calibri" w:hAnsi="Calibri" w:cs="Calibri"/>
      <w:b/>
      <w:bCs/>
      <w:sz w:val="28"/>
      <w:szCs w:val="28"/>
      <w:lang w:val="en-US"/>
    </w:rPr>
  </w:style>
  <w:style w:type="character" w:styleId="5">
    <w:name w:val="Заголовок 5 Знак"/>
    <w:qFormat/>
    <w:rPr>
      <w:rFonts w:ascii="Calibri" w:hAnsi="Calibri" w:cs="Calibri"/>
      <w:b/>
      <w:bCs/>
      <w:i/>
      <w:iCs/>
      <w:sz w:val="26"/>
      <w:szCs w:val="26"/>
      <w:lang w:val="en-US"/>
    </w:rPr>
  </w:style>
  <w:style w:type="character" w:styleId="Style10">
    <w:name w:val="Основной текст Знак"/>
    <w:qFormat/>
    <w:rPr>
      <w:rFonts w:cs="Times New Roman"/>
      <w:sz w:val="20"/>
      <w:szCs w:val="20"/>
      <w:lang w:val="en-US"/>
    </w:rPr>
  </w:style>
  <w:style w:type="character" w:styleId="AbstractChar">
    <w:name w:val="Abstract Char"/>
    <w:qFormat/>
    <w:rPr>
      <w:b/>
      <w:bCs/>
      <w:sz w:val="18"/>
      <w:szCs w:val="18"/>
      <w:lang w:val="en-US" w:bidi="ar-SA"/>
    </w:rPr>
  </w:style>
  <w:style w:type="character" w:styleId="StyleAbstractItalicChar">
    <w:name w:val="Style Abstract + Italic Char"/>
    <w:qFormat/>
    <w:rPr>
      <w:rFonts w:eastAsia="MS Mincho;ＭＳ 明朝"/>
      <w:b/>
      <w:bCs/>
      <w:i/>
      <w:iCs/>
      <w:sz w:val="18"/>
      <w:szCs w:val="18"/>
      <w:lang w:val="en-US" w:bidi="ar-SA"/>
    </w:rPr>
  </w:style>
  <w:style w:type="character" w:styleId="Style11">
    <w:name w:val="Текст выноски Знак"/>
    <w:qFormat/>
    <w:rPr>
      <w:rFonts w:ascii="Tahoma" w:hAnsi="Tahoma" w:cs="Tahoma"/>
      <w:sz w:val="16"/>
      <w:szCs w:val="16"/>
      <w:lang w:val="en-US"/>
    </w:rPr>
  </w:style>
  <w:style w:type="character" w:styleId="Style12">
    <w:name w:val="Верхний колонтитул Знак"/>
    <w:qFormat/>
    <w:rPr>
      <w:rFonts w:cs="Times New Roman"/>
      <w:lang w:val="en-US"/>
    </w:rPr>
  </w:style>
  <w:style w:type="character" w:styleId="Style13">
    <w:name w:val="Нижний колонтитул Знак"/>
    <w:qFormat/>
    <w:rPr>
      <w:rFonts w:cs="Times New Roman"/>
      <w:lang w:val="en-US"/>
    </w:rPr>
  </w:style>
  <w:style w:type="character" w:styleId="Style14">
    <w:name w:val="Текст сноски Знак"/>
    <w:qFormat/>
    <w:rPr>
      <w:rFonts w:cs="Times New Roman"/>
      <w:sz w:val="20"/>
      <w:szCs w:val="20"/>
      <w:lang w:val="en-US"/>
    </w:rPr>
  </w:style>
  <w:style w:type="character" w:styleId="FootnoteCharacters">
    <w:name w:val="Footnote Characters"/>
    <w:qFormat/>
    <w:rPr>
      <w:rFonts w:cs="Times New Roman"/>
      <w:vertAlign w:val="superscript"/>
    </w:rPr>
  </w:style>
  <w:style w:type="character" w:styleId="footnote">
    <w:name w:val="footnote Знак"/>
    <w:qFormat/>
    <w:rPr>
      <w:sz w:val="16"/>
      <w:szCs w:val="16"/>
      <w:lang w:val="en-US" w:bidi="ar-SA"/>
    </w:rPr>
  </w:style>
  <w:style w:type="character" w:styleId="FootnoteReference">
    <w:name w:val="footnote reference"/>
    <w:qFormat/>
    <w:rPr>
      <w:vertAlign w:val="superscript"/>
    </w:rPr>
  </w:style>
  <w:style w:type="character" w:styleId="EndnoteCharacters">
    <w:name w:val="Endnote Characters"/>
    <w:qFormat/>
    <w:rPr>
      <w:vertAlign w:val="superscript"/>
    </w:rPr>
  </w:style>
  <w:style w:type="character" w:styleId="WW-EndnoteCharacters">
    <w:name w:val="WW-Endnote Characters"/>
    <w:qFormat/>
    <w:rPr/>
  </w:style>
  <w:style w:type="character" w:styleId="Hyperlink">
    <w:name w:val="Hyperlink"/>
    <w:rPr>
      <w:color w:val="000080"/>
      <w:u w:val="single"/>
    </w:rPr>
  </w:style>
  <w:style w:type="character" w:styleId="Bullets">
    <w:name w:val="Bullets"/>
    <w:qFormat/>
    <w:rPr>
      <w:rFonts w:ascii="OpenSymbol;Arial Unicode MS" w:hAnsi="OpenSymbol;Arial Unicode MS" w:eastAsia="OpenSymbol;Arial Unicode MS" w:cs="OpenSymbol;Arial Unicode M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Arial" w:hAnsi="Liberation Sans;Arial" w:eastAsia="Noto Sans" w:cs="FreeSans"/>
      <w:sz w:val="28"/>
      <w:szCs w:val="28"/>
    </w:rPr>
  </w:style>
  <w:style w:type="paragraph" w:styleId="BodyText">
    <w:name w:val="Body Text"/>
    <w:basedOn w:val="Normal"/>
    <w:pPr>
      <w:ind w:firstLine="289" w:left="0" w:right="0"/>
      <w:jc w:val="both"/>
    </w:pPr>
    <w:rPr>
      <w:spacing w:val="-1"/>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aption1">
    <w:name w:val="caption1"/>
    <w:basedOn w:val="Normal"/>
    <w:qFormat/>
    <w:pPr>
      <w:suppressLineNumbers/>
      <w:spacing w:before="120" w:after="120"/>
    </w:pPr>
    <w:rPr>
      <w:rFonts w:cs="FreeSans"/>
      <w:i/>
      <w:iCs/>
      <w:sz w:val="24"/>
      <w:szCs w:val="24"/>
    </w:rPr>
  </w:style>
  <w:style w:type="paragraph" w:styleId="caption11">
    <w:name w:val="caption11"/>
    <w:basedOn w:val="Normal"/>
    <w:qFormat/>
    <w:pPr>
      <w:suppressLineNumbers/>
      <w:spacing w:before="120" w:after="120"/>
    </w:pPr>
    <w:rPr>
      <w:rFonts w:cs="FreeSans"/>
      <w:i/>
      <w:iCs/>
      <w:sz w:val="24"/>
      <w:szCs w:val="24"/>
    </w:rPr>
  </w:style>
  <w:style w:type="paragraph" w:styleId="Abstract">
    <w:name w:val="Abstract"/>
    <w:qFormat/>
    <w:pPr>
      <w:widowControl/>
      <w:suppressAutoHyphens w:val="true"/>
      <w:kinsoku w:val="true"/>
      <w:overflowPunct w:val="true"/>
      <w:autoSpaceDE w:val="true"/>
      <w:bidi w:val="0"/>
      <w:ind w:firstLine="289" w:left="0" w:right="0"/>
      <w:jc w:val="both"/>
    </w:pPr>
    <w:rPr>
      <w:rFonts w:ascii="Times New Roman" w:hAnsi="Times New Roman" w:eastAsia="SimSun;宋体" w:cs="Times New Roman"/>
      <w:b/>
      <w:bCs/>
      <w:color w:val="auto"/>
      <w:sz w:val="18"/>
      <w:szCs w:val="18"/>
      <w:lang w:val="en-US" w:eastAsia="zh-CN" w:bidi="ar-SA"/>
    </w:rPr>
  </w:style>
  <w:style w:type="paragraph" w:styleId="Affiliation">
    <w:name w:val="Affiliation"/>
    <w:qFormat/>
    <w:pPr>
      <w:widowControl/>
      <w:suppressAutoHyphens w:val="true"/>
      <w:kinsoku w:val="true"/>
      <w:overflowPunct w:val="true"/>
      <w:autoSpaceDE w:val="true"/>
      <w:bidi w:val="0"/>
      <w:jc w:val="center"/>
    </w:pPr>
    <w:rPr>
      <w:rFonts w:ascii="Times New Roman" w:hAnsi="Times New Roman" w:eastAsia="SimSun;宋体" w:cs="Times New Roman"/>
      <w:color w:val="auto"/>
      <w:sz w:val="20"/>
      <w:szCs w:val="20"/>
      <w:lang w:val="en-US" w:eastAsia="zh-CN" w:bidi="ar-SA"/>
    </w:rPr>
  </w:style>
  <w:style w:type="paragraph" w:styleId="Author">
    <w:name w:val="Author"/>
    <w:qFormat/>
    <w:pPr>
      <w:widowControl/>
      <w:suppressAutoHyphens w:val="true"/>
      <w:kinsoku w:val="true"/>
      <w:overflowPunct w:val="true"/>
      <w:autoSpaceDE w:val="true"/>
      <w:bidi w:val="0"/>
      <w:jc w:val="center"/>
    </w:pPr>
    <w:rPr>
      <w:rFonts w:ascii="Times New Roman" w:hAnsi="Times New Roman" w:eastAsia="SimSun;宋体" w:cs="Times New Roman"/>
      <w:color w:val="auto"/>
      <w:sz w:val="22"/>
      <w:szCs w:val="22"/>
      <w:lang w:val="en-US" w:eastAsia="en-US" w:bidi="ar-SA"/>
    </w:rPr>
  </w:style>
  <w:style w:type="paragraph" w:styleId="bulletlist">
    <w:name w:val="bullet list"/>
    <w:basedOn w:val="BodyText"/>
    <w:qFormat/>
    <w:pPr>
      <w:numPr>
        <w:ilvl w:val="0"/>
        <w:numId w:val="3"/>
      </w:numPr>
      <w:ind w:hanging="357" w:left="646" w:right="0"/>
    </w:pPr>
    <w:rPr/>
  </w:style>
  <w:style w:type="paragraph" w:styleId="equation">
    <w:name w:val="equation"/>
    <w:basedOn w:val="Normal"/>
    <w:qFormat/>
    <w:pPr>
      <w:widowControl w:val="false"/>
      <w:tabs>
        <w:tab w:val="clear" w:pos="720"/>
        <w:tab w:val="center" w:pos="2520" w:leader="none"/>
        <w:tab w:val="right" w:pos="4961" w:leader="none"/>
        <w:tab w:val="right" w:pos="5040" w:leader="none"/>
      </w:tabs>
      <w:spacing w:before="240" w:after="240"/>
      <w:ind w:firstLine="567" w:left="567" w:right="0"/>
      <w:jc w:val="right"/>
    </w:pPr>
    <w:rPr>
      <w:rFonts w:ascii="Symbol" w:hAnsi="Symbol" w:cs="Symbol"/>
    </w:rPr>
  </w:style>
  <w:style w:type="paragraph" w:styleId="figurecaption">
    <w:name w:val="figure caption"/>
    <w:qFormat/>
    <w:pPr>
      <w:widowControl/>
      <w:numPr>
        <w:ilvl w:val="0"/>
        <w:numId w:val="5"/>
      </w:numPr>
      <w:suppressAutoHyphens w:val="true"/>
      <w:kinsoku w:val="true"/>
      <w:overflowPunct w:val="true"/>
      <w:autoSpaceDE w:val="true"/>
      <w:bidi w:val="0"/>
      <w:spacing w:before="80" w:after="200"/>
      <w:jc w:val="center"/>
    </w:pPr>
    <w:rPr>
      <w:rFonts w:ascii="Times New Roman" w:hAnsi="Times New Roman" w:eastAsia="SimSun;宋体" w:cs="Times New Roman"/>
      <w:color w:val="auto"/>
      <w:sz w:val="16"/>
      <w:szCs w:val="16"/>
      <w:lang w:val="en-US" w:eastAsia="en-US" w:bidi="ar-SA"/>
    </w:rPr>
  </w:style>
  <w:style w:type="paragraph" w:styleId="footnote1">
    <w:name w:val="footnote"/>
    <w:qFormat/>
    <w:pPr>
      <w:widowControl/>
      <w:numPr>
        <w:ilvl w:val="0"/>
        <w:numId w:val="2"/>
      </w:numPr>
      <w:suppressAutoHyphens w:val="true"/>
      <w:kinsoku w:val="true"/>
      <w:overflowPunct w:val="true"/>
      <w:autoSpaceDE w:val="true"/>
      <w:bidi w:val="0"/>
      <w:spacing w:before="0" w:after="40"/>
    </w:pPr>
    <w:rPr>
      <w:rFonts w:ascii="Times New Roman" w:hAnsi="Times New Roman" w:eastAsia="SimSun;宋体" w:cs="Times New Roman"/>
      <w:color w:val="auto"/>
      <w:sz w:val="16"/>
      <w:szCs w:val="16"/>
      <w:lang w:val="en-US" w:eastAsia="zh-CN" w:bidi="ar-SA"/>
    </w:rPr>
  </w:style>
  <w:style w:type="paragraph" w:styleId="keywords">
    <w:name w:val="key words"/>
    <w:qFormat/>
    <w:pPr>
      <w:widowControl/>
      <w:suppressAutoHyphens w:val="true"/>
      <w:kinsoku w:val="true"/>
      <w:overflowPunct w:val="true"/>
      <w:autoSpaceDE w:val="true"/>
      <w:bidi w:val="0"/>
      <w:spacing w:before="0" w:after="120"/>
      <w:ind w:firstLine="289" w:left="0" w:right="0"/>
      <w:jc w:val="both"/>
    </w:pPr>
    <w:rPr>
      <w:rFonts w:ascii="Times New Roman" w:hAnsi="Times New Roman" w:eastAsia="SimSun;宋体" w:cs="Times New Roman"/>
      <w:b/>
      <w:bCs/>
      <w:i/>
      <w:iCs/>
      <w:color w:val="auto"/>
      <w:sz w:val="18"/>
      <w:szCs w:val="18"/>
      <w:lang w:val="en-US" w:eastAsia="en-US" w:bidi="ar-SA"/>
    </w:rPr>
  </w:style>
  <w:style w:type="paragraph" w:styleId="papersubtitle">
    <w:name w:val="paper subtitle"/>
    <w:qFormat/>
    <w:pPr>
      <w:widowControl/>
      <w:suppressAutoHyphens w:val="true"/>
      <w:kinsoku w:val="true"/>
      <w:overflowPunct w:val="true"/>
      <w:autoSpaceDE w:val="true"/>
      <w:bidi w:val="0"/>
      <w:spacing w:before="0" w:after="120"/>
      <w:jc w:val="center"/>
    </w:pPr>
    <w:rPr>
      <w:rFonts w:ascii="Times New Roman" w:hAnsi="Times New Roman" w:eastAsia="MS Mincho;ＭＳ 明朝" w:cs="Times New Roman"/>
      <w:color w:val="auto"/>
      <w:sz w:val="28"/>
      <w:szCs w:val="28"/>
      <w:lang w:val="en-US" w:eastAsia="en-US" w:bidi="ar-SA"/>
    </w:rPr>
  </w:style>
  <w:style w:type="paragraph" w:styleId="papertitle">
    <w:name w:val="paper title"/>
    <w:qFormat/>
    <w:pPr>
      <w:widowControl/>
      <w:suppressAutoHyphens w:val="true"/>
      <w:kinsoku w:val="true"/>
      <w:overflowPunct w:val="true"/>
      <w:autoSpaceDE w:val="true"/>
      <w:bidi w:val="0"/>
      <w:spacing w:before="360" w:after="240"/>
      <w:jc w:val="center"/>
    </w:pPr>
    <w:rPr>
      <w:rFonts w:ascii="Times New Roman" w:hAnsi="Times New Roman" w:eastAsia="MS Mincho;ＭＳ 明朝" w:cs="Times New Roman"/>
      <w:color w:val="auto"/>
      <w:sz w:val="48"/>
      <w:szCs w:val="48"/>
      <w:lang w:val="en-US" w:eastAsia="en-US" w:bidi="ar-SA"/>
    </w:rPr>
  </w:style>
  <w:style w:type="paragraph" w:styleId="references">
    <w:name w:val="references"/>
    <w:qFormat/>
    <w:pPr>
      <w:widowControl/>
      <w:numPr>
        <w:ilvl w:val="0"/>
        <w:numId w:val="4"/>
      </w:numPr>
      <w:suppressAutoHyphens w:val="true"/>
      <w:kinsoku w:val="true"/>
      <w:overflowPunct w:val="true"/>
      <w:autoSpaceDE w:val="true"/>
      <w:bidi w:val="0"/>
      <w:ind w:hanging="357" w:left="357" w:right="0"/>
      <w:jc w:val="both"/>
    </w:pPr>
    <w:rPr>
      <w:rFonts w:ascii="Times New Roman" w:hAnsi="Times New Roman" w:eastAsia="MS Mincho;ＭＳ 明朝" w:cs="Times New Roman"/>
      <w:color w:val="auto"/>
      <w:sz w:val="16"/>
      <w:szCs w:val="16"/>
      <w:lang w:val="en-US" w:eastAsia="en-US" w:bidi="ar-SA"/>
    </w:rPr>
  </w:style>
  <w:style w:type="paragraph" w:styleId="sponsors">
    <w:name w:val="sponsors"/>
    <w:qFormat/>
    <w:pPr>
      <w:widowControl/>
      <w:suppressAutoHyphens w:val="true"/>
      <w:kinsoku w:val="true"/>
      <w:overflowPunct w:val="true"/>
      <w:autoSpaceDE w:val="true"/>
      <w:bidi w:val="0"/>
      <w:ind w:firstLine="288" w:left="0" w:right="0"/>
    </w:pPr>
    <w:rPr>
      <w:rFonts w:ascii="Times New Roman" w:hAnsi="Times New Roman" w:eastAsia="SimSun;宋体" w:cs="Times New Roman"/>
      <w:color w:val="auto"/>
      <w:sz w:val="16"/>
      <w:szCs w:val="16"/>
      <w:lang w:val="en-US" w:eastAsia="zh-CN" w:bidi="ar-SA"/>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suppressAutoHyphens w:val="true"/>
      <w:kinsoku w:val="true"/>
      <w:overflowPunct w:val="true"/>
      <w:autoSpaceDE w:val="true"/>
      <w:bidi w:val="0"/>
      <w:jc w:val="both"/>
    </w:pPr>
    <w:rPr>
      <w:rFonts w:ascii="Times New Roman" w:hAnsi="Times New Roman" w:eastAsia="SimSun;宋体" w:cs="Times New Roman"/>
      <w:color w:val="auto"/>
      <w:sz w:val="16"/>
      <w:szCs w:val="16"/>
      <w:lang w:val="en-US" w:eastAsia="en-US" w:bidi="ar-SA"/>
    </w:rPr>
  </w:style>
  <w:style w:type="paragraph" w:styleId="tablefootnote">
    <w:name w:val="table footnote"/>
    <w:qFormat/>
    <w:pPr>
      <w:widowControl/>
      <w:suppressAutoHyphens w:val="true"/>
      <w:kinsoku w:val="true"/>
      <w:overflowPunct w:val="true"/>
      <w:autoSpaceDE w:val="true"/>
      <w:bidi w:val="0"/>
      <w:spacing w:before="60" w:after="120"/>
      <w:jc w:val="right"/>
    </w:pPr>
    <w:rPr>
      <w:rFonts w:ascii="Times New Roman" w:hAnsi="Times New Roman" w:eastAsia="SimSun;宋体" w:cs="Times New Roman"/>
      <w:color w:val="auto"/>
      <w:sz w:val="12"/>
      <w:szCs w:val="12"/>
      <w:lang w:val="en-US" w:eastAsia="zh-CN" w:bidi="ar-SA"/>
    </w:rPr>
  </w:style>
  <w:style w:type="paragraph" w:styleId="tablehead">
    <w:name w:val="table head"/>
    <w:qFormat/>
    <w:pPr>
      <w:widowControl/>
      <w:numPr>
        <w:ilvl w:val="0"/>
        <w:numId w:val="6"/>
      </w:numPr>
      <w:suppressAutoHyphens w:val="true"/>
      <w:kinsoku w:val="true"/>
      <w:overflowPunct w:val="true"/>
      <w:autoSpaceDE w:val="true"/>
      <w:bidi w:val="0"/>
      <w:spacing w:lineRule="auto" w:line="216" w:before="240" w:after="120"/>
      <w:jc w:val="center"/>
    </w:pPr>
    <w:rPr>
      <w:rFonts w:ascii="Times New Roman" w:hAnsi="Times New Roman" w:eastAsia="SimSun;宋体" w:cs="Times New Roman"/>
      <w:smallCaps/>
      <w:color w:val="auto"/>
      <w:sz w:val="16"/>
      <w:szCs w:val="16"/>
      <w:lang w:val="en-US" w:eastAsia="en-US" w:bidi="ar-SA"/>
    </w:rPr>
  </w:style>
  <w:style w:type="paragraph" w:styleId="StyleAbstractItalic">
    <w:name w:val="Style Abstract + Italic"/>
    <w:basedOn w:val="Abstract"/>
    <w:qFormat/>
    <w:pPr/>
    <w:rPr>
      <w:rFonts w:eastAsia="MS Mincho;ＭＳ 明朝"/>
      <w:i/>
      <w:iCs/>
    </w:rPr>
  </w:style>
  <w:style w:type="paragraph" w:styleId="Style15">
    <w:name w:val="Текст выноски"/>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819" w:leader="none"/>
        <w:tab w:val="right" w:pos="9639" w:leader="none"/>
      </w:tabs>
    </w:pPr>
    <w:rPr/>
  </w:style>
  <w:style w:type="paragraph" w:styleId="Footer">
    <w:name w:val="footer"/>
    <w:basedOn w:val="Normal"/>
    <w:pPr>
      <w:tabs>
        <w:tab w:val="clear" w:pos="720"/>
        <w:tab w:val="center" w:pos="4819" w:leader="none"/>
        <w:tab w:val="right" w:pos="9639" w:leader="none"/>
      </w:tabs>
    </w:pPr>
    <w:rPr/>
  </w:style>
  <w:style w:type="paragraph" w:styleId="FirstHeader">
    <w:name w:val="First Header"/>
    <w:qFormat/>
    <w:pPr>
      <w:keepNext w:val="true"/>
      <w:keepLines/>
      <w:widowControl/>
      <w:suppressAutoHyphens w:val="true"/>
      <w:kinsoku w:val="true"/>
      <w:overflowPunct w:val="true"/>
      <w:autoSpaceDE w:val="true"/>
      <w:bidi w:val="0"/>
      <w:jc w:val="both"/>
    </w:pPr>
    <w:rPr>
      <w:rFonts w:ascii="Times New Roman" w:hAnsi="Times New Roman" w:eastAsia="SimSun;宋体" w:cs="Times New Roman"/>
      <w:color w:val="auto"/>
      <w:sz w:val="14"/>
      <w:szCs w:val="14"/>
      <w:lang w:val="en-US" w:eastAsia="zh-CN" w:bidi="ar-SA"/>
    </w:rPr>
  </w:style>
  <w:style w:type="paragraph" w:styleId="IEEEEquation">
    <w:name w:val="IEEE Equation"/>
    <w:basedOn w:val="Normal"/>
    <w:qFormat/>
    <w:pPr>
      <w:widowControl w:val="false"/>
      <w:tabs>
        <w:tab w:val="clear" w:pos="720"/>
        <w:tab w:val="right" w:pos="4961" w:leader="none"/>
      </w:tabs>
      <w:spacing w:before="240" w:after="240"/>
      <w:ind w:firstLine="567" w:left="0" w:right="0"/>
      <w:jc w:val="right"/>
    </w:pPr>
    <w:rPr/>
  </w:style>
  <w:style w:type="paragraph" w:styleId="FootnoteText">
    <w:name w:val="footnote text"/>
    <w:basedOn w:val="Normal"/>
    <w:pPr/>
    <w:rPr/>
  </w:style>
  <w:style w:type="paragraph" w:styleId="IEEEFootnote">
    <w:name w:val="IEEE Footnote"/>
    <w:basedOn w:val="FootnoteText"/>
    <w:qFormat/>
    <w:pPr>
      <w:jc w:val="left"/>
    </w:pPr>
    <w:rPr>
      <w:rFonts w:eastAsia="Times New Roman"/>
      <w:sz w:val="16"/>
      <w:szCs w:val="16"/>
      <w:lang w:val="ru-RU"/>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ibliography1">
    <w:name w:val="Bibliography 1"/>
    <w:basedOn w:val="Index"/>
    <w:qFormat/>
    <w:pPr>
      <w:tabs>
        <w:tab w:val="clear" w:pos="720"/>
        <w:tab w:val="right" w:pos="9638" w:leader="dot"/>
      </w:tabs>
      <w:ind w:hanging="0" w:left="0" w:right="0"/>
    </w:pPr>
    <w:rPr/>
  </w:style>
  <w:style w:type="paragraph" w:styleId="Comment">
    <w:name w:val="Comment"/>
    <w:basedOn w:val="Normal"/>
    <w:qFormat/>
    <w:pPr>
      <w:spacing w:lineRule="auto" w:line="240" w:before="56" w:after="0"/>
      <w:ind w:hanging="0" w:left="57" w:right="57"/>
    </w:pPr>
    <w:rPr>
      <w:color w:val="auto"/>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2319</TotalTime>
  <Application>LibreOffice/25.2.3.2$Linux_X86_64 LibreOffice_project/520$Build-2</Application>
  <AppVersion>15.0000</AppVersion>
  <Pages>16</Pages>
  <Words>11317</Words>
  <Characters>70141</Characters>
  <CharactersWithSpaces>80995</CharactersWithSpaces>
  <Paragraphs>261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2023-11-03T12:14:00Z</dcterms:created>
  <dc:creator>IEEE</dc:creator>
  <dc:description/>
  <dc:language>en-US</dc:language>
  <cp:lastModifiedBy/>
  <cp:lastPrinted>2026-05-02T20:32:24Z</cp:lastPrinted>
  <dcterms:modified xsi:type="dcterms:W3CDTF">2026-05-02T19:24:56Z</dcterms:modified>
  <cp:revision>433</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id="i82xWlzR"/&gt;&lt;style id="http://www.zotero.org/styles/ieee" locale="en-US" hasBibliography="1" bibliographyStyleHasBeenSet="1"/&gt;&lt;prefs&gt;&lt;pref name="fieldType" value="ReferenceMark"/&gt;&lt;/prefs&gt;&lt;/data&gt;</vt:lpwstr>
  </property>
</Properties>
</file>