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8682D" w14:textId="77777777" w:rsidR="009F46D9" w:rsidRPr="0037747A" w:rsidRDefault="009F46D9" w:rsidP="009F46D9">
      <w:pPr>
        <w:rPr>
          <w:rFonts w:asciiTheme="minorBidi" w:hAnsiTheme="minorBidi"/>
          <w:sz w:val="24"/>
          <w:szCs w:val="24"/>
        </w:rPr>
      </w:pPr>
      <w:r w:rsidRPr="0037747A">
        <w:rPr>
          <w:rFonts w:asciiTheme="minorBidi" w:hAnsiTheme="minorBidi"/>
          <w:sz w:val="24"/>
          <w:szCs w:val="24"/>
        </w:rPr>
        <w:t>Hi Chris,</w:t>
      </w:r>
    </w:p>
    <w:p w14:paraId="65116475" w14:textId="7BAED647" w:rsidR="009F46D9" w:rsidRPr="0037747A" w:rsidRDefault="00C01EBE" w:rsidP="009F46D9">
      <w:pPr>
        <w:rPr>
          <w:rFonts w:asciiTheme="minorBidi" w:hAnsiTheme="minorBidi"/>
          <w:sz w:val="24"/>
          <w:szCs w:val="24"/>
        </w:rPr>
      </w:pPr>
      <w:r w:rsidRPr="0037747A">
        <w:rPr>
          <w:rFonts w:asciiTheme="minorBidi" w:hAnsiTheme="minorBidi"/>
          <w:sz w:val="24"/>
          <w:szCs w:val="24"/>
        </w:rPr>
        <w:t>I enjoyed reading your</w:t>
      </w:r>
      <w:r w:rsidR="009F46D9" w:rsidRPr="0037747A">
        <w:rPr>
          <w:rFonts w:asciiTheme="minorBidi" w:hAnsiTheme="minorBidi"/>
          <w:sz w:val="24"/>
          <w:szCs w:val="24"/>
        </w:rPr>
        <w:t xml:space="preserve"> write up on the “Malware Disruption’</w:t>
      </w:r>
      <w:r w:rsidRPr="0037747A">
        <w:rPr>
          <w:rFonts w:asciiTheme="minorBidi" w:hAnsiTheme="minorBidi"/>
          <w:sz w:val="24"/>
          <w:szCs w:val="24"/>
        </w:rPr>
        <w:t>’</w:t>
      </w:r>
      <w:r w:rsidR="009F46D9" w:rsidRPr="0037747A">
        <w:rPr>
          <w:rFonts w:asciiTheme="minorBidi" w:hAnsiTheme="minorBidi"/>
          <w:sz w:val="24"/>
          <w:szCs w:val="24"/>
        </w:rPr>
        <w:t xml:space="preserve"> from the Association for Computing Machinery (ACM) case</w:t>
      </w:r>
      <w:r w:rsidRPr="0037747A">
        <w:rPr>
          <w:rFonts w:asciiTheme="minorBidi" w:hAnsiTheme="minorBidi"/>
          <w:sz w:val="24"/>
          <w:szCs w:val="24"/>
        </w:rPr>
        <w:t xml:space="preserve"> study and it </w:t>
      </w:r>
      <w:r w:rsidR="002F44FC" w:rsidRPr="0037747A">
        <w:rPr>
          <w:rFonts w:asciiTheme="minorBidi" w:hAnsiTheme="minorBidi"/>
          <w:sz w:val="24"/>
          <w:szCs w:val="24"/>
        </w:rPr>
        <w:t>is</w:t>
      </w:r>
      <w:r w:rsidRPr="0037747A">
        <w:rPr>
          <w:rFonts w:asciiTheme="minorBidi" w:hAnsiTheme="minorBidi"/>
          <w:sz w:val="24"/>
          <w:szCs w:val="24"/>
        </w:rPr>
        <w:t xml:space="preserve"> another </w:t>
      </w:r>
      <w:r w:rsidR="002F44FC" w:rsidRPr="0037747A">
        <w:rPr>
          <w:rFonts w:asciiTheme="minorBidi" w:hAnsiTheme="minorBidi"/>
          <w:sz w:val="24"/>
          <w:szCs w:val="24"/>
        </w:rPr>
        <w:t>revelation</w:t>
      </w:r>
      <w:r w:rsidR="009F46D9" w:rsidRPr="0037747A">
        <w:rPr>
          <w:rFonts w:asciiTheme="minorBidi" w:hAnsiTheme="minorBidi"/>
          <w:sz w:val="24"/>
          <w:szCs w:val="24"/>
        </w:rPr>
        <w:t xml:space="preserve"> </w:t>
      </w:r>
      <w:r w:rsidRPr="0037747A">
        <w:rPr>
          <w:rFonts w:asciiTheme="minorBidi" w:hAnsiTheme="minorBidi"/>
          <w:sz w:val="24"/>
          <w:szCs w:val="24"/>
        </w:rPr>
        <w:t xml:space="preserve">on the </w:t>
      </w:r>
      <w:r w:rsidR="009F46D9" w:rsidRPr="0037747A">
        <w:rPr>
          <w:rFonts w:asciiTheme="minorBidi" w:hAnsiTheme="minorBidi"/>
          <w:sz w:val="24"/>
          <w:szCs w:val="24"/>
        </w:rPr>
        <w:t xml:space="preserve">implication of not complying with ACM Code of Ethics and Professional Conducts. </w:t>
      </w:r>
      <w:r w:rsidRPr="0037747A">
        <w:rPr>
          <w:rFonts w:asciiTheme="minorBidi" w:hAnsiTheme="minorBidi"/>
          <w:sz w:val="24"/>
          <w:szCs w:val="24"/>
        </w:rPr>
        <w:t>It is important to re-emphasize that computing</w:t>
      </w:r>
      <w:r w:rsidR="009F46D9" w:rsidRPr="0037747A">
        <w:rPr>
          <w:rFonts w:asciiTheme="minorBidi" w:hAnsiTheme="minorBidi"/>
          <w:sz w:val="24"/>
          <w:szCs w:val="24"/>
        </w:rPr>
        <w:t xml:space="preserve"> professional’s work should consistently support the public goods which suppose to be the primary consideration in the best computing practices (ACM Code of Ethics and Professional Conduct,2018).</w:t>
      </w:r>
    </w:p>
    <w:p w14:paraId="176F4CE4" w14:textId="0CD07E55" w:rsidR="0037747A" w:rsidRPr="0037747A" w:rsidRDefault="009F46D9" w:rsidP="009F46D9">
      <w:pPr>
        <w:rPr>
          <w:rFonts w:asciiTheme="minorBidi" w:hAnsiTheme="minorBidi"/>
          <w:sz w:val="24"/>
          <w:szCs w:val="24"/>
        </w:rPr>
      </w:pPr>
      <w:r w:rsidRPr="0037747A">
        <w:rPr>
          <w:rFonts w:asciiTheme="minorBidi" w:hAnsiTheme="minorBidi"/>
          <w:sz w:val="24"/>
          <w:szCs w:val="24"/>
        </w:rPr>
        <w:t xml:space="preserve">Your point on Rogue non-compliance with the key ACM ethical standards </w:t>
      </w:r>
      <w:r w:rsidR="007014AA" w:rsidRPr="0037747A">
        <w:rPr>
          <w:rFonts w:asciiTheme="minorBidi" w:hAnsiTheme="minorBidi"/>
          <w:sz w:val="24"/>
          <w:szCs w:val="24"/>
        </w:rPr>
        <w:t xml:space="preserve">despite </w:t>
      </w:r>
      <w:r w:rsidRPr="0037747A">
        <w:rPr>
          <w:rFonts w:asciiTheme="minorBidi" w:hAnsiTheme="minorBidi"/>
          <w:sz w:val="24"/>
          <w:szCs w:val="24"/>
        </w:rPr>
        <w:t xml:space="preserve">been aware of high probability of their platform used in distribution of ransomware is an </w:t>
      </w:r>
      <w:r w:rsidR="002F44FC" w:rsidRPr="0037747A">
        <w:rPr>
          <w:rFonts w:asciiTheme="minorBidi" w:hAnsiTheme="minorBidi"/>
          <w:sz w:val="24"/>
          <w:szCs w:val="24"/>
        </w:rPr>
        <w:t>important ACM principles infraction to review.</w:t>
      </w:r>
      <w:r w:rsidRPr="0037747A">
        <w:rPr>
          <w:rFonts w:asciiTheme="minorBidi" w:hAnsiTheme="minorBidi"/>
          <w:sz w:val="24"/>
          <w:szCs w:val="24"/>
        </w:rPr>
        <w:t xml:space="preserve"> A further digest of this </w:t>
      </w:r>
      <w:r w:rsidR="002F44FC" w:rsidRPr="0037747A">
        <w:rPr>
          <w:rFonts w:asciiTheme="minorBidi" w:hAnsiTheme="minorBidi"/>
          <w:sz w:val="24"/>
          <w:szCs w:val="24"/>
        </w:rPr>
        <w:t xml:space="preserve">policy infraction </w:t>
      </w:r>
      <w:r w:rsidRPr="0037747A">
        <w:rPr>
          <w:rFonts w:asciiTheme="minorBidi" w:hAnsiTheme="minorBidi"/>
          <w:sz w:val="24"/>
          <w:szCs w:val="24"/>
        </w:rPr>
        <w:t xml:space="preserve">drew </w:t>
      </w:r>
      <w:r w:rsidR="007014AA" w:rsidRPr="0037747A">
        <w:rPr>
          <w:rFonts w:asciiTheme="minorBidi" w:hAnsiTheme="minorBidi"/>
          <w:sz w:val="24"/>
          <w:szCs w:val="24"/>
        </w:rPr>
        <w:t>my attention to</w:t>
      </w:r>
      <w:r w:rsidRPr="0037747A">
        <w:rPr>
          <w:rFonts w:asciiTheme="minorBidi" w:hAnsiTheme="minorBidi"/>
          <w:sz w:val="24"/>
          <w:szCs w:val="24"/>
        </w:rPr>
        <w:t xml:space="preserve"> the point of Rogue’s failure to comply with ACM principle 1.2 which buttressed the obligation of professionals to mitigate against any unintended harm to the </w:t>
      </w:r>
      <w:r w:rsidR="004F4992" w:rsidRPr="0037747A">
        <w:rPr>
          <w:rFonts w:asciiTheme="minorBidi" w:hAnsiTheme="minorBidi"/>
          <w:sz w:val="24"/>
          <w:szCs w:val="24"/>
        </w:rPr>
        <w:t>stakeholders</w:t>
      </w:r>
      <w:r w:rsidR="0037747A" w:rsidRPr="0037747A">
        <w:rPr>
          <w:rFonts w:asciiTheme="minorBidi" w:hAnsiTheme="minorBidi"/>
          <w:sz w:val="24"/>
          <w:szCs w:val="24"/>
        </w:rPr>
        <w:t xml:space="preserve">. </w:t>
      </w:r>
      <w:r w:rsidR="002F44FC" w:rsidRPr="0037747A">
        <w:rPr>
          <w:rFonts w:asciiTheme="minorBidi" w:hAnsiTheme="minorBidi"/>
          <w:sz w:val="24"/>
          <w:szCs w:val="24"/>
        </w:rPr>
        <w:t>Th</w:t>
      </w:r>
      <w:r w:rsidR="0037747A" w:rsidRPr="0037747A">
        <w:rPr>
          <w:rFonts w:asciiTheme="minorBidi" w:hAnsiTheme="minorBidi"/>
          <w:sz w:val="24"/>
          <w:szCs w:val="24"/>
        </w:rPr>
        <w:t>e article stated that t</w:t>
      </w:r>
      <w:r w:rsidRPr="0037747A">
        <w:rPr>
          <w:rFonts w:asciiTheme="minorBidi" w:hAnsiTheme="minorBidi"/>
          <w:sz w:val="24"/>
          <w:szCs w:val="24"/>
        </w:rPr>
        <w:t xml:space="preserve">he </w:t>
      </w:r>
      <w:r w:rsidR="004F4992" w:rsidRPr="0037747A">
        <w:rPr>
          <w:rFonts w:asciiTheme="minorBidi" w:hAnsiTheme="minorBidi"/>
          <w:sz w:val="24"/>
          <w:szCs w:val="24"/>
        </w:rPr>
        <w:t xml:space="preserve">security </w:t>
      </w:r>
      <w:r w:rsidRPr="0037747A">
        <w:rPr>
          <w:rFonts w:asciiTheme="minorBidi" w:hAnsiTheme="minorBidi"/>
          <w:sz w:val="24"/>
          <w:szCs w:val="24"/>
        </w:rPr>
        <w:t xml:space="preserve">challenge of the malware disruption </w:t>
      </w:r>
      <w:r w:rsidR="0037747A" w:rsidRPr="0037747A">
        <w:rPr>
          <w:rFonts w:asciiTheme="minorBidi" w:hAnsiTheme="minorBidi"/>
          <w:sz w:val="24"/>
          <w:szCs w:val="24"/>
        </w:rPr>
        <w:t>was notified by</w:t>
      </w:r>
      <w:r w:rsidR="004F4992" w:rsidRPr="0037747A">
        <w:rPr>
          <w:rFonts w:asciiTheme="minorBidi" w:hAnsiTheme="minorBidi"/>
          <w:sz w:val="24"/>
          <w:szCs w:val="24"/>
        </w:rPr>
        <w:t xml:space="preserve"> the </w:t>
      </w:r>
      <w:r w:rsidRPr="000A4847">
        <w:rPr>
          <w:rFonts w:asciiTheme="minorBidi" w:hAnsiTheme="minorBidi"/>
          <w:sz w:val="24"/>
          <w:szCs w:val="24"/>
        </w:rPr>
        <w:t>major ISPs and international organizations</w:t>
      </w:r>
      <w:r w:rsidRPr="0037747A">
        <w:rPr>
          <w:rFonts w:asciiTheme="minorBidi" w:hAnsiTheme="minorBidi"/>
          <w:sz w:val="24"/>
          <w:szCs w:val="24"/>
        </w:rPr>
        <w:t xml:space="preserve"> </w:t>
      </w:r>
      <w:r w:rsidR="0037747A" w:rsidRPr="0037747A">
        <w:rPr>
          <w:rFonts w:asciiTheme="minorBidi" w:hAnsiTheme="minorBidi"/>
          <w:sz w:val="24"/>
          <w:szCs w:val="24"/>
        </w:rPr>
        <w:t xml:space="preserve">to </w:t>
      </w:r>
      <w:proofErr w:type="gramStart"/>
      <w:r w:rsidR="0037747A" w:rsidRPr="0037747A">
        <w:rPr>
          <w:rFonts w:asciiTheme="minorBidi" w:hAnsiTheme="minorBidi"/>
          <w:sz w:val="24"/>
          <w:szCs w:val="24"/>
        </w:rPr>
        <w:t>Rogue</w:t>
      </w:r>
      <w:proofErr w:type="gramEnd"/>
      <w:r w:rsidR="0037747A" w:rsidRPr="0037747A">
        <w:rPr>
          <w:rFonts w:asciiTheme="minorBidi" w:hAnsiTheme="minorBidi"/>
          <w:sz w:val="24"/>
          <w:szCs w:val="24"/>
        </w:rPr>
        <w:t xml:space="preserve"> but the</w:t>
      </w:r>
      <w:r w:rsidR="004F4992" w:rsidRPr="0037747A">
        <w:rPr>
          <w:rFonts w:asciiTheme="minorBidi" w:hAnsiTheme="minorBidi"/>
          <w:sz w:val="24"/>
          <w:szCs w:val="24"/>
        </w:rPr>
        <w:t xml:space="preserve"> company’s leaders </w:t>
      </w:r>
      <w:r w:rsidRPr="0037747A">
        <w:rPr>
          <w:rFonts w:asciiTheme="minorBidi" w:hAnsiTheme="minorBidi"/>
          <w:sz w:val="24"/>
          <w:szCs w:val="24"/>
        </w:rPr>
        <w:t>refused</w:t>
      </w:r>
      <w:r w:rsidRPr="000A4847">
        <w:rPr>
          <w:rFonts w:asciiTheme="minorBidi" w:hAnsiTheme="minorBidi"/>
          <w:sz w:val="24"/>
          <w:szCs w:val="24"/>
        </w:rPr>
        <w:t xml:space="preserve"> to </w:t>
      </w:r>
      <w:r w:rsidRPr="0037747A">
        <w:rPr>
          <w:rFonts w:asciiTheme="minorBidi" w:hAnsiTheme="minorBidi"/>
          <w:sz w:val="24"/>
          <w:szCs w:val="24"/>
        </w:rPr>
        <w:t xml:space="preserve">mitigate or </w:t>
      </w:r>
      <w:r w:rsidR="004F4992" w:rsidRPr="0037747A">
        <w:rPr>
          <w:rFonts w:asciiTheme="minorBidi" w:hAnsiTheme="minorBidi"/>
          <w:sz w:val="24"/>
          <w:szCs w:val="24"/>
        </w:rPr>
        <w:t xml:space="preserve">shutdown the </w:t>
      </w:r>
      <w:r w:rsidRPr="000A4847">
        <w:rPr>
          <w:rFonts w:asciiTheme="minorBidi" w:hAnsiTheme="minorBidi"/>
          <w:sz w:val="24"/>
          <w:szCs w:val="24"/>
        </w:rPr>
        <w:t>services</w:t>
      </w:r>
      <w:r w:rsidR="004F4992" w:rsidRPr="0037747A">
        <w:rPr>
          <w:rFonts w:asciiTheme="minorBidi" w:hAnsiTheme="minorBidi"/>
          <w:sz w:val="24"/>
          <w:szCs w:val="24"/>
        </w:rPr>
        <w:t xml:space="preserve"> of the platform</w:t>
      </w:r>
      <w:r w:rsidR="0037747A" w:rsidRPr="0037747A">
        <w:rPr>
          <w:rFonts w:asciiTheme="minorBidi" w:hAnsiTheme="minorBidi"/>
          <w:sz w:val="24"/>
          <w:szCs w:val="24"/>
        </w:rPr>
        <w:t xml:space="preserve"> which was in the best interest of the public.</w:t>
      </w:r>
    </w:p>
    <w:p w14:paraId="45FA1654" w14:textId="18739B92" w:rsidR="009F46D9" w:rsidRPr="0037747A" w:rsidRDefault="004F4992" w:rsidP="0037747A">
      <w:pPr>
        <w:rPr>
          <w:rFonts w:asciiTheme="minorBidi" w:hAnsiTheme="minorBidi"/>
          <w:sz w:val="24"/>
          <w:szCs w:val="24"/>
        </w:rPr>
      </w:pPr>
      <w:r w:rsidRPr="0037747A">
        <w:rPr>
          <w:rFonts w:asciiTheme="minorBidi" w:hAnsiTheme="minorBidi"/>
          <w:sz w:val="24"/>
          <w:szCs w:val="24"/>
        </w:rPr>
        <w:t>Although</w:t>
      </w:r>
      <w:r w:rsidR="009F46D9" w:rsidRPr="0037747A">
        <w:rPr>
          <w:rFonts w:asciiTheme="minorBidi" w:hAnsiTheme="minorBidi"/>
          <w:sz w:val="24"/>
          <w:szCs w:val="24"/>
        </w:rPr>
        <w:t xml:space="preserve"> Rogue is in </w:t>
      </w:r>
      <w:r w:rsidRPr="0037747A">
        <w:rPr>
          <w:rFonts w:asciiTheme="minorBidi" w:hAnsiTheme="minorBidi"/>
          <w:sz w:val="24"/>
          <w:szCs w:val="24"/>
        </w:rPr>
        <w:t xml:space="preserve">a </w:t>
      </w:r>
      <w:r w:rsidR="009F46D9" w:rsidRPr="0037747A">
        <w:rPr>
          <w:rFonts w:asciiTheme="minorBidi" w:hAnsiTheme="minorBidi"/>
          <w:sz w:val="24"/>
          <w:szCs w:val="24"/>
        </w:rPr>
        <w:t xml:space="preserve">country </w:t>
      </w:r>
      <w:r w:rsidR="009F46D9" w:rsidRPr="000A4847">
        <w:rPr>
          <w:rFonts w:asciiTheme="minorBidi" w:hAnsiTheme="minorBidi"/>
          <w:sz w:val="24"/>
          <w:szCs w:val="24"/>
        </w:rPr>
        <w:t xml:space="preserve">whose laws did not adequately </w:t>
      </w:r>
      <w:r w:rsidR="009F46D9" w:rsidRPr="0037747A">
        <w:rPr>
          <w:rFonts w:asciiTheme="minorBidi" w:hAnsiTheme="minorBidi"/>
          <w:sz w:val="24"/>
          <w:szCs w:val="24"/>
        </w:rPr>
        <w:t>prohibits hosting</w:t>
      </w:r>
      <w:r w:rsidR="009F46D9" w:rsidRPr="000A4847">
        <w:rPr>
          <w:rFonts w:asciiTheme="minorBidi" w:hAnsiTheme="minorBidi"/>
          <w:sz w:val="24"/>
          <w:szCs w:val="24"/>
        </w:rPr>
        <w:t xml:space="preserve"> </w:t>
      </w:r>
      <w:r w:rsidR="009F46D9" w:rsidRPr="0037747A">
        <w:rPr>
          <w:rFonts w:asciiTheme="minorBidi" w:hAnsiTheme="minorBidi"/>
          <w:sz w:val="24"/>
          <w:szCs w:val="24"/>
        </w:rPr>
        <w:t>of such platform, this act is not in support by other professional bodies like British Computer Society (BCS</w:t>
      </w:r>
      <w:r w:rsidRPr="0037747A">
        <w:rPr>
          <w:rFonts w:asciiTheme="minorBidi" w:hAnsiTheme="minorBidi"/>
          <w:sz w:val="24"/>
          <w:szCs w:val="24"/>
        </w:rPr>
        <w:t>).</w:t>
      </w:r>
      <w:r w:rsidR="009F46D9" w:rsidRPr="0037747A">
        <w:rPr>
          <w:rFonts w:asciiTheme="minorBidi" w:hAnsiTheme="minorBidi"/>
          <w:sz w:val="24"/>
          <w:szCs w:val="24"/>
        </w:rPr>
        <w:t xml:space="preserve"> The Rogue services contradicted the BCS code of public interest in terms of obligation to privacy, security and wellbeing of others and the environment (The Chartered Institute for IT Code of Conduct for BCS Members).</w:t>
      </w:r>
      <w:r w:rsidR="0037747A" w:rsidRPr="0037747A">
        <w:rPr>
          <w:rFonts w:asciiTheme="minorBidi" w:hAnsiTheme="minorBidi"/>
          <w:sz w:val="24"/>
          <w:szCs w:val="24"/>
        </w:rPr>
        <w:t>And b</w:t>
      </w:r>
      <w:r w:rsidR="009F46D9" w:rsidRPr="0037747A">
        <w:rPr>
          <w:rFonts w:asciiTheme="minorBidi" w:hAnsiTheme="minorBidi"/>
          <w:sz w:val="24"/>
          <w:szCs w:val="24"/>
        </w:rPr>
        <w:t xml:space="preserve">ased on the General Data Protection Regulation (GDPR) policy, Rouge failed to comply with some of the principle of data protection found in article </w:t>
      </w:r>
      <w:r w:rsidR="002F44FC" w:rsidRPr="0037747A">
        <w:rPr>
          <w:rFonts w:asciiTheme="minorBidi" w:hAnsiTheme="minorBidi"/>
          <w:sz w:val="24"/>
          <w:szCs w:val="24"/>
        </w:rPr>
        <w:t>five (</w:t>
      </w:r>
      <w:r w:rsidR="009F46D9" w:rsidRPr="0037747A">
        <w:rPr>
          <w:rFonts w:asciiTheme="minorBidi" w:hAnsiTheme="minorBidi"/>
          <w:sz w:val="24"/>
          <w:szCs w:val="24"/>
        </w:rPr>
        <w:t xml:space="preserve">5) of GDPR </w:t>
      </w:r>
      <w:r w:rsidRPr="0037747A">
        <w:rPr>
          <w:rFonts w:asciiTheme="minorBidi" w:hAnsiTheme="minorBidi"/>
          <w:sz w:val="24"/>
          <w:szCs w:val="24"/>
        </w:rPr>
        <w:t xml:space="preserve">such </w:t>
      </w:r>
      <w:r w:rsidR="002F44FC" w:rsidRPr="0037747A">
        <w:rPr>
          <w:rFonts w:asciiTheme="minorBidi" w:hAnsiTheme="minorBidi"/>
          <w:sz w:val="24"/>
          <w:szCs w:val="24"/>
        </w:rPr>
        <w:t>as accountability</w:t>
      </w:r>
      <w:r w:rsidR="009F46D9" w:rsidRPr="0037747A">
        <w:rPr>
          <w:rFonts w:asciiTheme="minorBidi" w:hAnsiTheme="minorBidi"/>
          <w:sz w:val="24"/>
          <w:szCs w:val="24"/>
        </w:rPr>
        <w:t xml:space="preserve"> and confidentiality of personal </w:t>
      </w:r>
      <w:r w:rsidR="002F44FC" w:rsidRPr="0037747A">
        <w:rPr>
          <w:rFonts w:asciiTheme="minorBidi" w:hAnsiTheme="minorBidi"/>
          <w:sz w:val="24"/>
          <w:szCs w:val="24"/>
        </w:rPr>
        <w:t>data (</w:t>
      </w:r>
      <w:r w:rsidR="009F46D9" w:rsidRPr="0037747A">
        <w:rPr>
          <w:rFonts w:asciiTheme="minorBidi" w:hAnsiTheme="minorBidi"/>
          <w:sz w:val="24"/>
          <w:szCs w:val="24"/>
        </w:rPr>
        <w:t xml:space="preserve">Data Protection </w:t>
      </w:r>
      <w:r w:rsidR="002F44FC" w:rsidRPr="0037747A">
        <w:rPr>
          <w:rFonts w:asciiTheme="minorBidi" w:hAnsiTheme="minorBidi"/>
          <w:sz w:val="24"/>
          <w:szCs w:val="24"/>
        </w:rPr>
        <w:t>Commission) and</w:t>
      </w:r>
      <w:r w:rsidRPr="0037747A">
        <w:rPr>
          <w:rFonts w:asciiTheme="minorBidi" w:hAnsiTheme="minorBidi"/>
          <w:sz w:val="24"/>
          <w:szCs w:val="24"/>
        </w:rPr>
        <w:t xml:space="preserve"> this</w:t>
      </w:r>
      <w:r w:rsidR="009F46D9" w:rsidRPr="0037747A">
        <w:rPr>
          <w:rFonts w:asciiTheme="minorBidi" w:hAnsiTheme="minorBidi"/>
          <w:sz w:val="24"/>
          <w:szCs w:val="24"/>
        </w:rPr>
        <w:t xml:space="preserve"> can </w:t>
      </w:r>
      <w:r w:rsidR="002F44FC" w:rsidRPr="0037747A">
        <w:rPr>
          <w:rFonts w:asciiTheme="minorBidi" w:hAnsiTheme="minorBidi"/>
          <w:sz w:val="24"/>
          <w:szCs w:val="24"/>
        </w:rPr>
        <w:t>attract</w:t>
      </w:r>
      <w:r w:rsidR="009F46D9" w:rsidRPr="0037747A">
        <w:rPr>
          <w:rFonts w:asciiTheme="minorBidi" w:hAnsiTheme="minorBidi"/>
          <w:sz w:val="24"/>
          <w:szCs w:val="24"/>
        </w:rPr>
        <w:t xml:space="preserve"> legal suit </w:t>
      </w:r>
    </w:p>
    <w:p w14:paraId="55009D2C" w14:textId="77777777" w:rsidR="0037747A" w:rsidRPr="0037747A" w:rsidRDefault="009F46D9" w:rsidP="0037747A">
      <w:pPr>
        <w:rPr>
          <w:rFonts w:asciiTheme="minorBidi" w:hAnsiTheme="minorBidi"/>
          <w:sz w:val="24"/>
          <w:szCs w:val="24"/>
        </w:rPr>
      </w:pPr>
      <w:r w:rsidRPr="0037747A">
        <w:rPr>
          <w:rFonts w:asciiTheme="minorBidi" w:hAnsiTheme="minorBidi"/>
          <w:sz w:val="24"/>
          <w:szCs w:val="24"/>
        </w:rPr>
        <w:t xml:space="preserve">Conclusion </w:t>
      </w:r>
    </w:p>
    <w:p w14:paraId="2915C762" w14:textId="2AC877EE" w:rsidR="009F46D9" w:rsidRPr="0037747A" w:rsidRDefault="009F46D9" w:rsidP="0037747A">
      <w:pPr>
        <w:rPr>
          <w:rFonts w:asciiTheme="minorBidi" w:hAnsiTheme="minorBidi"/>
          <w:b/>
          <w:bCs/>
          <w:sz w:val="24"/>
          <w:szCs w:val="24"/>
        </w:rPr>
      </w:pPr>
      <w:r w:rsidRPr="0037747A">
        <w:rPr>
          <w:rFonts w:asciiTheme="minorBidi" w:hAnsiTheme="minorBidi"/>
          <w:sz w:val="24"/>
          <w:szCs w:val="24"/>
        </w:rPr>
        <w:t xml:space="preserve">The </w:t>
      </w:r>
      <w:r w:rsidR="000E5DB7" w:rsidRPr="0037747A">
        <w:rPr>
          <w:rFonts w:asciiTheme="minorBidi" w:hAnsiTheme="minorBidi"/>
          <w:sz w:val="24"/>
          <w:szCs w:val="24"/>
        </w:rPr>
        <w:t>establishment and</w:t>
      </w:r>
      <w:r w:rsidRPr="0037747A">
        <w:rPr>
          <w:rFonts w:asciiTheme="minorBidi" w:hAnsiTheme="minorBidi"/>
          <w:sz w:val="24"/>
          <w:szCs w:val="24"/>
        </w:rPr>
        <w:t xml:space="preserve"> implementation </w:t>
      </w:r>
      <w:r w:rsidR="000E5DB7" w:rsidRPr="0037747A">
        <w:rPr>
          <w:rFonts w:asciiTheme="minorBidi" w:hAnsiTheme="minorBidi"/>
          <w:sz w:val="24"/>
          <w:szCs w:val="24"/>
        </w:rPr>
        <w:t>of ethics</w:t>
      </w:r>
      <w:r w:rsidRPr="0037747A">
        <w:rPr>
          <w:rFonts w:asciiTheme="minorBidi" w:hAnsiTheme="minorBidi"/>
          <w:sz w:val="24"/>
          <w:szCs w:val="24"/>
        </w:rPr>
        <w:t> and professional</w:t>
      </w:r>
      <w:r w:rsidR="000E5DB7" w:rsidRPr="0037747A">
        <w:rPr>
          <w:rFonts w:asciiTheme="minorBidi" w:hAnsiTheme="minorBidi"/>
          <w:sz w:val="24"/>
          <w:szCs w:val="24"/>
        </w:rPr>
        <w:t xml:space="preserve"> code </w:t>
      </w:r>
      <w:r w:rsidR="004F4992" w:rsidRPr="0037747A">
        <w:rPr>
          <w:rFonts w:asciiTheme="minorBidi" w:hAnsiTheme="minorBidi"/>
          <w:sz w:val="24"/>
          <w:szCs w:val="24"/>
        </w:rPr>
        <w:t>of conducts</w:t>
      </w:r>
      <w:r w:rsidRPr="0037747A">
        <w:rPr>
          <w:rFonts w:asciiTheme="minorBidi" w:hAnsiTheme="minorBidi"/>
          <w:sz w:val="24"/>
          <w:szCs w:val="24"/>
        </w:rPr>
        <w:t xml:space="preserve"> </w:t>
      </w:r>
      <w:r w:rsidR="002F44FC" w:rsidRPr="0037747A">
        <w:rPr>
          <w:rFonts w:asciiTheme="minorBidi" w:hAnsiTheme="minorBidi"/>
          <w:sz w:val="24"/>
          <w:szCs w:val="24"/>
        </w:rPr>
        <w:t xml:space="preserve">is </w:t>
      </w:r>
      <w:r w:rsidR="0037747A" w:rsidRPr="0037747A">
        <w:rPr>
          <w:rFonts w:asciiTheme="minorBidi" w:hAnsiTheme="minorBidi"/>
          <w:sz w:val="24"/>
          <w:szCs w:val="24"/>
        </w:rPr>
        <w:t>an essential tool</w:t>
      </w:r>
      <w:r w:rsidR="002F44FC" w:rsidRPr="0037747A">
        <w:rPr>
          <w:rFonts w:asciiTheme="minorBidi" w:hAnsiTheme="minorBidi"/>
          <w:sz w:val="24"/>
          <w:szCs w:val="24"/>
        </w:rPr>
        <w:t xml:space="preserve"> in</w:t>
      </w:r>
      <w:r w:rsidR="000E5DB7" w:rsidRPr="0037747A">
        <w:rPr>
          <w:rFonts w:asciiTheme="minorBidi" w:hAnsiTheme="minorBidi"/>
          <w:sz w:val="24"/>
          <w:szCs w:val="24"/>
        </w:rPr>
        <w:t xml:space="preserve"> </w:t>
      </w:r>
      <w:r w:rsidR="002F44FC" w:rsidRPr="0037747A">
        <w:rPr>
          <w:rFonts w:asciiTheme="minorBidi" w:hAnsiTheme="minorBidi"/>
          <w:sz w:val="24"/>
          <w:szCs w:val="24"/>
        </w:rPr>
        <w:t>promoting fundamental</w:t>
      </w:r>
      <w:r w:rsidRPr="0037747A">
        <w:rPr>
          <w:rFonts w:asciiTheme="minorBidi" w:hAnsiTheme="minorBidi"/>
          <w:sz w:val="24"/>
          <w:szCs w:val="24"/>
        </w:rPr>
        <w:t xml:space="preserve"> human rights and </w:t>
      </w:r>
      <w:r w:rsidR="000E5DB7" w:rsidRPr="0037747A">
        <w:rPr>
          <w:rFonts w:asciiTheme="minorBidi" w:hAnsiTheme="minorBidi"/>
          <w:sz w:val="24"/>
          <w:szCs w:val="24"/>
        </w:rPr>
        <w:t>best practices in computing environment (ACM Code of Ethics and Professional Conduct,2018) and this cannot be over</w:t>
      </w:r>
      <w:r w:rsidR="0037747A" w:rsidRPr="0037747A">
        <w:rPr>
          <w:rFonts w:asciiTheme="minorBidi" w:hAnsiTheme="minorBidi"/>
          <w:sz w:val="24"/>
          <w:szCs w:val="24"/>
        </w:rPr>
        <w:t>-</w:t>
      </w:r>
      <w:r w:rsidR="000E5DB7" w:rsidRPr="0037747A">
        <w:rPr>
          <w:rFonts w:asciiTheme="minorBidi" w:hAnsiTheme="minorBidi"/>
          <w:sz w:val="24"/>
          <w:szCs w:val="24"/>
        </w:rPr>
        <w:t xml:space="preserve">emphasised especially in today’s </w:t>
      </w:r>
      <w:r w:rsidR="004F4992" w:rsidRPr="0037747A">
        <w:rPr>
          <w:rFonts w:asciiTheme="minorBidi" w:hAnsiTheme="minorBidi"/>
          <w:sz w:val="24"/>
          <w:szCs w:val="24"/>
        </w:rPr>
        <w:t xml:space="preserve">world of </w:t>
      </w:r>
      <w:r w:rsidR="000E5DB7" w:rsidRPr="0037747A">
        <w:rPr>
          <w:rFonts w:asciiTheme="minorBidi" w:hAnsiTheme="minorBidi"/>
          <w:sz w:val="24"/>
          <w:szCs w:val="24"/>
        </w:rPr>
        <w:t xml:space="preserve">advanced technology such as Artificial </w:t>
      </w:r>
      <w:r w:rsidR="002F44FC" w:rsidRPr="0037747A">
        <w:rPr>
          <w:rFonts w:asciiTheme="minorBidi" w:hAnsiTheme="minorBidi"/>
          <w:sz w:val="24"/>
          <w:szCs w:val="24"/>
        </w:rPr>
        <w:t>Intelligent (</w:t>
      </w:r>
      <w:r w:rsidR="000E5DB7" w:rsidRPr="0037747A">
        <w:rPr>
          <w:rFonts w:asciiTheme="minorBidi" w:hAnsiTheme="minorBidi"/>
          <w:sz w:val="24"/>
          <w:szCs w:val="24"/>
        </w:rPr>
        <w:t>AI).</w:t>
      </w:r>
    </w:p>
    <w:p w14:paraId="1674D18F" w14:textId="7B6C4071" w:rsidR="000E5DB7" w:rsidRPr="0037747A" w:rsidRDefault="000E5DB7" w:rsidP="009F46D9">
      <w:pPr>
        <w:rPr>
          <w:rFonts w:asciiTheme="minorBidi" w:hAnsiTheme="minorBidi"/>
          <w:sz w:val="24"/>
          <w:szCs w:val="24"/>
        </w:rPr>
      </w:pPr>
      <w:r w:rsidRPr="0037747A">
        <w:rPr>
          <w:rFonts w:asciiTheme="minorBidi" w:hAnsiTheme="minorBidi"/>
          <w:sz w:val="24"/>
          <w:szCs w:val="24"/>
        </w:rPr>
        <w:t xml:space="preserve">Reference </w:t>
      </w:r>
    </w:p>
    <w:p w14:paraId="2B11CFD1" w14:textId="2C2916EF" w:rsidR="000E5DB7" w:rsidRPr="0037747A" w:rsidRDefault="000E5DB7" w:rsidP="006C79AA">
      <w:pPr>
        <w:pStyle w:val="ListParagraph"/>
        <w:numPr>
          <w:ilvl w:val="0"/>
          <w:numId w:val="2"/>
        </w:numPr>
        <w:rPr>
          <w:rFonts w:asciiTheme="minorBidi" w:hAnsiTheme="minorBidi"/>
          <w:sz w:val="24"/>
          <w:szCs w:val="24"/>
        </w:rPr>
      </w:pPr>
      <w:r w:rsidRPr="0037747A">
        <w:rPr>
          <w:rFonts w:asciiTheme="minorBidi" w:hAnsiTheme="minorBidi"/>
          <w:sz w:val="24"/>
          <w:szCs w:val="24"/>
        </w:rPr>
        <w:t>Association for Computing Machinery (2018). ACM Code of Ethics and Professional Conduct. Available from: </w:t>
      </w:r>
      <w:hyperlink r:id="rId5" w:history="1">
        <w:r w:rsidRPr="0037747A">
          <w:rPr>
            <w:rStyle w:val="Hyperlink"/>
            <w:rFonts w:asciiTheme="minorBidi" w:hAnsiTheme="minorBidi"/>
            <w:b/>
            <w:bCs/>
            <w:sz w:val="24"/>
            <w:szCs w:val="24"/>
          </w:rPr>
          <w:t>https://www.acm.org/code-of-ethics</w:t>
        </w:r>
      </w:hyperlink>
      <w:r w:rsidRPr="0037747A">
        <w:rPr>
          <w:rFonts w:asciiTheme="minorBidi" w:hAnsiTheme="minorBidi"/>
          <w:sz w:val="24"/>
          <w:szCs w:val="24"/>
        </w:rPr>
        <w:t> [Accessed August 27, 2024].</w:t>
      </w:r>
    </w:p>
    <w:p w14:paraId="655E4523" w14:textId="06B867E6" w:rsidR="000E5DB7" w:rsidRPr="0037747A" w:rsidRDefault="000E5DB7" w:rsidP="006C79AA">
      <w:pPr>
        <w:pStyle w:val="ListParagraph"/>
        <w:numPr>
          <w:ilvl w:val="0"/>
          <w:numId w:val="2"/>
        </w:numPr>
        <w:rPr>
          <w:rFonts w:asciiTheme="minorBidi" w:hAnsiTheme="minorBidi"/>
          <w:sz w:val="24"/>
          <w:szCs w:val="24"/>
        </w:rPr>
      </w:pPr>
      <w:r w:rsidRPr="0037747A">
        <w:rPr>
          <w:rFonts w:asciiTheme="minorBidi" w:hAnsiTheme="minorBidi"/>
          <w:sz w:val="24"/>
          <w:szCs w:val="24"/>
        </w:rPr>
        <w:t>British Computer Society (</w:t>
      </w:r>
      <w:r w:rsidR="006C79AA" w:rsidRPr="0037747A">
        <w:rPr>
          <w:rFonts w:asciiTheme="minorBidi" w:hAnsiTheme="minorBidi"/>
          <w:sz w:val="24"/>
          <w:szCs w:val="24"/>
        </w:rPr>
        <w:t>2022</w:t>
      </w:r>
      <w:r w:rsidRPr="0037747A">
        <w:rPr>
          <w:rFonts w:asciiTheme="minorBidi" w:hAnsiTheme="minorBidi"/>
          <w:sz w:val="24"/>
          <w:szCs w:val="24"/>
        </w:rPr>
        <w:t xml:space="preserve">.). </w:t>
      </w:r>
      <w:r w:rsidR="006C79AA" w:rsidRPr="0037747A">
        <w:rPr>
          <w:rFonts w:asciiTheme="minorBidi" w:hAnsiTheme="minorBidi"/>
          <w:sz w:val="24"/>
          <w:szCs w:val="24"/>
        </w:rPr>
        <w:t xml:space="preserve">The Chartered Institute for IT. </w:t>
      </w:r>
      <w:r w:rsidRPr="0037747A">
        <w:rPr>
          <w:rFonts w:asciiTheme="minorBidi" w:hAnsiTheme="minorBidi"/>
          <w:i/>
          <w:iCs/>
          <w:sz w:val="24"/>
          <w:szCs w:val="24"/>
        </w:rPr>
        <w:t xml:space="preserve">BCS Code of </w:t>
      </w:r>
      <w:r w:rsidR="002F44FC" w:rsidRPr="0037747A">
        <w:rPr>
          <w:rFonts w:asciiTheme="minorBidi" w:hAnsiTheme="minorBidi"/>
          <w:i/>
          <w:iCs/>
          <w:sz w:val="24"/>
          <w:szCs w:val="24"/>
        </w:rPr>
        <w:t>Conduct</w:t>
      </w:r>
      <w:r w:rsidR="002F44FC" w:rsidRPr="0037747A">
        <w:rPr>
          <w:rFonts w:asciiTheme="minorBidi" w:hAnsiTheme="minorBidi"/>
          <w:sz w:val="24"/>
          <w:szCs w:val="24"/>
        </w:rPr>
        <w:t>.</w:t>
      </w:r>
      <w:r w:rsidRPr="0037747A">
        <w:rPr>
          <w:rFonts w:asciiTheme="minorBidi" w:hAnsiTheme="minorBidi"/>
          <w:sz w:val="24"/>
          <w:szCs w:val="24"/>
        </w:rPr>
        <w:t xml:space="preserve"> Available from: </w:t>
      </w:r>
      <w:hyperlink r:id="rId6" w:history="1">
        <w:r w:rsidRPr="0037747A">
          <w:rPr>
            <w:rStyle w:val="Hyperlink"/>
            <w:rFonts w:asciiTheme="minorBidi" w:hAnsiTheme="minorBidi"/>
            <w:b/>
            <w:bCs/>
            <w:sz w:val="24"/>
            <w:szCs w:val="24"/>
          </w:rPr>
          <w:t>https://www.bcs.org/membership-and-registrations/become-a-member/bcs-code-of-conduct</w:t>
        </w:r>
      </w:hyperlink>
      <w:r w:rsidRPr="0037747A">
        <w:rPr>
          <w:rFonts w:asciiTheme="minorBidi" w:hAnsiTheme="minorBidi"/>
          <w:sz w:val="24"/>
          <w:szCs w:val="24"/>
        </w:rPr>
        <w:t xml:space="preserve"> [Accessed August </w:t>
      </w:r>
      <w:r w:rsidR="006C79AA" w:rsidRPr="0037747A">
        <w:rPr>
          <w:rFonts w:asciiTheme="minorBidi" w:hAnsiTheme="minorBidi"/>
          <w:sz w:val="24"/>
          <w:szCs w:val="24"/>
        </w:rPr>
        <w:t>16</w:t>
      </w:r>
      <w:r w:rsidRPr="0037747A">
        <w:rPr>
          <w:rFonts w:asciiTheme="minorBidi" w:hAnsiTheme="minorBidi"/>
          <w:sz w:val="24"/>
          <w:szCs w:val="24"/>
        </w:rPr>
        <w:t>, 2024].</w:t>
      </w:r>
    </w:p>
    <w:p w14:paraId="147A8BF9" w14:textId="47947EA6" w:rsidR="006C79AA" w:rsidRPr="006C79AA" w:rsidRDefault="00C01EBE" w:rsidP="006C79AA">
      <w:pPr>
        <w:pStyle w:val="ListParagraph"/>
        <w:numPr>
          <w:ilvl w:val="0"/>
          <w:numId w:val="2"/>
        </w:numPr>
      </w:pPr>
      <w:r w:rsidRPr="0037747A">
        <w:rPr>
          <w:rFonts w:asciiTheme="minorBidi" w:hAnsiTheme="minorBidi"/>
          <w:sz w:val="24"/>
          <w:szCs w:val="24"/>
        </w:rPr>
        <w:t xml:space="preserve">An Coimisun um Chosaint Sonrai (n.d). </w:t>
      </w:r>
      <w:r w:rsidR="006C79AA" w:rsidRPr="0037747A">
        <w:rPr>
          <w:rFonts w:asciiTheme="minorBidi" w:hAnsiTheme="minorBidi"/>
          <w:sz w:val="24"/>
          <w:szCs w:val="24"/>
        </w:rPr>
        <w:t xml:space="preserve">Data Protection Commission. </w:t>
      </w:r>
      <w:r w:rsidR="006C79AA" w:rsidRPr="0037747A">
        <w:rPr>
          <w:rFonts w:asciiTheme="minorBidi" w:hAnsiTheme="minorBidi"/>
          <w:i/>
          <w:iCs/>
          <w:sz w:val="24"/>
          <w:szCs w:val="24"/>
        </w:rPr>
        <w:t>Principles of Data Protection</w:t>
      </w:r>
      <w:r w:rsidR="006C79AA" w:rsidRPr="0037747A">
        <w:rPr>
          <w:rFonts w:asciiTheme="minorBidi" w:hAnsiTheme="minorBidi"/>
          <w:sz w:val="24"/>
          <w:szCs w:val="24"/>
        </w:rPr>
        <w:t xml:space="preserve">. Available from: </w:t>
      </w:r>
      <w:hyperlink r:id="rId7" w:history="1">
        <w:r w:rsidR="006C79AA" w:rsidRPr="0037747A">
          <w:rPr>
            <w:rStyle w:val="Hyperlink"/>
            <w:rFonts w:asciiTheme="minorBidi" w:hAnsiTheme="minorBidi"/>
            <w:sz w:val="24"/>
            <w:szCs w:val="24"/>
          </w:rPr>
          <w:t>https://www.dataprotection.ie/en/individuals/data-protection-basics/principles-data-protection[accessed</w:t>
        </w:r>
      </w:hyperlink>
      <w:r w:rsidR="006C79AA" w:rsidRPr="0037747A">
        <w:rPr>
          <w:rFonts w:asciiTheme="minorBidi" w:hAnsiTheme="minorBidi"/>
          <w:sz w:val="24"/>
          <w:szCs w:val="24"/>
        </w:rPr>
        <w:t xml:space="preserve"> [Accessed August 27 2024</w:t>
      </w:r>
      <w:r w:rsidR="006C79AA">
        <w:t>]</w:t>
      </w:r>
      <w:r>
        <w:t>.</w:t>
      </w:r>
    </w:p>
    <w:sectPr w:rsidR="006C79AA" w:rsidRPr="006C7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23865"/>
    <w:multiLevelType w:val="hybridMultilevel"/>
    <w:tmpl w:val="92EE4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FE0AB6"/>
    <w:multiLevelType w:val="hybridMultilevel"/>
    <w:tmpl w:val="45FE74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7721998">
    <w:abstractNumId w:val="0"/>
  </w:num>
  <w:num w:numId="2" w16cid:durableId="1001544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D9"/>
    <w:rsid w:val="00026A60"/>
    <w:rsid w:val="000E5DB7"/>
    <w:rsid w:val="000F0A2D"/>
    <w:rsid w:val="002F44FC"/>
    <w:rsid w:val="0037747A"/>
    <w:rsid w:val="004F4992"/>
    <w:rsid w:val="006C79AA"/>
    <w:rsid w:val="007014AA"/>
    <w:rsid w:val="0094446A"/>
    <w:rsid w:val="009F46D9"/>
    <w:rsid w:val="00C01EBE"/>
    <w:rsid w:val="00E51EF3"/>
    <w:rsid w:val="00F772A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7DA8"/>
  <w15:chartTrackingRefBased/>
  <w15:docId w15:val="{D1D085CF-4388-41BE-9888-9F01012B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6D9"/>
  </w:style>
  <w:style w:type="paragraph" w:styleId="Heading1">
    <w:name w:val="heading 1"/>
    <w:basedOn w:val="Normal"/>
    <w:next w:val="Normal"/>
    <w:link w:val="Heading1Char"/>
    <w:uiPriority w:val="9"/>
    <w:qFormat/>
    <w:rsid w:val="009F46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6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6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6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6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6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6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6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6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6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6D9"/>
    <w:rPr>
      <w:rFonts w:eastAsiaTheme="majorEastAsia" w:cstheme="majorBidi"/>
      <w:color w:val="272727" w:themeColor="text1" w:themeTint="D8"/>
    </w:rPr>
  </w:style>
  <w:style w:type="paragraph" w:styleId="Title">
    <w:name w:val="Title"/>
    <w:basedOn w:val="Normal"/>
    <w:next w:val="Normal"/>
    <w:link w:val="TitleChar"/>
    <w:uiPriority w:val="10"/>
    <w:qFormat/>
    <w:rsid w:val="009F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6D9"/>
    <w:pPr>
      <w:spacing w:before="160"/>
      <w:jc w:val="center"/>
    </w:pPr>
    <w:rPr>
      <w:i/>
      <w:iCs/>
      <w:color w:val="404040" w:themeColor="text1" w:themeTint="BF"/>
    </w:rPr>
  </w:style>
  <w:style w:type="character" w:customStyle="1" w:styleId="QuoteChar">
    <w:name w:val="Quote Char"/>
    <w:basedOn w:val="DefaultParagraphFont"/>
    <w:link w:val="Quote"/>
    <w:uiPriority w:val="29"/>
    <w:rsid w:val="009F46D9"/>
    <w:rPr>
      <w:i/>
      <w:iCs/>
      <w:color w:val="404040" w:themeColor="text1" w:themeTint="BF"/>
    </w:rPr>
  </w:style>
  <w:style w:type="paragraph" w:styleId="ListParagraph">
    <w:name w:val="List Paragraph"/>
    <w:basedOn w:val="Normal"/>
    <w:uiPriority w:val="34"/>
    <w:qFormat/>
    <w:rsid w:val="009F46D9"/>
    <w:pPr>
      <w:ind w:left="720"/>
      <w:contextualSpacing/>
    </w:pPr>
  </w:style>
  <w:style w:type="character" w:styleId="IntenseEmphasis">
    <w:name w:val="Intense Emphasis"/>
    <w:basedOn w:val="DefaultParagraphFont"/>
    <w:uiPriority w:val="21"/>
    <w:qFormat/>
    <w:rsid w:val="009F46D9"/>
    <w:rPr>
      <w:i/>
      <w:iCs/>
      <w:color w:val="2F5496" w:themeColor="accent1" w:themeShade="BF"/>
    </w:rPr>
  </w:style>
  <w:style w:type="paragraph" w:styleId="IntenseQuote">
    <w:name w:val="Intense Quote"/>
    <w:basedOn w:val="Normal"/>
    <w:next w:val="Normal"/>
    <w:link w:val="IntenseQuoteChar"/>
    <w:uiPriority w:val="30"/>
    <w:qFormat/>
    <w:rsid w:val="009F46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6D9"/>
    <w:rPr>
      <w:i/>
      <w:iCs/>
      <w:color w:val="2F5496" w:themeColor="accent1" w:themeShade="BF"/>
    </w:rPr>
  </w:style>
  <w:style w:type="character" w:styleId="IntenseReference">
    <w:name w:val="Intense Reference"/>
    <w:basedOn w:val="DefaultParagraphFont"/>
    <w:uiPriority w:val="32"/>
    <w:qFormat/>
    <w:rsid w:val="009F46D9"/>
    <w:rPr>
      <w:b/>
      <w:bCs/>
      <w:smallCaps/>
      <w:color w:val="2F5496" w:themeColor="accent1" w:themeShade="BF"/>
      <w:spacing w:val="5"/>
    </w:rPr>
  </w:style>
  <w:style w:type="character" w:styleId="Hyperlink">
    <w:name w:val="Hyperlink"/>
    <w:basedOn w:val="DefaultParagraphFont"/>
    <w:uiPriority w:val="99"/>
    <w:unhideWhenUsed/>
    <w:rsid w:val="000E5DB7"/>
    <w:rPr>
      <w:color w:val="0563C1" w:themeColor="hyperlink"/>
      <w:u w:val="single"/>
    </w:rPr>
  </w:style>
  <w:style w:type="character" w:styleId="UnresolvedMention">
    <w:name w:val="Unresolved Mention"/>
    <w:basedOn w:val="DefaultParagraphFont"/>
    <w:uiPriority w:val="99"/>
    <w:semiHidden/>
    <w:unhideWhenUsed/>
    <w:rsid w:val="000E5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455362">
      <w:bodyDiv w:val="1"/>
      <w:marLeft w:val="0"/>
      <w:marRight w:val="0"/>
      <w:marTop w:val="0"/>
      <w:marBottom w:val="0"/>
      <w:divBdr>
        <w:top w:val="none" w:sz="0" w:space="0" w:color="auto"/>
        <w:left w:val="none" w:sz="0" w:space="0" w:color="auto"/>
        <w:bottom w:val="none" w:sz="0" w:space="0" w:color="auto"/>
        <w:right w:val="none" w:sz="0" w:space="0" w:color="auto"/>
      </w:divBdr>
    </w:div>
    <w:div w:id="14535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protection.ie/en/individuals/data-protection-basics/principles-data-protection%5baccess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s.org/membership-and-registrations/become-a-member/bcs-code-of-conduct" TargetMode="External"/><Relationship Id="rId5" Type="http://schemas.openxmlformats.org/officeDocument/2006/relationships/hyperlink" Target="https://www.acm.org/code-of-eth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475</Words>
  <Characters>2724</Characters>
  <Application>Microsoft Office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c:creator>
  <cp:keywords/>
  <dc:description/>
  <cp:lastModifiedBy>Clara .</cp:lastModifiedBy>
  <cp:revision>2</cp:revision>
  <dcterms:created xsi:type="dcterms:W3CDTF">2024-10-21T09:14:00Z</dcterms:created>
  <dcterms:modified xsi:type="dcterms:W3CDTF">2024-10-21T09:14:00Z</dcterms:modified>
</cp:coreProperties>
</file>