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4873"/>
        <w:gridCol w:w="4873"/>
      </w:tblGrid>
      <w:tr>
        <w:tc>
          <w:tcPr>
            <w:tcW w:type="dxa" w:w="4999"/>
          </w:tcPr>
          <w:p>
            <w:pPr>
              <w:spacing w:after="40"/>
            </w:pPr>
            <w:r>
              <w:drawing>
                <wp:inline xmlns:a="http://schemas.openxmlformats.org/drawingml/2006/main" xmlns:pic="http://schemas.openxmlformats.org/drawingml/2006/picture">
                  <wp:extent cx="1905000" cy="242936"/>
                  <wp:docPr id="1" name="Picture 1"/>
                  <wp:cNvGraphicFramePr>
                    <a:graphicFrameLocks noChangeAspect="1"/>
                  </wp:cNvGraphicFramePr>
                  <a:graphic>
                    <a:graphicData uri="http://schemas.openxmlformats.org/drawingml/2006/picture">
                      <pic:pic>
                        <pic:nvPicPr>
                          <pic:cNvPr id="0" name="nozzleworks_logo.png"/>
                          <pic:cNvPicPr/>
                        </pic:nvPicPr>
                        <pic:blipFill>
                          <a:blip r:embed="rId10"/>
                          <a:stretch>
                            <a:fillRect/>
                          </a:stretch>
                        </pic:blipFill>
                        <pic:spPr>
                          <a:xfrm>
                            <a:off x="0" y="0"/>
                            <a:ext cx="1905000" cy="242936"/>
                          </a:xfrm>
                          <a:prstGeom prst="rect"/>
                        </pic:spPr>
                      </pic:pic>
                    </a:graphicData>
                  </a:graphic>
                </wp:inline>
              </w:drawing>
            </w:r>
          </w:p>
          <w:p>
            <w:pPr>
              <w:spacing w:before="0" w:after="0"/>
            </w:pPr>
            <w:r>
              <w:rPr>
                <w:rFonts w:ascii="Calibri" w:hAnsi="Calibri"/>
                <w:b/>
                <w:color w:val="666666"/>
                <w:sz w:val="14"/>
              </w:rPr>
              <w:t>GST 144-375-106</w:t>
            </w:r>
          </w:p>
          <w:p>
            <w:pPr>
              <w:spacing w:before="0" w:after="0"/>
            </w:pPr>
            <w:r>
              <w:rPr>
                <w:rFonts w:ascii="Calibri" w:hAnsi="Calibri"/>
                <w:b/>
                <w:color w:val="666666"/>
                <w:sz w:val="14"/>
              </w:rPr>
              <w:t>info@nozzleworks.co.nz</w:t>
            </w:r>
          </w:p>
          <w:p>
            <w:pPr>
              <w:spacing w:before="0" w:after="0"/>
            </w:pPr>
            <w:r>
              <w:rPr>
                <w:rFonts w:ascii="Calibri" w:hAnsi="Calibri"/>
                <w:b/>
                <w:color w:val="666666"/>
                <w:sz w:val="14"/>
              </w:rPr>
              <w:t>nozzleworks.co.nz</w:t>
            </w:r>
          </w:p>
        </w:tc>
        <w:tc>
          <w:tcPr>
            <w:tcW w:type="dxa" w:w="4746"/>
          </w:tcPr>
          <w:p>
            <w:pPr>
              <w:spacing w:after="0"/>
              <w:jc w:val="right"/>
            </w:pPr>
            <w:r>
              <w:rPr>
                <w:rFonts w:ascii="Calibri" w:hAnsi="Calibri"/>
                <w:b/>
                <w:color w:val="666666"/>
                <w:sz w:val="36"/>
              </w:rPr>
              <w:t>Quotation</w:t>
            </w:r>
          </w:p>
          <w:p>
            <w:pPr>
              <w:spacing w:before="0" w:after="0"/>
              <w:jc w:val="right"/>
            </w:pPr>
            <w:r>
              <w:rPr>
                <w:rFonts w:ascii="Calibri" w:hAnsi="Calibri"/>
                <w:b/>
                <w:color w:val="666666"/>
                <w:sz w:val="22"/>
              </w:rPr>
              <w:t># QT-26009/2</w:t>
            </w:r>
          </w:p>
          <w:p>
            <w:pPr>
              <w:spacing w:before="0" w:after="0"/>
              <w:jc w:val="right"/>
            </w:pPr>
          </w:p>
          <w:p>
            <w:pPr>
              <w:spacing w:before="0" w:after="0"/>
              <w:jc w:val="right"/>
            </w:pPr>
            <w:r>
              <w:rPr>
                <w:rFonts w:ascii="Calibri" w:hAnsi="Calibri"/>
                <w:b w:val="0"/>
                <w:color w:val="666666"/>
                <w:sz w:val="18"/>
              </w:rPr>
              <w:t xml:space="preserve">Quote Date :  </w:t>
            </w:r>
            <w:r>
              <w:rPr>
                <w:rFonts w:ascii="Calibri" w:hAnsi="Calibri"/>
                <w:b w:val="0"/>
                <w:color w:val="666666"/>
                <w:sz w:val="18"/>
              </w:rPr>
              <w:t>5 October 2026</w:t>
            </w:r>
          </w:p>
          <w:p>
            <w:pPr>
              <w:spacing w:before="0" w:after="0"/>
              <w:jc w:val="right"/>
            </w:pPr>
            <w:r>
              <w:rPr>
                <w:rFonts w:ascii="Calibri" w:hAnsi="Calibri"/>
                <w:b w:val="0"/>
                <w:color w:val="666666"/>
                <w:sz w:val="18"/>
              </w:rPr>
              <w:t xml:space="preserve">Expiry Date :  </w:t>
            </w:r>
            <w:r>
              <w:rPr>
                <w:rFonts w:ascii="Calibri" w:hAnsi="Calibri"/>
                <w:b w:val="0"/>
                <w:color w:val="666666"/>
                <w:sz w:val="18"/>
              </w:rPr>
              <w:t>4 November 2026</w:t>
            </w:r>
          </w:p>
        </w:tc>
      </w:tr>
    </w:tbl>
    <w:p>
      <w:pPr>
        <w:spacing w:before="0" w:after="120"/>
      </w:pPr>
    </w:p>
    <w:p>
      <w:pPr>
        <w:spacing w:before="0" w:after="0"/>
      </w:pPr>
      <w:r>
        <w:rPr>
          <w:rFonts w:ascii="Calibri" w:hAnsi="Calibri"/>
          <w:b/>
          <w:color w:val="404040"/>
          <w:sz w:val="20"/>
        </w:rPr>
        <w:t>Steve Curtis</w:t>
      </w:r>
    </w:p>
    <w:p>
      <w:pPr>
        <w:spacing w:before="0" w:after="0"/>
      </w:pPr>
      <w:r>
        <w:rPr>
          <w:rFonts w:ascii="Calibri" w:hAnsi="Calibri"/>
          <w:b w:val="0"/>
          <w:color w:val="666666"/>
          <w:sz w:val="18"/>
        </w:rPr>
        <w:t>Nelson Pine Industries</w:t>
      </w:r>
    </w:p>
    <w:p>
      <w:pPr>
        <w:spacing w:before="200" w:after="0"/>
      </w:pPr>
      <w:r>
        <w:rPr>
          <w:rFonts w:ascii="Calibri" w:hAnsi="Calibri"/>
          <w:b w:val="0"/>
          <w:color w:val="666666"/>
          <w:sz w:val="18"/>
        </w:rPr>
        <w:t>Subject :</w:t>
      </w:r>
    </w:p>
    <w:p>
      <w:pPr>
        <w:spacing w:before="0" w:after="160"/>
      </w:pPr>
      <w:r>
        <w:rPr>
          <w:rFonts w:ascii="Calibri" w:hAnsi="Calibri"/>
          <w:b w:val="0"/>
          <w:color w:val="404040"/>
          <w:sz w:val="20"/>
        </w:rPr>
        <w:t>Quotation for 1/4M-TF-BF-A5052 and 1/4M-TF-BF-ABS</w:t>
      </w:r>
    </w:p>
    <w:tbl>
      <w:tblPr>
        <w:tblW w:type="auto" w:w="0"/>
        <w:jc w:val="left"/>
        <w:tblLayout w:type="fixed"/>
        <w:tblLook w:firstColumn="1" w:firstRow="1" w:lastColumn="0" w:lastRow="0" w:noHBand="0" w:noVBand="1" w:val="04A0"/>
      </w:tblPr>
      <w:tblGrid>
        <w:gridCol w:w="1624"/>
        <w:gridCol w:w="1624"/>
        <w:gridCol w:w="1624"/>
        <w:gridCol w:w="1624"/>
        <w:gridCol w:w="1624"/>
        <w:gridCol w:w="1624"/>
      </w:tblGrid>
      <w:tr>
        <w:tc>
          <w:tcPr>
            <w:tcW w:type="dxa" w:w="441"/>
            <w:shd w:val="clear" w:color="auto" w:fill="4A4A4A"/>
          </w:tcPr>
          <w:p>
            <w:pPr>
              <w:spacing w:after="0"/>
            </w:pPr>
            <w:r>
              <w:rPr>
                <w:rFonts w:ascii="Calibri" w:hAnsi="Calibri"/>
                <w:b/>
                <w:color w:val="FFFFFF"/>
                <w:sz w:val="18"/>
              </w:rPr>
              <w:t>#</w:t>
            </w:r>
          </w:p>
        </w:tc>
        <w:tc>
          <w:tcPr>
            <w:tcW w:type="dxa" w:w="4272"/>
            <w:shd w:val="clear" w:color="auto" w:fill="4A4A4A"/>
          </w:tcPr>
          <w:p>
            <w:pPr>
              <w:spacing w:after="0"/>
            </w:pPr>
            <w:r>
              <w:rPr>
                <w:rFonts w:ascii="Calibri" w:hAnsi="Calibri"/>
                <w:b/>
                <w:color w:val="FFFFFF"/>
                <w:sz w:val="18"/>
              </w:rPr>
              <w:t>Part No. &amp; Description</w:t>
            </w:r>
          </w:p>
        </w:tc>
        <w:tc>
          <w:tcPr>
            <w:tcW w:type="dxa" w:w="818"/>
            <w:shd w:val="clear" w:color="auto" w:fill="4A4A4A"/>
          </w:tcPr>
          <w:p>
            <w:pPr>
              <w:spacing w:after="0"/>
              <w:jc w:val="right"/>
            </w:pPr>
            <w:r>
              <w:rPr>
                <w:rFonts w:ascii="Calibri" w:hAnsi="Calibri"/>
                <w:b/>
                <w:color w:val="FFFFFF"/>
                <w:sz w:val="18"/>
              </w:rPr>
              <w:t>Qty</w:t>
            </w:r>
          </w:p>
        </w:tc>
        <w:tc>
          <w:tcPr>
            <w:tcW w:type="dxa" w:w="1468"/>
            <w:shd w:val="clear" w:color="auto" w:fill="4A4A4A"/>
          </w:tcPr>
          <w:p>
            <w:pPr>
              <w:spacing w:after="0"/>
            </w:pPr>
            <w:r>
              <w:rPr>
                <w:rFonts w:ascii="Calibri" w:hAnsi="Calibri"/>
                <w:b/>
                <w:color w:val="FFFFFF"/>
                <w:sz w:val="18"/>
              </w:rPr>
              <w:t>UoM</w:t>
            </w:r>
          </w:p>
        </w:tc>
        <w:tc>
          <w:tcPr>
            <w:tcW w:type="dxa" w:w="1469"/>
            <w:shd w:val="clear" w:color="auto" w:fill="4A4A4A"/>
          </w:tcPr>
          <w:p>
            <w:pPr>
              <w:spacing w:after="0"/>
              <w:jc w:val="right"/>
            </w:pPr>
            <w:r>
              <w:rPr>
                <w:rFonts w:ascii="Calibri" w:hAnsi="Calibri"/>
                <w:b/>
                <w:color w:val="FFFFFF"/>
                <w:sz w:val="18"/>
              </w:rPr>
              <w:t>Unit Price</w:t>
            </w:r>
          </w:p>
        </w:tc>
        <w:tc>
          <w:tcPr>
            <w:tcW w:type="dxa" w:w="1278"/>
            <w:shd w:val="clear" w:color="auto" w:fill="4A4A4A"/>
          </w:tcPr>
          <w:p>
            <w:pPr>
              <w:spacing w:after="0"/>
              <w:jc w:val="right"/>
            </w:pPr>
            <w:r>
              <w:rPr>
                <w:rFonts w:ascii="Calibri" w:hAnsi="Calibri"/>
                <w:b/>
                <w:color w:val="FFFFFF"/>
                <w:sz w:val="18"/>
              </w:rPr>
              <w:t>Sub-Total</w:t>
            </w:r>
          </w:p>
        </w:tc>
      </w:tr>
      <w:tr>
        <w:tc>
          <w:tcPr>
            <w:tcW w:type="dxa" w:w="441"/>
          </w:tcPr>
          <w:p>
            <w:pPr>
              <w:spacing w:after="0"/>
            </w:pPr>
            <w:r>
              <w:rPr>
                <w:rFonts w:ascii="Calibri" w:hAnsi="Calibri"/>
                <w:b w:val="0"/>
                <w:color w:val="404040"/>
                <w:sz w:val="20"/>
              </w:rPr>
              <w:t>1</w:t>
            </w:r>
          </w:p>
        </w:tc>
        <w:tc>
          <w:tcPr>
            <w:tcW w:type="dxa" w:w="4272"/>
          </w:tcPr>
          <w:p>
            <w:pPr>
              <w:spacing w:after="0"/>
            </w:pPr>
            <w:r>
              <w:rPr>
                <w:rFonts w:ascii="Calibri" w:hAnsi="Calibri"/>
                <w:b/>
                <w:color w:val="404040"/>
                <w:sz w:val="18"/>
              </w:rPr>
              <w:t>1/4M-TF-BF-A5052</w:t>
            </w:r>
          </w:p>
        </w:tc>
        <w:tc>
          <w:tcPr>
            <w:tcW w:type="dxa" w:w="818"/>
          </w:tcPr>
          <w:p>
            <w:pPr>
              <w:spacing w:after="0"/>
              <w:jc w:val="right"/>
            </w:pPr>
            <w:r>
              <w:rPr>
                <w:rFonts w:ascii="Calibri" w:hAnsi="Calibri"/>
                <w:b w:val="0"/>
                <w:color w:val="404040"/>
                <w:sz w:val="18"/>
              </w:rPr>
              <w:t>1</w:t>
            </w:r>
          </w:p>
        </w:tc>
        <w:tc>
          <w:tcPr>
            <w:tcW w:type="dxa" w:w="1468"/>
          </w:tcPr>
          <w:p>
            <w:pPr>
              <w:spacing w:after="0"/>
            </w:pPr>
            <w:r>
              <w:rPr>
                <w:rFonts w:ascii="Calibri" w:hAnsi="Calibri"/>
                <w:b w:val="0"/>
                <w:color w:val="666666"/>
                <w:sz w:val="18"/>
              </w:rPr>
              <w:t>pcs</w:t>
            </w:r>
          </w:p>
        </w:tc>
        <w:tc>
          <w:tcPr>
            <w:tcW w:type="dxa" w:w="1469"/>
          </w:tcPr>
          <w:p>
            <w:pPr>
              <w:spacing w:after="0"/>
              <w:jc w:val="right"/>
            </w:pPr>
            <w:r>
              <w:rPr>
                <w:rFonts w:ascii="Calibri" w:hAnsi="Calibri"/>
                <w:b w:val="0"/>
                <w:color w:val="404040"/>
                <w:sz w:val="18"/>
              </w:rPr>
              <w:t>728.00</w:t>
            </w:r>
          </w:p>
        </w:tc>
        <w:tc>
          <w:tcPr>
            <w:tcW w:type="dxa" w:w="1278"/>
          </w:tcPr>
          <w:p>
            <w:pPr>
              <w:spacing w:after="0"/>
              <w:jc w:val="right"/>
            </w:pPr>
            <w:r>
              <w:rPr>
                <w:rFonts w:ascii="Calibri" w:hAnsi="Calibri"/>
                <w:b w:val="0"/>
                <w:color w:val="404040"/>
                <w:sz w:val="18"/>
              </w:rPr>
              <w:t>728.00</w:t>
            </w:r>
          </w:p>
        </w:tc>
      </w:tr>
      <w:tr>
        <w:tc>
          <w:tcPr>
            <w:tcW w:type="dxa" w:w="441"/>
          </w:tcPr>
          <w:p/>
        </w:tc>
        <w:tc>
          <w:tcPr>
            <w:tcW w:type="dxa" w:w="4272"/>
          </w:tcPr>
          <w:p/>
        </w:tc>
        <w:tc>
          <w:tcPr>
            <w:tcW w:type="dxa" w:w="818"/>
          </w:tcPr>
          <w:p/>
        </w:tc>
        <w:tc>
          <w:tcPr>
            <w:tcW w:type="dxa" w:w="1468"/>
          </w:tcPr>
          <w:p/>
        </w:tc>
        <w:tc>
          <w:tcPr>
            <w:tcW w:type="dxa" w:w="1469"/>
          </w:tcPr>
          <w:p/>
        </w:tc>
        <w:tc>
          <w:tcPr>
            <w:tcW w:type="dxa" w:w="1278"/>
          </w:tcPr>
          <w:p/>
        </w:tc>
      </w:tr>
      <w:tr>
        <w:tc>
          <w:tcPr>
            <w:tcW w:type="dxa" w:w="441"/>
            <w:tcBorders>
              <w:top w:val="single" w:sz="2" w:color="CCCCCC"/>
            </w:tcBorders>
          </w:tcPr>
          <w:p/>
        </w:tc>
        <w:tc>
          <w:tcPr>
            <w:tcW w:type="dxa" w:w="4272"/>
            <w:tcBorders>
              <w:top w:val="single" w:sz="2" w:color="CCCCCC"/>
            </w:tcBorders>
          </w:tcPr>
          <w:p/>
        </w:tc>
        <w:tc>
          <w:tcPr>
            <w:tcW w:type="dxa" w:w="818"/>
            <w:tcBorders>
              <w:top w:val="single" w:sz="2" w:color="CCCCCC"/>
            </w:tcBorders>
          </w:tcPr>
          <w:p/>
        </w:tc>
        <w:tc>
          <w:tcPr>
            <w:tcW w:type="dxa" w:w="1468"/>
            <w:tcBorders>
              <w:top w:val="single" w:sz="2" w:color="CCCCCC"/>
            </w:tcBorders>
          </w:tcPr>
          <w:p/>
        </w:tc>
        <w:tc>
          <w:tcPr>
            <w:tcW w:type="dxa" w:w="1469"/>
            <w:tcBorders>
              <w:top w:val="single" w:sz="2" w:color="CCCCCC"/>
            </w:tcBorders>
          </w:tcPr>
          <w:p/>
        </w:tc>
        <w:tc>
          <w:tcPr>
            <w:tcW w:type="dxa" w:w="1278"/>
            <w:tcBorders>
              <w:top w:val="single" w:sz="2" w:color="CCCCCC"/>
            </w:tcBorders>
          </w:tcPr>
          <w:p/>
        </w:tc>
      </w:tr>
      <w:tr>
        <w:tc>
          <w:tcPr>
            <w:tcW w:type="dxa" w:w="441"/>
          </w:tcPr>
          <w:p>
            <w:pPr>
              <w:spacing w:after="0"/>
            </w:pPr>
            <w:r>
              <w:rPr>
                <w:rFonts w:ascii="Calibri" w:hAnsi="Calibri"/>
                <w:b w:val="0"/>
                <w:color w:val="404040"/>
                <w:sz w:val="20"/>
              </w:rPr>
              <w:t>2</w:t>
            </w:r>
          </w:p>
        </w:tc>
        <w:tc>
          <w:tcPr>
            <w:tcW w:type="dxa" w:w="4272"/>
          </w:tcPr>
          <w:p>
            <w:pPr>
              <w:spacing w:after="0"/>
            </w:pPr>
            <w:r>
              <w:rPr>
                <w:rFonts w:ascii="Calibri" w:hAnsi="Calibri"/>
                <w:b/>
                <w:color w:val="404040"/>
                <w:sz w:val="18"/>
              </w:rPr>
              <w:t>1/4M-TF-BF-ABS</w:t>
            </w:r>
          </w:p>
        </w:tc>
        <w:tc>
          <w:tcPr>
            <w:tcW w:type="dxa" w:w="818"/>
          </w:tcPr>
          <w:p>
            <w:pPr>
              <w:spacing w:after="0"/>
              <w:jc w:val="right"/>
            </w:pPr>
            <w:r>
              <w:rPr>
                <w:rFonts w:ascii="Calibri" w:hAnsi="Calibri"/>
                <w:b w:val="0"/>
                <w:color w:val="404040"/>
                <w:sz w:val="18"/>
              </w:rPr>
              <w:t>1</w:t>
            </w:r>
          </w:p>
        </w:tc>
        <w:tc>
          <w:tcPr>
            <w:tcW w:type="dxa" w:w="1468"/>
          </w:tcPr>
          <w:p>
            <w:pPr>
              <w:spacing w:after="0"/>
            </w:pPr>
            <w:r>
              <w:rPr>
                <w:rFonts w:ascii="Calibri" w:hAnsi="Calibri"/>
                <w:b w:val="0"/>
                <w:color w:val="666666"/>
                <w:sz w:val="18"/>
              </w:rPr>
              <w:t>pcs</w:t>
            </w:r>
          </w:p>
        </w:tc>
        <w:tc>
          <w:tcPr>
            <w:tcW w:type="dxa" w:w="1469"/>
          </w:tcPr>
          <w:p>
            <w:pPr>
              <w:spacing w:after="0"/>
              <w:jc w:val="right"/>
            </w:pPr>
            <w:r>
              <w:rPr>
                <w:rFonts w:ascii="Calibri" w:hAnsi="Calibri"/>
                <w:b w:val="0"/>
                <w:color w:val="404040"/>
                <w:sz w:val="18"/>
              </w:rPr>
              <w:t>503.00</w:t>
            </w:r>
          </w:p>
        </w:tc>
        <w:tc>
          <w:tcPr>
            <w:tcW w:type="dxa" w:w="1278"/>
          </w:tcPr>
          <w:p>
            <w:pPr>
              <w:spacing w:after="0"/>
              <w:jc w:val="right"/>
            </w:pPr>
            <w:r>
              <w:rPr>
                <w:rFonts w:ascii="Calibri" w:hAnsi="Calibri"/>
                <w:b w:val="0"/>
                <w:color w:val="404040"/>
                <w:sz w:val="18"/>
              </w:rPr>
              <w:t>503.00</w:t>
            </w:r>
          </w:p>
        </w:tc>
      </w:tr>
      <w:tr>
        <w:tc>
          <w:tcPr>
            <w:tcW w:type="dxa" w:w="441"/>
          </w:tcPr>
          <w:p/>
        </w:tc>
        <w:tc>
          <w:tcPr>
            <w:tcW w:type="dxa" w:w="4272"/>
          </w:tcPr>
          <w:p/>
        </w:tc>
        <w:tc>
          <w:tcPr>
            <w:tcW w:type="dxa" w:w="818"/>
          </w:tcPr>
          <w:p/>
        </w:tc>
        <w:tc>
          <w:tcPr>
            <w:tcW w:type="dxa" w:w="1468"/>
          </w:tcPr>
          <w:p/>
        </w:tc>
        <w:tc>
          <w:tcPr>
            <w:tcW w:type="dxa" w:w="1469"/>
          </w:tcPr>
          <w:p/>
        </w:tc>
        <w:tc>
          <w:tcPr>
            <w:tcW w:type="dxa" w:w="1278"/>
          </w:tcPr>
          <w:p/>
        </w:tc>
      </w:tr>
    </w:tbl>
    <w:p>
      <w:pPr>
        <w:spacing w:before="0" w:after="40"/>
      </w:pPr>
    </w:p>
    <w:tbl>
      <w:tblPr>
        <w:tblW w:type="auto" w:w="0"/>
        <w:tblLayout w:type="fixed"/>
        <w:tblLook w:firstColumn="1" w:firstRow="1" w:lastColumn="0" w:lastRow="0" w:noHBand="0" w:noVBand="1" w:val="04A0"/>
      </w:tblPr>
      <w:tblGrid>
        <w:gridCol w:w="3249"/>
        <w:gridCol w:w="3249"/>
        <w:gridCol w:w="3249"/>
      </w:tblGrid>
      <w:tr>
        <w:tc>
          <w:tcPr>
            <w:tcW w:type="dxa" w:w="6742"/>
            <w:tcBorders>
              <w:top w:val="single" w:sz="2" w:color="CCCCCC"/>
            </w:tcBorders>
          </w:tcPr>
          <w:p/>
        </w:tc>
        <w:tc>
          <w:tcPr>
            <w:tcW w:type="dxa" w:w="1500"/>
            <w:tcBorders>
              <w:top w:val="single" w:sz="2" w:color="CCCCCC"/>
            </w:tcBorders>
          </w:tcPr>
          <w:p/>
        </w:tc>
        <w:tc>
          <w:tcPr>
            <w:tcW w:type="dxa" w:w="1504"/>
            <w:tcBorders>
              <w:top w:val="single" w:sz="2" w:color="CCCCCC"/>
            </w:tcBorders>
          </w:tcPr>
          <w:p/>
        </w:tc>
      </w:tr>
      <w:tr>
        <w:tc>
          <w:tcPr>
            <w:tcW w:type="dxa" w:w="6742"/>
          </w:tcPr>
          <w:p/>
        </w:tc>
        <w:tc>
          <w:tcPr>
            <w:tcW w:type="dxa" w:w="1500"/>
          </w:tcPr>
          <w:p>
            <w:pPr>
              <w:spacing w:after="0"/>
              <w:jc w:val="right"/>
            </w:pPr>
            <w:r>
              <w:rPr>
                <w:rFonts w:ascii="Calibri" w:hAnsi="Calibri"/>
                <w:b w:val="0"/>
                <w:color w:val="666666"/>
                <w:sz w:val="18"/>
              </w:rPr>
              <w:t>Sub Total</w:t>
            </w:r>
          </w:p>
        </w:tc>
        <w:tc>
          <w:tcPr>
            <w:tcW w:type="dxa" w:w="1504"/>
          </w:tcPr>
          <w:p>
            <w:pPr>
              <w:spacing w:after="0"/>
              <w:jc w:val="right"/>
            </w:pPr>
            <w:r>
              <w:rPr>
                <w:rFonts w:ascii="Calibri" w:hAnsi="Calibri"/>
                <w:b w:val="0"/>
                <w:color w:val="666666"/>
                <w:sz w:val="18"/>
              </w:rPr>
              <w:t>1,231.00</w:t>
            </w:r>
          </w:p>
        </w:tc>
      </w:tr>
      <w:tr>
        <w:tc>
          <w:tcPr>
            <w:tcW w:type="dxa" w:w="6742"/>
          </w:tcPr>
          <w:p/>
        </w:tc>
        <w:tc>
          <w:tcPr>
            <w:tcW w:type="dxa" w:w="1500"/>
          </w:tcPr>
          <w:p>
            <w:pPr>
              <w:spacing w:after="0"/>
              <w:jc w:val="right"/>
            </w:pPr>
            <w:r>
              <w:rPr>
                <w:rFonts w:ascii="Calibri" w:hAnsi="Calibri"/>
                <w:b w:val="0"/>
                <w:color w:val="666666"/>
                <w:sz w:val="18"/>
              </w:rPr>
              <w:t>GST (15%)</w:t>
            </w:r>
          </w:p>
        </w:tc>
        <w:tc>
          <w:tcPr>
            <w:tcW w:type="dxa" w:w="1504"/>
          </w:tcPr>
          <w:p>
            <w:pPr>
              <w:spacing w:after="0"/>
              <w:jc w:val="right"/>
            </w:pPr>
            <w:r>
              <w:rPr>
                <w:rFonts w:ascii="Calibri" w:hAnsi="Calibri"/>
                <w:b w:val="0"/>
                <w:color w:val="666666"/>
                <w:sz w:val="18"/>
              </w:rPr>
              <w:t>184.65</w:t>
            </w:r>
          </w:p>
        </w:tc>
      </w:tr>
      <w:tr>
        <w:tc>
          <w:tcPr>
            <w:tcW w:type="dxa" w:w="6742"/>
            <w:tcBorders>
              <w:top w:val="single" w:sz="2" w:color="CCCCCC"/>
            </w:tcBorders>
          </w:tcPr>
          <w:p/>
        </w:tc>
        <w:tc>
          <w:tcPr>
            <w:tcW w:type="dxa" w:w="1500"/>
            <w:tcBorders>
              <w:top w:val="single" w:sz="2" w:color="CCCCCC"/>
            </w:tcBorders>
          </w:tcPr>
          <w:p/>
        </w:tc>
        <w:tc>
          <w:tcPr>
            <w:tcW w:type="dxa" w:w="1504"/>
            <w:tcBorders>
              <w:top w:val="single" w:sz="2" w:color="CCCCCC"/>
            </w:tcBorders>
          </w:tcPr>
          <w:p/>
        </w:tc>
      </w:tr>
      <w:tr>
        <w:tc>
          <w:tcPr>
            <w:tcW w:type="dxa" w:w="6742"/>
          </w:tcPr>
          <w:p/>
        </w:tc>
        <w:tc>
          <w:tcPr>
            <w:tcW w:type="dxa" w:w="1500"/>
          </w:tcPr>
          <w:p>
            <w:pPr>
              <w:spacing w:after="0"/>
              <w:jc w:val="right"/>
            </w:pPr>
            <w:r>
              <w:rPr>
                <w:rFonts w:ascii="Calibri" w:hAnsi="Calibri"/>
                <w:b/>
                <w:color w:val="404040"/>
                <w:sz w:val="20"/>
              </w:rPr>
              <w:t>Total</w:t>
            </w:r>
          </w:p>
        </w:tc>
        <w:tc>
          <w:tcPr>
            <w:tcW w:type="dxa" w:w="1504"/>
          </w:tcPr>
          <w:p>
            <w:pPr>
              <w:spacing w:after="0"/>
              <w:jc w:val="right"/>
            </w:pPr>
            <w:r>
              <w:rPr>
                <w:rFonts w:ascii="Calibri" w:hAnsi="Calibri"/>
                <w:b/>
                <w:color w:val="404040"/>
                <w:sz w:val="20"/>
              </w:rPr>
              <w:t>NZD1,415.65</w:t>
            </w:r>
          </w:p>
        </w:tc>
      </w:tr>
    </w:tbl>
    <w:p>
      <w:pPr>
        <w:spacing w:before="300" w:after="100"/>
      </w:pPr>
      <w:r>
        <w:rPr>
          <w:rFonts w:ascii="Calibri" w:hAnsi="Calibri"/>
          <w:b w:val="0"/>
          <w:color w:val="666666"/>
          <w:sz w:val="22"/>
        </w:rPr>
        <w:t>Notes</w:t>
      </w:r>
    </w:p>
    <w:p>
      <w:pPr>
        <w:spacing w:before="0" w:after="40"/>
      </w:pPr>
      <w:r>
        <w:rPr>
          <w:rFonts w:ascii="Calibri" w:hAnsi="Calibri"/>
          <w:b w:val="0"/>
          <w:color w:val="666666"/>
          <w:sz w:val="18"/>
        </w:rPr>
        <w:t>Delivery: approx. 3-4 weeks</w:t>
      </w:r>
    </w:p>
    <w:p>
      <w:pPr>
        <w:spacing w:before="0" w:after="40"/>
      </w:pPr>
      <w:r>
        <w:rPr>
          <w:rFonts w:ascii="Calibri" w:hAnsi="Calibri"/>
          <w:b w:val="0"/>
          <w:color w:val="666666"/>
          <w:sz w:val="18"/>
        </w:rPr>
        <w:t>Shipping terms: ex-works.</w:t>
      </w:r>
    </w:p>
    <w:p>
      <w:pPr>
        <w:spacing w:before="0" w:after="40"/>
      </w:pPr>
      <w:r>
        <w:rPr>
          <w:rFonts w:ascii="Calibri" w:hAnsi="Calibri"/>
          <w:b w:val="0"/>
          <w:color w:val="666666"/>
          <w:sz w:val="18"/>
        </w:rPr>
        <w:t>Prices are GST exclusive.</w:t>
      </w:r>
    </w:p>
    <w:p>
      <w:pPr>
        <w:spacing w:before="0" w:after="40"/>
      </w:pPr>
      <w:r>
        <w:rPr>
          <w:rFonts w:ascii="Calibri" w:hAnsi="Calibri"/>
          <w:b w:val="0"/>
          <w:color w:val="666666"/>
          <w:sz w:val="18"/>
        </w:rPr>
        <w:t>Order by emailing to Info@NozzleWorks.co.nz.</w:t>
      </w:r>
    </w:p>
    <w:p>
      <w:pPr>
        <w:spacing w:before="300" w:after="100"/>
      </w:pPr>
      <w:r>
        <w:rPr>
          <w:rFonts w:ascii="Calibri" w:hAnsi="Calibri"/>
          <w:b w:val="0"/>
          <w:color w:val="666666"/>
          <w:sz w:val="22"/>
        </w:rPr>
        <w:t>Terms &amp; Conditions</w:t>
      </w:r>
    </w:p>
    <w:p>
      <w:pPr>
        <w:spacing w:before="0" w:after="40"/>
      </w:pPr>
      <w:r>
        <w:rPr>
          <w:rFonts w:ascii="Calibri" w:hAnsi="Calibri"/>
          <w:b w:val="0"/>
          <w:color w:val="666666"/>
          <w:sz w:val="18"/>
        </w:rPr>
        <w:t>Shipping: Ex works</w:t>
      </w:r>
    </w:p>
    <w:p>
      <w:pPr>
        <w:spacing w:before="0" w:after="40"/>
      </w:pPr>
      <w:r>
        <w:rPr>
          <w:rFonts w:ascii="Calibri" w:hAnsi="Calibri"/>
          <w:b w:val="0"/>
          <w:color w:val="666666"/>
          <w:sz w:val="18"/>
        </w:rPr>
        <w:t>Payment: On account, 20th month following date of invoice</w:t>
      </w:r>
    </w:p>
    <w:p>
      <w:pPr>
        <w:spacing w:before="0" w:after="40"/>
      </w:pPr>
      <w:r>
        <w:rPr>
          <w:rFonts w:ascii="Calibri" w:hAnsi="Calibri"/>
          <w:b w:val="0"/>
          <w:color w:val="666666"/>
          <w:sz w:val="18"/>
        </w:rPr>
        <w:t>Validity: 30 days</w:t>
      </w:r>
    </w:p>
    <w:p>
      <w:pPr>
        <w:sectPr>
          <w:footerReference w:type="default" r:id="rId9"/>
          <w:pgSz w:w="11906" w:h="16838"/>
          <w:pgMar w:top="1080" w:right="1080" w:bottom="1440" w:left="1080" w:header="720" w:footer="720" w:gutter="0"/>
          <w:cols w:space="720"/>
          <w:docGrid w:linePitch="360"/>
        </w:sectPr>
      </w:pPr>
    </w:p>
    <w:p>
      <w:pPr>
        <w:spacing w:before="0" w:after="160"/>
      </w:pPr>
      <w:r>
        <w:rPr>
          <w:rFonts w:ascii="Calibri" w:hAnsi="Calibri"/>
          <w:b/>
          <w:color w:val="404040"/>
          <w:sz w:val="18"/>
        </w:rPr>
        <w:t>NOZZLEWORKS GENERAL TERMS AND CONDITIONS</w:t>
      </w:r>
    </w:p>
    <w:p>
      <w:pPr>
        <w:spacing w:before="0" w:after="200"/>
      </w:pPr>
      <w:r>
        <w:rPr>
          <w:rFonts w:ascii="Calibri" w:hAnsi="Calibri"/>
          <w:b w:val="0"/>
          <w:color w:val="666666"/>
          <w:sz w:val="17"/>
        </w:rPr>
        <w:t>V1 July 2025</w:t>
      </w:r>
    </w:p>
    <w:p>
      <w:pPr>
        <w:spacing w:before="200" w:after="80"/>
      </w:pPr>
      <w:r>
        <w:rPr>
          <w:rFonts w:ascii="Calibri" w:hAnsi="Calibri"/>
          <w:b/>
          <w:color w:val="404040"/>
          <w:sz w:val="18"/>
        </w:rPr>
        <w:t>1. Definitions</w:t>
      </w:r>
    </w:p>
    <w:p>
      <w:pPr>
        <w:spacing w:before="0" w:after="60"/>
      </w:pPr>
      <w:r>
        <w:rPr>
          <w:rFonts w:ascii="Calibri" w:hAnsi="Calibri"/>
          <w:b w:val="0"/>
          <w:color w:val="666666"/>
          <w:sz w:val="17"/>
        </w:rPr>
        <w:t>“Seller” means NozzleWorks Ltd.</w:t>
      </w:r>
    </w:p>
    <w:p>
      <w:pPr>
        <w:spacing w:before="0" w:after="60"/>
      </w:pPr>
      <w:r>
        <w:rPr>
          <w:rFonts w:ascii="Calibri" w:hAnsi="Calibri"/>
          <w:b w:val="0"/>
          <w:color w:val="666666"/>
          <w:sz w:val="17"/>
        </w:rPr>
        <w:t>“Buyer” means the purchaser of goods and/or services from the Seller.</w:t>
      </w:r>
    </w:p>
    <w:p>
      <w:pPr>
        <w:spacing w:before="0" w:after="60"/>
      </w:pPr>
      <w:r>
        <w:rPr>
          <w:rFonts w:ascii="Calibri" w:hAnsi="Calibri"/>
          <w:b w:val="0"/>
          <w:color w:val="666666"/>
          <w:sz w:val="17"/>
        </w:rPr>
        <w:t>“Goods” means all equipment, parts, and materials supplied by the Seller.</w:t>
      </w:r>
    </w:p>
    <w:p>
      <w:pPr>
        <w:spacing w:before="0" w:after="60"/>
      </w:pPr>
      <w:r>
        <w:rPr>
          <w:rFonts w:ascii="Calibri" w:hAnsi="Calibri"/>
          <w:b w:val="0"/>
          <w:color w:val="666666"/>
          <w:sz w:val="17"/>
        </w:rPr>
        <w:t>“Services” means all services provided by the Seller including advice or recommendations.</w:t>
      </w:r>
    </w:p>
    <w:p>
      <w:pPr>
        <w:spacing w:before="0" w:after="60"/>
      </w:pPr>
      <w:r>
        <w:rPr>
          <w:rFonts w:ascii="Calibri" w:hAnsi="Calibri"/>
          <w:b w:val="0"/>
          <w:color w:val="666666"/>
          <w:sz w:val="17"/>
        </w:rPr>
        <w:t>“Price” means the price payable for the Goods and/or Services, as agreed.</w:t>
      </w:r>
    </w:p>
    <w:p>
      <w:pPr>
        <w:spacing w:before="200" w:after="80"/>
      </w:pPr>
      <w:r>
        <w:rPr>
          <w:rFonts w:ascii="Calibri" w:hAnsi="Calibri"/>
          <w:b/>
          <w:color w:val="404040"/>
          <w:sz w:val="18"/>
        </w:rPr>
        <w:t>2. Price &amp; Payment</w:t>
      </w:r>
    </w:p>
    <w:p>
      <w:pPr>
        <w:spacing w:before="0" w:after="60"/>
      </w:pPr>
      <w:r>
        <w:rPr>
          <w:rFonts w:ascii="Calibri" w:hAnsi="Calibri"/>
          <w:b w:val="0"/>
          <w:color w:val="666666"/>
          <w:sz w:val="17"/>
        </w:rPr>
        <w:t>2.1 Prices are exclusive of GST, freight, and insurance unless stated otherwise.</w:t>
      </w:r>
    </w:p>
    <w:p>
      <w:pPr>
        <w:spacing w:before="0" w:after="60"/>
      </w:pPr>
      <w:r>
        <w:rPr>
          <w:rFonts w:ascii="Calibri" w:hAnsi="Calibri"/>
          <w:b w:val="0"/>
          <w:color w:val="666666"/>
          <w:sz w:val="17"/>
        </w:rPr>
        <w:t>2.2 Payment is due in full by the 20th day of the month following the date of invoice, unless agreed otherwise in writing.</w:t>
      </w:r>
    </w:p>
    <w:p>
      <w:pPr>
        <w:spacing w:before="0" w:after="60"/>
      </w:pPr>
      <w:r>
        <w:rPr>
          <w:rFonts w:ascii="Calibri" w:hAnsi="Calibri"/>
          <w:b w:val="0"/>
          <w:color w:val="666666"/>
          <w:sz w:val="17"/>
        </w:rPr>
        <w:t>2.3 Interest may be charged on overdue accounts at 2% per month.</w:t>
      </w:r>
    </w:p>
    <w:p>
      <w:pPr>
        <w:spacing w:before="0" w:after="60"/>
      </w:pPr>
      <w:r>
        <w:rPr>
          <w:rFonts w:ascii="Calibri" w:hAnsi="Calibri"/>
          <w:b w:val="0"/>
          <w:color w:val="666666"/>
          <w:sz w:val="17"/>
        </w:rPr>
        <w:t>2.4 Ownership of Goods remains with the Seller until full payment has been received.</w:t>
      </w:r>
    </w:p>
    <w:p>
      <w:pPr>
        <w:spacing w:before="200" w:after="80"/>
      </w:pPr>
      <w:r>
        <w:rPr>
          <w:rFonts w:ascii="Calibri" w:hAnsi="Calibri"/>
          <w:b/>
          <w:color w:val="404040"/>
          <w:sz w:val="18"/>
        </w:rPr>
        <w:t>3. Delivery</w:t>
      </w:r>
    </w:p>
    <w:p>
      <w:pPr>
        <w:spacing w:before="0" w:after="60"/>
      </w:pPr>
      <w:r>
        <w:rPr>
          <w:rFonts w:ascii="Calibri" w:hAnsi="Calibri"/>
          <w:b w:val="0"/>
          <w:color w:val="666666"/>
          <w:sz w:val="17"/>
        </w:rPr>
        <w:t>3.1 Delivery dates are estimates only and the Seller is not liable for delays beyond its reasonable control.</w:t>
      </w:r>
    </w:p>
    <w:p>
      <w:pPr>
        <w:spacing w:before="0" w:after="60"/>
      </w:pPr>
      <w:r>
        <w:rPr>
          <w:rFonts w:ascii="Calibri" w:hAnsi="Calibri"/>
          <w:b w:val="0"/>
          <w:color w:val="666666"/>
          <w:sz w:val="17"/>
        </w:rPr>
        <w:t>3.2 Risk passes to the Buyer upon delivery.</w:t>
      </w:r>
    </w:p>
    <w:p>
      <w:pPr>
        <w:spacing w:before="0" w:after="60"/>
      </w:pPr>
      <w:r>
        <w:rPr>
          <w:rFonts w:ascii="Calibri" w:hAnsi="Calibri"/>
          <w:b w:val="0"/>
          <w:color w:val="666666"/>
          <w:sz w:val="17"/>
        </w:rPr>
        <w:t>3.3 Additional charges may apply for redelivery if the Buyer is unable to accept Goods at the arranged time.</w:t>
      </w:r>
    </w:p>
    <w:p>
      <w:pPr>
        <w:spacing w:before="200" w:after="80"/>
      </w:pPr>
      <w:r>
        <w:rPr>
          <w:rFonts w:ascii="Calibri" w:hAnsi="Calibri"/>
          <w:b/>
          <w:color w:val="404040"/>
          <w:sz w:val="18"/>
        </w:rPr>
        <w:t>4. Warranty</w:t>
      </w:r>
    </w:p>
    <w:p>
      <w:pPr>
        <w:spacing w:before="0" w:after="60"/>
      </w:pPr>
      <w:r>
        <w:rPr>
          <w:rFonts w:ascii="Calibri" w:hAnsi="Calibri"/>
          <w:b w:val="0"/>
          <w:color w:val="666666"/>
          <w:sz w:val="17"/>
        </w:rPr>
        <w:t>4.1 The Seller warrants Goods will be free from material defects in workmanship and materials for 12 months from delivery, subject to proper use.</w:t>
      </w:r>
    </w:p>
    <w:p>
      <w:pPr>
        <w:spacing w:before="0" w:after="60"/>
      </w:pPr>
      <w:r>
        <w:rPr>
          <w:rFonts w:ascii="Calibri" w:hAnsi="Calibri"/>
          <w:b w:val="0"/>
          <w:color w:val="666666"/>
          <w:sz w:val="17"/>
        </w:rPr>
        <w:t>4.2 For Goods not manufactured by the Seller, the warranty is limited to that provided by the manufacturer.</w:t>
      </w:r>
    </w:p>
    <w:p>
      <w:pPr>
        <w:spacing w:before="0" w:after="60"/>
      </w:pPr>
      <w:r>
        <w:rPr>
          <w:rFonts w:ascii="Calibri" w:hAnsi="Calibri"/>
          <w:b w:val="0"/>
          <w:color w:val="666666"/>
          <w:sz w:val="17"/>
        </w:rPr>
        <w:t>4.3 The Seller’s liability under warranty is limited to repair, replacement, or refund at its discretion.</w:t>
      </w:r>
    </w:p>
    <w:p>
      <w:pPr>
        <w:spacing w:before="200" w:after="80"/>
      </w:pPr>
      <w:r>
        <w:rPr>
          <w:rFonts w:ascii="Calibri" w:hAnsi="Calibri"/>
          <w:b/>
          <w:color w:val="404040"/>
          <w:sz w:val="18"/>
        </w:rPr>
        <w:t>5. Returns &amp; Defects</w:t>
      </w:r>
    </w:p>
    <w:p>
      <w:pPr>
        <w:spacing w:before="0" w:after="60"/>
      </w:pPr>
      <w:r>
        <w:rPr>
          <w:rFonts w:ascii="Calibri" w:hAnsi="Calibri"/>
          <w:b w:val="0"/>
          <w:color w:val="666666"/>
          <w:sz w:val="17"/>
        </w:rPr>
        <w:t>5.1 The Buyer must inspect Goods on delivery and notify the Seller of defects or shortages within 7 days.</w:t>
      </w:r>
    </w:p>
    <w:p>
      <w:pPr>
        <w:spacing w:before="0" w:after="60"/>
      </w:pPr>
      <w:r>
        <w:rPr>
          <w:rFonts w:ascii="Calibri" w:hAnsi="Calibri"/>
          <w:b w:val="0"/>
          <w:color w:val="666666"/>
          <w:sz w:val="17"/>
        </w:rPr>
        <w:t>5.2 Returns require the Seller’s prior written approval and may be subject to restocking charges.</w:t>
      </w:r>
    </w:p>
    <w:p>
      <w:pPr>
        <w:spacing w:before="200" w:after="80"/>
      </w:pPr>
      <w:r>
        <w:rPr>
          <w:rFonts w:ascii="Calibri" w:hAnsi="Calibri"/>
          <w:b/>
          <w:color w:val="404040"/>
          <w:sz w:val="18"/>
        </w:rPr>
        <w:t>6. Limited Liability</w:t>
      </w:r>
    </w:p>
    <w:p>
      <w:pPr>
        <w:spacing w:before="0" w:after="60"/>
      </w:pPr>
      <w:r>
        <w:rPr>
          <w:rFonts w:ascii="Calibri" w:hAnsi="Calibri"/>
          <w:b w:val="0"/>
          <w:color w:val="666666"/>
          <w:sz w:val="17"/>
        </w:rPr>
        <w:t>6.1 To the maximum extent permitted by law:</w:t>
      </w:r>
    </w:p>
    <w:p>
      <w:pPr>
        <w:spacing w:before="0" w:after="60"/>
      </w:pPr>
      <w:r>
        <w:rPr>
          <w:rFonts w:ascii="Calibri" w:hAnsi="Calibri"/>
          <w:b w:val="0"/>
          <w:color w:val="666666"/>
          <w:sz w:val="17"/>
        </w:rPr>
        <w:t>6.2 The Seller shall not be liable for any indirect, incidental, or consequential losses, including but not limited to loss of profit, production downtime, or business interruption.</w:t>
      </w:r>
    </w:p>
    <w:p>
      <w:pPr>
        <w:spacing w:before="0" w:after="60"/>
      </w:pPr>
      <w:r>
        <w:rPr>
          <w:rFonts w:ascii="Calibri" w:hAnsi="Calibri"/>
          <w:b w:val="0"/>
          <w:color w:val="666666"/>
          <w:sz w:val="17"/>
        </w:rPr>
        <w:t>6.3 The Seller’s total liability, whether in contract, tort (including negligence), or otherwise, arising out of or in connection with the supply of Goods or Services, shall not exceed the total Price paid by the Buyer for the specific Goods or Services giving rise to the claim.</w:t>
      </w:r>
    </w:p>
    <w:p>
      <w:pPr>
        <w:spacing w:before="200" w:after="80"/>
      </w:pPr>
      <w:r>
        <w:rPr>
          <w:rFonts w:ascii="Calibri" w:hAnsi="Calibri"/>
          <w:b/>
          <w:color w:val="404040"/>
          <w:sz w:val="18"/>
        </w:rPr>
        <w:t>7. Force Majeure</w:t>
      </w:r>
    </w:p>
    <w:p>
      <w:pPr>
        <w:spacing w:before="0" w:after="60"/>
      </w:pPr>
      <w:r>
        <w:rPr>
          <w:rFonts w:ascii="Calibri" w:hAnsi="Calibri"/>
          <w:b w:val="0"/>
          <w:color w:val="666666"/>
          <w:sz w:val="17"/>
        </w:rPr>
        <w:t>7.1 The Seller shall not be liable for any delay or failure in delivery due to causes beyond its reasonable control, including natural disasters, industrial disputes, transport disruptions, equipment breakdown, or government restrictions.</w:t>
      </w:r>
    </w:p>
    <w:p>
      <w:pPr>
        <w:spacing w:before="200" w:after="80"/>
      </w:pPr>
      <w:r>
        <w:rPr>
          <w:rFonts w:ascii="Calibri" w:hAnsi="Calibri"/>
          <w:b/>
          <w:color w:val="404040"/>
          <w:sz w:val="18"/>
        </w:rPr>
        <w:t>8. Cancellation</w:t>
      </w:r>
    </w:p>
    <w:p>
      <w:pPr>
        <w:spacing w:before="0" w:after="60"/>
      </w:pPr>
      <w:r>
        <w:rPr>
          <w:rFonts w:ascii="Calibri" w:hAnsi="Calibri"/>
          <w:b w:val="0"/>
          <w:color w:val="666666"/>
          <w:sz w:val="17"/>
        </w:rPr>
        <w:t>8.1 The Seller may cancel any order prior to delivery by notice in writing and will refund any amounts paid.</w:t>
      </w:r>
    </w:p>
    <w:p>
      <w:pPr>
        <w:spacing w:before="0" w:after="60"/>
      </w:pPr>
      <w:r>
        <w:rPr>
          <w:rFonts w:ascii="Calibri" w:hAnsi="Calibri"/>
          <w:b w:val="0"/>
          <w:color w:val="666666"/>
          <w:sz w:val="17"/>
        </w:rPr>
        <w:t>8.2 If the Buyer cancels, the Buyer shall be liable for costs incurred and any loss of profit up to the date of cancellation.</w:t>
      </w:r>
    </w:p>
    <w:p>
      <w:pPr>
        <w:spacing w:before="200" w:after="80"/>
      </w:pPr>
      <w:r>
        <w:rPr>
          <w:rFonts w:ascii="Calibri" w:hAnsi="Calibri"/>
          <w:b/>
          <w:color w:val="404040"/>
          <w:sz w:val="18"/>
        </w:rPr>
        <w:t>9. Governing Law</w:t>
      </w:r>
    </w:p>
    <w:p>
      <w:pPr>
        <w:spacing w:before="0" w:after="60"/>
      </w:pPr>
      <w:r>
        <w:rPr>
          <w:rFonts w:ascii="Calibri" w:hAnsi="Calibri"/>
          <w:b w:val="0"/>
          <w:color w:val="666666"/>
          <w:sz w:val="17"/>
        </w:rPr>
        <w:t>9.1 These Terms are governed by the laws of New Zealand, and the parties submit to the exclusive jurisdiction of the New Zealand courts.</w:t>
      </w:r>
    </w:p>
    <w:sectPr w:rsidR="00FC693F" w:rsidRPr="0006063C" w:rsidSect="00034616">
      <w:footerReference w:type="default" r:id="rId1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CCCCCC"/>
      </w:pBdr>
      <w:tabs>
        <w:tab w:val="right" w:pos="9746"/>
      </w:tabs>
      <w:spacing w:before="120"/>
    </w:pPr>
    <w:r>
      <w:rPr>
        <w:rFonts w:ascii="Calibri" w:hAnsi="Calibri"/>
        <w:b w:val="0"/>
        <w:color w:val="666666"/>
        <w:sz w:val="14"/>
      </w:rPr>
      <w:t xml:space="preserve">POWERED BY  </w:t>
    </w:r>
    <w:r>
      <w:drawing>
        <wp:inline xmlns:a="http://schemas.openxmlformats.org/drawingml/2006/main" xmlns:pic="http://schemas.openxmlformats.org/drawingml/2006/picture">
          <wp:extent cx="762000" cy="97174"/>
          <wp:docPr id="1" name="Picture 1"/>
          <wp:cNvGraphicFramePr>
            <a:graphicFrameLocks noChangeAspect="1"/>
          </wp:cNvGraphicFramePr>
          <a:graphic>
            <a:graphicData uri="http://schemas.openxmlformats.org/drawingml/2006/picture">
              <pic:pic>
                <pic:nvPicPr>
                  <pic:cNvPr id="0" name="nozzleworks_logo.png"/>
                  <pic:cNvPicPr/>
                </pic:nvPicPr>
                <pic:blipFill>
                  <a:blip r:embed="rId1"/>
                  <a:stretch>
                    <a:fillRect/>
                  </a:stretch>
                </pic:blipFill>
                <pic:spPr>
                  <a:xfrm>
                    <a:off x="0" y="0"/>
                    <a:ext cx="762000" cy="97174"/>
                  </a:xfrm>
                  <a:prstGeom prst="rect"/>
                </pic:spPr>
              </pic:pic>
            </a:graphicData>
          </a:graphic>
        </wp:inline>
      </w:drawing>
    </w:r>
    <w:r>
      <w:rPr>
        <w:rFonts w:ascii="Calibri" w:hAnsi="Calibri"/>
        <w:b w:val="0"/>
        <w:color w:val="666666"/>
        <w:sz w:val="14"/>
      </w:rPr>
      <w:tab/>
    </w:r>
    <w:r>
      <w:rPr>
        <w:rFonts w:ascii="Calibri" w:hAnsi="Calibri"/>
        <w:b w:val="0"/>
        <w:color w:val="666666"/>
        <w:sz w:val="14"/>
      </w:rPr>
      <w:fldChar w:fldCharType="begin"/>
    </w:r>
    <w:r>
      <w:rPr>
        <w:rFonts w:ascii="Calibri" w:hAnsi="Calibri"/>
        <w:b w:val="0"/>
        <w:color w:val="666666"/>
        <w:sz w:val="14"/>
      </w:rPr>
      <w:instrText xml:space="preserve"> PAGE </w:instrText>
    </w:r>
    <w:r>
      <w:rPr>
        <w:rFonts w:ascii="Calibri" w:hAnsi="Calibri"/>
        <w:b w:val="0"/>
        <w:color w:val="666666"/>
        <w:sz w:val="1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CCCCCC"/>
      </w:pBdr>
      <w:tabs>
        <w:tab w:val="right" w:pos="9746"/>
      </w:tabs>
      <w:spacing w:before="120"/>
    </w:pPr>
    <w:r>
      <w:rPr>
        <w:rFonts w:ascii="Calibri" w:hAnsi="Calibri"/>
        <w:b w:val="0"/>
        <w:color w:val="666666"/>
        <w:sz w:val="14"/>
      </w:rPr>
      <w:t xml:space="preserve">POWERED BY  </w:t>
    </w:r>
    <w:r>
      <w:drawing>
        <wp:inline xmlns:a="http://schemas.openxmlformats.org/drawingml/2006/main" xmlns:pic="http://schemas.openxmlformats.org/drawingml/2006/picture">
          <wp:extent cx="762000" cy="97174"/>
          <wp:docPr id="1" name="Picture 1"/>
          <wp:cNvGraphicFramePr>
            <a:graphicFrameLocks noChangeAspect="1"/>
          </wp:cNvGraphicFramePr>
          <a:graphic>
            <a:graphicData uri="http://schemas.openxmlformats.org/drawingml/2006/picture">
              <pic:pic>
                <pic:nvPicPr>
                  <pic:cNvPr id="0" name="nozzleworks_logo.png"/>
                  <pic:cNvPicPr/>
                </pic:nvPicPr>
                <pic:blipFill>
                  <a:blip r:embed="rId1"/>
                  <a:stretch>
                    <a:fillRect/>
                  </a:stretch>
                </pic:blipFill>
                <pic:spPr>
                  <a:xfrm>
                    <a:off x="0" y="0"/>
                    <a:ext cx="762000" cy="97174"/>
                  </a:xfrm>
                  <a:prstGeom prst="rect"/>
                </pic:spPr>
              </pic:pic>
            </a:graphicData>
          </a:graphic>
        </wp:inline>
      </w:drawing>
    </w:r>
    <w:r>
      <w:rPr>
        <w:rFonts w:ascii="Calibri" w:hAnsi="Calibri"/>
        <w:b w:val="0"/>
        <w:color w:val="666666"/>
        <w:sz w:val="14"/>
      </w:rPr>
      <w:tab/>
    </w:r>
    <w:r>
      <w:rPr>
        <w:rFonts w:ascii="Calibri" w:hAnsi="Calibri"/>
        <w:b w:val="0"/>
        <w:color w:val="666666"/>
        <w:sz w:val="14"/>
      </w:rPr>
      <w:fldChar w:fldCharType="begin"/>
    </w:r>
    <w:r>
      <w:rPr>
        <w:rFonts w:ascii="Calibri" w:hAnsi="Calibri"/>
        <w:b w:val="0"/>
        <w:color w:val="666666"/>
        <w:sz w:val="14"/>
      </w:rPr>
      <w:instrText xml:space="preserve"> PAGE </w:instrText>
    </w:r>
    <w:r>
      <w:rPr>
        <w:rFonts w:ascii="Calibri" w:hAnsi="Calibri"/>
        <w:b w:val="0"/>
        <w:color w:val="666666"/>
        <w:sz w:val="1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