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B3A93">
      <w:pPr>
        <w:pStyle w:val="2"/>
      </w:pPr>
      <w:r>
        <w:t>实证分析</w:t>
      </w:r>
    </w:p>
    <w:p w14:paraId="0A836B08">
      <w:pPr>
        <w:pStyle w:val="3"/>
      </w:pPr>
      <w:r>
        <w:t>一、数据来源</w:t>
      </w:r>
    </w:p>
    <w:p w14:paraId="1A53BFA4">
      <w:pPr>
        <w:pStyle w:val="16"/>
        <w:numPr>
          <w:ilvl w:val="0"/>
          <w:numId w:val="1"/>
        </w:numPr>
      </w:pPr>
      <w:r>
        <w:t>标准化历史数据集（8 个月、35 个市场、67200 行数据）</w:t>
      </w:r>
    </w:p>
    <w:p w14:paraId="66A5D9FE">
      <w:pPr>
        <w:pStyle w:val="16"/>
        <w:numPr>
          <w:ilvl w:val="0"/>
          <w:numId w:val="1"/>
        </w:numPr>
      </w:pPr>
      <w:r>
        <w:t>异常跳变样本：</w:t>
      </w:r>
      <w:r>
        <w:rPr>
          <w:b/>
          <w:bCs/>
        </w:rPr>
        <w:t>847 个</w:t>
      </w:r>
    </w:p>
    <w:p w14:paraId="0EEF9D85">
      <w:pPr>
        <w:pStyle w:val="16"/>
        <w:numPr>
          <w:ilvl w:val="0"/>
          <w:numId w:val="1"/>
        </w:numPr>
      </w:pPr>
      <w:r>
        <w:t>异常检测结果集（4 类核心威胁检出率）</w:t>
      </w:r>
    </w:p>
    <w:p w14:paraId="5F2147F8">
      <w:pPr>
        <w:pStyle w:val="16"/>
        <w:numPr>
          <w:ilvl w:val="0"/>
          <w:numId w:val="1"/>
        </w:numPr>
      </w:pPr>
      <w:r>
        <w:t>威胁模型 v3_final</w:t>
      </w:r>
    </w:p>
    <w:p w14:paraId="0FF13C07">
      <w:pPr>
        <w:pStyle w:val="16"/>
        <w:numPr>
          <w:ilvl w:val="0"/>
          <w:numId w:val="1"/>
        </w:numPr>
      </w:pPr>
      <w:r>
        <w:t>流动性分层：高流动性 22 个市场、低流动性 13 个市场</w:t>
      </w:r>
    </w:p>
    <w:p w14:paraId="5AE20CA7">
      <w:pPr>
        <w:pStyle w:val="3"/>
      </w:pPr>
      <w:r>
        <w:t>二、分析方法</w:t>
      </w:r>
    </w:p>
    <w:p w14:paraId="6F945504">
      <w:pPr>
        <w:pStyle w:val="16"/>
        <w:numPr>
          <w:ilvl w:val="0"/>
          <w:numId w:val="2"/>
        </w:numPr>
      </w:pPr>
      <w:r>
        <w:t>时间窗口分析：新闻发布前 / 后 2 小时异常分布</w:t>
      </w:r>
    </w:p>
    <w:p w14:paraId="23A1EE60">
      <w:pPr>
        <w:pStyle w:val="16"/>
        <w:numPr>
          <w:ilvl w:val="0"/>
          <w:numId w:val="2"/>
        </w:numPr>
      </w:pPr>
      <w:r>
        <w:t>市场分类对比：体育、政治、宏观三类市场</w:t>
      </w:r>
    </w:p>
    <w:p w14:paraId="3E56E09F">
      <w:pPr>
        <w:pStyle w:val="16"/>
        <w:numPr>
          <w:ilvl w:val="0"/>
          <w:numId w:val="2"/>
        </w:numPr>
      </w:pPr>
      <w:r>
        <w:t>流动性分层对比：高 / 低流动性市场异常率</w:t>
      </w:r>
    </w:p>
    <w:p w14:paraId="54D2C89B">
      <w:pPr>
        <w:pStyle w:val="16"/>
        <w:numPr>
          <w:ilvl w:val="0"/>
          <w:numId w:val="2"/>
        </w:numPr>
      </w:pPr>
      <w:r>
        <w:t>统计检验：p 值、显著性、相关性分析</w:t>
      </w:r>
    </w:p>
    <w:p w14:paraId="224AE57A">
      <w:pPr>
        <w:pStyle w:val="16"/>
        <w:numPr>
          <w:ilvl w:val="0"/>
          <w:numId w:val="2"/>
        </w:numPr>
      </w:pPr>
      <w:r>
        <w:t>威胁类型检出率统计</w:t>
      </w:r>
    </w:p>
    <w:p w14:paraId="20E0B203">
      <w:pPr>
        <w:pStyle w:val="3"/>
      </w:pPr>
      <w:r>
        <w:t>三、核心实证结论</w:t>
      </w:r>
    </w:p>
    <w:p w14:paraId="06111D5E">
      <w:pPr>
        <w:pStyle w:val="16"/>
        <w:numPr>
          <w:ilvl w:val="0"/>
          <w:numId w:val="3"/>
        </w:numPr>
      </w:pPr>
      <w:r>
        <w:rPr>
          <w:b/>
          <w:bCs/>
        </w:rPr>
        <w:t>异常波动显著集中在新闻发布前 2 小时</w:t>
      </w:r>
    </w:p>
    <w:p w14:paraId="13CC67C6">
      <w:pPr>
        <w:pStyle w:val="16"/>
        <w:numPr>
          <w:ilvl w:val="1"/>
          <w:numId w:val="1"/>
        </w:numPr>
      </w:pPr>
      <w:r>
        <w:t>异常占比：</w:t>
      </w:r>
      <w:r>
        <w:rPr>
          <w:b/>
          <w:bCs/>
        </w:rPr>
        <w:t>24.3%</w:t>
      </w:r>
    </w:p>
    <w:p w14:paraId="2AD9E2C8">
      <w:pPr>
        <w:pStyle w:val="16"/>
        <w:numPr>
          <w:ilvl w:val="1"/>
          <w:numId w:val="1"/>
        </w:numPr>
      </w:pPr>
      <w:r>
        <w:t>统计显著性：</w:t>
      </w:r>
      <w:r>
        <w:rPr>
          <w:b/>
          <w:bCs/>
        </w:rPr>
        <w:t>p=0.012</w:t>
      </w:r>
      <w:r>
        <w:t>，95% 置信区间，结果显著</w:t>
      </w:r>
    </w:p>
    <w:p w14:paraId="49067D86">
      <w:pPr>
        <w:pStyle w:val="16"/>
        <w:numPr>
          <w:ilvl w:val="0"/>
          <w:numId w:val="4"/>
        </w:numPr>
      </w:pPr>
      <w:r>
        <w:rPr>
          <w:b/>
          <w:bCs/>
        </w:rPr>
        <w:t>低流动性市场异常发生率更高</w:t>
      </w:r>
    </w:p>
    <w:p w14:paraId="213E37D5">
      <w:pPr>
        <w:pStyle w:val="16"/>
        <w:numPr>
          <w:ilvl w:val="1"/>
          <w:numId w:val="1"/>
        </w:numPr>
      </w:pPr>
      <w:r>
        <w:t>高流动性：新闻前异常占比 27.1%，p=0.003（显著）</w:t>
      </w:r>
    </w:p>
    <w:p w14:paraId="52659B4B">
      <w:pPr>
        <w:pStyle w:val="16"/>
        <w:numPr>
          <w:ilvl w:val="1"/>
          <w:numId w:val="1"/>
        </w:numPr>
      </w:pPr>
      <w:r>
        <w:t>低流动性：新闻前异常占比 18.4%，p=0.11（不显著）</w:t>
      </w:r>
    </w:p>
    <w:p w14:paraId="4C0FC0DD">
      <w:pPr>
        <w:pStyle w:val="16"/>
        <w:numPr>
          <w:ilvl w:val="0"/>
          <w:numId w:val="5"/>
        </w:numPr>
      </w:pPr>
      <w:r>
        <w:rPr>
          <w:b/>
          <w:bCs/>
        </w:rPr>
        <w:t>异常行为与赔率跳变、成交量突增呈强相关</w:t>
      </w:r>
    </w:p>
    <w:p w14:paraId="13978D9B">
      <w:pPr>
        <w:pStyle w:val="16"/>
        <w:numPr>
          <w:ilvl w:val="0"/>
          <w:numId w:val="5"/>
        </w:numPr>
      </w:pPr>
      <w:r>
        <w:rPr>
          <w:b/>
          <w:bCs/>
        </w:rPr>
        <w:t>不同市场类型异常模式差异明显</w:t>
      </w:r>
    </w:p>
    <w:p w14:paraId="0128C657">
      <w:pPr>
        <w:pStyle w:val="16"/>
        <w:numPr>
          <w:ilvl w:val="1"/>
          <w:numId w:val="1"/>
        </w:numPr>
      </w:pPr>
      <w:r>
        <w:t>体育市场：短期赔率爆炒为主</w:t>
      </w:r>
    </w:p>
    <w:p w14:paraId="1F361228">
      <w:pPr>
        <w:pStyle w:val="16"/>
        <w:numPr>
          <w:ilvl w:val="1"/>
          <w:numId w:val="1"/>
        </w:numPr>
      </w:pPr>
      <w:r>
        <w:t>政治市场：量价背离现象突出</w:t>
      </w:r>
    </w:p>
    <w:p w14:paraId="09F98F18">
      <w:pPr>
        <w:pStyle w:val="16"/>
        <w:numPr>
          <w:ilvl w:val="1"/>
          <w:numId w:val="1"/>
        </w:numPr>
      </w:pPr>
      <w:r>
        <w:t>宏观市场：单边流动性操纵更常见</w:t>
      </w:r>
    </w:p>
    <w:p w14:paraId="454E2F32">
      <w:pPr>
        <w:pStyle w:val="16"/>
        <w:numPr>
          <w:ilvl w:val="0"/>
          <w:numId w:val="6"/>
        </w:numPr>
      </w:pPr>
      <w:r>
        <w:rPr>
          <w:b/>
          <w:bCs/>
        </w:rPr>
        <w:t>威胁检出率排序</w:t>
      </w:r>
    </w:p>
    <w:p w14:paraId="25681D2B">
      <w:pPr>
        <w:pStyle w:val="16"/>
        <w:numPr>
          <w:ilvl w:val="1"/>
          <w:numId w:val="1"/>
        </w:numPr>
      </w:pPr>
      <w:r>
        <w:t>洗盘交易：96.2%</w:t>
      </w:r>
    </w:p>
    <w:p w14:paraId="70B723C5">
      <w:pPr>
        <w:pStyle w:val="16"/>
        <w:numPr>
          <w:ilvl w:val="1"/>
          <w:numId w:val="1"/>
        </w:numPr>
      </w:pPr>
      <w:r>
        <w:t>短期赔率爆炒：93.8%</w:t>
      </w:r>
    </w:p>
    <w:p w14:paraId="1C700739">
      <w:pPr>
        <w:pStyle w:val="16"/>
        <w:numPr>
          <w:ilvl w:val="1"/>
          <w:numId w:val="1"/>
        </w:numPr>
      </w:pPr>
      <w:r>
        <w:t>量价背离：91.5%</w:t>
      </w:r>
    </w:p>
    <w:p w14:paraId="4670BCE6">
      <w:pPr>
        <w:pStyle w:val="16"/>
        <w:numPr>
          <w:ilvl w:val="1"/>
          <w:numId w:val="1"/>
        </w:numPr>
      </w:pPr>
      <w:r>
        <w:t>单边流动性操纵：89.3%</w:t>
      </w:r>
    </w:p>
    <w:p w14:paraId="37E5C9D1">
      <w:pPr>
        <w:pStyle w:val="3"/>
      </w:pPr>
      <w:r>
        <w:t>四、可视化图表</w:t>
      </w:r>
    </w:p>
    <w:p w14:paraId="4F2593C1">
      <w:pPr>
        <w:pStyle w:val="4"/>
      </w:pPr>
      <w:r>
        <w:t>图表 1：异常跳变时间分布</w:t>
      </w:r>
    </w:p>
    <w:p w14:paraId="1ABE7723">
      <w:pPr>
        <w:pStyle w:val="4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724525" cy="3434715"/>
            <wp:effectExtent l="0" t="0" r="5715" b="9525"/>
            <wp:docPr id="4" name="图片 4" descr="chart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hart (3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0AF2">
      <w:pPr>
        <w:pStyle w:val="4"/>
      </w:pPr>
      <w:r>
        <w:t>图表 2：各威胁类型检出率</w:t>
      </w:r>
    </w:p>
    <w:p w14:paraId="003B3818">
      <w:pPr>
        <w:pStyle w:val="4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727065" cy="2574925"/>
            <wp:effectExtent l="0" t="0" r="3175" b="635"/>
            <wp:docPr id="2" name="图片 2" descr="chart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hart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4513">
      <w:pPr>
        <w:pStyle w:val="4"/>
      </w:pPr>
      <w:r>
        <w:t>图表 3：不同流动性市场异常占比</w:t>
      </w:r>
      <w:bookmarkStart w:id="0" w:name="_GoBack"/>
      <w:bookmarkEnd w:id="0"/>
    </w:p>
    <w:p w14:paraId="7EAA5E68">
      <w:pPr>
        <w:pStyle w:val="3"/>
        <w:rPr>
          <w:rFonts w:hint="eastAsia" w:eastAsia="等线"/>
          <w:lang w:eastAsia="zh-CN"/>
        </w:rPr>
      </w:pPr>
      <w:r>
        <w:rPr>
          <w:rFonts w:hint="eastAsia" w:eastAsia="等线"/>
          <w:lang w:eastAsia="zh-CN"/>
        </w:rPr>
        <w:drawing>
          <wp:inline distT="0" distB="0" distL="114300" distR="114300">
            <wp:extent cx="5354320" cy="3212465"/>
            <wp:effectExtent l="0" t="0" r="10160" b="3175"/>
            <wp:docPr id="3" name="图片 3" descr="chart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hart 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CB5F">
      <w:pPr>
        <w:pStyle w:val="3"/>
        <w:rPr>
          <w:rFonts w:hint="eastAsia" w:eastAsia="等线"/>
          <w:lang w:val="en-US" w:eastAsia="zh-CN"/>
        </w:rPr>
      </w:pPr>
      <w:r>
        <w:t>五、实证分析报告</w:t>
      </w:r>
      <w:r>
        <w:rPr>
          <w:rFonts w:hint="eastAsia"/>
          <w:lang w:val="en-US" w:eastAsia="zh-CN"/>
        </w:rPr>
        <w:t>总结</w:t>
      </w:r>
    </w:p>
    <w:p w14:paraId="5981F47C">
      <w:pPr>
        <w:pStyle w:val="16"/>
      </w:pPr>
      <w:r>
        <w:t>本研究基于 847 个异常跳变样本与标准化数据集，开展预测市场异常行为实证分析。通过时间窗口、市场分类、流动性分层与统计检验，发现异常波动</w:t>
      </w:r>
      <w:r>
        <w:rPr>
          <w:b/>
          <w:bCs/>
        </w:rPr>
        <w:t>显著集中于新闻发布前 2 小时</w:t>
      </w:r>
      <w:r>
        <w:t>，占比达 24.3%，p=0.012，具有统计显著性。流动性分层结果表明，高流动性市场异常信号更稳定、假阳性更低，低流动性市场易受噪声干扰导致误判。异常行为与赔率、成交量、流动性高度相关，不同市场呈现差异化操纵模式。威胁检测结果显示，洗盘交易与短期赔率爆炒检出率最高，系统在可观测数据范围内具备可靠识别能力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80A1514"/>
    <w:rsid w:val="45EC58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964</Words>
  <Characters>1107</Characters>
  <TotalTime>58</TotalTime>
  <ScaleCrop>false</ScaleCrop>
  <LinksUpToDate>false</LinksUpToDate>
  <CharactersWithSpaces>1170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2026-04-10T19:00:00Z</dcterms:created>
  <dc:creator>Un-named</dc:creator>
  <cp:lastModifiedBy>Ryan</cp:lastModifiedBy>
  <dcterms:modified xsi:type="dcterms:W3CDTF">2026-04-10T20:00:10Z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eyJoZGlkIjoiMGZiMTgwZDA2YTY3NjQ4MDRkNzgxZThkZTIxNTBkMjIiLCJ1c2VySWQiOiI3Nzk3OTMxMDEifQ==</vt:lpwstr>
  </property>
  <property fmtid="{D5CDD505-2E9C-101B-9397-08002B2CF9AE}" pid="3" name="KSOProductBuildVer">
    <vt:lpwstr>2052-12.1.0.25222</vt:lpwstr>
  </property>
  <property fmtid="{D5CDD505-2E9C-101B-9397-08002B2CF9AE}" pid="4" name="ICV">
    <vt:lpwstr>E72D640554BD40239ECC0BD9FA4E1E6D_12</vt:lpwstr>
  </property>
</Properties>
</file>