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Problem Statement and Scope Document: Polymarket Platform Signal Analysis for Anomalous Odds Fluctuations</w:t>
      </w:r>
    </w:p>
    <w:p>
      <w:pPr>
        <w:pStyle w:val="Heading2"/>
      </w:pPr>
      <w:r>
        <w:t xml:space="preserve">1. Problem Statement</w:t>
      </w:r>
    </w:p>
    <w:p>
      <w:pPr>
        <w:pStyle w:val="text"/>
      </w:pPr>
      <w:r>
        <w:t xml:space="preserve">Polymarket, as a leading decentralized prediction market platform, enables users to trade outcome tokens tied to real-world events (e.g., cryptocurrency trends, political elections, sports results). The platform’s odds dynamics directly reflect market sentiment and information flow, serving as critical signals for traders’ decision-making. However, anomalous odds fluctuations—defined as unanticipated, extreme, or non-event-driven price swings—pose significant risks to market fairness and user trust. Such anomalies may stem from factors including market manipulation (e.g., large-volume spoofing, coordinated trading), unforeseen information asymmetry, or technical glitches in data propagation.</w:t>
      </w:r>
    </w:p>
    <w:p>
      <w:pPr>
        <w:pStyle w:val="text"/>
      </w:pPr>
      <w:r>
        <w:t xml:space="preserve">Existing research on prediction market dynamics lacks a systematic framework for detecting and categorizing anomalous odds fluctuations, particularly one that integrates liquidity metrics and event-driven validation. Without empirical analysis to quantify these anomalies and their root causes, traders face heightened uncertainty, and the platform’s integrity is potentially compromised. This project aims to address this gap by developing an evidence-based signal analysis framework to detect, validate, and characterize anomalous odds fluctuations on Polymarket, thereby providing actionable insights for market participants and platform governance.</w:t>
      </w:r>
    </w:p>
    <w:p>
      <w:pPr>
        <w:pStyle w:val="Heading2"/>
      </w:pPr>
      <w:r>
        <w:t xml:space="preserve">2. Research Scope</w:t>
      </w:r>
    </w:p>
    <w:p>
      <w:pPr>
        <w:pStyle w:val="Heading3"/>
      </w:pPr>
      <w:r>
        <w:t xml:space="preserve">2.1 In-Scope Elements</w:t>
      </w:r>
    </w:p>
    <w:p>
      <w:pPr>
        <w:pStyle w:val="Heading4"/>
      </w:pPr>
      <w:r>
        <w:t xml:space="preserve">2.1.1 Market Categories</w:t>
      </w:r>
    </w:p>
    <w:p>
      <w:pPr>
        <w:pStyle w:val="text"/>
      </w:pPr>
      <w:r>
        <w:t xml:space="preserve">Focus on three high-liquidity market categories on Polymarket:</w:t>
      </w:r>
    </w:p>
    <w:p>
      <w:pPr>
        <w:pStyle w:val="text"/>
        <w:numPr>
          <w:ilvl w:val="0"/>
          <w:numId w:val="2"/>
        </w:numPr>
      </w:pPr>
      <w:r>
        <w:t xml:space="preserve">Cryptocurrency-related events (e.g., "Will Bitcoin reach $100k by end-2024?")</w:t>
      </w:r>
    </w:p>
    <w:p>
      <w:pPr>
        <w:pStyle w:val="text"/>
        <w:numPr>
          <w:ilvl w:val="0"/>
          <w:numId w:val="2"/>
        </w:numPr>
      </w:pPr>
      <w:r>
        <w:t xml:space="preserve">U.S. political events (e.g., "Will X candidate win the 2024 presidential election?")</w:t>
      </w:r>
    </w:p>
    <w:p>
      <w:pPr>
        <w:pStyle w:val="text"/>
        <w:numPr>
          <w:ilvl w:val="0"/>
          <w:numId w:val="2"/>
        </w:numPr>
      </w:pPr>
      <w:r>
        <w:t xml:space="preserve">Major global sports events (e.g., "Will Team A win the 2024 FIFA World Cup?")</w:t>
      </w:r>
    </w:p>
    <w:p>
      <w:pPr>
        <w:pStyle w:val="Heading4"/>
      </w:pPr>
      <w:r>
        <w:t xml:space="preserve">2.1.2 Time Horizon</w:t>
      </w:r>
    </w:p>
    <w:p>
      <w:pPr>
        <w:pStyle w:val="text"/>
        <w:numPr>
          <w:ilvl w:val="0"/>
          <w:numId w:val="2"/>
        </w:numPr>
      </w:pPr>
      <w:r>
        <w:t xml:space="preserve">Data collection period: 6 consecutive months (prior to the project’s final submission date)</w:t>
      </w:r>
    </w:p>
    <w:p>
      <w:pPr>
        <w:pStyle w:val="text"/>
        <w:numPr>
          <w:ilvl w:val="0"/>
          <w:numId w:val="2"/>
        </w:numPr>
      </w:pPr>
      <w:r>
        <w:t xml:space="preserve">Analysis frequency: 5-minute interval (synchronized with Polymarket’s price update cycle)</w:t>
      </w:r>
    </w:p>
    <w:p>
      <w:pPr>
        <w:pStyle w:val="Heading4"/>
      </w:pPr>
      <w:r>
        <w:t xml:space="preserve">2.1.3 Data Dimensions</w:t>
      </w:r>
    </w:p>
    <w:p>
      <w:pPr>
        <w:pStyle w:val="text"/>
        <w:numPr>
          <w:ilvl w:val="0"/>
          <w:numId w:val="2"/>
        </w:numPr>
      </w:pPr>
      <w:r>
        <w:t xml:space="preserve">Primary data: Outcome odds (decimal format), trading volume (USDC), order book depth, number of active traders</w:t>
      </w:r>
    </w:p>
    <w:p>
      <w:pPr>
        <w:pStyle w:val="text"/>
        <w:numPr>
          <w:ilvl w:val="0"/>
          <w:numId w:val="2"/>
        </w:numPr>
      </w:pPr>
      <w:r>
        <w:t xml:space="preserve">Secondary data: Event-related news timestamps (from reputable APIs e.g., NewsAPI), market listing/delisting status</w:t>
      </w:r>
    </w:p>
    <w:p>
      <w:pPr>
        <w:pStyle w:val="Heading4"/>
      </w:pPr>
      <w:r>
        <w:t xml:space="preserve">2.1.4 Core Activities</w:t>
      </w:r>
    </w:p>
    <w:p>
      <w:pPr>
        <w:pStyle w:val="text"/>
        <w:numPr>
          <w:ilvl w:val="0"/>
          <w:numId w:val="2"/>
        </w:numPr>
      </w:pPr>
      <w:r>
        <w:t xml:space="preserve">Develop a structured data pipeline for Polymarket data collection and preprocessing</w:t>
      </w:r>
    </w:p>
    <w:p>
      <w:pPr>
        <w:pStyle w:val="text"/>
        <w:numPr>
          <w:ilvl w:val="0"/>
          <w:numId w:val="2"/>
        </w:numPr>
      </w:pPr>
      <w:r>
        <w:t xml:space="preserve">Design and validate an anomaly detection framework (statistical rules + feature-based validation)</w:t>
      </w:r>
    </w:p>
    <w:p>
      <w:pPr>
        <w:pStyle w:val="text"/>
        <w:numPr>
          <w:ilvl w:val="0"/>
          <w:numId w:val="2"/>
        </w:numPr>
      </w:pPr>
      <w:r>
        <w:t xml:space="preserve">Categorize anomalies by root cause (event-driven, market manipulation, data noise)</w:t>
      </w:r>
    </w:p>
    <w:p>
      <w:pPr>
        <w:pStyle w:val="text"/>
        <w:numPr>
          <w:ilvl w:val="0"/>
          <w:numId w:val="2"/>
        </w:numPr>
      </w:pPr>
      <w:r>
        <w:t xml:space="preserve">Quantify key characteristics of anomalies (frequency, duration, amplitude, correlation with volume)</w:t>
      </w:r>
    </w:p>
    <w:p>
      <w:pPr>
        <w:pStyle w:val="text"/>
        <w:numPr>
          <w:ilvl w:val="0"/>
          <w:numId w:val="2"/>
        </w:numPr>
      </w:pPr>
      <w:r>
        <w:t xml:space="preserve">Generate visualizations and actionable insights for stakeholders</w:t>
      </w:r>
    </w:p>
    <w:p>
      <w:pPr>
        <w:pStyle w:val="Heading3"/>
      </w:pPr>
      <w:r>
        <w:t xml:space="preserve">2.2 Out-of-Scope Elements</w:t>
      </w:r>
    </w:p>
    <w:p>
      <w:pPr>
        <w:pStyle w:val="text"/>
        <w:numPr>
          <w:ilvl w:val="0"/>
          <w:numId w:val="2"/>
        </w:numPr>
      </w:pPr>
      <w:r>
        <w:t xml:space="preserve">Markets with average daily trading volume &lt; 500 USDC (to exclude low-liquidity noise)</w:t>
      </w:r>
    </w:p>
    <w:p>
      <w:pPr>
        <w:pStyle w:val="text"/>
        <w:numPr>
          <w:ilvl w:val="0"/>
          <w:numId w:val="2"/>
        </w:numPr>
      </w:pPr>
      <w:r>
        <w:t xml:space="preserve">Non-English-language markets or niche events with &lt; 10 active traders</w:t>
      </w:r>
    </w:p>
    <w:p>
      <w:pPr>
        <w:pStyle w:val="text"/>
        <w:numPr>
          <w:ilvl w:val="0"/>
          <w:numId w:val="2"/>
        </w:numPr>
      </w:pPr>
      <w:r>
        <w:t xml:space="preserve">Direct verification of malicious intent (e.g., proving market manipulation via legal evidence)</w:t>
      </w:r>
    </w:p>
    <w:p>
      <w:pPr>
        <w:pStyle w:val="text"/>
        <w:numPr>
          <w:ilvl w:val="0"/>
          <w:numId w:val="2"/>
        </w:numPr>
      </w:pPr>
      <w:r>
        <w:t xml:space="preserve">Real-time anomaly detection (focus on offline empirical analysis and framework validation)</w:t>
      </w:r>
    </w:p>
    <w:p>
      <w:pPr>
        <w:pStyle w:val="text"/>
        <w:numPr>
          <w:ilvl w:val="0"/>
          <w:numId w:val="2"/>
        </w:numPr>
      </w:pPr>
      <w:r>
        <w:t xml:space="preserve">Analysis of Polymarket’s smart contract logic or backend infrastructure (limited to frontend-available data)</w:t>
      </w:r>
    </w:p>
    <w:p>
      <w:pPr>
        <w:pStyle w:val="Heading2"/>
      </w:pPr>
      <w:r>
        <w:t xml:space="preserve">3. Core Objectives</w:t>
      </w:r>
    </w:p>
    <w:p>
      <w:pPr>
        <w:pStyle w:val="text"/>
        <w:numPr>
          <w:ilvl w:val="0"/>
          <w:numId w:val="3"/>
        </w:numPr>
      </w:pPr>
      <w:r>
        <w:t xml:space="preserve">Define a quantifiable and validated definition of "anomalous odds fluctuations" tailored to Polymarket’s market structure.</w:t>
      </w:r>
    </w:p>
    <w:p>
      <w:pPr>
        <w:pStyle w:val="text"/>
        <w:numPr>
          <w:ilvl w:val="0"/>
          <w:numId w:val="3"/>
        </w:numPr>
      </w:pPr>
      <w:r>
        <w:t xml:space="preserve">Develop a reproducible data collection and preprocessing pipeline that ensures data integrity and consistency.</w:t>
      </w:r>
    </w:p>
    <w:p>
      <w:pPr>
        <w:pStyle w:val="text"/>
        <w:numPr>
          <w:ilvl w:val="0"/>
          <w:numId w:val="3"/>
        </w:numPr>
      </w:pPr>
      <w:r>
        <w:t xml:space="preserve">Design an anomaly detection model with a minimum accuracy of 80% (validated via manual review and event cross-referencing).</w:t>
      </w:r>
    </w:p>
    <w:p>
      <w:pPr>
        <w:pStyle w:val="text"/>
        <w:numPr>
          <w:ilvl w:val="0"/>
          <w:numId w:val="3"/>
        </w:numPr>
      </w:pPr>
      <w:r>
        <w:t xml:space="preserve">Characterize at least three distinct types of anomalous fluctuations and quantify their impact on market outcomes.</w:t>
      </w:r>
    </w:p>
    <w:p>
      <w:pPr>
        <w:pStyle w:val="text"/>
        <w:numPr>
          <w:ilvl w:val="0"/>
          <w:numId w:val="3"/>
        </w:numPr>
      </w:pPr>
      <w:r>
        <w:t xml:space="preserve">Deliver a visualization toolkit to communicate anomaly patterns and insights to non-technical stakeholders.</w:t>
      </w:r>
    </w:p>
    <w:p>
      <w:pPr>
        <w:pStyle w:val="Heading2"/>
      </w:pPr>
      <w:r>
        <w:t xml:space="preserve">4. Key Definitions</w:t>
      </w:r>
    </w:p>
    <w:p>
      <w:pPr>
        <w:pStyle w:val="text"/>
        <w:numPr>
          <w:ilvl w:val="0"/>
          <w:numId w:val="2"/>
        </w:numPr>
      </w:pPr>
      <w:r>
        <w:rPr>
          <w:b/>
          <w:bCs/>
        </w:rPr>
        <w:t xml:space="preserve">Anomalous Odds Fluctuation</w:t>
      </w:r>
      <w:r>
        <w:t xml:space="preserve">: A price swing of ≥15% in 5 minutes (or ≥25% in 1 hour) that cannot be explained by contemporaneous public events or normal market liquidity changes.</w:t>
      </w:r>
    </w:p>
    <w:p>
      <w:pPr>
        <w:pStyle w:val="text"/>
        <w:numPr>
          <w:ilvl w:val="0"/>
          <w:numId w:val="2"/>
        </w:numPr>
      </w:pPr>
      <w:r>
        <w:rPr>
          <w:b/>
          <w:bCs/>
        </w:rPr>
        <w:t xml:space="preserve">Liquidity Threshold</w:t>
      </w:r>
      <w:r>
        <w:t xml:space="preserve">: Markets with average daily trading volume ≥ 500 USDC and ≥10 unique traders per day.</w:t>
      </w:r>
    </w:p>
    <w:p>
      <w:pPr>
        <w:pStyle w:val="text"/>
        <w:numPr>
          <w:ilvl w:val="0"/>
          <w:numId w:val="2"/>
        </w:numPr>
      </w:pPr>
      <w:r>
        <w:rPr>
          <w:b/>
          <w:bCs/>
        </w:rPr>
        <w:t xml:space="preserve">Event-Driven Fluctuation</w:t>
      </w:r>
      <w:r>
        <w:t xml:space="preserve">: A price change directly attributable to a verifiable public event (e.g., policy announcements, breaking news) with a timestamp within 30 minutes of the fluctuation.</w:t>
      </w:r>
    </w:p>
    <w:p>
      <w:pPr>
        <w:pStyle w:val="text"/>
        <w:numPr>
          <w:ilvl w:val="0"/>
          <w:numId w:val="2"/>
        </w:numPr>
      </w:pPr>
      <w:r>
        <w:rPr>
          <w:b/>
          <w:bCs/>
        </w:rPr>
        <w:t xml:space="preserve">False Positive Anomaly</w:t>
      </w:r>
      <w:r>
        <w:t xml:space="preserve">: A detected fluctuation that is validated as a normal market response to events or liquidity changes.</w:t>
      </w:r>
    </w:p>
    <w:p>
      <w:pPr>
        <w:pStyle w:val="Heading2"/>
      </w:pPr>
      <w:r>
        <w:t xml:space="preserve">5. Assumptions</w:t>
      </w:r>
    </w:p>
    <w:p>
      <w:pPr>
        <w:pStyle w:val="text"/>
        <w:numPr>
          <w:ilvl w:val="0"/>
          <w:numId w:val="4"/>
        </w:numPr>
      </w:pPr>
      <w:r>
        <w:t xml:space="preserve">Polymarket’s public API provides reliable access to historical odds, volume, and order book data (with ≤5% missingness).</w:t>
      </w:r>
    </w:p>
    <w:p>
      <w:pPr>
        <w:pStyle w:val="text"/>
        <w:numPr>
          <w:ilvl w:val="0"/>
          <w:numId w:val="4"/>
        </w:numPr>
      </w:pPr>
      <w:r>
        <w:t xml:space="preserve">Reputable news APIs (e.g., NewsAPI, CryptoPanic) can provide timestamped event data to validate fluctuations.</w:t>
      </w:r>
    </w:p>
    <w:p>
      <w:pPr>
        <w:pStyle w:val="text"/>
        <w:numPr>
          <w:ilvl w:val="0"/>
          <w:numId w:val="4"/>
        </w:numPr>
      </w:pPr>
      <w:r>
        <w:t xml:space="preserve">Liquidity thresholds (500 USDC daily volume) effectively filter out noise from low-activity markets.</w:t>
      </w:r>
    </w:p>
    <w:p>
      <w:pPr>
        <w:pStyle w:val="text"/>
        <w:numPr>
          <w:ilvl w:val="0"/>
          <w:numId w:val="4"/>
        </w:numPr>
      </w:pPr>
      <w:r>
        <w:t xml:space="preserve">Manual review of 30% of detected anomalies is sufficient to validate the detection framework’s accuracy.</w:t>
      </w:r>
    </w:p>
    <w:p>
      <w:pPr>
        <w:pStyle w:val="text"/>
        <w:numPr>
          <w:ilvl w:val="0"/>
          <w:numId w:val="4"/>
        </w:numPr>
      </w:pPr>
      <w:r>
        <w:t xml:space="preserve">Anomalies detected in the 6-month dataset are representative of broader market patterns on Polymarket.</w:t>
      </w:r>
    </w:p>
    <w:p>
      <w:pPr>
        <w:pStyle w:val="Heading2"/>
      </w:pPr>
      <w:r>
        <w:t xml:space="preserve">6. Limitations</w:t>
      </w:r>
    </w:p>
    <w:p>
      <w:pPr>
        <w:pStyle w:val="text"/>
        <w:numPr>
          <w:ilvl w:val="0"/>
          <w:numId w:val="5"/>
        </w:numPr>
      </w:pPr>
      <w:r>
        <w:t xml:space="preserve">Data access constraints: Polymarket’s API may limit historical data retrieval (mitigation: use Dune Analytics as a backup data source).</w:t>
      </w:r>
    </w:p>
    <w:p>
      <w:pPr>
        <w:pStyle w:val="text"/>
        <w:numPr>
          <w:ilvl w:val="0"/>
          <w:numId w:val="5"/>
        </w:numPr>
      </w:pPr>
      <w:r>
        <w:t xml:space="preserve">Indirect anomaly attribution: Root causes (e.g., market manipulation) are inferred via correlation and elimination, not direct evidence.</w:t>
      </w:r>
    </w:p>
    <w:p>
      <w:pPr>
        <w:pStyle w:val="text"/>
        <w:numPr>
          <w:ilvl w:val="0"/>
          <w:numId w:val="5"/>
        </w:numPr>
      </w:pPr>
      <w:r>
        <w:t xml:space="preserve">Market category bias: Results may not generalize to niche or low-liquidity markets excluded from the scope.</w:t>
      </w:r>
    </w:p>
    <w:p>
      <w:pPr>
        <w:pStyle w:val="text"/>
        <w:numPr>
          <w:ilvl w:val="0"/>
          <w:numId w:val="5"/>
        </w:numPr>
      </w:pPr>
      <w:r>
        <w:t xml:space="preserve">Event data completeness: Some relevant events (e.g., private institutional trades) may not be captured by public news APIs.</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2026-02-13T12:57:44.717Z</dcterms:created>
  <dcterms:modified xsi:type="dcterms:W3CDTF">2026-02-13T12:57:44.717Z</dcterms:modified>
</cp:coreProperties>
</file>

<file path=docProps/custom.xml><?xml version="1.0" encoding="utf-8"?>
<Properties xmlns="http://schemas.openxmlformats.org/officeDocument/2006/custom-properties" xmlns:vt="http://schemas.openxmlformats.org/officeDocument/2006/docPropsVTypes"/>
</file>