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1B365D"/>
          <w:sz w:val="52"/>
        </w:rPr>
        <w:t>NEURODIVERGENT RELATIONSHIPS</w:t>
        <w:br/>
      </w:r>
    </w:p>
    <w:p>
      <w:pPr>
        <w:spacing w:after="720"/>
        <w:jc w:val="center"/>
      </w:pPr>
      <w:r>
        <w:rPr>
          <w:i/>
          <w:color w:val="4F5E7B"/>
          <w:sz w:val="32"/>
        </w:rPr>
        <w:t>A Collaborative Guide to Different Minds</w:t>
        <w:br/>
      </w:r>
    </w:p>
    <w:p>
      <w:pPr>
        <w:spacing w:after="2400"/>
        <w:jc w:val="center"/>
      </w:pPr>
      <w:r>
        <w:rPr>
          <w:sz w:val="22"/>
        </w:rPr>
        <w:t>An Expanded Trauma-Informed Handbook for Navigating Communication, Sensory Integration, Executive Function, Unmasking, and Co-Regulation.</w:t>
      </w:r>
    </w:p>
    <w:p>
      <w:pPr>
        <w:spacing w:after="480"/>
        <w:jc w:val="center"/>
      </w:pPr>
      <w:r>
        <w:rPr>
          <w:color w:val="708090"/>
          <w:sz w:val="20"/>
        </w:rPr>
        <w:t>Generated by Gemini Notebook</w:t>
        <w:br/>
        <w:t>Compiled from the Collaborative Relationship Series</w:t>
        <w:br/>
        <w:t>A Living Reference for Personal Sovereignty and Relational Repair</w:t>
      </w:r>
    </w:p>
    <w:p>
      <w:r>
        <w:br w:type="page"/>
      </w:r>
    </w:p>
    <w:p>
      <w:pPr>
        <w:pStyle w:val="Heading1"/>
        <w:keepNext/>
        <w:spacing w:before="360" w:after="120"/>
        <w:pBdr>
          <w:bottom w:val="single" w:sz="12" w:space="4" w:color="1B365D"/>
        </w:pBdr>
      </w:pPr>
      <w:r>
        <w:rPr>
          <w:rFonts w:ascii="Arial" w:hAnsi="Arial"/>
          <w:color w:val="1B365D"/>
          <w:sz w:val="36"/>
        </w:rPr>
        <w:t>Table of Contents</w:t>
      </w:r>
    </w:p>
    <w:p>
      <w:r>
        <w:rPr>
          <w:i/>
          <w:color w:val="708090"/>
        </w:rPr>
        <w:t>This document contains an interactive Table of Contents. Google Docs or Microsoft Word will prompt you to update and generate the visual list with exact page numbers when you open this file.</w:t>
      </w:r>
    </w:p>
    <w:p>
      <w:r>
        <w:fldChar w:fldCharType="begin"/>
        <w:instrText xml:space="preserve">TOC \o "1-3" \h \z \u</w:instrText>
        <w:fldChar w:fldCharType="end"/>
      </w:r>
    </w:p>
    <w:p>
      <w:r>
        <w:br w:type="page"/>
      </w:r>
    </w:p>
    <w:p>
      <w:pPr>
        <w:pStyle w:val="Heading1"/>
        <w:keepNext/>
        <w:spacing w:before="360" w:after="120"/>
        <w:pBdr>
          <w:bottom w:val="single" w:sz="12" w:space="4" w:color="1B365D"/>
        </w:pBdr>
      </w:pPr>
      <w:r>
        <w:rPr>
          <w:rFonts w:ascii="Arial" w:hAnsi="Arial"/>
          <w:color w:val="1B365D"/>
          <w:sz w:val="36"/>
        </w:rPr>
        <w:t>Introduction: The Grounding Principles</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 xml:space="preserve">Core Insight in One Sentence: </w:t>
            </w:r>
            <w:r>
              <w:rPr>
                <w:b w:val="0"/>
                <w:i w:val="0"/>
              </w:rPr>
              <w:t>Relationship quality is determined not by the absence of neurotype collisions, but by your commitment to dual-translation, personal sovereignty, and physiological regulation over control.</w:t>
            </w:r>
          </w:p>
        </w:tc>
      </w:tr>
    </w:tbl>
    <w:p>
      <w:pPr>
        <w:spacing w:after="120"/>
      </w:pPr>
    </w:p>
    <w:p>
      <w:pPr>
        <w:pStyle w:val="Heading2"/>
        <w:keepNext/>
        <w:spacing w:before="360" w:after="120"/>
      </w:pPr>
      <w:r>
        <w:rPr>
          <w:rFonts w:ascii="Arial" w:hAnsi="Arial"/>
          <w:color w:val="4F5E7B"/>
          <w:sz w:val="28"/>
        </w:rPr>
        <w:t>The Neurotypical vs. Neurodivergent Paradigm Shift</w:t>
      </w:r>
    </w:p>
    <w:p>
      <w:pPr>
        <w:spacing w:after="200" w:line="276" w:lineRule="auto"/>
      </w:pPr>
      <w:r>
        <w:rPr>
          <w:b w:val="0"/>
          <w:i w:val="0"/>
        </w:rPr>
        <w:t>For generations, standard clinical models operated under a deficit-based model of neurodivergence. In this story, one kind of mind is assumed to be correct, standard, and complete, while any other mind—be it autistic, ADHD, AuDHD, or otherwise—is treated as deficient, disordered, or missing essential components of human connection like empathy or social insight. This guide rejects this narrative entirely. A brain that operates differently is not a broken version of the standard brain; it is its own distinct operating system. Differences are factual operations of biology, and the friction they produce is a system-to-system collision rather than a personal or character failure.</w:t>
      </w:r>
    </w:p>
    <w:p>
      <w:pPr>
        <w:pStyle w:val="Heading2"/>
        <w:keepNext/>
        <w:spacing w:before="360" w:after="120"/>
      </w:pPr>
      <w:r>
        <w:rPr>
          <w:rFonts w:ascii="Arial" w:hAnsi="Arial"/>
          <w:color w:val="4F5E7B"/>
          <w:sz w:val="28"/>
        </w:rPr>
        <w:t>Our Six Load-Bearing Promises</w:t>
      </w:r>
    </w:p>
    <w:p>
      <w:pPr>
        <w:pStyle w:val="ListBullet"/>
        <w:spacing w:before="40" w:after="80" w:line="276" w:lineRule="auto"/>
      </w:pPr>
      <w:r>
        <w:rPr>
          <w:b/>
          <w:i w:val="0"/>
        </w:rPr>
        <w:t xml:space="preserve">1. Neither nervous system is the broken one: </w:t>
      </w:r>
      <w:r>
        <w:rPr>
          <w:b w:val="0"/>
          <w:i w:val="0"/>
        </w:rPr>
        <w:t>Misunderstanding between different minds is a bi-directional phenomenon. When two people experience and signal the world differently, communication breaks down in both directions. The burden of translation must be shared.</w:t>
      </w:r>
    </w:p>
    <w:p>
      <w:pPr>
        <w:pStyle w:val="ListBullet"/>
        <w:spacing w:before="40" w:after="80" w:line="276" w:lineRule="auto"/>
      </w:pPr>
      <w:r>
        <w:rPr>
          <w:b/>
          <w:i w:val="0"/>
        </w:rPr>
        <w:t xml:space="preserve">2. Explanation is never permission: </w:t>
      </w:r>
      <w:r>
        <w:rPr>
          <w:b w:val="0"/>
          <w:i w:val="0"/>
        </w:rPr>
        <w:t>Understanding the cognitive or sensory drivers of a behavior is vital for compassion, but it never excuses harm. An explanation explains; it does not excuse.</w:t>
      </w:r>
    </w:p>
    <w:p>
      <w:pPr>
        <w:pStyle w:val="ListBullet"/>
        <w:spacing w:before="40" w:after="80" w:line="276" w:lineRule="auto"/>
      </w:pPr>
      <w:r>
        <w:rPr>
          <w:b/>
          <w:i w:val="0"/>
        </w:rPr>
        <w:t xml:space="preserve">3. Accommodation is not unlimited tolerance: </w:t>
      </w:r>
      <w:r>
        <w:rPr>
          <w:b w:val="0"/>
          <w:i w:val="0"/>
        </w:rPr>
        <w:t>Generous adjustments keep relationships viable, but accommodation has a strict boundary. We must distinguish accommodating a legitimate neurological need from enabling harmful behavior or shielding someone from natural accountability.</w:t>
      </w:r>
    </w:p>
    <w:p>
      <w:pPr>
        <w:pStyle w:val="ListBullet"/>
        <w:spacing w:before="40" w:after="80" w:line="276" w:lineRule="auto"/>
      </w:pPr>
      <w:r>
        <w:rPr>
          <w:b/>
          <w:i w:val="0"/>
        </w:rPr>
        <w:t xml:space="preserve">4. Personal sovereignty is preserved: </w:t>
      </w:r>
      <w:r>
        <w:rPr>
          <w:b w:val="0"/>
          <w:i w:val="0"/>
        </w:rPr>
        <w:t>You do not have to make irreversible decisions today. This guide is designed to let you see clearly at your own pace, holding the decision about your relationship as entirely your own.</w:t>
      </w:r>
    </w:p>
    <w:p>
      <w:pPr>
        <w:pStyle w:val="ListBullet"/>
        <w:spacing w:before="40" w:after="80" w:line="276" w:lineRule="auto"/>
      </w:pPr>
      <w:r>
        <w:rPr>
          <w:b/>
          <w:i w:val="0"/>
        </w:rPr>
        <w:t xml:space="preserve">5. Focus is on self-discovery, not clinical diagnosing: </w:t>
      </w:r>
      <w:r>
        <w:rPr>
          <w:b w:val="0"/>
          <w:i w:val="0"/>
        </w:rPr>
        <w:t>This is a tool for self-discovery and relational design, not a diagnostic manual. It does not assess who is or isn't autistic/ADHD, but provides practical language to map how your specific mind functions.</w:t>
      </w:r>
    </w:p>
    <w:p>
      <w:pPr>
        <w:pStyle w:val="ListBullet"/>
        <w:spacing w:before="40" w:after="80" w:line="276" w:lineRule="auto"/>
      </w:pPr>
      <w:r>
        <w:rPr>
          <w:b/>
          <w:i w:val="0"/>
        </w:rPr>
        <w:t xml:space="preserve">6. Your safety outranks relationship repair: </w:t>
      </w:r>
      <w:r>
        <w:rPr>
          <w:b w:val="0"/>
          <w:i w:val="0"/>
        </w:rPr>
        <w:t>Safety is a non-negotiable gate. If coercion, control, threats, or intimidation are active, relationship translation exercises must be set aside immediately in favor of a safety plan.</w:t>
      </w:r>
    </w:p>
    <w:p>
      <w:pPr>
        <w:pStyle w:val="Heading2"/>
        <w:keepNext/>
        <w:spacing w:before="360" w:after="120"/>
      </w:pPr>
      <w:r>
        <w:rPr>
          <w:rFonts w:ascii="Arial" w:hAnsi="Arial"/>
          <w:color w:val="4F5E7B"/>
          <w:sz w:val="28"/>
        </w:rPr>
        <w:t>The Central Relationship Equation</w:t>
      </w:r>
    </w:p>
    <w:p>
      <w:pPr>
        <w:spacing w:after="200" w:line="276" w:lineRule="auto"/>
      </w:pPr>
      <w:r>
        <w:rPr>
          <w:b w:val="0"/>
          <w:i w:val="0"/>
        </w:rPr>
        <w:t>A sustainable relationship across different minds is not built on automatic harmony, but on a clear balance of structural components. When one or more of these elements are consistently missing, the relationship enters a state of chronic erosion that translation alone cannot cure:</w:t>
      </w:r>
    </w:p>
    <w:p>
      <w:pPr>
        <w:jc w:val="center"/>
      </w:pPr>
      <w:r>
        <w:rPr>
          <w:b/>
          <w:color w:val="1B365D"/>
          <w:sz w:val="24"/>
        </w:rPr>
        <w:t>Difference + Translation + Accommodation + Accountability + Compatibility = Sustainable Relationship</w:t>
      </w:r>
    </w:p>
    <w:p>
      <w:pPr>
        <w:pStyle w:val="Heading1"/>
        <w:keepNext/>
        <w:spacing w:before="360" w:after="120"/>
        <w:pBdr>
          <w:bottom w:val="single" w:sz="12" w:space="4" w:color="1B365D"/>
        </w:pBdr>
      </w:pPr>
      <w:r>
        <w:rPr>
          <w:rFonts w:ascii="Arial" w:hAnsi="Arial"/>
          <w:color w:val="1B365D"/>
          <w:sz w:val="36"/>
        </w:rPr>
        <w:t>Chapter 1: The Double-Empathy Reframe</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4F5E7B"/>
              <w:top w:val="nil"/>
              <w:bottom w:val="nil"/>
              <w:right w:val="nil"/>
            </w:tcBorders>
          </w:tcPr>
          <w:p>
            <w:pPr>
              <w:spacing w:before="0" w:after="0"/>
            </w:pPr>
            <w:r>
              <w:rPr>
                <w:b/>
                <w:i w:val="0"/>
              </w:rPr>
              <w:t xml:space="preserve">The 2-Minute Quick Read: </w:t>
            </w:r>
            <w:r>
              <w:rPr>
                <w:b w:val="0"/>
                <w:i w:val="0"/>
              </w:rPr>
              <w:t>When communication breaks down between different neurotypes, both sides are misreading each other through different filters. Instead of asking 'What is wrong with them?', we ask 'How are our filters colliding, and how can we both translate better?'</w:t>
            </w:r>
          </w:p>
        </w:tc>
      </w:tr>
    </w:tbl>
    <w:p>
      <w:pPr>
        <w:spacing w:after="120"/>
      </w:pPr>
    </w:p>
    <w:p>
      <w:pPr>
        <w:pStyle w:val="Heading2"/>
        <w:keepNext/>
        <w:spacing w:before="360" w:after="120"/>
      </w:pPr>
      <w:r>
        <w:rPr>
          <w:rFonts w:ascii="Arial" w:hAnsi="Arial"/>
          <w:color w:val="4F5E7B"/>
          <w:sz w:val="28"/>
        </w:rPr>
        <w:t>The Neurological Underpinnings: Milton's Double Empathy</w:t>
      </w:r>
    </w:p>
    <w:p>
      <w:pPr>
        <w:spacing w:after="200" w:line="276" w:lineRule="auto"/>
      </w:pPr>
      <w:r>
        <w:rPr>
          <w:b w:val="0"/>
          <w:i w:val="0"/>
        </w:rPr>
        <w:t>Historically, clinical models suggested neurodivergent individuals lacked 'theory of mind'—the ability to guess what others are thinking or feeling. However, the Double-Empathy Problem (conceptualized in Damian Milton's academic work) demonstrates that empathy failures in mixed-neurotype couples are symmetrical. Research shows that people who share similar neurotypes (e.g., autistic to autistic) communicate with remarkable ease and clarity. The breakdown occurs in the space between two different operating filters, where both people interpret signals through their own default operating system and assume their interpretation represents objective reality.</w:t>
      </w:r>
    </w:p>
    <w:p>
      <w:pPr>
        <w:pStyle w:val="Heading2"/>
        <w:keepNext/>
        <w:spacing w:before="360" w:after="120"/>
      </w:pPr>
      <w:r>
        <w:rPr>
          <w:rFonts w:ascii="Arial" w:hAnsi="Arial"/>
          <w:color w:val="4F5E7B"/>
          <w:sz w:val="28"/>
        </w:rPr>
        <w:t>The 6-Step Misunderstanding Loop</w:t>
      </w:r>
    </w:p>
    <w:p>
      <w:pPr>
        <w:spacing w:after="200" w:line="276" w:lineRule="auto"/>
      </w:pPr>
      <w:r>
        <w:rPr>
          <w:b w:val="0"/>
          <w:i w:val="0"/>
        </w:rPr>
        <w:t>When a mismatch occurs, it runs along a self-sustaining mechanical loop that operates faster than conscious logic:</w:t>
      </w:r>
    </w:p>
    <w:p>
      <w:pPr>
        <w:pStyle w:val="ListBullet"/>
        <w:spacing w:before="40" w:after="80" w:line="276" w:lineRule="auto"/>
      </w:pPr>
      <w:r>
        <w:rPr>
          <w:b/>
          <w:i w:val="0"/>
        </w:rPr>
        <w:t xml:space="preserve">1. Inner State: </w:t>
      </w:r>
      <w:r>
        <w:rPr>
          <w:b w:val="0"/>
          <w:i w:val="0"/>
        </w:rPr>
        <w:t>Partner A experiences an internal physical or emotional state.</w:t>
      </w:r>
    </w:p>
    <w:p>
      <w:pPr>
        <w:pStyle w:val="ListBullet"/>
        <w:spacing w:before="40" w:after="80" w:line="276" w:lineRule="auto"/>
      </w:pPr>
      <w:r>
        <w:rPr>
          <w:b/>
          <w:i w:val="0"/>
        </w:rPr>
        <w:t xml:space="preserve">2. The Signal: </w:t>
      </w:r>
      <w:r>
        <w:rPr>
          <w:b w:val="0"/>
          <w:i w:val="0"/>
        </w:rPr>
        <w:t>Partner A expresses this state via words, tone, posture, or facial expressions.</w:t>
      </w:r>
    </w:p>
    <w:p>
      <w:pPr>
        <w:pStyle w:val="ListBullet"/>
        <w:spacing w:before="40" w:after="80" w:line="276" w:lineRule="auto"/>
      </w:pPr>
      <w:r>
        <w:rPr>
          <w:b/>
          <w:i w:val="0"/>
        </w:rPr>
        <w:t xml:space="preserve">3. The Filter: </w:t>
      </w:r>
      <w:r>
        <w:rPr>
          <w:b w:val="0"/>
          <w:i w:val="0"/>
        </w:rPr>
        <w:t>Partner B receives the signal but reads it through their own operating system filter.</w:t>
      </w:r>
    </w:p>
    <w:p>
      <w:pPr>
        <w:pStyle w:val="ListBullet"/>
        <w:spacing w:before="40" w:after="80" w:line="276" w:lineRule="auto"/>
      </w:pPr>
      <w:r>
        <w:rPr>
          <w:b/>
          <w:i w:val="0"/>
        </w:rPr>
        <w:t xml:space="preserve">4. The Reaction: </w:t>
      </w:r>
      <w:r>
        <w:rPr>
          <w:b w:val="0"/>
          <w:i w:val="0"/>
        </w:rPr>
        <w:t>Partner B responds to what their filter built, rather than Partner A's actual words.</w:t>
      </w:r>
    </w:p>
    <w:p>
      <w:pPr>
        <w:pStyle w:val="ListBullet"/>
        <w:spacing w:before="40" w:after="80" w:line="276" w:lineRule="auto"/>
      </w:pPr>
      <w:r>
        <w:rPr>
          <w:b/>
          <w:i w:val="0"/>
        </w:rPr>
        <w:t xml:space="preserve">5. The Reciprocal Filter: </w:t>
      </w:r>
      <w:r>
        <w:rPr>
          <w:b w:val="0"/>
          <w:i w:val="0"/>
        </w:rPr>
        <w:t>Partner A reads Partner B's response through A's own filter, cementing the mismatch.</w:t>
      </w:r>
    </w:p>
    <w:p>
      <w:pPr>
        <w:pStyle w:val="ListBullet"/>
        <w:spacing w:before="40" w:after="80" w:line="276" w:lineRule="auto"/>
      </w:pPr>
      <w:r>
        <w:rPr>
          <w:b/>
          <w:i w:val="0"/>
        </w:rPr>
        <w:t xml:space="preserve">6. The Rupture: </w:t>
      </w:r>
      <w:r>
        <w:rPr>
          <w:b w:val="0"/>
          <w:i w:val="0"/>
        </w:rPr>
        <w:t>The loop ends in immediate defensive escalation, cold silence, or physiological flooding.</w:t>
      </w:r>
    </w:p>
    <w:p>
      <w:pPr>
        <w:pStyle w:val="Heading2"/>
        <w:keepNext/>
        <w:spacing w:before="360" w:after="120"/>
      </w:pPr>
      <w:r>
        <w:rPr>
          <w:rFonts w:ascii="Arial" w:hAnsi="Arial"/>
          <w:color w:val="4F5E7B"/>
          <w:sz w:val="28"/>
        </w:rPr>
        <w:t>Somatic Mapping: Tracking the Mismatch</w:t>
      </w:r>
    </w:p>
    <w:p>
      <w:pPr>
        <w:spacing w:after="200" w:line="276" w:lineRule="auto"/>
      </w:pPr>
      <w:r>
        <w:rPr>
          <w:b w:val="0"/>
          <w:i w:val="0"/>
        </w:rPr>
        <w:t>The misunderstanding loop is felt physically before it is processed cognitively. Common bodily warning indicators include: a sudden spike of heat in the face, tightness or bracing in the jaw, a cold sinking feeling in the stomach, or holding your breath. When these physical indicators flare, your threat system is treating a communication mismatch as a survival threat. Recognizing these somatic cues is your early warning system to pause and check your draft interpretation.</w:t>
      </w:r>
    </w:p>
    <w:p>
      <w:pPr>
        <w:pStyle w:val="Heading2"/>
        <w:keepNext/>
        <w:spacing w:before="360" w:after="120"/>
      </w:pPr>
      <w:r>
        <w:rPr>
          <w:rFonts w:ascii="Arial" w:hAnsi="Arial"/>
          <w:color w:val="4F5E7B"/>
          <w:sz w:val="28"/>
        </w:rPr>
        <w:t>Diagnostic Toolkit: The Two-Way Translation Map</w:t>
      </w:r>
    </w:p>
    <w:p>
      <w:pPr>
        <w:spacing w:after="200" w:line="276" w:lineRule="auto"/>
      </w:pPr>
      <w:r>
        <w:rPr>
          <w:b w:val="0"/>
          <w:i w:val="0"/>
        </w:rPr>
        <w:t>The master move to break the misunderstanding loop is to separate your draft interpretation from the literal transcript. Instead of operating on assumptions, we map both filters. Below is the structure of the Two-Way Translation Map, showing a completed, grounded example of a common text-messaging friction point.</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1B365D" w:val="clear"/>
            <w:tcMar>
              <w:top w:w="80" w:type="dxa"/>
              <w:bottom w:w="80" w:type="dxa"/>
              <w:left w:w="100" w:type="dxa"/>
              <w:right w:w="100" w:type="dxa"/>
            </w:tcMar>
          </w:tcPr>
          <w:p>
            <w:r>
              <w:rPr>
                <w:b/>
                <w:color w:val="FFFFFF"/>
              </w:rPr>
              <w:t>Analysis Field</w:t>
            </w:r>
          </w:p>
        </w:tc>
        <w:tc>
          <w:tcPr>
            <w:tcW w:type="dxa" w:w="2880"/>
            <w:shd w:fill="1B365D" w:val="clear"/>
            <w:tcMar>
              <w:top w:w="80" w:type="dxa"/>
              <w:bottom w:w="80" w:type="dxa"/>
              <w:left w:w="100" w:type="dxa"/>
              <w:right w:w="100" w:type="dxa"/>
            </w:tcMar>
          </w:tcPr>
          <w:p>
            <w:r>
              <w:rPr>
                <w:b/>
                <w:color w:val="FFFFFF"/>
              </w:rPr>
              <w:t>Partner A (Direct / Autistic)</w:t>
            </w:r>
          </w:p>
        </w:tc>
        <w:tc>
          <w:tcPr>
            <w:tcW w:type="dxa" w:w="2880"/>
            <w:shd w:fill="1B365D" w:val="clear"/>
            <w:tcMar>
              <w:top w:w="80" w:type="dxa"/>
              <w:bottom w:w="80" w:type="dxa"/>
              <w:left w:w="100" w:type="dxa"/>
              <w:right w:w="100" w:type="dxa"/>
            </w:tcMar>
          </w:tcPr>
          <w:p>
            <w:r>
              <w:rPr>
                <w:b/>
                <w:color w:val="FFFFFF"/>
              </w:rPr>
              <w:t>Partner B (Inferred / Neurotypical)</w:t>
            </w:r>
          </w:p>
        </w:tc>
      </w:tr>
      <w:tr>
        <w:tc>
          <w:tcPr>
            <w:tcW w:type="dxa" w:w="2592"/>
            <w:shd w:fill="F2F4F7" w:val="clear"/>
            <w:tcMar>
              <w:top w:w="80" w:type="dxa"/>
              <w:bottom w:w="80" w:type="dxa"/>
              <w:left w:w="100" w:type="dxa"/>
              <w:right w:w="100" w:type="dxa"/>
            </w:tcMar>
          </w:tcPr>
          <w:p>
            <w:r>
              <w:rPr>
                <w:b/>
              </w:rPr>
              <w:t>What I actually meant</w:t>
            </w:r>
          </w:p>
        </w:tc>
        <w:tc>
          <w:tcPr>
            <w:tcW w:type="dxa" w:w="2880"/>
            <w:tcMar>
              <w:top w:w="80" w:type="dxa"/>
              <w:bottom w:w="80" w:type="dxa"/>
              <w:left w:w="100" w:type="dxa"/>
              <w:right w:w="100" w:type="dxa"/>
            </w:tcMar>
          </w:tcPr>
          <w:p>
            <w:r>
              <w:t>I am intensely focused on work and need to finish this report.</w:t>
            </w:r>
          </w:p>
        </w:tc>
        <w:tc>
          <w:tcPr>
            <w:tcW w:type="dxa" w:w="2880"/>
            <w:tcMar>
              <w:top w:w="80" w:type="dxa"/>
              <w:bottom w:w="80" w:type="dxa"/>
              <w:left w:w="100" w:type="dxa"/>
              <w:right w:w="100" w:type="dxa"/>
            </w:tcMar>
          </w:tcPr>
          <w:p>
            <w:r>
              <w:t>I want to feel connected and see if you are free for dinner.</w:t>
            </w:r>
          </w:p>
        </w:tc>
      </w:tr>
      <w:tr>
        <w:tc>
          <w:tcPr>
            <w:tcW w:type="dxa" w:w="2592"/>
            <w:shd w:fill="F2F4F7" w:val="clear"/>
            <w:tcMar>
              <w:top w:w="80" w:type="dxa"/>
              <w:bottom w:w="80" w:type="dxa"/>
              <w:left w:w="100" w:type="dxa"/>
              <w:right w:w="100" w:type="dxa"/>
            </w:tcMar>
          </w:tcPr>
          <w:p>
            <w:r>
              <w:rPr>
                <w:b/>
              </w:rPr>
              <w:t>What I think you heard</w:t>
            </w:r>
          </w:p>
        </w:tc>
        <w:tc>
          <w:tcPr>
            <w:tcW w:type="dxa" w:w="2880"/>
            <w:tcMar>
              <w:top w:w="80" w:type="dxa"/>
              <w:bottom w:w="80" w:type="dxa"/>
              <w:left w:w="100" w:type="dxa"/>
              <w:right w:w="100" w:type="dxa"/>
            </w:tcMar>
          </w:tcPr>
          <w:p>
            <w:r>
              <w:t>That I find your message annoying or that I am ignoring you.</w:t>
            </w:r>
          </w:p>
        </w:tc>
        <w:tc>
          <w:tcPr>
            <w:tcW w:type="dxa" w:w="2880"/>
            <w:tcMar>
              <w:top w:w="80" w:type="dxa"/>
              <w:bottom w:w="80" w:type="dxa"/>
              <w:left w:w="100" w:type="dxa"/>
              <w:right w:w="100" w:type="dxa"/>
            </w:tcMar>
          </w:tcPr>
          <w:p>
            <w:r>
              <w:t>That I am demanding your attention and crowding you.</w:t>
            </w:r>
          </w:p>
        </w:tc>
      </w:tr>
      <w:tr>
        <w:tc>
          <w:tcPr>
            <w:tcW w:type="dxa" w:w="2592"/>
            <w:shd w:fill="F2F4F7" w:val="clear"/>
            <w:tcMar>
              <w:top w:w="80" w:type="dxa"/>
              <w:bottom w:w="80" w:type="dxa"/>
              <w:left w:w="100" w:type="dxa"/>
              <w:right w:w="100" w:type="dxa"/>
            </w:tcMar>
          </w:tcPr>
          <w:p>
            <w:r>
              <w:rPr>
                <w:b/>
              </w:rPr>
              <w:t>What you actually heard</w:t>
            </w:r>
          </w:p>
        </w:tc>
        <w:tc>
          <w:tcPr>
            <w:tcW w:type="dxa" w:w="2880"/>
            <w:tcMar>
              <w:top w:w="80" w:type="dxa"/>
              <w:bottom w:w="80" w:type="dxa"/>
              <w:left w:w="100" w:type="dxa"/>
              <w:right w:w="100" w:type="dxa"/>
            </w:tcMar>
          </w:tcPr>
          <w:p>
            <w:r>
              <w:t>'I don't have time for this right now, leave me alone.'</w:t>
            </w:r>
          </w:p>
        </w:tc>
        <w:tc>
          <w:tcPr>
            <w:tcW w:type="dxa" w:w="2880"/>
            <w:tcMar>
              <w:top w:w="80" w:type="dxa"/>
              <w:bottom w:w="80" w:type="dxa"/>
              <w:left w:w="100" w:type="dxa"/>
              <w:right w:w="100" w:type="dxa"/>
            </w:tcMar>
          </w:tcPr>
          <w:p>
            <w:r>
              <w:t>'Why are you tracking me? I am busy working.'</w:t>
            </w:r>
          </w:p>
        </w:tc>
      </w:tr>
      <w:tr>
        <w:tc>
          <w:tcPr>
            <w:tcW w:type="dxa" w:w="2592"/>
            <w:shd w:fill="F2F4F7" w:val="clear"/>
            <w:tcMar>
              <w:top w:w="80" w:type="dxa"/>
              <w:bottom w:w="80" w:type="dxa"/>
              <w:left w:w="100" w:type="dxa"/>
              <w:right w:w="100" w:type="dxa"/>
            </w:tcMar>
          </w:tcPr>
          <w:p>
            <w:r>
              <w:rPr>
                <w:b/>
              </w:rPr>
              <w:t>What I assumed you meant</w:t>
            </w:r>
          </w:p>
        </w:tc>
        <w:tc>
          <w:tcPr>
            <w:tcW w:type="dxa" w:w="2880"/>
            <w:tcMar>
              <w:top w:w="80" w:type="dxa"/>
              <w:bottom w:w="80" w:type="dxa"/>
              <w:left w:w="100" w:type="dxa"/>
              <w:right w:w="100" w:type="dxa"/>
            </w:tcMar>
          </w:tcPr>
          <w:p>
            <w:r>
              <w:t>That you do not respect my work boundaries or concentration.</w:t>
            </w:r>
          </w:p>
        </w:tc>
        <w:tc>
          <w:tcPr>
            <w:tcW w:type="dxa" w:w="2880"/>
            <w:tcMar>
              <w:top w:w="80" w:type="dxa"/>
              <w:bottom w:w="80" w:type="dxa"/>
              <w:left w:w="100" w:type="dxa"/>
              <w:right w:w="100" w:type="dxa"/>
            </w:tcMar>
          </w:tcPr>
          <w:p>
            <w:r>
              <w:t>That you are pulling away and do not value our connection.</w:t>
            </w:r>
          </w:p>
        </w:tc>
      </w:tr>
      <w:tr>
        <w:tc>
          <w:tcPr>
            <w:tcW w:type="dxa" w:w="2592"/>
            <w:shd w:fill="F2F4F7" w:val="clear"/>
            <w:tcMar>
              <w:top w:w="80" w:type="dxa"/>
              <w:bottom w:w="80" w:type="dxa"/>
              <w:left w:w="100" w:type="dxa"/>
              <w:right w:w="100" w:type="dxa"/>
            </w:tcMar>
          </w:tcPr>
          <w:p>
            <w:r>
              <w:rPr>
                <w:b/>
              </w:rPr>
              <w:t>The mismatch we see</w:t>
            </w:r>
          </w:p>
        </w:tc>
        <w:tc>
          <w:tcPr>
            <w:tcW w:type="dxa" w:w="2880"/>
            <w:tcMar>
              <w:top w:w="80" w:type="dxa"/>
              <w:bottom w:w="80" w:type="dxa"/>
              <w:left w:w="100" w:type="dxa"/>
              <w:right w:w="100" w:type="dxa"/>
            </w:tcMar>
          </w:tcPr>
          <w:p>
            <w:r>
              <w:t>A direct focus-signal was read through an inference filter of rejection.</w:t>
            </w:r>
          </w:p>
        </w:tc>
        <w:tc>
          <w:tcPr>
            <w:tcW w:type="dxa" w:w="2880"/>
            <w:tcMar>
              <w:top w:w="80" w:type="dxa"/>
              <w:bottom w:w="80" w:type="dxa"/>
              <w:left w:w="100" w:type="dxa"/>
              <w:right w:w="100" w:type="dxa"/>
            </w:tcMar>
          </w:tcPr>
          <w:p>
            <w:r>
              <w:t>An inference bid for connection was read through a direct filter of intrusion.</w:t>
            </w:r>
          </w:p>
        </w:tc>
      </w:tr>
      <w:tr>
        <w:tc>
          <w:tcPr>
            <w:tcW w:type="dxa" w:w="2592"/>
            <w:shd w:fill="F2F4F7" w:val="clear"/>
            <w:tcMar>
              <w:top w:w="80" w:type="dxa"/>
              <w:bottom w:w="80" w:type="dxa"/>
              <w:left w:w="100" w:type="dxa"/>
              <w:right w:w="100" w:type="dxa"/>
            </w:tcMar>
          </w:tcPr>
          <w:p>
            <w:r>
              <w:rPr>
                <w:b/>
              </w:rPr>
              <w:t>Accommodation next time</w:t>
            </w:r>
          </w:p>
        </w:tc>
        <w:tc>
          <w:tcPr>
            <w:tcW w:type="dxa" w:w="2880"/>
            <w:tcMar>
              <w:top w:w="80" w:type="dxa"/>
              <w:bottom w:w="80" w:type="dxa"/>
              <w:left w:w="100" w:type="dxa"/>
              <w:right w:w="100" w:type="dxa"/>
            </w:tcMar>
          </w:tcPr>
          <w:p>
            <w:r>
              <w:t>Send a 1-second focus emoji: 'In the tunnel [tunnel-emoji]'.</w:t>
            </w:r>
          </w:p>
        </w:tc>
        <w:tc>
          <w:tcPr>
            <w:tcW w:type="dxa" w:w="2880"/>
            <w:tcMar>
              <w:top w:w="80" w:type="dxa"/>
              <w:bottom w:w="80" w:type="dxa"/>
              <w:left w:w="100" w:type="dxa"/>
              <w:right w:w="100" w:type="dxa"/>
            </w:tcMar>
          </w:tcPr>
          <w:p>
            <w:r>
              <w:t>Allow 30 minutes of transition space before checking again.</w:t>
            </w:r>
          </w:p>
        </w:tc>
      </w:tr>
    </w:tbl>
    <w:p>
      <w:pPr>
        <w:spacing w:after="120"/>
      </w:pPr>
    </w:p>
    <w:p>
      <w:pPr>
        <w:pStyle w:val="Heading2"/>
        <w:keepNext/>
        <w:spacing w:before="360" w:after="120"/>
      </w:pPr>
      <w:r>
        <w:rPr>
          <w:rFonts w:ascii="Arial" w:hAnsi="Arial"/>
          <w:color w:val="4F5E7B"/>
          <w:sz w:val="28"/>
        </w:rPr>
        <w:t>Safety Rails: Difference vs. Harm</w:t>
      </w:r>
    </w:p>
    <w:p>
      <w:pPr>
        <w:spacing w:after="200" w:line="276" w:lineRule="auto"/>
      </w:pPr>
      <w:r>
        <w:rPr>
          <w:b w:val="0"/>
          <w:i w:val="0"/>
        </w:rPr>
        <w:t>We must hold the distinction between an operating system mismatch and active relational harm. A valid neurotype difference (such as a flat emotional expression or a need for sensory quiet) is neutral and safe. However, coercion, isolation, threats, intimidation, or control are never 'just differences.' If a partner uses their neurodivergence or sensory overload to excuse active neglect or rage, it crosses the line from accommodation to enabling harm.</w:t>
      </w:r>
    </w:p>
    <w:p>
      <w:pPr>
        <w:pStyle w:val="Heading2"/>
        <w:keepNext/>
        <w:spacing w:before="360" w:after="120"/>
      </w:pPr>
      <w:r>
        <w:rPr>
          <w:rFonts w:ascii="Arial" w:hAnsi="Arial"/>
          <w:color w:val="4F5E7B"/>
          <w:sz w:val="28"/>
        </w:rPr>
        <w:t>Intersectionality &amp; Cultural Filters</w:t>
      </w:r>
    </w:p>
    <w:p>
      <w:pPr>
        <w:spacing w:after="200" w:line="276" w:lineRule="auto"/>
      </w:pPr>
      <w:r>
        <w:rPr>
          <w:b w:val="0"/>
          <w:i w:val="0"/>
        </w:rPr>
        <w:t>Communication defaults are heavily shaped by cultural, racial, and gendered expectations. For example, direct, unembellished language that is read as 'competent' in a white professional male can be read as 'aggressive' in a Black individual, or as 'unfriendly and cold' in a female speaker. Masking is often not a lifestyle choice but a critical, trauma-informed survival strategy for marginalized people. We must separate personal communication defaults from structural cultural requirements before judging them as deficits.</w:t>
      </w:r>
    </w:p>
    <w:p>
      <w:r>
        <w:br w:type="page"/>
      </w:r>
    </w:p>
    <w:p>
      <w:pPr>
        <w:pStyle w:val="Heading1"/>
        <w:keepNext/>
        <w:spacing w:before="360" w:after="120"/>
        <w:pBdr>
          <w:bottom w:val="single" w:sz="12" w:space="4" w:color="1B365D"/>
        </w:pBdr>
      </w:pPr>
      <w:r>
        <w:rPr>
          <w:rFonts w:ascii="Arial" w:hAnsi="Arial"/>
          <w:color w:val="1B365D"/>
          <w:sz w:val="36"/>
        </w:rPr>
        <w:t>Chapter 2: Communication Translation &amp; Agreements</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 xml:space="preserve">The 2-Minute Quick Read: </w:t>
            </w:r>
            <w:r>
              <w:rPr>
                <w:b w:val="0"/>
                <w:i w:val="0"/>
              </w:rPr>
              <w:t>To stop the constant friction of guessing, we must replace implicit hints with explicit agreements. By utilizing named pause protocols and defining clear containers for sharing, we protect both processing-speed needs and cognitive capacity.</w:t>
            </w:r>
          </w:p>
        </w:tc>
      </w:tr>
    </w:tbl>
    <w:p>
      <w:pPr>
        <w:spacing w:after="120"/>
      </w:pPr>
    </w:p>
    <w:p>
      <w:pPr>
        <w:pStyle w:val="Heading2"/>
        <w:keepNext/>
        <w:spacing w:before="360" w:after="120"/>
      </w:pPr>
      <w:r>
        <w:rPr>
          <w:rFonts w:ascii="Arial" w:hAnsi="Arial"/>
          <w:color w:val="4F5E7B"/>
          <w:sz w:val="28"/>
        </w:rPr>
        <w:t>The Neurological Underpinnings: Processing Speed and Word Retrieval</w:t>
      </w:r>
    </w:p>
    <w:p>
      <w:pPr>
        <w:spacing w:after="200" w:line="276" w:lineRule="auto"/>
      </w:pPr>
      <w:r>
        <w:rPr>
          <w:b w:val="0"/>
          <w:i w:val="0"/>
        </w:rPr>
        <w:t>Nervous systems process information and retrieve words at vastly different biological rates. During emotional conversations, an ADHD or autistic brain may experience a significant processing lag. This is not avoidance, a lack of intelligence, or a stubborn refusal to participate; it is a biological requirement for structural word retrieval. When pressured to speak instantly, the cognitive load spikes, often triggering physiological flooding. Slowing down is a physiological accommodation, not an emotional withdrawal.</w:t>
      </w:r>
    </w:p>
    <w:p>
      <w:pPr>
        <w:pStyle w:val="Heading2"/>
        <w:keepNext/>
        <w:spacing w:before="360" w:after="120"/>
      </w:pPr>
      <w:r>
        <w:rPr>
          <w:rFonts w:ascii="Arial" w:hAnsi="Arial"/>
          <w:color w:val="4F5E7B"/>
          <w:sz w:val="28"/>
        </w:rPr>
        <w:t>Somatic Mapping: Cognitive Fatigue &amp; Overload</w:t>
      </w:r>
    </w:p>
    <w:p>
      <w:pPr>
        <w:spacing w:after="200" w:line="276" w:lineRule="auto"/>
      </w:pPr>
      <w:r>
        <w:rPr>
          <w:b w:val="0"/>
          <w:i w:val="0"/>
        </w:rPr>
        <w:t>Somatic signals of cognitive overload include: feeling a 'brain fog' where words literally dissolve, a physical heaviness behind the eyes, jaw-clenching, or feeling a non-verbal urge to look away and hide. Recognizing these physical signs allows you to deploy a structured pause before your system enters shutdown.</w:t>
      </w:r>
    </w:p>
    <w:p>
      <w:pPr>
        <w:pStyle w:val="Heading2"/>
        <w:keepNext/>
        <w:spacing w:before="360" w:after="120"/>
      </w:pPr>
      <w:r>
        <w:rPr>
          <w:rFonts w:ascii="Arial" w:hAnsi="Arial"/>
          <w:color w:val="4F5E7B"/>
          <w:sz w:val="28"/>
        </w:rPr>
        <w:t>Diagnostic Toolkit: The Processing-Time Agreement</w:t>
      </w:r>
    </w:p>
    <w:p>
      <w:pPr>
        <w:spacing w:after="200" w:line="276" w:lineRule="auto"/>
      </w:pPr>
      <w:r>
        <w:rPr>
          <w:b w:val="0"/>
          <w:i w:val="0"/>
        </w:rPr>
        <w:t>An unnamed pause feels like abandonment; a named pause feels like safety. The Processing-Time Agreement requires the person who needs a pause to name an explicit return time. The person waiting commits to respect the silence, knowing the clock is running and a return is guaranteed. Below is the exact template and a working example of the Pause Card.</w:t>
      </w:r>
    </w:p>
    <w:tbl>
      <w:tblPr>
        <w:tblW w:type="auto" w:w="0"/>
        <w:tblLayout w:type="fixed"/>
        <w:tblLook w:firstColumn="1" w:firstRow="1" w:lastColumn="0" w:lastRow="0" w:noHBand="0" w:noVBand="1" w:val="04A0"/>
      </w:tblPr>
      <w:tblGrid>
        <w:gridCol w:w="8352"/>
      </w:tblGrid>
      <w:tr>
        <w:tc>
          <w:tcPr>
            <w:tcW w:type="dxa" w:w="9360"/>
            <w:shd w:fill="F2F4F7" w:val="clear"/>
            <w:tcMar>
              <w:top w:w="140" w:type="dxa"/>
              <w:bottom w:w="140" w:type="dxa"/>
              <w:left w:w="200" w:type="dxa"/>
              <w:right w:w="200" w:type="dxa"/>
            </w:tcMar>
            <w:tcBorders>
              <w:left w:val="single" w:sz="24" w:space="0" w:color="4F5E7B"/>
              <w:top w:val="nil"/>
              <w:bottom w:val="nil"/>
              <w:right w:val="nil"/>
            </w:tcBorders>
          </w:tcPr>
          <w:p>
            <w:pPr>
              <w:spacing w:before="0" w:after="0"/>
            </w:pPr>
            <w:r>
              <w:rPr>
                <w:b/>
                <w:i w:val="0"/>
              </w:rPr>
              <w:t>Pause Card Template:</w:t>
              <w:br/>
            </w:r>
            <w:r>
              <w:rPr>
                <w:b w:val="0"/>
                <w:i w:val="0"/>
              </w:rPr>
              <w:t>'I need [X] minutes. I will return by [Time] via [Format: text/verbal]. While you wait, I ask you to [Regulation Ask].'</w:t>
              <w:br/>
              <w:br/>
            </w:r>
            <w:r>
              <w:rPr>
                <w:b/>
                <w:i w:val="0"/>
              </w:rPr>
              <w:t>Example in Practice:</w:t>
              <w:br/>
            </w:r>
            <w:r>
              <w:rPr>
                <w:b w:val="0"/>
                <w:i w:val="0"/>
              </w:rPr>
              <w:t>'I am starting to flood and need 20 minutes to settle my body. I will return to the living room by 8:30 PM. While you wait, I ask you to not interpret my silence as a rejection—the clock is running and I will be back.'</w:t>
            </w:r>
          </w:p>
        </w:tc>
      </w:tr>
    </w:tbl>
    <w:p>
      <w:pPr>
        <w:spacing w:after="120"/>
      </w:pPr>
    </w:p>
    <w:p>
      <w:pPr>
        <w:pStyle w:val="Heading2"/>
        <w:keepNext/>
        <w:spacing w:before="360" w:after="120"/>
      </w:pPr>
      <w:r>
        <w:rPr>
          <w:rFonts w:ascii="Arial" w:hAnsi="Arial"/>
          <w:color w:val="4F5E7B"/>
          <w:sz w:val="28"/>
        </w:rPr>
        <w:t>The Container Agreement: Information Density vs. Cognitive Fatigue</w:t>
      </w:r>
    </w:p>
    <w:p>
      <w:pPr>
        <w:spacing w:after="200" w:line="276" w:lineRule="auto"/>
      </w:pPr>
      <w:r>
        <w:rPr>
          <w:b w:val="0"/>
          <w:i w:val="0"/>
        </w:rPr>
        <w:t>A common mixed-neurotype clash involves information density. One partner connects by sharing deep, detailed, enthusiastic information (info-dumping), which registers as connection. The other partner connects via light, low-stakes exchanges (small talk) and experiences high-density monologues as a lecture that causes cognitive fatigue. The solution is to design Container Agreements that honor both defaults without shaming either:</w:t>
      </w:r>
    </w:p>
    <w:p>
      <w:pPr>
        <w:pStyle w:val="ListBullet"/>
        <w:spacing w:before="40" w:after="80" w:line="276" w:lineRule="auto"/>
      </w:pPr>
      <w:r>
        <w:rPr>
          <w:b/>
          <w:i w:val="0"/>
        </w:rPr>
        <w:t xml:space="preserve">The Explicit Request: </w:t>
      </w:r>
      <w:r>
        <w:rPr>
          <w:b w:val="0"/>
          <w:i w:val="0"/>
        </w:rPr>
        <w:t>When sharing, use the owned script: 'I would love to share a deep-dive about my focus topic right now. Do you have a 10-minute container for this, or are you in low-energy mode?'</w:t>
      </w:r>
    </w:p>
    <w:p>
      <w:pPr>
        <w:pStyle w:val="ListBullet"/>
        <w:spacing w:before="40" w:after="80" w:line="276" w:lineRule="auto"/>
      </w:pPr>
      <w:r>
        <w:rPr>
          <w:b/>
          <w:i w:val="0"/>
        </w:rPr>
        <w:t xml:space="preserve">The 'Floor' Agreement: </w:t>
      </w:r>
      <w:r>
        <w:rPr>
          <w:b w:val="0"/>
          <w:i w:val="0"/>
        </w:rPr>
        <w:t>Agree on interactive turn-taking structures: 'You get 10 minutes of unfiltered detail, then I get to ask questions, and then we pause to decompress.'</w:t>
      </w:r>
    </w:p>
    <w:p>
      <w:pPr>
        <w:pStyle w:val="Heading2"/>
        <w:keepNext/>
        <w:spacing w:before="360" w:after="120"/>
      </w:pPr>
      <w:r>
        <w:rPr>
          <w:rFonts w:ascii="Arial" w:hAnsi="Arial"/>
          <w:color w:val="4F5E7B"/>
          <w:sz w:val="28"/>
        </w:rPr>
        <w:t>Script Playbook: Ask-Don't-Assume &amp; 4-Part Repair</w:t>
      </w:r>
    </w:p>
    <w:p>
      <w:pPr>
        <w:spacing w:after="200" w:line="276" w:lineRule="auto"/>
      </w:pPr>
      <w:r>
        <w:rPr>
          <w:b w:val="0"/>
          <w:i w:val="0"/>
        </w:rPr>
        <w:t>We use structured script playbooks to verify intent before responding. Below are the three core Ask-Don't-Assume scripts and the four-part Repair Language Protocol.</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The Ask-Don't-Assume Scripts:</w:t>
              <w:br/>
            </w:r>
            <w:r>
              <w:rPr>
                <w:b/>
                <w:i w:val="0"/>
              </w:rPr>
              <w:t xml:space="preserve">1. Meaning Check: </w:t>
            </w:r>
            <w:r>
              <w:rPr>
                <w:b w:val="0"/>
                <w:i w:val="0"/>
              </w:rPr>
              <w:t>'You said X. Did you mean [Option A: literal] or [Option B: inferred]?'</w:t>
              <w:br/>
            </w:r>
            <w:r>
              <w:rPr>
                <w:b/>
                <w:i w:val="0"/>
              </w:rPr>
              <w:t xml:space="preserve">2. Landing Check: </w:t>
            </w:r>
            <w:r>
              <w:rPr>
                <w:b w:val="0"/>
                <w:i w:val="0"/>
              </w:rPr>
              <w:t>'What I heard in my filter was X, and it landed as Y. Is that what you intended to send?'</w:t>
              <w:br/>
            </w:r>
            <w:r>
              <w:rPr>
                <w:b/>
                <w:i w:val="0"/>
              </w:rPr>
              <w:t xml:space="preserve">3. Action Check: </w:t>
            </w:r>
            <w:r>
              <w:rPr>
                <w:b w:val="0"/>
                <w:i w:val="0"/>
              </w:rPr>
              <w:t>'I can hear you are distressed. Do you want empathy, active problem-solving, or just information?'</w:t>
            </w:r>
          </w:p>
        </w:tc>
      </w:tr>
    </w:tbl>
    <w:p>
      <w:pPr>
        <w:spacing w:after="120"/>
      </w:pPr>
    </w:p>
    <w:p>
      <w:pPr>
        <w:spacing w:after="200" w:line="276" w:lineRule="auto"/>
      </w:pPr>
      <w:r>
        <w:rPr>
          <w:b w:val="0"/>
          <w:i w:val="0"/>
        </w:rPr>
        <w:t>When a communication miss occurs, apologies that stop at 'I'm sorry' or 'I didn't mean to' are incomplete. They address intent, but ignore impact. Sincere communication repair utilizes the 4-Part Repair Language Protocol:</w:t>
      </w:r>
    </w:p>
    <w:tbl>
      <w:tblPr>
        <w:tblStyle w:val="TableGrid"/>
        <w:tblW w:type="auto" w:w="0"/>
        <w:tblLayout w:type="fixed"/>
        <w:tblLook w:firstColumn="1" w:firstRow="1" w:lastColumn="0" w:lastRow="0" w:noHBand="0" w:noVBand="1" w:val="04A0"/>
      </w:tblPr>
      <w:tblGrid>
        <w:gridCol w:w="4680"/>
        <w:gridCol w:w="4680"/>
      </w:tblGrid>
      <w:tr>
        <w:tc>
          <w:tcPr>
            <w:tcW w:type="dxa" w:w="2592"/>
            <w:shd w:fill="1B365D" w:val="clear"/>
            <w:tcMar>
              <w:top w:w="80" w:type="dxa"/>
              <w:bottom w:w="80" w:type="dxa"/>
              <w:left w:w="100" w:type="dxa"/>
              <w:right w:w="100" w:type="dxa"/>
            </w:tcMar>
          </w:tcPr>
          <w:p>
            <w:r>
              <w:rPr>
                <w:b/>
                <w:color w:val="FFFFFF"/>
              </w:rPr>
              <w:t>Protocol Stage</w:t>
            </w:r>
          </w:p>
        </w:tc>
        <w:tc>
          <w:tcPr>
            <w:tcW w:type="dxa" w:w="5760"/>
            <w:shd w:fill="1B365D" w:val="clear"/>
            <w:tcMar>
              <w:top w:w="80" w:type="dxa"/>
              <w:bottom w:w="80" w:type="dxa"/>
              <w:left w:w="100" w:type="dxa"/>
              <w:right w:w="100" w:type="dxa"/>
            </w:tcMar>
          </w:tcPr>
          <w:p>
            <w:r>
              <w:rPr>
                <w:b/>
                <w:color w:val="FFFFFF"/>
              </w:rPr>
              <w:t>The Working Script &amp; Grounded Example</w:t>
            </w:r>
          </w:p>
        </w:tc>
      </w:tr>
      <w:tr>
        <w:tc>
          <w:tcPr>
            <w:tcW w:type="dxa" w:w="2592"/>
            <w:shd w:fill="F2F4F7" w:val="clear"/>
            <w:tcMar>
              <w:top w:w="80" w:type="dxa"/>
              <w:bottom w:w="80" w:type="dxa"/>
              <w:left w:w="100" w:type="dxa"/>
              <w:right w:w="100" w:type="dxa"/>
            </w:tcMar>
          </w:tcPr>
          <w:p>
            <w:r>
              <w:rPr>
                <w:b/>
              </w:rPr>
              <w:t>1. Intended</w:t>
            </w:r>
          </w:p>
        </w:tc>
        <w:tc>
          <w:tcPr>
            <w:tcW w:type="dxa" w:w="5760"/>
            <w:tcMar>
              <w:top w:w="80" w:type="dxa"/>
              <w:bottom w:w="80" w:type="dxa"/>
              <w:left w:w="100" w:type="dxa"/>
              <w:right w:w="100" w:type="dxa"/>
            </w:tcMar>
          </w:tcPr>
          <w:p>
            <w:r>
              <w:t>State what you meant to communicate: 'My intention was only to share a neutral observation about the kitchen counter, not to criticize.'</w:t>
            </w:r>
          </w:p>
        </w:tc>
      </w:tr>
      <w:tr>
        <w:tc>
          <w:tcPr>
            <w:tcW w:type="dxa" w:w="2592"/>
            <w:shd w:fill="F2F4F7" w:val="clear"/>
            <w:tcMar>
              <w:top w:w="80" w:type="dxa"/>
              <w:bottom w:w="80" w:type="dxa"/>
              <w:left w:w="100" w:type="dxa"/>
              <w:right w:w="100" w:type="dxa"/>
            </w:tcMar>
          </w:tcPr>
          <w:p>
            <w:r>
              <w:rPr>
                <w:b/>
              </w:rPr>
              <w:t>2. Recognized</w:t>
            </w:r>
          </w:p>
        </w:tc>
        <w:tc>
          <w:tcPr>
            <w:tcW w:type="dxa" w:w="5760"/>
            <w:tcMar>
              <w:top w:w="80" w:type="dxa"/>
              <w:bottom w:w="80" w:type="dxa"/>
              <w:left w:w="100" w:type="dxa"/>
              <w:right w:w="100" w:type="dxa"/>
            </w:tcMar>
          </w:tcPr>
          <w:p>
            <w:r>
              <w:t>Acknowledge what they experienced: 'I recognize that you experienced my flat voice tone as a harsh judgment of your housekeeping.'</w:t>
            </w:r>
          </w:p>
        </w:tc>
      </w:tr>
      <w:tr>
        <w:tc>
          <w:tcPr>
            <w:tcW w:type="dxa" w:w="2592"/>
            <w:shd w:fill="F2F4F7" w:val="clear"/>
            <w:tcMar>
              <w:top w:w="80" w:type="dxa"/>
              <w:bottom w:w="80" w:type="dxa"/>
              <w:left w:w="100" w:type="dxa"/>
              <w:right w:w="100" w:type="dxa"/>
            </w:tcMar>
          </w:tcPr>
          <w:p>
            <w:r>
              <w:rPr>
                <w:b/>
              </w:rPr>
              <w:t>3. Understood</w:t>
            </w:r>
          </w:p>
        </w:tc>
        <w:tc>
          <w:tcPr>
            <w:tcW w:type="dxa" w:w="5760"/>
            <w:tcMar>
              <w:top w:w="80" w:type="dxa"/>
              <w:bottom w:w="80" w:type="dxa"/>
              <w:left w:w="100" w:type="dxa"/>
              <w:right w:w="100" w:type="dxa"/>
            </w:tcMar>
          </w:tcPr>
          <w:p>
            <w:r>
              <w:t>Validate how it landed: 'I understand that my flat tone made you feel unappreciated and defensive after you spent all day cleaning.'</w:t>
            </w:r>
          </w:p>
        </w:tc>
      </w:tr>
      <w:tr>
        <w:tc>
          <w:tcPr>
            <w:tcW w:type="dxa" w:w="2592"/>
            <w:shd w:fill="F2F4F7" w:val="clear"/>
            <w:tcMar>
              <w:top w:w="80" w:type="dxa"/>
              <w:bottom w:w="80" w:type="dxa"/>
              <w:left w:w="100" w:type="dxa"/>
              <w:right w:w="100" w:type="dxa"/>
            </w:tcMar>
          </w:tcPr>
          <w:p>
            <w:r>
              <w:rPr>
                <w:b/>
              </w:rPr>
              <w:t>4. Will Do Differently</w:t>
            </w:r>
          </w:p>
        </w:tc>
        <w:tc>
          <w:tcPr>
            <w:tcW w:type="dxa" w:w="5760"/>
            <w:tcMar>
              <w:top w:w="80" w:type="dxa"/>
              <w:bottom w:w="80" w:type="dxa"/>
              <w:left w:w="100" w:type="dxa"/>
              <w:right w:w="100" w:type="dxa"/>
            </w:tcMar>
          </w:tcPr>
          <w:p>
            <w:r>
              <w:t>Name a specific, observable change: 'I will write down a simple checklist before bringing up chores, and use a collaborative soft-start phrase.'</w:t>
            </w:r>
          </w:p>
        </w:tc>
      </w:tr>
    </w:tbl>
    <w:p>
      <w:r>
        <w:br w:type="page"/>
      </w:r>
    </w:p>
    <w:p>
      <w:pPr>
        <w:pStyle w:val="Heading1"/>
        <w:keepNext/>
        <w:spacing w:before="360" w:after="120"/>
        <w:pBdr>
          <w:bottom w:val="single" w:sz="12" w:space="4" w:color="1B365D"/>
        </w:pBdr>
      </w:pPr>
      <w:r>
        <w:rPr>
          <w:rFonts w:ascii="Arial" w:hAnsi="Arial"/>
          <w:color w:val="1B365D"/>
          <w:sz w:val="36"/>
        </w:rPr>
        <w:t>Chapter 3: Sensory Worlds &amp; Decompression</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 xml:space="preserve">The 2-Minute Quick Read: </w:t>
            </w:r>
            <w:r>
              <w:rPr>
                <w:b w:val="0"/>
                <w:i w:val="0"/>
              </w:rPr>
              <w:t>Sensory differences are biological operating parameters, not emotional pickiness. When a nervous system floods, logical processing goes offline. We must calm the body first and negotiate the environment, not the person.</w:t>
            </w:r>
          </w:p>
        </w:tc>
      </w:tr>
    </w:tbl>
    <w:p>
      <w:pPr>
        <w:spacing w:after="120"/>
      </w:pPr>
    </w:p>
    <w:p>
      <w:pPr>
        <w:pStyle w:val="Heading2"/>
        <w:keepNext/>
        <w:spacing w:before="360" w:after="120"/>
      </w:pPr>
      <w:r>
        <w:rPr>
          <w:rFonts w:ascii="Arial" w:hAnsi="Arial"/>
          <w:color w:val="4F5E7B"/>
          <w:sz w:val="28"/>
        </w:rPr>
        <w:t>The Neurological Underpinnings: Sensory Overload vs. Deprivation</w:t>
      </w:r>
    </w:p>
    <w:p>
      <w:pPr>
        <w:spacing w:after="200" w:line="276" w:lineRule="auto"/>
      </w:pPr>
      <w:r>
        <w:rPr>
          <w:b w:val="0"/>
          <w:i w:val="0"/>
        </w:rPr>
        <w:t>A neurodivergent nervous system takes in environmental input with immense intensity. Sound frequencies, ambient lighting (especially fluorescent or flickering light), strong scents, mattress textures, and physical crowds can register as physical pain. Alternatively, some systems require high stimulation (sensory seeking) to feel anchored. When a sensory-avoidant system and a sensory-seeking system inhabit the same environment, they collide physically. This is not a failure of love, but a physical system compatibility mismatch that must be negotiated as environmental design.</w:t>
      </w:r>
    </w:p>
    <w:p>
      <w:pPr>
        <w:pStyle w:val="Heading2"/>
        <w:keepNext/>
        <w:spacing w:before="360" w:after="120"/>
      </w:pPr>
      <w:r>
        <w:rPr>
          <w:rFonts w:ascii="Arial" w:hAnsi="Arial"/>
          <w:color w:val="4F5E7B"/>
          <w:sz w:val="28"/>
        </w:rPr>
        <w:t>Somatic Mapping: Meltdown, Shutdown, and Flooding</w:t>
      </w:r>
    </w:p>
    <w:p>
      <w:pPr>
        <w:spacing w:after="200" w:line="276" w:lineRule="auto"/>
      </w:pPr>
      <w:r>
        <w:rPr>
          <w:b w:val="0"/>
          <w:i w:val="0"/>
        </w:rPr>
        <w:t>Nervous system overload is a survival-driven physiological state. It occurs in three major ways:</w:t>
      </w:r>
    </w:p>
    <w:p>
      <w:pPr>
        <w:pStyle w:val="ListBullet"/>
        <w:spacing w:before="40" w:after="80" w:line="276" w:lineRule="auto"/>
      </w:pPr>
      <w:r>
        <w:rPr>
          <w:b/>
          <w:i w:val="0"/>
        </w:rPr>
        <w:t xml:space="preserve">1. Meltdown: </w:t>
      </w:r>
      <w:r>
        <w:rPr>
          <w:b w:val="0"/>
          <w:i w:val="0"/>
        </w:rPr>
        <w:t>An externalized fight-or-flight collapse. The somatic system is saturated, resulting in rapid pacing, an inability to filter sensory input, intense vocal volume, or physical shaking. It is involuntary, not dramatic.</w:t>
      </w:r>
    </w:p>
    <w:p>
      <w:pPr>
        <w:pStyle w:val="ListBullet"/>
        <w:spacing w:before="40" w:after="80" w:line="276" w:lineRule="auto"/>
      </w:pPr>
      <w:r>
        <w:rPr>
          <w:b/>
          <w:i w:val="0"/>
        </w:rPr>
        <w:t xml:space="preserve">2. Shutdown: </w:t>
      </w:r>
      <w:r>
        <w:rPr>
          <w:b w:val="0"/>
          <w:i w:val="0"/>
        </w:rPr>
        <w:t>An internalized freeze response. The body goes offline, resulting in physical exhaustion, flat affect, temporary mutism (word retrieval drops to zero), or a complete physical collapse. It is a protective lock.</w:t>
      </w:r>
    </w:p>
    <w:p>
      <w:pPr>
        <w:pStyle w:val="ListBullet"/>
        <w:spacing w:before="40" w:after="80" w:line="276" w:lineRule="auto"/>
      </w:pPr>
      <w:r>
        <w:rPr>
          <w:b/>
          <w:i w:val="0"/>
        </w:rPr>
        <w:t xml:space="preserve">3. Feeling Flooded: </w:t>
      </w:r>
      <w:r>
        <w:rPr>
          <w:b w:val="0"/>
          <w:i w:val="0"/>
        </w:rPr>
        <w:t>A state of physiological overwhelm where adrenaline and cortisol saturate the bloodstream. In this state, the prefrontal cortex—the part of the brain that manages compromising, logic, and long-term planning—is biologically offline. Demanding a resolution while flooded is equivalent to asking someone to read a map while drowning.</w:t>
      </w:r>
    </w:p>
    <w:p>
      <w:pPr>
        <w:pStyle w:val="Heading2"/>
        <w:keepNext/>
        <w:spacing w:before="360" w:after="120"/>
      </w:pPr>
      <w:r>
        <w:rPr>
          <w:rFonts w:ascii="Arial" w:hAnsi="Arial"/>
          <w:color w:val="4F5E7B"/>
          <w:sz w:val="28"/>
        </w:rPr>
        <w:t>Diagnostic Toolkit: Stonewalling vs. Biological Overload</w:t>
      </w:r>
    </w:p>
    <w:p>
      <w:pPr>
        <w:spacing w:after="200" w:line="276" w:lineRule="auto"/>
      </w:pPr>
      <w:r>
        <w:rPr>
          <w:b w:val="0"/>
          <w:i w:val="0"/>
        </w:rPr>
        <w:t>To ensure safety and relational honesty, we must clearly distinguish an involuntary shutdown from behavioral stonewalling:</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1B365D" w:val="clear"/>
            <w:tcMar>
              <w:top w:w="80" w:type="dxa"/>
              <w:bottom w:w="80" w:type="dxa"/>
              <w:left w:w="100" w:type="dxa"/>
              <w:right w:w="100" w:type="dxa"/>
            </w:tcMar>
          </w:tcPr>
          <w:p>
            <w:r>
              <w:rPr>
                <w:b/>
                <w:color w:val="FFFFFF"/>
              </w:rPr>
              <w:t>Dynamic</w:t>
            </w:r>
          </w:p>
        </w:tc>
        <w:tc>
          <w:tcPr>
            <w:tcW w:type="dxa" w:w="2880"/>
            <w:shd w:fill="1B365D" w:val="clear"/>
            <w:tcMar>
              <w:top w:w="80" w:type="dxa"/>
              <w:bottom w:w="80" w:type="dxa"/>
              <w:left w:w="100" w:type="dxa"/>
              <w:right w:w="100" w:type="dxa"/>
            </w:tcMar>
          </w:tcPr>
          <w:p>
            <w:r>
              <w:rPr>
                <w:b/>
                <w:color w:val="FFFFFF"/>
              </w:rPr>
              <w:t>Overload Event (Shutdown / Flooding)</w:t>
            </w:r>
          </w:p>
        </w:tc>
        <w:tc>
          <w:tcPr>
            <w:tcW w:type="dxa" w:w="2880"/>
            <w:shd w:fill="1B365D" w:val="clear"/>
            <w:tcMar>
              <w:top w:w="80" w:type="dxa"/>
              <w:bottom w:w="80" w:type="dxa"/>
              <w:left w:w="100" w:type="dxa"/>
              <w:right w:w="100" w:type="dxa"/>
            </w:tcMar>
          </w:tcPr>
          <w:p>
            <w:r>
              <w:rPr>
                <w:b/>
                <w:color w:val="FFFFFF"/>
              </w:rPr>
              <w:t>Stonewalling (Intentional Withdrawal)</w:t>
            </w:r>
          </w:p>
        </w:tc>
      </w:tr>
      <w:tr>
        <w:tc>
          <w:tcPr>
            <w:tcW w:type="dxa" w:w="2592"/>
            <w:shd w:fill="F2F4F7" w:val="clear"/>
            <w:tcMar>
              <w:top w:w="80" w:type="dxa"/>
              <w:bottom w:w="80" w:type="dxa"/>
              <w:left w:w="100" w:type="dxa"/>
              <w:right w:w="100" w:type="dxa"/>
            </w:tcMar>
          </w:tcPr>
          <w:p>
            <w:r>
              <w:rPr>
                <w:b/>
              </w:rPr>
              <w:t>Biological Source</w:t>
            </w:r>
          </w:p>
        </w:tc>
        <w:tc>
          <w:tcPr>
            <w:tcW w:type="dxa" w:w="2880"/>
            <w:tcMar>
              <w:top w:w="80" w:type="dxa"/>
              <w:bottom w:w="80" w:type="dxa"/>
              <w:left w:w="100" w:type="dxa"/>
              <w:right w:w="100" w:type="dxa"/>
            </w:tcMar>
          </w:tcPr>
          <w:p>
            <w:r>
              <w:t>Involuntary system collapse due to sensory/cognitive accumulation.</w:t>
            </w:r>
          </w:p>
        </w:tc>
        <w:tc>
          <w:tcPr>
            <w:tcW w:type="dxa" w:w="2880"/>
            <w:tcMar>
              <w:top w:w="80" w:type="dxa"/>
              <w:bottom w:w="80" w:type="dxa"/>
              <w:left w:w="100" w:type="dxa"/>
              <w:right w:w="100" w:type="dxa"/>
            </w:tcMar>
          </w:tcPr>
          <w:p>
            <w:r>
              <w:t>Strategic behavioral decision to withdraw as control or self-protection.</w:t>
            </w:r>
          </w:p>
        </w:tc>
      </w:tr>
      <w:tr>
        <w:tc>
          <w:tcPr>
            <w:tcW w:type="dxa" w:w="2592"/>
            <w:shd w:fill="F2F4F7" w:val="clear"/>
            <w:tcMar>
              <w:top w:w="80" w:type="dxa"/>
              <w:bottom w:w="80" w:type="dxa"/>
              <w:left w:w="100" w:type="dxa"/>
              <w:right w:w="100" w:type="dxa"/>
            </w:tcMar>
          </w:tcPr>
          <w:p>
            <w:r>
              <w:rPr>
                <w:b/>
              </w:rPr>
              <w:t>Physical Indicators</w:t>
            </w:r>
          </w:p>
        </w:tc>
        <w:tc>
          <w:tcPr>
            <w:tcW w:type="dxa" w:w="2880"/>
            <w:tcMar>
              <w:top w:w="80" w:type="dxa"/>
              <w:bottom w:w="80" w:type="dxa"/>
              <w:left w:w="100" w:type="dxa"/>
              <w:right w:w="100" w:type="dxa"/>
            </w:tcMar>
          </w:tcPr>
          <w:p>
            <w:r>
              <w:t>Flat affect, temporary mutism, physical exhaustion, looking away.</w:t>
            </w:r>
          </w:p>
        </w:tc>
        <w:tc>
          <w:tcPr>
            <w:tcW w:type="dxa" w:w="2880"/>
            <w:tcMar>
              <w:top w:w="80" w:type="dxa"/>
              <w:bottom w:w="80" w:type="dxa"/>
              <w:left w:w="100" w:type="dxa"/>
              <w:right w:w="100" w:type="dxa"/>
            </w:tcMar>
          </w:tcPr>
          <w:p>
            <w:r>
              <w:t>Rigid, responsive posture, deliberate refusal to respond while retaining executive functions.</w:t>
            </w:r>
          </w:p>
        </w:tc>
      </w:tr>
      <w:tr>
        <w:tc>
          <w:tcPr>
            <w:tcW w:type="dxa" w:w="2592"/>
            <w:shd w:fill="F2F4F7" w:val="clear"/>
            <w:tcMar>
              <w:top w:w="80" w:type="dxa"/>
              <w:bottom w:w="80" w:type="dxa"/>
              <w:left w:w="100" w:type="dxa"/>
              <w:right w:w="100" w:type="dxa"/>
            </w:tcMar>
          </w:tcPr>
          <w:p>
            <w:r>
              <w:rPr>
                <w:b/>
              </w:rPr>
              <w:t>Immediate Response</w:t>
            </w:r>
          </w:p>
        </w:tc>
        <w:tc>
          <w:tcPr>
            <w:tcW w:type="dxa" w:w="2880"/>
            <w:tcMar>
              <w:top w:w="80" w:type="dxa"/>
              <w:bottom w:w="80" w:type="dxa"/>
              <w:left w:w="100" w:type="dxa"/>
              <w:right w:w="100" w:type="dxa"/>
            </w:tcMar>
          </w:tcPr>
          <w:p>
            <w:r>
              <w:t>Somatic safety pause, quiet, and honoring the return anchor.</w:t>
            </w:r>
          </w:p>
        </w:tc>
        <w:tc>
          <w:tcPr>
            <w:tcW w:type="dxa" w:w="2880"/>
            <w:tcMar>
              <w:top w:w="80" w:type="dxa"/>
              <w:bottom w:w="80" w:type="dxa"/>
              <w:left w:w="100" w:type="dxa"/>
              <w:right w:w="100" w:type="dxa"/>
            </w:tcMar>
          </w:tcPr>
          <w:p>
            <w:r>
              <w:t>Stating your boundary, refusing to participate in silence, and holding them accountable.</w:t>
            </w:r>
          </w:p>
        </w:tc>
      </w:tr>
    </w:tbl>
    <w:p>
      <w:pPr>
        <w:spacing w:after="120"/>
      </w:pPr>
    </w:p>
    <w:p>
      <w:pPr>
        <w:pStyle w:val="Heading2"/>
        <w:keepNext/>
        <w:spacing w:before="360" w:after="120"/>
      </w:pPr>
      <w:r>
        <w:rPr>
          <w:rFonts w:ascii="Arial" w:hAnsi="Arial"/>
          <w:color w:val="4F5E7B"/>
          <w:sz w:val="28"/>
        </w:rPr>
        <w:t>Somatic Safety Signal Menu</w:t>
      </w:r>
    </w:p>
    <w:p>
      <w:pPr>
        <w:spacing w:after="200" w:line="276" w:lineRule="auto"/>
      </w:pPr>
      <w:r>
        <w:rPr>
          <w:b w:val="0"/>
          <w:i w:val="0"/>
        </w:rPr>
        <w:t>In calm windows, establish your Somatic Safety Signals—concrete verbal or physical moves that communicate biological threat-mitigation without requiring complex explanations under pressure:</w:t>
      </w:r>
    </w:p>
    <w:p>
      <w:pPr>
        <w:pStyle w:val="ListBullet"/>
        <w:spacing w:before="40" w:after="80" w:line="276" w:lineRule="auto"/>
      </w:pPr>
      <w:r>
        <w:rPr>
          <w:b/>
          <w:i w:val="0"/>
        </w:rPr>
        <w:t xml:space="preserve">Voice Tone Adjustment: </w:t>
      </w:r>
      <w:r>
        <w:rPr>
          <w:b w:val="0"/>
          <w:i w:val="0"/>
        </w:rPr>
        <w:t>Lowering volume, softening pitch, and slowing word rate.</w:t>
      </w:r>
    </w:p>
    <w:p>
      <w:pPr>
        <w:pStyle w:val="ListBullet"/>
        <w:spacing w:before="40" w:after="80" w:line="276" w:lineRule="auto"/>
      </w:pPr>
      <w:r>
        <w:rPr>
          <w:b/>
          <w:i w:val="0"/>
        </w:rPr>
        <w:t xml:space="preserve">Physical Posture: </w:t>
      </w:r>
      <w:r>
        <w:rPr>
          <w:b w:val="0"/>
          <w:i w:val="0"/>
        </w:rPr>
        <w:t>Taking a half-step back, softening shoulders, and unclenching your hands.</w:t>
      </w:r>
    </w:p>
    <w:p>
      <w:pPr>
        <w:pStyle w:val="ListBullet"/>
        <w:spacing w:before="40" w:after="80" w:line="276" w:lineRule="auto"/>
      </w:pPr>
      <w:r>
        <w:rPr>
          <w:b/>
          <w:i w:val="0"/>
        </w:rPr>
        <w:t xml:space="preserve">Environmental Softness: </w:t>
      </w:r>
      <w:r>
        <w:rPr>
          <w:b w:val="0"/>
          <w:i w:val="0"/>
        </w:rPr>
        <w:t>Dimming light overhead, turning off background noises, and turning bodies at an angle rather than square-on.</w:t>
      </w:r>
    </w:p>
    <w:p>
      <w:pPr>
        <w:pStyle w:val="Heading2"/>
        <w:keepNext/>
        <w:spacing w:before="360" w:after="120"/>
      </w:pPr>
      <w:r>
        <w:rPr>
          <w:rFonts w:ascii="Arial" w:hAnsi="Arial"/>
          <w:color w:val="4F5E7B"/>
          <w:sz w:val="28"/>
        </w:rPr>
        <w:t>The Safety Rail: Accommodation Fatigue vs. Enabling Harm</w:t>
      </w:r>
    </w:p>
    <w:p>
      <w:pPr>
        <w:spacing w:after="200" w:line="276" w:lineRule="auto"/>
      </w:pPr>
      <w:r>
        <w:rPr>
          <w:b w:val="0"/>
          <w:i w:val="0"/>
        </w:rPr>
        <w:t>If you are the partner who constantly edits your voice, monitors the environment, and absorbs biological spills to prevent your partner from entering overload, you are experiencing Accommodation Fatigue. You must hold this non-negotiable boundary: Accommodation lowers the physical barrier to a healthy need while responsibility remains with the owner. Enabling lowers the barrier to harm, or shields someone from the natural consequences of their behaviors. If overload leads to screaming, isolation, threats, or uncommunicated withdrawal, it is a boundary violation that must be addressed immediately.</w:t>
      </w:r>
    </w:p>
    <w:p>
      <w:r>
        <w:br w:type="page"/>
      </w:r>
    </w:p>
    <w:p>
      <w:pPr>
        <w:pStyle w:val="Heading1"/>
        <w:keepNext/>
        <w:spacing w:before="360" w:after="120"/>
        <w:pBdr>
          <w:bottom w:val="single" w:sz="12" w:space="4" w:color="1B365D"/>
        </w:pBdr>
      </w:pPr>
      <w:r>
        <w:rPr>
          <w:rFonts w:ascii="Arial" w:hAnsi="Arial"/>
          <w:color w:val="1B365D"/>
          <w:sz w:val="36"/>
        </w:rPr>
        <w:t>Chapter 4: The Invisible Architecture of Daily Life</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 xml:space="preserve">The 2-Minute Quick Read: </w:t>
            </w:r>
            <w:r>
              <w:rPr>
                <w:b w:val="0"/>
                <w:i w:val="0"/>
              </w:rPr>
              <w:t>Household labor collisions are usually planning-skills problems, not indicators of apathy or laziness. By moving tasks out of human brains and into external, owned physical systems, we remove executive function load from relationships.</w:t>
            </w:r>
          </w:p>
        </w:tc>
      </w:tr>
    </w:tbl>
    <w:p>
      <w:pPr>
        <w:spacing w:after="120"/>
      </w:pPr>
    </w:p>
    <w:p>
      <w:pPr>
        <w:pStyle w:val="Heading2"/>
        <w:keepNext/>
        <w:spacing w:before="360" w:after="120"/>
      </w:pPr>
      <w:r>
        <w:rPr>
          <w:rFonts w:ascii="Arial" w:hAnsi="Arial"/>
          <w:color w:val="4F5E7B"/>
          <w:sz w:val="28"/>
        </w:rPr>
        <w:t>The Neurological Underpinnings: Monotropism and Executive Function</w:t>
      </w:r>
    </w:p>
    <w:p>
      <w:pPr>
        <w:spacing w:after="200" w:line="276" w:lineRule="auto"/>
      </w:pPr>
      <w:r>
        <w:rPr>
          <w:b w:val="0"/>
          <w:i w:val="0"/>
        </w:rPr>
        <w:t>Running a home requires complex planning skills (noticing, starting, planning, remembering, doing, and monitoring). In ADHD and autistic brains, planning-skill differences are deeply documented. Furthermore, many neurodivergent brains operate under a Monotropic attention style—concentrating deeply in a single channel at a time. Surfacing from a monotropic attention tunnel is physically jarring and disorienting. A monotropic brain in a work tunnel literally does not register background household triggers. This is a transition and scheduling constraint, not an indicator of how much they value their partner.</w:t>
      </w:r>
    </w:p>
    <w:p>
      <w:pPr>
        <w:pStyle w:val="Heading2"/>
        <w:keepNext/>
        <w:spacing w:before="360" w:after="120"/>
      </w:pPr>
      <w:r>
        <w:rPr>
          <w:rFonts w:ascii="Arial" w:hAnsi="Arial"/>
          <w:color w:val="4F5E7B"/>
          <w:sz w:val="28"/>
        </w:rPr>
        <w:t>Somatic Mapping: Monotropic Surfacing Jolt</w:t>
      </w:r>
    </w:p>
    <w:p>
      <w:pPr>
        <w:spacing w:after="200" w:line="276" w:lineRule="auto"/>
      </w:pPr>
      <w:r>
        <w:rPr>
          <w:b w:val="0"/>
          <w:i w:val="0"/>
        </w:rPr>
        <w:t>Somatic sensations of transition strain include: a physical startle-response when interrupted, an immediate spike of irritability, throat tightening, or feeling a heavy cognitive fog. Recognizing this somatic jolt is essential for designing transition signals rather than expecting seamless switching.</w:t>
      </w:r>
    </w:p>
    <w:p>
      <w:pPr>
        <w:pStyle w:val="Heading2"/>
        <w:keepNext/>
        <w:spacing w:before="360" w:after="120"/>
      </w:pPr>
      <w:r>
        <w:rPr>
          <w:rFonts w:ascii="Arial" w:hAnsi="Arial"/>
          <w:color w:val="4F5E7B"/>
          <w:sz w:val="28"/>
        </w:rPr>
        <w:t>Diagnostic Toolkit: The Whole-Task Workload Audit</w:t>
      </w:r>
    </w:p>
    <w:p>
      <w:pPr>
        <w:spacing w:after="200" w:line="276" w:lineRule="auto"/>
      </w:pPr>
      <w:r>
        <w:rPr>
          <w:b w:val="0"/>
          <w:i w:val="0"/>
        </w:rPr>
        <w:t>A common friction point in domestic life is that task ownership gets split: one partner does the 'doing' while the other carries the 'invisible front half' (noticing, planning, remembering). This causes chronic fatigue. The solution is to audit and reassign whole-task ownership, accompanied by external infrastructure: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728"/>
            <w:shd w:fill="1B365D" w:val="clear"/>
            <w:tcMar>
              <w:top w:w="80" w:type="dxa"/>
              <w:bottom w:w="80" w:type="dxa"/>
              <w:left w:w="100" w:type="dxa"/>
              <w:right w:w="100" w:type="dxa"/>
            </w:tcMar>
          </w:tcPr>
          <w:p>
            <w:r>
              <w:rPr>
                <w:b/>
                <w:color w:val="FFFFFF"/>
              </w:rPr>
              <w:t>Task Title</w:t>
            </w:r>
          </w:p>
        </w:tc>
        <w:tc>
          <w:tcPr>
            <w:tcW w:type="dxa" w:w="2160"/>
            <w:shd w:fill="1B365D" w:val="clear"/>
            <w:tcMar>
              <w:top w:w="80" w:type="dxa"/>
              <w:bottom w:w="80" w:type="dxa"/>
              <w:left w:w="100" w:type="dxa"/>
              <w:right w:w="100" w:type="dxa"/>
            </w:tcMar>
          </w:tcPr>
          <w:p>
            <w:r>
              <w:rPr>
                <w:b/>
                <w:color w:val="FFFFFF"/>
              </w:rPr>
              <w:t>Invisible Front Half</w:t>
            </w:r>
          </w:p>
        </w:tc>
        <w:tc>
          <w:tcPr>
            <w:tcW w:type="dxa" w:w="1872"/>
            <w:shd w:fill="1B365D" w:val="clear"/>
            <w:tcMar>
              <w:top w:w="80" w:type="dxa"/>
              <w:bottom w:w="80" w:type="dxa"/>
              <w:left w:w="100" w:type="dxa"/>
              <w:right w:w="100" w:type="dxa"/>
            </w:tcMar>
          </w:tcPr>
          <w:p>
            <w:r>
              <w:rPr>
                <w:b/>
                <w:color w:val="FFFFFF"/>
              </w:rPr>
              <w:t>Visible Back Half</w:t>
            </w:r>
          </w:p>
        </w:tc>
        <w:tc>
          <w:tcPr>
            <w:tcW w:type="dxa" w:w="1152"/>
            <w:shd w:fill="1B365D" w:val="clear"/>
            <w:tcMar>
              <w:top w:w="80" w:type="dxa"/>
              <w:bottom w:w="80" w:type="dxa"/>
              <w:left w:w="100" w:type="dxa"/>
              <w:right w:w="100" w:type="dxa"/>
            </w:tcMar>
          </w:tcPr>
          <w:p>
            <w:r>
              <w:rPr>
                <w:b/>
                <w:color w:val="FFFFFF"/>
              </w:rPr>
              <w:t>Owner</w:t>
            </w:r>
          </w:p>
        </w:tc>
        <w:tc>
          <w:tcPr>
            <w:tcW w:type="dxa" w:w="1728"/>
            <w:shd w:fill="1B365D" w:val="clear"/>
            <w:tcMar>
              <w:top w:w="80" w:type="dxa"/>
              <w:bottom w:w="80" w:type="dxa"/>
              <w:left w:w="100" w:type="dxa"/>
              <w:right w:w="100" w:type="dxa"/>
            </w:tcMar>
          </w:tcPr>
          <w:p>
            <w:r>
              <w:rPr>
                <w:b/>
                <w:color w:val="FFFFFF"/>
              </w:rPr>
              <w:t>External Infrastructure</w:t>
            </w:r>
          </w:p>
        </w:tc>
      </w:tr>
      <w:tr>
        <w:tc>
          <w:tcPr>
            <w:tcW w:type="dxa" w:w="1728"/>
            <w:shd w:fill="F2F4F7" w:val="clear"/>
            <w:tcMar>
              <w:top w:w="80" w:type="dxa"/>
              <w:bottom w:w="80" w:type="dxa"/>
              <w:left w:w="100" w:type="dxa"/>
              <w:right w:w="100" w:type="dxa"/>
            </w:tcMar>
          </w:tcPr>
          <w:p>
            <w:r>
              <w:rPr>
                <w:b/>
              </w:rPr>
              <w:t>Booking the Vet</w:t>
            </w:r>
          </w:p>
        </w:tc>
        <w:tc>
          <w:tcPr>
            <w:tcW w:type="dxa" w:w="2160"/>
            <w:tcMar>
              <w:top w:w="80" w:type="dxa"/>
              <w:bottom w:w="80" w:type="dxa"/>
              <w:left w:w="100" w:type="dxa"/>
              <w:right w:w="100" w:type="dxa"/>
            </w:tcMar>
          </w:tcPr>
          <w:p>
            <w:r>
              <w:t>Noticing vaccination is due; finding clinic phone; coordinating schedules.</w:t>
            </w:r>
          </w:p>
        </w:tc>
        <w:tc>
          <w:tcPr>
            <w:tcW w:type="dxa" w:w="1872"/>
            <w:tcMar>
              <w:top w:w="80" w:type="dxa"/>
              <w:bottom w:w="80" w:type="dxa"/>
              <w:left w:w="100" w:type="dxa"/>
              <w:right w:w="100" w:type="dxa"/>
            </w:tcMar>
          </w:tcPr>
          <w:p>
            <w:r>
              <w:t>Calling the clinic; placing pet in carrier; driving to clinic.</w:t>
            </w:r>
          </w:p>
        </w:tc>
        <w:tc>
          <w:tcPr>
            <w:tcW w:type="dxa" w:w="1152"/>
            <w:tcMar>
              <w:top w:w="80" w:type="dxa"/>
              <w:bottom w:w="80" w:type="dxa"/>
              <w:left w:w="100" w:type="dxa"/>
              <w:right w:w="100" w:type="dxa"/>
            </w:tcMar>
          </w:tcPr>
          <w:p>
            <w:r>
              <w:t>Partner B</w:t>
            </w:r>
          </w:p>
        </w:tc>
        <w:tc>
          <w:tcPr>
            <w:tcW w:type="dxa" w:w="1728"/>
            <w:tcMar>
              <w:top w:w="80" w:type="dxa"/>
              <w:bottom w:w="80" w:type="dxa"/>
              <w:left w:w="100" w:type="dxa"/>
              <w:right w:w="100" w:type="dxa"/>
            </w:tcMar>
          </w:tcPr>
          <w:p>
            <w:r>
              <w:t>A recurring calendar reminder on a shared phone calendar.</w:t>
            </w:r>
          </w:p>
        </w:tc>
      </w:tr>
      <w:tr>
        <w:tc>
          <w:tcPr>
            <w:tcW w:type="dxa" w:w="1728"/>
            <w:shd w:fill="F2F4F7" w:val="clear"/>
            <w:tcMar>
              <w:top w:w="80" w:type="dxa"/>
              <w:bottom w:w="80" w:type="dxa"/>
              <w:left w:w="100" w:type="dxa"/>
              <w:right w:w="100" w:type="dxa"/>
            </w:tcMar>
          </w:tcPr>
          <w:p>
            <w:r>
              <w:rPr>
                <w:b/>
              </w:rPr>
              <w:t>Weekly Meal Plan</w:t>
            </w:r>
          </w:p>
        </w:tc>
        <w:tc>
          <w:tcPr>
            <w:tcW w:type="dxa" w:w="2160"/>
            <w:tcMar>
              <w:top w:w="80" w:type="dxa"/>
              <w:bottom w:w="80" w:type="dxa"/>
              <w:left w:w="100" w:type="dxa"/>
              <w:right w:w="100" w:type="dxa"/>
            </w:tcMar>
          </w:tcPr>
          <w:p>
            <w:r>
              <w:t>Remembering dietary limits; tracking pantry stock; choosing recipes.</w:t>
            </w:r>
          </w:p>
        </w:tc>
        <w:tc>
          <w:tcPr>
            <w:tcW w:type="dxa" w:w="1872"/>
            <w:tcMar>
              <w:top w:w="80" w:type="dxa"/>
              <w:bottom w:w="80" w:type="dxa"/>
              <w:left w:w="100" w:type="dxa"/>
              <w:right w:w="100" w:type="dxa"/>
            </w:tcMar>
          </w:tcPr>
          <w:p>
            <w:r>
              <w:t>Writing groceries on shopping list; driving to store; unpacking.</w:t>
            </w:r>
          </w:p>
        </w:tc>
        <w:tc>
          <w:tcPr>
            <w:tcW w:type="dxa" w:w="1152"/>
            <w:tcMar>
              <w:top w:w="80" w:type="dxa"/>
              <w:bottom w:w="80" w:type="dxa"/>
              <w:left w:w="100" w:type="dxa"/>
              <w:right w:w="100" w:type="dxa"/>
            </w:tcMar>
          </w:tcPr>
          <w:p>
            <w:r>
              <w:t>Partner A</w:t>
            </w:r>
          </w:p>
        </w:tc>
        <w:tc>
          <w:tcPr>
            <w:tcW w:type="dxa" w:w="1728"/>
            <w:tcMar>
              <w:top w:w="80" w:type="dxa"/>
              <w:bottom w:w="80" w:type="dxa"/>
              <w:left w:w="100" w:type="dxa"/>
              <w:right w:w="100" w:type="dxa"/>
            </w:tcMar>
          </w:tcPr>
          <w:p>
            <w:r>
              <w:t>A shared grocery list app synced to both devices.</w:t>
            </w:r>
          </w:p>
        </w:tc>
      </w:tr>
    </w:tbl>
    <w:p>
      <w:pPr>
        <w:spacing w:after="120"/>
      </w:pPr>
    </w:p>
    <w:p>
      <w:pPr>
        <w:pStyle w:val="Heading2"/>
        <w:keepNext/>
        <w:spacing w:before="360" w:after="120"/>
      </w:pPr>
      <w:r>
        <w:rPr>
          <w:rFonts w:ascii="Arial" w:hAnsi="Arial"/>
          <w:color w:val="4F5E7B"/>
          <w:sz w:val="28"/>
        </w:rPr>
        <w:t>Managing Pathological Demand Avoidance (PDA) / Need for Choice</w:t>
      </w:r>
    </w:p>
    <w:p>
      <w:pPr>
        <w:spacing w:after="200" w:line="276" w:lineRule="auto"/>
      </w:pPr>
      <w:r>
        <w:rPr>
          <w:b w:val="0"/>
          <w:i w:val="0"/>
        </w:rPr>
        <w:t>Some autistic nervous systems experience standard commands, requests, or 'shoulds' as direct threats to safety, triggering an intense, physiological autonomic struggle. This is often described as extreme demand avoidance or a strong need for choice. Wording the request as a choice can lower this reaction, allowing the same task to get done once it stops arriving as a direct command:</w:t>
      </w:r>
    </w:p>
    <w:p>
      <w:pPr>
        <w:pStyle w:val="ListBullet"/>
        <w:spacing w:before="40" w:after="80" w:line="276" w:lineRule="auto"/>
      </w:pPr>
      <w:r>
        <w:rPr>
          <w:b/>
          <w:i w:val="0"/>
        </w:rPr>
        <w:t xml:space="preserve">Traditional Request (High Pressure): </w:t>
      </w:r>
      <w:r>
        <w:rPr>
          <w:b w:val="0"/>
          <w:i w:val="0"/>
        </w:rPr>
        <w:t>'Can you take the trash out now?' (Read as an intrusive, safety-threatening command).</w:t>
      </w:r>
    </w:p>
    <w:p>
      <w:pPr>
        <w:pStyle w:val="ListBullet"/>
        <w:spacing w:before="40" w:after="80" w:line="276" w:lineRule="auto"/>
      </w:pPr>
      <w:r>
        <w:rPr>
          <w:b/>
          <w:i w:val="0"/>
        </w:rPr>
        <w:t xml:space="preserve">Collaborative Choice Reframe (Low Pressure): </w:t>
      </w:r>
      <w:r>
        <w:rPr>
          <w:b w:val="0"/>
          <w:i w:val="0"/>
        </w:rPr>
        <w:t>'The trash, the mail, and the dishes need to happen today—which of those three would you prefer to take?' (Preserves agency and choice, bypassing the autonomic safety alarm).</w:t>
      </w:r>
    </w:p>
    <w:p>
      <w:pPr>
        <w:pStyle w:val="Heading2"/>
        <w:keepNext/>
        <w:spacing w:before="360" w:after="120"/>
      </w:pPr>
      <w:r>
        <w:rPr>
          <w:rFonts w:ascii="Arial" w:hAnsi="Arial"/>
          <w:color w:val="4F5E7B"/>
          <w:sz w:val="28"/>
        </w:rPr>
        <w:t>Moving the Relationship Into External Systems</w:t>
      </w:r>
    </w:p>
    <w:p>
      <w:pPr>
        <w:spacing w:after="200" w:line="276" w:lineRule="auto"/>
      </w:pPr>
      <w:r>
        <w:rPr>
          <w:b w:val="0"/>
          <w:i w:val="0"/>
        </w:rPr>
        <w:t>To protect brains from forgetting, move accountability into external, non-human structures:</w:t>
      </w:r>
    </w:p>
    <w:p>
      <w:pPr>
        <w:pStyle w:val="ListBullet"/>
        <w:spacing w:before="40" w:after="80" w:line="276" w:lineRule="auto"/>
      </w:pPr>
      <w:r>
        <w:rPr>
          <w:b/>
          <w:i w:val="0"/>
        </w:rPr>
        <w:t xml:space="preserve">Shared Calendar: </w:t>
      </w:r>
      <w:r>
        <w:rPr>
          <w:b w:val="0"/>
          <w:i w:val="0"/>
        </w:rPr>
        <w:t>For all appointments, deadlines, and time-bound shared agreements.</w:t>
      </w:r>
    </w:p>
    <w:p>
      <w:pPr>
        <w:pStyle w:val="ListBullet"/>
        <w:spacing w:before="40" w:after="80" w:line="276" w:lineRule="auto"/>
      </w:pPr>
      <w:r>
        <w:rPr>
          <w:b/>
          <w:i w:val="0"/>
        </w:rPr>
        <w:t xml:space="preserve">Task Board: </w:t>
      </w:r>
      <w:r>
        <w:rPr>
          <w:b w:val="0"/>
          <w:i w:val="0"/>
        </w:rPr>
        <w:t>A visible, physical, or digital board defining who owns what whole-task.</w:t>
      </w:r>
    </w:p>
    <w:p>
      <w:pPr>
        <w:pStyle w:val="ListBullet"/>
        <w:spacing w:before="40" w:after="80" w:line="276" w:lineRule="auto"/>
      </w:pPr>
      <w:r>
        <w:rPr>
          <w:b/>
          <w:i w:val="0"/>
        </w:rPr>
        <w:t xml:space="preserve">Visual Schedule: </w:t>
      </w:r>
      <w:r>
        <w:rPr>
          <w:b w:val="0"/>
          <w:i w:val="0"/>
        </w:rPr>
        <w:t>A posted weekly outline of routines in a shared space to bypass memory load.</w:t>
      </w:r>
    </w:p>
    <w:p>
      <w:pPr>
        <w:pStyle w:val="ListBullet"/>
        <w:spacing w:before="40" w:after="80" w:line="276" w:lineRule="auto"/>
      </w:pPr>
      <w:r>
        <w:rPr>
          <w:b/>
          <w:i w:val="0"/>
        </w:rPr>
        <w:t xml:space="preserve">Body-Doubling: </w:t>
      </w:r>
      <w:r>
        <w:rPr>
          <w:b w:val="0"/>
          <w:i w:val="0"/>
        </w:rPr>
        <w:t>Completing a difficult task physically alongside another person to bypass starting friction.</w:t>
      </w:r>
    </w:p>
    <w:p>
      <w:r>
        <w:br w:type="page"/>
      </w:r>
    </w:p>
    <w:p>
      <w:pPr>
        <w:pStyle w:val="Heading1"/>
        <w:keepNext/>
        <w:spacing w:before="360" w:after="120"/>
        <w:pBdr>
          <w:bottom w:val="single" w:sz="12" w:space="4" w:color="1B365D"/>
        </w:pBdr>
      </w:pPr>
      <w:r>
        <w:rPr>
          <w:rFonts w:ascii="Arial" w:hAnsi="Arial"/>
          <w:color w:val="1B365D"/>
          <w:sz w:val="36"/>
        </w:rPr>
        <w:t>Chapter 5: Unmasking, Intimacy, and the Living Contract</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 xml:space="preserve">The 2-Minute Quick Read: </w:t>
            </w:r>
            <w:r>
              <w:rPr>
                <w:b w:val="0"/>
                <w:i w:val="0"/>
              </w:rPr>
              <w:t>Unmasking burns massive energy and leaves a flat 'leftovers self' at home. By sorting attachment fears from neurotype limits, translating somatic feedback, and structuring relational boundaries, we build a safe relationship contract.</w:t>
            </w:r>
          </w:p>
        </w:tc>
      </w:tr>
    </w:tbl>
    <w:p>
      <w:pPr>
        <w:spacing w:after="120"/>
      </w:pPr>
    </w:p>
    <w:p>
      <w:pPr>
        <w:pStyle w:val="Heading2"/>
        <w:keepNext/>
        <w:spacing w:before="360" w:after="120"/>
      </w:pPr>
      <w:r>
        <w:rPr>
          <w:rFonts w:ascii="Arial" w:hAnsi="Arial"/>
          <w:color w:val="4F5E7B"/>
          <w:sz w:val="28"/>
        </w:rPr>
        <w:t>The Neurological Underpinnings: Burnout and the Cost of Masking</w:t>
      </w:r>
    </w:p>
    <w:p>
      <w:pPr>
        <w:spacing w:after="200" w:line="276" w:lineRule="auto"/>
      </w:pPr>
      <w:r>
        <w:rPr>
          <w:b w:val="0"/>
          <w:i w:val="0"/>
        </w:rPr>
        <w:t>Masking—suppressing natural neurodivergent traits to perform neurotypical expectations—is a high-energy survival strategy. Chronic masking is directly linked to clinical burnout, identity loss, and severe executive fatigue. When a partner masks all day in public, they return home and experience a total mask-collapse, leaving them quiet, unresponsive, and flat. This is not a loss of affection; it is a vital system-recharge. To handle this, we establish a designated Decompression Buffer (e.g., 30 minutes of absolute quiet before talking) and low-energy Safe Love-Signals to show connection without high-energy performance.</w:t>
      </w:r>
    </w:p>
    <w:p>
      <w:pPr>
        <w:pStyle w:val="Heading2"/>
        <w:keepNext/>
        <w:spacing w:before="360" w:after="120"/>
      </w:pPr>
      <w:r>
        <w:rPr>
          <w:rFonts w:ascii="Arial" w:hAnsi="Arial"/>
          <w:color w:val="4F5E7B"/>
          <w:sz w:val="28"/>
        </w:rPr>
        <w:t>Alexithymia and Somatic Processing</w:t>
      </w:r>
    </w:p>
    <w:p>
      <w:pPr>
        <w:spacing w:after="200" w:line="276" w:lineRule="auto"/>
      </w:pPr>
      <w:r>
        <w:rPr>
          <w:b w:val="0"/>
          <w:i w:val="0"/>
        </w:rPr>
        <w:t>Many neurodivergent minds experience Alexithymia—difficulty identifying and naming emotions in words—and atypical Interoception. An emotion does not arrive as a word ('I am angry'), but as a visceral physical body state (tight chest, clenching, flush). Silence is often read as stubborn stonewalling, but it is actually a biological state of having no words. Sufferers must use the Body-First Chain: Sensation ('My jaw is clenched') -&gt; Guess ('I might be angry') -&gt; Underneath Need ('I need a step back') -&gt; Request ('I need to walk outside for 5 minutes').</w:t>
      </w:r>
    </w:p>
    <w:p>
      <w:pPr>
        <w:pStyle w:val="Heading2"/>
        <w:keepNext/>
        <w:spacing w:before="360" w:after="120"/>
      </w:pPr>
      <w:r>
        <w:rPr>
          <w:rFonts w:ascii="Arial" w:hAnsi="Arial"/>
          <w:color w:val="4F5E7B"/>
          <w:sz w:val="28"/>
        </w:rPr>
        <w:t>Rejection Sensitive Dysphoria (RSD)</w:t>
      </w:r>
    </w:p>
    <w:p>
      <w:pPr>
        <w:spacing w:after="200" w:line="276" w:lineRule="auto"/>
      </w:pPr>
      <w:r>
        <w:rPr>
          <w:b w:val="0"/>
          <w:i w:val="0"/>
        </w:rPr>
        <w:t>Minor relational shifts (a flat text, a partner needing quiet) are processed by the threat system as devastating rejection, triggering full-body panic and shame. Because the alarm fires so hard, the mind treats the feeling as absolute fact. We separate the internal alarm from external reality using the Cue-Checking Protocol:</w:t>
      </w:r>
    </w:p>
    <w:p>
      <w:pPr>
        <w:pStyle w:val="ListBullet"/>
        <w:spacing w:before="40" w:after="80" w:line="276" w:lineRule="auto"/>
      </w:pPr>
      <w:r>
        <w:rPr>
          <w:b/>
          <w:i w:val="0"/>
        </w:rPr>
        <w:t xml:space="preserve">1. Name the Alarm: </w:t>
      </w:r>
      <w:r>
        <w:rPr>
          <w:b w:val="0"/>
          <w:i w:val="0"/>
        </w:rPr>
        <w:t>'My rejection alarm is firing right now.'</w:t>
      </w:r>
    </w:p>
    <w:p>
      <w:pPr>
        <w:pStyle w:val="ListBullet"/>
        <w:spacing w:before="40" w:after="80" w:line="276" w:lineRule="auto"/>
      </w:pPr>
      <w:r>
        <w:rPr>
          <w:b/>
          <w:i w:val="0"/>
        </w:rPr>
        <w:t xml:space="preserve">2. Identify the Cue: </w:t>
      </w:r>
      <w:r>
        <w:rPr>
          <w:b w:val="0"/>
          <w:i w:val="0"/>
        </w:rPr>
        <w:t>'They replied with a single brief text.'</w:t>
      </w:r>
    </w:p>
    <w:p>
      <w:pPr>
        <w:pStyle w:val="ListBullet"/>
        <w:spacing w:before="40" w:after="80" w:line="276" w:lineRule="auto"/>
      </w:pPr>
      <w:r>
        <w:rPr>
          <w:b/>
          <w:i w:val="0"/>
        </w:rPr>
        <w:t xml:space="preserve">3. Separate Feeling from Fact: </w:t>
      </w:r>
      <w:r>
        <w:rPr>
          <w:b w:val="0"/>
          <w:i w:val="0"/>
        </w:rPr>
        <w:t>'I feel panicked, but what I know is they sent one word. I do not know why yet.'</w:t>
      </w:r>
    </w:p>
    <w:p>
      <w:pPr>
        <w:pStyle w:val="ListBullet"/>
        <w:spacing w:before="40" w:after="80" w:line="276" w:lineRule="auto"/>
      </w:pPr>
      <w:r>
        <w:rPr>
          <w:b/>
          <w:i w:val="0"/>
        </w:rPr>
        <w:t xml:space="preserve">4. Check the Cue: </w:t>
      </w:r>
      <w:r>
        <w:rPr>
          <w:b w:val="0"/>
          <w:i w:val="0"/>
        </w:rPr>
        <w:t>Ask: 'I noticed your text was brief and my alarm went off. Are you mad, or just busy?'</w:t>
      </w:r>
    </w:p>
    <w:p>
      <w:pPr>
        <w:pStyle w:val="ListBullet"/>
        <w:spacing w:before="40" w:after="80" w:line="276" w:lineRule="auto"/>
      </w:pPr>
      <w:r>
        <w:rPr>
          <w:b/>
          <w:i w:val="0"/>
        </w:rPr>
        <w:t xml:space="preserve">5. Get the Data: </w:t>
      </w:r>
      <w:r>
        <w:rPr>
          <w:b w:val="0"/>
          <w:i w:val="0"/>
        </w:rPr>
        <w:t>Receive their factual response at face value.</w:t>
      </w:r>
    </w:p>
    <w:p>
      <w:pPr>
        <w:pStyle w:val="ListBullet"/>
        <w:spacing w:before="40" w:after="80" w:line="276" w:lineRule="auto"/>
      </w:pPr>
      <w:r>
        <w:rPr>
          <w:b/>
          <w:i w:val="0"/>
        </w:rPr>
        <w:t xml:space="preserve">6. Decide on Evidence: </w:t>
      </w:r>
      <w:r>
        <w:rPr>
          <w:b w:val="0"/>
          <w:i w:val="0"/>
        </w:rPr>
        <w:t>Base your behaviors on the collected facts, not on your internal alarm.</w:t>
      </w:r>
    </w:p>
    <w:p>
      <w:pPr>
        <w:pStyle w:val="Heading2"/>
        <w:keepNext/>
        <w:spacing w:before="360" w:after="120"/>
      </w:pPr>
      <w:r>
        <w:rPr>
          <w:rFonts w:ascii="Arial" w:hAnsi="Arial"/>
          <w:color w:val="4F5E7B"/>
          <w:sz w:val="28"/>
        </w:rPr>
        <w:t>Diagnostic Toolkit: The Two-Axes Sort</w:t>
      </w:r>
    </w:p>
    <w:p>
      <w:pPr>
        <w:spacing w:after="200" w:line="276" w:lineRule="auto"/>
      </w:pPr>
      <w:r>
        <w:rPr>
          <w:b w:val="0"/>
          <w:i w:val="0"/>
        </w:rPr>
        <w:t>To resolve relational knots, we must separate relational wounds from biological nervous system defaults. Below is the Two-Axes Sort, showing a completed, grounded example of sorting communication latency.</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160"/>
            <w:shd w:fill="1B365D" w:val="clear"/>
            <w:tcMar>
              <w:top w:w="80" w:type="dxa"/>
              <w:bottom w:w="80" w:type="dxa"/>
              <w:left w:w="100" w:type="dxa"/>
              <w:right w:w="100" w:type="dxa"/>
            </w:tcMar>
          </w:tcPr>
          <w:p>
            <w:r>
              <w:rPr>
                <w:b/>
                <w:color w:val="FFFFFF"/>
              </w:rPr>
              <w:t>The Moment</w:t>
            </w:r>
          </w:p>
        </w:tc>
        <w:tc>
          <w:tcPr>
            <w:tcW w:type="dxa" w:w="2160"/>
            <w:shd w:fill="1B365D" w:val="clear"/>
            <w:tcMar>
              <w:top w:w="80" w:type="dxa"/>
              <w:bottom w:w="80" w:type="dxa"/>
              <w:left w:w="100" w:type="dxa"/>
              <w:right w:w="100" w:type="dxa"/>
            </w:tcMar>
          </w:tcPr>
          <w:p>
            <w:r>
              <w:rPr>
                <w:b/>
                <w:color w:val="FFFFFF"/>
              </w:rPr>
              <w:t>Old Fear Axis (Attachment Wound)</w:t>
            </w:r>
          </w:p>
        </w:tc>
        <w:tc>
          <w:tcPr>
            <w:tcW w:type="dxa" w:w="2160"/>
            <w:shd w:fill="1B365D" w:val="clear"/>
            <w:tcMar>
              <w:top w:w="80" w:type="dxa"/>
              <w:bottom w:w="80" w:type="dxa"/>
              <w:left w:w="100" w:type="dxa"/>
              <w:right w:w="100" w:type="dxa"/>
            </w:tcMar>
          </w:tcPr>
          <w:p>
            <w:r>
              <w:rPr>
                <w:b/>
                <w:color w:val="FFFFFF"/>
              </w:rPr>
              <w:t>Nervous System Axis (Operating Default)</w:t>
            </w:r>
          </w:p>
        </w:tc>
        <w:tc>
          <w:tcPr>
            <w:tcW w:type="dxa" w:w="1872"/>
            <w:shd w:fill="1B365D" w:val="clear"/>
            <w:tcMar>
              <w:top w:w="80" w:type="dxa"/>
              <w:bottom w:w="80" w:type="dxa"/>
              <w:left w:w="100" w:type="dxa"/>
              <w:right w:w="100" w:type="dxa"/>
            </w:tcMar>
          </w:tcPr>
          <w:p>
            <w:r>
              <w:rPr>
                <w:b/>
                <w:color w:val="FFFFFF"/>
              </w:rPr>
              <w:t>Next-Step Domain</w:t>
            </w:r>
          </w:p>
        </w:tc>
      </w:tr>
      <w:tr>
        <w:tc>
          <w:tcPr>
            <w:tcW w:type="dxa" w:w="2160"/>
            <w:shd w:fill="F2F4F7" w:val="clear"/>
            <w:tcMar>
              <w:top w:w="80" w:type="dxa"/>
              <w:bottom w:w="80" w:type="dxa"/>
              <w:left w:w="100" w:type="dxa"/>
              <w:right w:w="100" w:type="dxa"/>
            </w:tcMar>
          </w:tcPr>
          <w:p>
            <w:r>
              <w:rPr>
                <w:b/>
              </w:rPr>
              <w:t>Partner doesn't reply to a text for 4 hours while at work.</w:t>
            </w:r>
          </w:p>
        </w:tc>
        <w:tc>
          <w:tcPr>
            <w:tcW w:type="dxa" w:w="2160"/>
            <w:tcMar>
              <w:top w:w="80" w:type="dxa"/>
              <w:bottom w:w="80" w:type="dxa"/>
              <w:left w:w="100" w:type="dxa"/>
              <w:right w:w="100" w:type="dxa"/>
            </w:tcMar>
          </w:tcPr>
          <w:p>
            <w:r>
              <w:t>Fear axis screams: 'They are pulling away, they find me a burden, I will be abandoned.'</w:t>
            </w:r>
          </w:p>
        </w:tc>
        <w:tc>
          <w:tcPr>
            <w:tcW w:type="dxa" w:w="2160"/>
            <w:tcMar>
              <w:top w:w="80" w:type="dxa"/>
              <w:bottom w:w="80" w:type="dxa"/>
              <w:left w:w="100" w:type="dxa"/>
              <w:right w:w="100" w:type="dxa"/>
            </w:tcMar>
          </w:tcPr>
          <w:p>
            <w:r>
              <w:t>Partner's monotropic focus has put them in a deep work tunnel; they literally do not register phone alerts when focused.</w:t>
            </w:r>
          </w:p>
        </w:tc>
        <w:tc>
          <w:tcPr>
            <w:tcW w:type="dxa" w:w="1872"/>
            <w:tcMar>
              <w:top w:w="80" w:type="dxa"/>
              <w:bottom w:w="80" w:type="dxa"/>
              <w:left w:w="100" w:type="dxa"/>
              <w:right w:w="100" w:type="dxa"/>
            </w:tcMar>
          </w:tcPr>
          <w:p>
            <w:r>
              <w:t>Next step belongs to translation and systems: we need an agreed 'I am in the tunnel' emoji.</w:t>
            </w:r>
          </w:p>
        </w:tc>
      </w:tr>
      <w:tr>
        <w:tc>
          <w:tcPr>
            <w:tcW w:type="dxa" w:w="2160"/>
            <w:tcMar>
              <w:top w:w="80" w:type="dxa"/>
              <w:bottom w:w="80" w:type="dxa"/>
              <w:left w:w="100" w:type="dxa"/>
              <w:right w:w="100" w:type="dxa"/>
            </w:tcMar>
          </w:tcPr>
          <w:p/>
        </w:tc>
        <w:tc>
          <w:tcPr>
            <w:tcW w:type="dxa" w:w="2160"/>
            <w:tcMar>
              <w:top w:w="80" w:type="dxa"/>
              <w:bottom w:w="80" w:type="dxa"/>
              <w:left w:w="100" w:type="dxa"/>
              <w:right w:w="100" w:type="dxa"/>
            </w:tcMar>
          </w:tcPr>
          <w:p/>
        </w:tc>
        <w:tc>
          <w:tcPr>
            <w:tcW w:type="dxa" w:w="2160"/>
            <w:tcMar>
              <w:top w:w="80" w:type="dxa"/>
              <w:bottom w:w="80" w:type="dxa"/>
              <w:left w:w="100" w:type="dxa"/>
              <w:right w:w="100" w:type="dxa"/>
            </w:tcMar>
          </w:tcPr>
          <w:p/>
        </w:tc>
        <w:tc>
          <w:tcPr>
            <w:tcW w:type="dxa" w:w="1872"/>
            <w:tcMar>
              <w:top w:w="80" w:type="dxa"/>
              <w:bottom w:w="80" w:type="dxa"/>
              <w:left w:w="100" w:type="dxa"/>
              <w:right w:w="100" w:type="dxa"/>
            </w:tcMar>
          </w:tcPr>
          <w:p/>
        </w:tc>
      </w:tr>
    </w:tbl>
    <w:p>
      <w:pPr>
        <w:spacing w:after="120"/>
      </w:pPr>
    </w:p>
    <w:p>
      <w:pPr>
        <w:pStyle w:val="Heading2"/>
        <w:keepNext/>
        <w:spacing w:before="360" w:after="120"/>
      </w:pPr>
      <w:r>
        <w:rPr>
          <w:rFonts w:ascii="Arial" w:hAnsi="Arial"/>
          <w:color w:val="4F5E7B"/>
          <w:sz w:val="28"/>
        </w:rPr>
        <w:t>The Relationship Contract: Stating Request, Agreement, Boundary, and Consequence</w:t>
      </w:r>
    </w:p>
    <w:p>
      <w:pPr>
        <w:spacing w:after="200" w:line="276" w:lineRule="auto"/>
      </w:pPr>
      <w:r>
        <w:rPr>
          <w:b w:val="0"/>
          <w:i w:val="0"/>
        </w:rPr>
        <w:t>A healthy relationship contract operates under a strict taxonomy. We must never collapse requests, agreements, boundaries, and consequences into one another:</w:t>
      </w:r>
    </w:p>
    <w:p>
      <w:pPr>
        <w:pStyle w:val="ListBullet"/>
        <w:spacing w:before="40" w:after="80" w:line="276" w:lineRule="auto"/>
      </w:pPr>
      <w:r>
        <w:rPr>
          <w:b/>
          <w:i w:val="0"/>
        </w:rPr>
        <w:t xml:space="preserve">1. Request (Theirs): </w:t>
      </w:r>
      <w:r>
        <w:rPr>
          <w:b w:val="0"/>
          <w:i w:val="0"/>
        </w:rPr>
        <w:t>Stating a hope for their behavior. You cannot enforce a request; their change is a sovereign choice. 'I am asking you to do X. I understand you may say no.'</w:t>
      </w:r>
    </w:p>
    <w:p>
      <w:pPr>
        <w:pStyle w:val="ListBullet"/>
        <w:spacing w:before="40" w:after="80" w:line="276" w:lineRule="auto"/>
      </w:pPr>
      <w:r>
        <w:rPr>
          <w:b/>
          <w:i w:val="0"/>
        </w:rPr>
        <w:t xml:space="preserve">2. Agreement (Both): </w:t>
      </w:r>
      <w:r>
        <w:rPr>
          <w:b w:val="0"/>
          <w:i w:val="0"/>
        </w:rPr>
        <w:t>A mutual, freely chosen commitment. It is only as strong as active mutual consent. 'We both commit to X, and we will check in on Y date to see if it is holding.'</w:t>
      </w:r>
    </w:p>
    <w:p>
      <w:pPr>
        <w:pStyle w:val="ListBullet"/>
        <w:spacing w:before="40" w:after="80" w:line="276" w:lineRule="auto"/>
      </w:pPr>
      <w:r>
        <w:rPr>
          <w:b/>
          <w:i w:val="0"/>
        </w:rPr>
        <w:t xml:space="preserve">3. Boundary (Yours): </w:t>
      </w:r>
      <w:r>
        <w:rPr>
          <w:b w:val="0"/>
          <w:i w:val="0"/>
        </w:rPr>
        <w:t>A statement about YOUR behavior, defining what you will do to protect your well-being. It requires zero cooperation. 'If X (observable trigger) happens, I will do Y (self-protective action).'</w:t>
      </w:r>
    </w:p>
    <w:p>
      <w:pPr>
        <w:pStyle w:val="ListBullet"/>
        <w:spacing w:before="40" w:after="80" w:line="276" w:lineRule="auto"/>
      </w:pPr>
      <w:r>
        <w:rPr>
          <w:b/>
          <w:i w:val="0"/>
        </w:rPr>
        <w:t xml:space="preserve">4. Consequence (Yours): </w:t>
      </w:r>
      <w:r>
        <w:rPr>
          <w:b w:val="0"/>
          <w:i w:val="0"/>
        </w:rPr>
        <w:t>The self-protective action you execute when an agreement is broken or a boundary is crossed. It is not a punishment or revenge, but self-respect in action. 'We agreed to X. If that is broken again, I will do Y—not to punish, but because I cannot keep absorbing this.'</w:t>
      </w:r>
    </w:p>
    <w:p>
      <w:pPr>
        <w:pStyle w:val="Heading2"/>
        <w:keepNext/>
        <w:spacing w:before="360" w:after="120"/>
      </w:pPr>
      <w:r>
        <w:rPr>
          <w:rFonts w:ascii="Arial" w:hAnsi="Arial"/>
          <w:color w:val="4F5E7B"/>
          <w:sz w:val="28"/>
        </w:rPr>
        <w:t>The 8-Step ND-Specific Repair Protocol</w:t>
      </w:r>
    </w:p>
    <w:p>
      <w:pPr>
        <w:spacing w:after="200" w:line="276" w:lineRule="auto"/>
      </w:pPr>
      <w:r>
        <w:rPr>
          <w:b w:val="0"/>
          <w:i w:val="0"/>
        </w:rPr>
        <w:t>Relational quality is determined by how reliably you repair. Apologies are only as good as the behavioral consistency that follows. Below are the eight steps of the ND-Specific Repair Protocol:</w:t>
      </w:r>
    </w:p>
    <w:p>
      <w:pPr>
        <w:pStyle w:val="ListBullet"/>
        <w:spacing w:before="40" w:after="80" w:line="276" w:lineRule="auto"/>
      </w:pPr>
      <w:r>
        <w:rPr>
          <w:b/>
          <w:i w:val="0"/>
        </w:rPr>
        <w:t xml:space="preserve">1. CALM: </w:t>
      </w:r>
      <w:r>
        <w:rPr>
          <w:b w:val="0"/>
          <w:i w:val="0"/>
        </w:rPr>
        <w:t>No processing while either body is flooded. Complete biological regulation first.</w:t>
      </w:r>
    </w:p>
    <w:p>
      <w:pPr>
        <w:pStyle w:val="ListBullet"/>
        <w:spacing w:before="40" w:after="80" w:line="276" w:lineRule="auto"/>
      </w:pPr>
      <w:r>
        <w:rPr>
          <w:b/>
          <w:i w:val="0"/>
        </w:rPr>
        <w:t xml:space="preserve">2. RECONSTRUCT: </w:t>
      </w:r>
      <w:r>
        <w:rPr>
          <w:b w:val="0"/>
          <w:i w:val="0"/>
        </w:rPr>
        <w:t>Write down the objective, observable sequence of events without judgment.</w:t>
      </w:r>
    </w:p>
    <w:p>
      <w:pPr>
        <w:pStyle w:val="ListBullet"/>
        <w:spacing w:before="40" w:after="80" w:line="276" w:lineRule="auto"/>
      </w:pPr>
      <w:r>
        <w:rPr>
          <w:b/>
          <w:i w:val="0"/>
        </w:rPr>
        <w:t xml:space="preserve">3. TRANSLATE: </w:t>
      </w:r>
      <w:r>
        <w:rPr>
          <w:b w:val="0"/>
          <w:i w:val="0"/>
        </w:rPr>
        <w:t>Apply the double-empathy reframe to see both filters.</w:t>
      </w:r>
    </w:p>
    <w:p>
      <w:pPr>
        <w:pStyle w:val="ListBullet"/>
        <w:spacing w:before="40" w:after="80" w:line="276" w:lineRule="auto"/>
      </w:pPr>
      <w:r>
        <w:rPr>
          <w:b/>
          <w:i w:val="0"/>
        </w:rPr>
        <w:t xml:space="preserve">4. ACKNOWLEDGE IMPACT: </w:t>
      </w:r>
      <w:r>
        <w:rPr>
          <w:b w:val="0"/>
          <w:i w:val="0"/>
        </w:rPr>
        <w:t>State what the clash cost the other person, in their likely words.</w:t>
      </w:r>
    </w:p>
    <w:p>
      <w:pPr>
        <w:pStyle w:val="ListBullet"/>
        <w:spacing w:before="40" w:after="80" w:line="276" w:lineRule="auto"/>
      </w:pPr>
      <w:r>
        <w:rPr>
          <w:b/>
          <w:i w:val="0"/>
        </w:rPr>
        <w:t xml:space="preserve">5. IDENTIFY THE MISMATCH: </w:t>
      </w:r>
      <w:r>
        <w:rPr>
          <w:b w:val="0"/>
          <w:i w:val="0"/>
        </w:rPr>
        <w:t>Locate the exact translation, sensory, or systems failure point.</w:t>
      </w:r>
    </w:p>
    <w:p>
      <w:pPr>
        <w:pStyle w:val="ListBullet"/>
        <w:spacing w:before="40" w:after="80" w:line="276" w:lineRule="auto"/>
      </w:pPr>
      <w:r>
        <w:rPr>
          <w:b/>
          <w:i w:val="0"/>
        </w:rPr>
        <w:t xml:space="preserve">6. DESIGN: </w:t>
      </w:r>
      <w:r>
        <w:rPr>
          <w:b w:val="0"/>
          <w:i w:val="0"/>
        </w:rPr>
        <w:t>Re-engineer the environment or system to prevent recurrence.</w:t>
      </w:r>
    </w:p>
    <w:p>
      <w:pPr>
        <w:pStyle w:val="ListBullet"/>
        <w:spacing w:before="40" w:after="80" w:line="276" w:lineRule="auto"/>
      </w:pPr>
      <w:r>
        <w:rPr>
          <w:b/>
          <w:i w:val="0"/>
        </w:rPr>
        <w:t xml:space="preserve">7. REPAIR: </w:t>
      </w:r>
      <w:r>
        <w:rPr>
          <w:b w:val="0"/>
          <w:i w:val="0"/>
        </w:rPr>
        <w:t>Meet immediate somatic needs and allow active processing time.</w:t>
      </w:r>
    </w:p>
    <w:p>
      <w:pPr>
        <w:pStyle w:val="ListBullet"/>
        <w:spacing w:before="40" w:after="80" w:line="276" w:lineRule="auto"/>
      </w:pPr>
      <w:r>
        <w:rPr>
          <w:b/>
          <w:i w:val="0"/>
        </w:rPr>
        <w:t xml:space="preserve">8. FOLLOW THROUGH: </w:t>
      </w:r>
      <w:r>
        <w:rPr>
          <w:b w:val="0"/>
          <w:i w:val="0"/>
        </w:rPr>
        <w:t>Check back at 1 and 2 weeks to verify behavioral consistency.</w:t>
      </w:r>
    </w:p>
    <w:p>
      <w:pPr>
        <w:spacing w:after="200" w:line="276" w:lineRule="auto"/>
      </w:pPr>
      <w:r>
        <w:rPr>
          <w:b w:val="0"/>
          <w:i w:val="0"/>
        </w:rPr>
        <w:t>We operate under the Recurring-Impact Rule: Intent matters, and impact matters. When the same impact occurs repeatedly despite repair attempts, the pattern becomes the dominant evidence—stronger than the stated intent. Sincere apologies require observable behavioral consistency.</w:t>
      </w:r>
    </w:p>
    <w:p>
      <w:r>
        <w:br w:type="page"/>
      </w:r>
    </w:p>
    <w:p>
      <w:pPr>
        <w:pStyle w:val="Heading1"/>
        <w:keepNext/>
        <w:spacing w:before="360" w:after="120"/>
        <w:pBdr>
          <w:bottom w:val="single" w:sz="12" w:space="4" w:color="1B365D"/>
        </w:pBdr>
      </w:pPr>
      <w:r>
        <w:rPr>
          <w:rFonts w:ascii="Arial" w:hAnsi="Arial"/>
          <w:color w:val="1B365D"/>
          <w:sz w:val="36"/>
        </w:rPr>
        <w:t>Capstone Appendix: The Relationship Operating Agreement</w:t>
      </w:r>
    </w:p>
    <w:tbl>
      <w:tblPr>
        <w:tblW w:type="auto" w:w="0"/>
        <w:tblLayout w:type="fixed"/>
        <w:tblLook w:firstColumn="1" w:firstRow="1" w:lastColumn="0" w:lastRow="0" w:noHBand="0" w:noVBand="1" w:val="04A0"/>
      </w:tblPr>
      <w:tblGrid>
        <w:gridCol w:w="8352"/>
      </w:tblGrid>
      <w:tr>
        <w:tc>
          <w:tcPr>
            <w:tcW w:type="dxa" w:w="9360"/>
            <w:shd w:fill="F4F7FA" w:val="clear"/>
            <w:tcMar>
              <w:top w:w="140" w:type="dxa"/>
              <w:bottom w:w="140" w:type="dxa"/>
              <w:left w:w="200" w:type="dxa"/>
              <w:right w:w="200" w:type="dxa"/>
            </w:tcMar>
            <w:tcBorders>
              <w:left w:val="single" w:sz="24" w:space="0" w:color="1B365D"/>
              <w:top w:val="nil"/>
              <w:bottom w:val="nil"/>
              <w:right w:val="nil"/>
            </w:tcBorders>
          </w:tcPr>
          <w:p>
            <w:pPr>
              <w:spacing w:before="0" w:after="0"/>
            </w:pPr>
            <w:r>
              <w:rPr>
                <w:b/>
                <w:i w:val="0"/>
              </w:rPr>
              <w:t xml:space="preserve">Core Principle: </w:t>
            </w:r>
            <w:r>
              <w:rPr>
                <w:b w:val="0"/>
                <w:i w:val="0"/>
              </w:rPr>
              <w:t>This capstone is your assembled relational operating system. It brings together all maps, agreements, and boundaries into a single, living document. For a solo reader, mapping your own columns is a complete and 100% sovereign act of self-protection.</w:t>
            </w:r>
          </w:p>
        </w:tc>
      </w:tr>
    </w:tbl>
    <w:p>
      <w:pPr>
        <w:spacing w:after="120"/>
      </w:pPr>
    </w:p>
    <w:p>
      <w:pPr>
        <w:spacing w:after="200" w:line="276" w:lineRule="auto"/>
      </w:pPr>
      <w:r>
        <w:rPr>
          <w:b w:val="0"/>
          <w:i w:val="0"/>
        </w:rPr>
        <w:t>Below is the structural framework for your 9-Domain Relationship Operating Agreement. Each domain draws directly on the tools completed across Courses 1 through 5.</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shd w:fill="1B365D" w:val="clear"/>
            <w:tcMar>
              <w:top w:w="80" w:type="dxa"/>
              <w:bottom w:w="80" w:type="dxa"/>
              <w:left w:w="100" w:type="dxa"/>
              <w:right w:w="100" w:type="dxa"/>
            </w:tcMar>
          </w:tcPr>
          <w:p>
            <w:r>
              <w:rPr>
                <w:b/>
                <w:color w:val="FFFFFF"/>
              </w:rPr>
              <w:t>Operating Domain</w:t>
            </w:r>
          </w:p>
        </w:tc>
        <w:tc>
          <w:tcPr>
            <w:tcW w:type="dxa" w:w="2160"/>
            <w:shd w:fill="1B365D" w:val="clear"/>
            <w:tcMar>
              <w:top w:w="80" w:type="dxa"/>
              <w:bottom w:w="80" w:type="dxa"/>
              <w:left w:w="100" w:type="dxa"/>
              <w:right w:w="100" w:type="dxa"/>
            </w:tcMar>
          </w:tcPr>
          <w:p>
            <w:r>
              <w:rPr>
                <w:b/>
                <w:color w:val="FFFFFF"/>
              </w:rPr>
              <w:t>What I / We Need (From Maps)</w:t>
            </w:r>
          </w:p>
        </w:tc>
        <w:tc>
          <w:tcPr>
            <w:tcW w:type="dxa" w:w="2592"/>
            <w:shd w:fill="1B365D" w:val="clear"/>
            <w:tcMar>
              <w:top w:w="80" w:type="dxa"/>
              <w:bottom w:w="80" w:type="dxa"/>
              <w:left w:w="100" w:type="dxa"/>
              <w:right w:w="100" w:type="dxa"/>
            </w:tcMar>
          </w:tcPr>
          <w:p>
            <w:r>
              <w:rPr>
                <w:b/>
                <w:color w:val="FFFFFF"/>
              </w:rPr>
              <w:t>What We Agree to Do (System/Signal)</w:t>
            </w:r>
          </w:p>
        </w:tc>
        <w:tc>
          <w:tcPr>
            <w:tcW w:type="dxa" w:w="1872"/>
            <w:shd w:fill="1B365D" w:val="clear"/>
            <w:tcMar>
              <w:top w:w="80" w:type="dxa"/>
              <w:bottom w:w="80" w:type="dxa"/>
              <w:left w:w="100" w:type="dxa"/>
              <w:right w:w="100" w:type="dxa"/>
            </w:tcMar>
          </w:tcPr>
          <w:p>
            <w:r>
              <w:rPr>
                <w:b/>
                <w:color w:val="FFFFFF"/>
              </w:rPr>
              <w:t>What I Will Do If It Breaks (Boundary/Consequence)</w:t>
            </w:r>
          </w:p>
        </w:tc>
      </w:tr>
      <w:tr>
        <w:tc>
          <w:tcPr>
            <w:tcW w:type="dxa" w:w="1728"/>
            <w:shd w:fill="F2F4F7" w:val="clear"/>
            <w:tcMar>
              <w:top w:w="80" w:type="dxa"/>
              <w:bottom w:w="80" w:type="dxa"/>
              <w:left w:w="100" w:type="dxa"/>
              <w:right w:w="100" w:type="dxa"/>
            </w:tcMar>
          </w:tcPr>
          <w:p>
            <w:r>
              <w:rPr>
                <w:b/>
              </w:rPr>
              <w:t>1. Communication</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2. Sensory</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3. Executive Function</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4. Attention</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5. Conflict</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6. Autonomy</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7. Intimacy</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8. Boundaries</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r>
        <w:tc>
          <w:tcPr>
            <w:tcW w:type="dxa" w:w="1728"/>
            <w:shd w:fill="F2F4F7" w:val="clear"/>
            <w:tcMar>
              <w:top w:w="80" w:type="dxa"/>
              <w:bottom w:w="80" w:type="dxa"/>
              <w:left w:w="100" w:type="dxa"/>
              <w:right w:w="100" w:type="dxa"/>
            </w:tcMar>
          </w:tcPr>
          <w:p>
            <w:r>
              <w:rPr>
                <w:b/>
              </w:rPr>
              <w:t>9. Repair</w:t>
            </w:r>
          </w:p>
        </w:tc>
        <w:tc>
          <w:tcPr>
            <w:tcW w:type="dxa" w:w="2160"/>
            <w:tcMar>
              <w:top w:w="80" w:type="dxa"/>
              <w:bottom w:w="80" w:type="dxa"/>
              <w:left w:w="100" w:type="dxa"/>
              <w:right w:w="100" w:type="dxa"/>
            </w:tcMar>
          </w:tcPr>
          <w:p>
            <w:r>
              <w:t>[Drafted during course exercises]</w:t>
            </w:r>
          </w:p>
        </w:tc>
        <w:tc>
          <w:tcPr>
            <w:tcW w:type="dxa" w:w="2592"/>
            <w:tcMar>
              <w:top w:w="80" w:type="dxa"/>
              <w:bottom w:w="80" w:type="dxa"/>
              <w:left w:w="100" w:type="dxa"/>
              <w:right w:w="100" w:type="dxa"/>
            </w:tcMar>
          </w:tcPr>
          <w:p>
            <w:r>
              <w:t>[Drafted during course exercises]</w:t>
            </w:r>
          </w:p>
        </w:tc>
        <w:tc>
          <w:tcPr>
            <w:tcW w:type="dxa" w:w="1872"/>
            <w:tcMar>
              <w:top w:w="80" w:type="dxa"/>
              <w:bottom w:w="80" w:type="dxa"/>
              <w:left w:w="100" w:type="dxa"/>
              <w:right w:w="100" w:type="dxa"/>
            </w:tcMar>
          </w:tcPr>
          <w:p>
            <w:r>
              <w:t>[Drafted during course exercises]</w:t>
            </w:r>
          </w:p>
        </w:tc>
      </w:tr>
    </w:tbl>
    <w:p>
      <w:pPr>
        <w:spacing w:after="240"/>
      </w:pPr>
    </w:p>
    <w:p>
      <w:pPr>
        <w:pStyle w:val="Heading2"/>
        <w:keepNext/>
        <w:spacing w:before="360" w:after="120"/>
      </w:pPr>
      <w:r>
        <w:rPr>
          <w:rFonts w:ascii="Arial" w:hAnsi="Arial"/>
          <w:color w:val="4F5E7B"/>
          <w:sz w:val="28"/>
        </w:rPr>
        <w:t>The Exit Viability Check</w:t>
      </w:r>
    </w:p>
    <w:p>
      <w:pPr>
        <w:spacing w:after="200" w:line="276" w:lineRule="auto"/>
      </w:pPr>
      <w:r>
        <w:rPr>
          <w:b w:val="0"/>
          <w:i w:val="0"/>
        </w:rPr>
        <w:t>Before finalizing your Operating Agreement, run this final reality-check: Are these agreements grounded in actual, repeated, observable behavioral consistency, or are you signing a contract built on hopeful promises? Is your physical, emotional, and psychological safety fully guaranteed under this agreement? If safety is compromised, set aside these agreements and route immediately to local safety resources. A relational contract is a living, editable architecture—redraw it as your lives and nervous systems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