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ixo35tmv24i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¿Cómo afectan los precios de distintos activos financieros al precio del BTC?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ver si el BTC es considerado como reserva de valor comparamos su volatilidad con la de los activos SP500, NASDAQ, Oro, WTI y Brent. La volatilidad se toma como la diferencia entre el precio mayor vs el menor/ close * (100):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Mediana(Diferencia [High - Low] / close)  USD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695.431216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7.247238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NASDAQ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1.976673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11.244944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Petróleo WTI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2.057372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Petróleo Brent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1.976673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bien la mediana de la Diferencia entre el precio en alta y en baja es muy grande con respecto a los demás activos, no demuestra la volatilidad real que sería dividiéndola por el precio de cierre en ese dia que sigue siendo mayor pero no tanto comparado al petróleo.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 queremos ver si existe una tendencia entre estos activos mediante una  matriz de correlación. Podemos 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tendencia de movimiento similar entre el NASDAQ, S&amp;P 500, Oro y BTC. Sin embargo, es importante tener en cuenta que la correlación no implica causalidad, es decir, significa que un aumento en el NASDAQ o el S&amp;P 500 cause directamente un aumento en el precio del BTC.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continuación veremos cuanto peso tienen los activos con respecto al BTC.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