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sz w:val="8"/>
          <w:szCs w:val="8"/>
        </w:rPr>
        <w:t xml:space="preserve"/>
      </w:r>
    </w:p>
    <w:p>
      <w:pPr>
        <w:shd w:fill="1F4E79" w:val="clear"/>
        <w:spacing w:after="0" w:before="120"/>
        <w:jc w:val="center"/>
      </w:pPr>
      <w:r>
        <w:rPr>
          <w:rFonts w:ascii="Arial" w:cs="Arial" w:eastAsia="Arial" w:hAnsi="Arial"/>
          <w:b/>
          <w:bCs/>
          <w:color w:val="FFFFFF"/>
          <w:sz w:val="24"/>
          <w:szCs w:val="24"/>
        </w:rPr>
        <w:t xml:space="preserve">ZIMBABWE</w:t>
      </w:r>
    </w:p>
    <w:p>
      <w:pPr>
        <w:shd w:fill="1F4E79" w:val="clear"/>
        <w:spacing w:after="0" w:before="40"/>
        <w:jc w:val="center"/>
      </w:pPr>
      <w:r>
        <w:rPr>
          <w:rFonts w:ascii="Arial" w:cs="Arial" w:eastAsia="Arial" w:hAnsi="Arial"/>
          <w:color w:val="FFFFFF"/>
          <w:sz w:val="20"/>
          <w:szCs w:val="20"/>
        </w:rPr>
        <w:t xml:space="preserve">Ministry of Higher and Tertiary Education, Innovation, Science and Technology Development</w:t>
      </w:r>
    </w:p>
    <w:p>
      <w:pPr>
        <w:shd w:fill="1F4E79" w:val="clear"/>
        <w:spacing w:after="0" w:before="100"/>
        <w:jc w:val="center"/>
      </w:pPr>
      <w:r>
        <w:rPr>
          <w:rFonts w:ascii="Arial" w:cs="Arial" w:eastAsia="Arial" w:hAnsi="Arial"/>
          <w:b/>
          <w:bCs/>
          <w:color w:val="FFFFFF"/>
          <w:sz w:val="32"/>
          <w:szCs w:val="32"/>
        </w:rPr>
        <w:t xml:space="preserve">2026 PRESIDENTIAL INNOVATION AWARDS</w:t>
      </w:r>
    </w:p>
    <w:p>
      <w:pPr>
        <w:shd w:fill="1F4E79" w:val="clear"/>
        <w:spacing w:after="0" w:before="60"/>
        <w:jc w:val="center"/>
      </w:pPr>
      <w:r>
        <w:rPr>
          <w:rFonts w:ascii="Arial" w:cs="Arial" w:eastAsia="Arial" w:hAnsi="Arial"/>
          <w:color w:val="FFFFFF"/>
          <w:sz w:val="22"/>
          <w:szCs w:val="22"/>
        </w:rPr>
        <w:t xml:space="preserve">SUBMISSION AND ADJUDICATION FORM — GENERAL CATEGORIES</w:t>
      </w:r>
    </w:p>
    <w:p>
      <w:pPr>
        <w:shd w:fill="1F4E79" w:val="clear"/>
        <w:spacing w:after="160" w:before="60"/>
        <w:jc w:val="center"/>
      </w:pPr>
      <w:r>
        <w:rPr>
          <w:rFonts w:ascii="Arial" w:cs="Arial" w:eastAsia="Arial" w:hAnsi="Arial"/>
          <w:color w:val="BBDDFF"/>
          <w:sz w:val="18"/>
          <w:szCs w:val="18"/>
        </w:rPr>
        <w:t xml:space="preserve">Form Reference: PIA/26-001</w:t>
      </w:r>
    </w:p>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A: INNOVATION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sz w:val="22"/>
                <w:szCs w:val="22"/>
              </w:rPr>
              <w:t xml:space="preserve">A1. Title of Innovation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Offline AI-Powered Precision Crop Disease Diagnostic System</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sz w:val="22"/>
                <w:szCs w:val="22"/>
              </w:rPr>
              <w:t xml:space="preserve">A2. Name(s) of Innovator(s)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Andile Prince Bhebhe and Edith Nqobile Muyambiri</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sz w:val="22"/>
                <w:szCs w:val="22"/>
              </w:rPr>
              <w:t xml:space="preserve">A3. Contact (Phone &amp; Email)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andileprincebhebhe@gmail.com  |  nqobilemuyambiri@gmail.com</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sz w:val="22"/>
                <w:szCs w:val="22"/>
              </w:rPr>
              <w:t xml:space="preserve">A4. Institution / Organisation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Liquid Intelligent Technologies (Bulawayo); Omnishi AI; Harare Institute of Technology; ZB Innovation Hub, Harare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sz w:val="22"/>
                <w:szCs w:val="22"/>
              </w:rPr>
              <w:t xml:space="preserve">A5. Category Applied For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Agriculture, Food Security &amp; Environmental Innovation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sz w:val="22"/>
                <w:szCs w:val="22"/>
              </w:rPr>
              <w:t xml:space="preserve">A6. Category Code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AG-FS-01</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sz w:val="22"/>
                <w:szCs w:val="22"/>
              </w:rPr>
              <w:t xml:space="preserve">A7. Physical Address of Innovation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Bulawayo / Harare, Zimbabwe</w:t>
            </w:r>
          </w:p>
        </w:tc>
      </w:tr>
    </w:tbl>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B: SUMMARY DESCRIPTION</w:t>
      </w:r>
    </w:p>
    <w:p>
      <w:pPr>
        <w:spacing w:after="80" w:before="60"/>
      </w:pPr>
      <w:r>
        <w:rPr>
          <w:rFonts w:ascii="Arial" w:cs="Arial" w:eastAsia="Arial" w:hAnsi="Arial"/>
          <w:sz w:val="22"/>
          <w:szCs w:val="22"/>
        </w:rPr>
        <w:t xml:space="preserve">Problem: Crop diseases, particularly Northern Corn Leaf Blight (NCLB) in maize, cost smallholder farmers across rural Zimbabwe significant yield losses — up to 30–50% when infection establishes early in the season. Extension officers are overstretched, internet connectivity is unreliable, and existing digital advisory tools are designed for large commercial operations requiring cloud connectivity that rural farmers simply do not have.</w:t>
      </w:r>
    </w:p>
    <w:p>
      <w:pPr>
        <w:spacing w:after="80" w:before="60"/>
      </w:pPr>
      <w:r>
        <w:rPr>
          <w:rFonts w:ascii="Arial" w:cs="Arial" w:eastAsia="Arial" w:hAnsi="Arial"/>
          <w:sz w:val="22"/>
          <w:szCs w:val="22"/>
        </w:rPr>
        <w:t xml:space="preserve">The Innovation: This system is an offline, on-device artificial-intelligence pipeline for precision crop disease diagnosis. A convolutional neural network (CNN), built on the lightweight MobileNetV3-Small backbone and fine-tuned via transfer learning on 1,821 field-collected maize-leaf images, runs inference entirely on the device — no internet required. A farmer photographs an affected leaf and receives an instant diagnosis in English, Shona or Ndebele, together with actionable treatment guidance.</w:t>
      </w:r>
    </w:p>
    <w:p>
      <w:pPr>
        <w:spacing w:after="80" w:before="60"/>
      </w:pPr>
      <w:r>
        <w:rPr>
          <w:rFonts w:ascii="Arial" w:cs="Arial" w:eastAsia="Arial" w:hAnsi="Arial"/>
          <w:sz w:val="22"/>
          <w:szCs w:val="22"/>
        </w:rPr>
        <w:t xml:space="preserve">Tiered Deployment Architecture: The system is designed as a scalable platform with four deployment tiers matched to farm size and resource level. Tier 1 (smallholder, &lt; 2 ha): smartphone app. Tier 2 (small farm, 2–20 ha): drone-mounted camera for systematic aerial scouting. Tier 3 (medium farm, 20–200 ha): autonomous robotic ground vehicle for row-by-row canopy inspection. Tier 4 (large commercial, 200+ ha): integrated directly into moving pivot-irrigation systems for continuous, field-wide real-time disease monitoring as the irrigation arm sweeps across crops.</w:t>
      </w:r>
    </w:p>
    <w:p>
      <w:pPr>
        <w:spacing w:after="80" w:before="60"/>
      </w:pPr>
      <w:r>
        <w:rPr>
          <w:rFonts w:ascii="Arial" w:cs="Arial" w:eastAsia="Arial" w:hAnsi="Arial"/>
          <w:sz w:val="22"/>
          <w:szCs w:val="22"/>
        </w:rPr>
        <w:t xml:space="preserve">Impact: The system advances SDG 2 (Zero Hunger) and SDG 9 (Industry, Innovation, Infrastructure), directly supports Zimbabwe’s National AI Strategy (2026–2030) and the inaugural Zimbabwe AI Grand Challenge (food security theme), and provides an immediately deployable, low-cost intervention for a documented national agricultural crisis.</w:t>
      </w:r>
    </w:p>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C: TECHNICAL DESCRIPTION</w:t>
      </w:r>
    </w:p>
    <w:p>
      <w:pPr>
        <w:pStyle w:val="Heading2"/>
        <w:spacing w:after="120" w:before="240"/>
      </w:pPr>
      <w:r>
        <w:rPr>
          <w:rFonts w:ascii="Arial" w:cs="Arial" w:eastAsia="Arial" w:hAnsi="Arial"/>
          <w:b/>
          <w:bCs/>
          <w:color w:val="1F4E79"/>
          <w:sz w:val="26"/>
          <w:szCs w:val="26"/>
        </w:rPr>
        <w:t xml:space="preserve">Originality</w:t>
      </w:r>
    </w:p>
    <w:p>
      <w:pPr>
        <w:spacing w:after="80" w:before="60"/>
      </w:pPr>
      <w:r>
        <w:rPr>
          <w:rFonts w:ascii="Arial" w:cs="Arial" w:eastAsia="Arial" w:hAnsi="Arial"/>
          <w:sz w:val="22"/>
          <w:szCs w:val="22"/>
        </w:rPr>
        <w:t xml:space="preserve">This is the first documented offline, on-device AI diagnostic tool for maize disease tailored specifically to Zimbabwean smallholder conditions. Key novelties:</w:t>
      </w:r>
    </w:p>
    <w:p>
      <w:pPr>
        <w:pStyle w:val="ListParagraph"/>
        <w:numPr>
          <w:ilvl w:val="0"/>
          <w:numId w:val="2"/>
        </w:numPr>
        <w:spacing w:after="40" w:before="40"/>
      </w:pPr>
      <w:r>
        <w:rPr>
          <w:rFonts w:ascii="Arial" w:cs="Arial" w:eastAsia="Arial" w:hAnsi="Arial"/>
          <w:sz w:val="22"/>
          <w:szCs w:val="22"/>
        </w:rPr>
        <w:t xml:space="preserve">Offline-first architecture: all inference runs locally on a smartphone CPU, with zero reliance on network connectivity.</w:t>
      </w:r>
    </w:p>
    <w:p>
      <w:pPr>
        <w:pStyle w:val="ListParagraph"/>
        <w:numPr>
          <w:ilvl w:val="0"/>
          <w:numId w:val="2"/>
        </w:numPr>
        <w:spacing w:after="40" w:before="40"/>
      </w:pPr>
      <w:r>
        <w:rPr>
          <w:rFonts w:ascii="Arial" w:cs="Arial" w:eastAsia="Arial" w:hAnsi="Arial"/>
          <w:sz w:val="22"/>
          <w:szCs w:val="22"/>
        </w:rPr>
        <w:t xml:space="preserve">Leakage-free, group-aware evaluation: all images from the same physical leaf are kept in one data partition, preventing inflated benchmark scores that plague published plant-disease studies.</w:t>
      </w:r>
    </w:p>
    <w:p>
      <w:pPr>
        <w:pStyle w:val="ListParagraph"/>
        <w:numPr>
          <w:ilvl w:val="0"/>
          <w:numId w:val="2"/>
        </w:numPr>
        <w:spacing w:after="40" w:before="40"/>
      </w:pPr>
      <w:r>
        <w:rPr>
          <w:rFonts w:ascii="Arial" w:cs="Arial" w:eastAsia="Arial" w:hAnsi="Arial"/>
          <w:sz w:val="22"/>
          <w:szCs w:val="22"/>
        </w:rPr>
        <w:t xml:space="preserve">Tiered hardware platform: the same AI engine is packaged for four hardware tiers — smartphone, drone, autonomous ground robot, and pivot-irrigation integration — making it the only crop-disease diagnostic system designed to scale from a subsistence plot to a 500-hectare commercial estate.</w:t>
      </w:r>
    </w:p>
    <w:p>
      <w:pPr>
        <w:pStyle w:val="ListParagraph"/>
        <w:numPr>
          <w:ilvl w:val="0"/>
          <w:numId w:val="2"/>
        </w:numPr>
        <w:spacing w:after="40" w:before="40"/>
      </w:pPr>
      <w:r>
        <w:rPr>
          <w:rFonts w:ascii="Arial" w:cs="Arial" w:eastAsia="Arial" w:hAnsi="Arial"/>
          <w:sz w:val="22"/>
          <w:szCs w:val="22"/>
        </w:rPr>
        <w:t xml:space="preserve">Multilingual output: diagnosis and treatment guidance delivered in English, Shona and Ndebele.</w:t>
      </w:r>
    </w:p>
    <w:p>
      <w:pPr>
        <w:pStyle w:val="ListParagraph"/>
        <w:numPr>
          <w:ilvl w:val="0"/>
          <w:numId w:val="2"/>
        </w:numPr>
        <w:spacing w:after="40" w:before="40"/>
      </w:pPr>
      <w:r>
        <w:rPr>
          <w:rFonts w:ascii="Arial" w:cs="Arial" w:eastAsia="Arial" w:hAnsi="Arial"/>
          <w:sz w:val="22"/>
          <w:szCs w:val="22"/>
        </w:rPr>
        <w:t xml:space="preserve">Grad-CAM interpretability: predictions are verified to focus on lesion tissue, enabling agronomist auditing and farmer trust.</w:t>
      </w:r>
    </w:p>
    <w:p>
      <w:pPr>
        <w:pStyle w:val="Heading2"/>
        <w:spacing w:after="120" w:before="240"/>
      </w:pPr>
      <w:r>
        <w:rPr>
          <w:rFonts w:ascii="Arial" w:cs="Arial" w:eastAsia="Arial" w:hAnsi="Arial"/>
          <w:b/>
          <w:bCs/>
          <w:color w:val="1F4E79"/>
          <w:sz w:val="26"/>
          <w:szCs w:val="26"/>
        </w:rPr>
        <w:t xml:space="preserve">Feasibility — Prototype / Proof of Concept</w:t>
      </w:r>
    </w:p>
    <w:p>
      <w:pPr>
        <w:spacing w:after="80" w:before="60"/>
      </w:pPr>
      <w:r>
        <w:rPr>
          <w:rFonts w:ascii="Arial" w:cs="Arial" w:eastAsia="Arial" w:hAnsi="Arial"/>
          <w:sz w:val="22"/>
          <w:szCs w:val="22"/>
        </w:rPr>
        <w:t xml:space="preserve">A fully functional prototype has been built and evaluated:</w:t>
      </w:r>
    </w:p>
    <w:p>
      <w:pPr>
        <w:pStyle w:val="ListParagraph"/>
        <w:numPr>
          <w:ilvl w:val="0"/>
          <w:numId w:val="2"/>
        </w:numPr>
        <w:spacing w:after="40" w:before="40"/>
      </w:pPr>
      <w:r>
        <w:rPr>
          <w:rFonts w:ascii="Arial" w:cs="Arial" w:eastAsia="Arial" w:hAnsi="Arial"/>
          <w:sz w:val="22"/>
          <w:szCs w:val="22"/>
        </w:rPr>
        <w:t xml:space="preserve">Dataset: 1,821 field-collected maize-leaf images (NCLB: 827; non-NCLB: 994) split with a group-aware, leakage-free protocol (train 1,299 / val 273 / test 249).</w:t>
      </w:r>
    </w:p>
    <w:p>
      <w:pPr>
        <w:pStyle w:val="ListParagraph"/>
        <w:numPr>
          <w:ilvl w:val="0"/>
          <w:numId w:val="2"/>
        </w:numPr>
        <w:spacing w:after="40" w:before="40"/>
      </w:pPr>
      <w:r>
        <w:rPr>
          <w:rFonts w:ascii="Arial" w:cs="Arial" w:eastAsia="Arial" w:hAnsi="Arial"/>
          <w:sz w:val="22"/>
          <w:szCs w:val="22"/>
        </w:rPr>
        <w:t xml:space="preserve">Model: MobileNetV3-Small fine-tuned end-to-end in PyTorch with class-weighted cross-entropy, AdamW optimiser, cosine annealing, and early stopping. Test accuracy 96.0%, balanced accuracy 0.959, macro-F1 0.960, ROC-AUC 0.989.</w:t>
      </w:r>
    </w:p>
    <w:p>
      <w:pPr>
        <w:pStyle w:val="ListParagraph"/>
        <w:numPr>
          <w:ilvl w:val="0"/>
          <w:numId w:val="2"/>
        </w:numPr>
        <w:spacing w:after="40" w:before="40"/>
      </w:pPr>
      <w:r>
        <w:rPr>
          <w:rFonts w:ascii="Arial" w:cs="Arial" w:eastAsia="Arial" w:hAnsi="Arial"/>
          <w:sz w:val="22"/>
          <w:szCs w:val="22"/>
        </w:rPr>
        <w:t xml:space="preserve">Baseline comparison: an RBF-SVM on frozen embeddings achieves test ROC-AUC 0.998, confirming the feature space is highly discriminative; the CNN is selected as the production model because it enables on-device inference without a separate server.</w:t>
      </w:r>
    </w:p>
    <w:p>
      <w:pPr>
        <w:pStyle w:val="ListParagraph"/>
        <w:numPr>
          <w:ilvl w:val="0"/>
          <w:numId w:val="2"/>
        </w:numPr>
        <w:spacing w:after="40" w:before="40"/>
      </w:pPr>
      <w:r>
        <w:rPr>
          <w:rFonts w:ascii="Arial" w:cs="Arial" w:eastAsia="Arial" w:hAnsi="Arial"/>
          <w:sz w:val="22"/>
          <w:szCs w:val="22"/>
        </w:rPr>
        <w:t xml:space="preserve">Quantisation: model weights are quantised to 8-bit integers and exported to a mobile-optimised format measuring only a few megabytes, executable on a low-cost Android smartphone CPU.</w:t>
      </w:r>
    </w:p>
    <w:p>
      <w:pPr>
        <w:pStyle w:val="ListParagraph"/>
        <w:numPr>
          <w:ilvl w:val="0"/>
          <w:numId w:val="2"/>
        </w:numPr>
        <w:spacing w:after="40" w:before="40"/>
      </w:pPr>
      <w:r>
        <w:rPr>
          <w:rFonts w:ascii="Arial" w:cs="Arial" w:eastAsia="Arial" w:hAnsi="Arial"/>
          <w:sz w:val="22"/>
          <w:szCs w:val="22"/>
        </w:rPr>
        <w:t xml:space="preserve">Interpretability: Grad-CAM attributions on confident test predictions concentrate on necrotic lesion regions, confirming the model keys on disease morphology.</w:t>
      </w:r>
    </w:p>
    <w:p>
      <w:pPr>
        <w:pStyle w:val="ListParagraph"/>
        <w:numPr>
          <w:ilvl w:val="0"/>
          <w:numId w:val="2"/>
        </w:numPr>
        <w:spacing w:after="40" w:before="40"/>
      </w:pPr>
      <w:r>
        <w:rPr>
          <w:rFonts w:ascii="Arial" w:cs="Arial" w:eastAsia="Arial" w:hAnsi="Arial"/>
          <w:sz w:val="22"/>
          <w:szCs w:val="22"/>
        </w:rPr>
        <w:t xml:space="preserve">The paper describing this prototype has been submitted to the Journal of Research and Innovation for Sustainable Society (JRISS), Vol. 6, Issue 1, 2026.</w:t>
      </w:r>
    </w:p>
    <w:p>
      <w:pPr>
        <w:pStyle w:val="Heading2"/>
        <w:spacing w:after="120" w:before="240"/>
      </w:pPr>
      <w:r>
        <w:rPr>
          <w:rFonts w:ascii="Arial" w:cs="Arial" w:eastAsia="Arial" w:hAnsi="Arial"/>
          <w:b/>
          <w:bCs/>
          <w:color w:val="1F4E79"/>
          <w:sz w:val="26"/>
          <w:szCs w:val="26"/>
        </w:rPr>
        <w:t xml:space="preserve">Value Addition</w:t>
      </w:r>
    </w:p>
    <w:p>
      <w:pPr>
        <w:pStyle w:val="ListParagraph"/>
        <w:numPr>
          <w:ilvl w:val="0"/>
          <w:numId w:val="2"/>
        </w:numPr>
        <w:spacing w:after="40" w:before="40"/>
      </w:pPr>
      <w:r>
        <w:rPr>
          <w:rFonts w:ascii="Arial" w:cs="Arial" w:eastAsia="Arial" w:hAnsi="Arial"/>
          <w:sz w:val="22"/>
          <w:szCs w:val="22"/>
        </w:rPr>
        <w:t xml:space="preserve">Closes the connectivity gap: farmers in areas with no mobile data can obtain an AI-grade diagnosis identical to cloud-based tools.</w:t>
      </w:r>
    </w:p>
    <w:p>
      <w:pPr>
        <w:pStyle w:val="ListParagraph"/>
        <w:numPr>
          <w:ilvl w:val="0"/>
          <w:numId w:val="2"/>
        </w:numPr>
        <w:spacing w:after="40" w:before="40"/>
      </w:pPr>
      <w:r>
        <w:rPr>
          <w:rFonts w:ascii="Arial" w:cs="Arial" w:eastAsia="Arial" w:hAnsi="Arial"/>
          <w:sz w:val="22"/>
          <w:szCs w:val="22"/>
        </w:rPr>
        <w:t xml:space="preserve">Reduces dependence on extension officers: one smartphone replaces the need for an agronomist visit for routine disease screening.</w:t>
      </w:r>
    </w:p>
    <w:p>
      <w:pPr>
        <w:pStyle w:val="ListParagraph"/>
        <w:numPr>
          <w:ilvl w:val="0"/>
          <w:numId w:val="2"/>
        </w:numPr>
        <w:spacing w:after="40" w:before="40"/>
      </w:pPr>
      <w:r>
        <w:rPr>
          <w:rFonts w:ascii="Arial" w:cs="Arial" w:eastAsia="Arial" w:hAnsi="Arial"/>
          <w:sz w:val="22"/>
          <w:szCs w:val="22"/>
        </w:rPr>
        <w:t xml:space="preserve">Early detection: diagnosis at first leaf symptom enables timely fungicide or cultural intervention, preventing the 30–50% yield loss associated with late-season NCLB establishment.</w:t>
      </w:r>
    </w:p>
    <w:p>
      <w:pPr>
        <w:pStyle w:val="ListParagraph"/>
        <w:numPr>
          <w:ilvl w:val="0"/>
          <w:numId w:val="2"/>
        </w:numPr>
        <w:spacing w:after="40" w:before="40"/>
      </w:pPr>
      <w:r>
        <w:rPr>
          <w:rFonts w:ascii="Arial" w:cs="Arial" w:eastAsia="Arial" w:hAnsi="Arial"/>
          <w:sz w:val="22"/>
          <w:szCs w:val="22"/>
        </w:rPr>
        <w:t xml:space="preserve">Language accessibility: Shona and Ndebele output removes the literacy barrier for farmers not comfortable in English.</w:t>
      </w:r>
    </w:p>
    <w:p>
      <w:pPr>
        <w:pStyle w:val="ListParagraph"/>
        <w:numPr>
          <w:ilvl w:val="0"/>
          <w:numId w:val="2"/>
        </w:numPr>
        <w:spacing w:after="40" w:before="40"/>
      </w:pPr>
      <w:r>
        <w:rPr>
          <w:rFonts w:ascii="Arial" w:cs="Arial" w:eastAsia="Arial" w:hAnsi="Arial"/>
          <w:sz w:val="22"/>
          <w:szCs w:val="22"/>
        </w:rPr>
        <w:t xml:space="preserve">Farmer trust through transparency: Grad-CAM heat-maps can be shown to the farmer and the extension officer, making the AI’s reasoning visible and auditable.</w:t>
      </w:r>
    </w:p>
    <w:p>
      <w:pPr>
        <w:pStyle w:val="Heading2"/>
        <w:spacing w:after="120" w:before="240"/>
      </w:pPr>
      <w:r>
        <w:rPr>
          <w:rFonts w:ascii="Arial" w:cs="Arial" w:eastAsia="Arial" w:hAnsi="Arial"/>
          <w:b/>
          <w:bCs/>
          <w:color w:val="1F4E79"/>
          <w:sz w:val="26"/>
          <w:szCs w:val="26"/>
        </w:rPr>
        <w:t xml:space="preserve">Scalability</w:t>
      </w:r>
    </w:p>
    <w:p>
      <w:pPr>
        <w:spacing w:after="80" w:before="60"/>
      </w:pPr>
      <w:r>
        <w:rPr>
          <w:rFonts w:ascii="Arial" w:cs="Arial" w:eastAsia="Arial" w:hAnsi="Arial"/>
          <w:sz w:val="22"/>
          <w:szCs w:val="22"/>
        </w:rPr>
        <w:t xml:space="preserve">The system is architected for seamless scaling across four deployment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80"/>
        <w:gridCol w:w="4080"/>
      </w:tblGrid>
      <w:tr>
        <w:trPr>
          <w:tblHeader/>
        </w:trP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Farm Size</w:t>
            </w:r>
          </w:p>
        </w:tc>
        <w:tc>
          <w:tcPr>
            <w:tcW w:type="dxa" w:w="2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4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How It Works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2 ha (Smallholder)</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Smartphone</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Farmer photographs a symptomatic leaf. The on-device app runs inference in seconds and returns a diagnosis with treatment steps in the farmer’s language. Works with no SIM card or Wi-Fi.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2–20 ha (Small farm)</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Drone</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low-cost consumer drone carries the same AI engine on an attached compute board. The operator flies the drone over the field; the system captures images autonomously and flags disease hotspots on a field map, enabling targeted spraying rather than blanket treatment.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20–200 ha (Medium farm)</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Autonomous robotic ground vehicle</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small agricultural robot navigates crop rows using GPS and wheel odometry. On-board cameras continuously capture leaf images; the AI engine detects and geo-tags disease outbreaks in real time, generating a precision-treatment prescription map.</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ha (Large commercial)</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Pivot / linear irrigation integration</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AI module is mounted on the travelling arm of a centre-pivot or linear-move irrigation system. As the arm sweeps across the field it photographs the crop canopy, diagnoses disease on the fly, and logs geo-referenced outbreak data. Disease alerts are issued before the next irrigation cycle, allowing targeted agrochemical injection through the irrigation system’s fertigation port.</w:t>
            </w:r>
          </w:p>
        </w:tc>
      </w:tr>
    </w:tbl>
    <w:p>
      <w:pPr>
        <w:spacing w:after="80" w:before="60"/>
      </w:pPr>
      <w:r>
        <w:rPr>
          <w:rFonts w:ascii="Arial" w:cs="Arial" w:eastAsia="Arial" w:hAnsi="Arial"/>
          <w:sz w:val="22"/>
          <w:szCs w:val="22"/>
        </w:rPr>
        <w:t xml:space="preserve">Beyond disease tiers, the AI model itself is extensible: the binary NCLB classifier is the first module of a planned multi-class system covering the principal maize diseases (grey leaf spot, southern leaf blight, common rust) and their visual look-alikes, plus expansion to sorghum, groundnut and vegetable crops.</w:t>
      </w:r>
    </w:p>
    <w:p>
      <w:pPr>
        <w:pStyle w:val="Heading2"/>
        <w:spacing w:after="120" w:before="240"/>
      </w:pPr>
      <w:r>
        <w:rPr>
          <w:rFonts w:ascii="Arial" w:cs="Arial" w:eastAsia="Arial" w:hAnsi="Arial"/>
          <w:b/>
          <w:bCs/>
          <w:color w:val="1F4E79"/>
          <w:sz w:val="26"/>
          <w:szCs w:val="26"/>
        </w:rPr>
        <w:t xml:space="preserve">Environmental Friendliness</w:t>
      </w:r>
    </w:p>
    <w:p>
      <w:pPr>
        <w:pStyle w:val="ListParagraph"/>
        <w:numPr>
          <w:ilvl w:val="0"/>
          <w:numId w:val="2"/>
        </w:numPr>
        <w:spacing w:after="40" w:before="40"/>
      </w:pPr>
      <w:r>
        <w:rPr>
          <w:rFonts w:ascii="Arial" w:cs="Arial" w:eastAsia="Arial" w:hAnsi="Arial"/>
          <w:sz w:val="22"/>
          <w:szCs w:val="22"/>
        </w:rPr>
        <w:t xml:space="preserve">Precision diagnosis enables targeted fungicide application, reducing chemical inputs by treating only affected zones rather than entire fields — lowering pesticide runoff and soil contamination.</w:t>
      </w:r>
    </w:p>
    <w:p>
      <w:pPr>
        <w:pStyle w:val="ListParagraph"/>
        <w:numPr>
          <w:ilvl w:val="0"/>
          <w:numId w:val="2"/>
        </w:numPr>
        <w:spacing w:after="40" w:before="40"/>
      </w:pPr>
      <w:r>
        <w:rPr>
          <w:rFonts w:ascii="Arial" w:cs="Arial" w:eastAsia="Arial" w:hAnsi="Arial"/>
          <w:sz w:val="22"/>
          <w:szCs w:val="22"/>
        </w:rPr>
        <w:t xml:space="preserve">Early detection prevents crop loss, reducing the need to expand farmland into ecologically sensitive areas.</w:t>
      </w:r>
    </w:p>
    <w:p>
      <w:pPr>
        <w:pStyle w:val="ListParagraph"/>
        <w:numPr>
          <w:ilvl w:val="0"/>
          <w:numId w:val="2"/>
        </w:numPr>
        <w:spacing w:after="40" w:before="40"/>
      </w:pPr>
      <w:r>
        <w:rPr>
          <w:rFonts w:ascii="Arial" w:cs="Arial" w:eastAsia="Arial" w:hAnsi="Arial"/>
          <w:sz w:val="22"/>
          <w:szCs w:val="22"/>
        </w:rPr>
        <w:t xml:space="preserve">The on-device model runs on a CPU and consumes minimal power; the drone and robot tiers use electric drive, producing no direct emissions.</w:t>
      </w:r>
    </w:p>
    <w:p>
      <w:pPr>
        <w:pStyle w:val="ListParagraph"/>
        <w:numPr>
          <w:ilvl w:val="0"/>
          <w:numId w:val="2"/>
        </w:numPr>
        <w:spacing w:after="40" w:before="40"/>
      </w:pPr>
      <w:r>
        <w:rPr>
          <w:rFonts w:ascii="Arial" w:cs="Arial" w:eastAsia="Arial" w:hAnsi="Arial"/>
          <w:sz w:val="22"/>
          <w:szCs w:val="22"/>
        </w:rPr>
        <w:t xml:space="preserve">Reduced agrochemical use translates into lower forex outflows on imported inputs, supporting import substitution.</w:t>
      </w:r>
    </w:p>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D: INSTITUTIONAL &amp; SOCIO-ECONOMIC IMPACT</w:t>
      </w:r>
    </w:p>
    <w:p>
      <w:pPr>
        <w:pStyle w:val="Heading2"/>
        <w:spacing w:after="120" w:before="240"/>
      </w:pPr>
      <w:r>
        <w:rPr>
          <w:rFonts w:ascii="Arial" w:cs="Arial" w:eastAsia="Arial" w:hAnsi="Arial"/>
          <w:b/>
          <w:bCs/>
          <w:color w:val="1F4E79"/>
          <w:sz w:val="26"/>
          <w:szCs w:val="26"/>
        </w:rPr>
        <w:t xml:space="preserve">National Strategic Importance</w:t>
      </w:r>
    </w:p>
    <w:p>
      <w:pPr>
        <w:pStyle w:val="ListParagraph"/>
        <w:numPr>
          <w:ilvl w:val="0"/>
          <w:numId w:val="2"/>
        </w:numPr>
        <w:spacing w:after="40" w:before="40"/>
      </w:pPr>
      <w:r>
        <w:rPr>
          <w:rFonts w:ascii="Arial" w:cs="Arial" w:eastAsia="Arial" w:hAnsi="Arial"/>
          <w:sz w:val="22"/>
          <w:szCs w:val="22"/>
        </w:rPr>
        <w:t xml:space="preserve">Direct alignment with Zimbabwe’s National AI Strategy (2026–2030), which identifies agriculture as a priority sector and explicitly commits to AI for crop disease prevention, food security, and smallholder support.</w:t>
      </w:r>
    </w:p>
    <w:p>
      <w:pPr>
        <w:pStyle w:val="ListParagraph"/>
        <w:numPr>
          <w:ilvl w:val="0"/>
          <w:numId w:val="2"/>
        </w:numPr>
        <w:spacing w:after="40" w:before="40"/>
      </w:pPr>
      <w:r>
        <w:rPr>
          <w:rFonts w:ascii="Arial" w:cs="Arial" w:eastAsia="Arial" w:hAnsi="Arial"/>
          <w:sz w:val="22"/>
          <w:szCs w:val="22"/>
        </w:rPr>
        <w:t xml:space="preserve">Responds to the inaugural Zimbabwe AI Grand Challenge (2026), whose theme is food security — the prototype’s target domain.</w:t>
      </w:r>
    </w:p>
    <w:p>
      <w:pPr>
        <w:pStyle w:val="ListParagraph"/>
        <w:numPr>
          <w:ilvl w:val="0"/>
          <w:numId w:val="2"/>
        </w:numPr>
        <w:spacing w:after="40" w:before="40"/>
      </w:pPr>
      <w:r>
        <w:rPr>
          <w:rFonts w:ascii="Arial" w:cs="Arial" w:eastAsia="Arial" w:hAnsi="Arial"/>
          <w:sz w:val="22"/>
          <w:szCs w:val="22"/>
        </w:rPr>
        <w:t xml:space="preserve">Advances National Development Strategy 2 (NDS2) pillar on food security, digital transformation, and inclusive economic growth.</w:t>
      </w:r>
    </w:p>
    <w:p>
      <w:pPr>
        <w:pStyle w:val="ListParagraph"/>
        <w:numPr>
          <w:ilvl w:val="0"/>
          <w:numId w:val="2"/>
        </w:numPr>
        <w:spacing w:after="40" w:before="40"/>
      </w:pPr>
      <w:r>
        <w:rPr>
          <w:rFonts w:ascii="Arial" w:cs="Arial" w:eastAsia="Arial" w:hAnsi="Arial"/>
          <w:sz w:val="22"/>
          <w:szCs w:val="22"/>
        </w:rPr>
        <w:t xml:space="preserve">Supports Vision 2030 goals for an upper-middle-income economy by reducing agricultural losses that currently cost the national economy hundreds of millions of dollars annually.</w:t>
      </w:r>
    </w:p>
    <w:p>
      <w:pPr>
        <w:pStyle w:val="ListParagraph"/>
        <w:numPr>
          <w:ilvl w:val="0"/>
          <w:numId w:val="2"/>
        </w:numPr>
        <w:spacing w:after="40" w:before="40"/>
      </w:pPr>
      <w:r>
        <w:rPr>
          <w:rFonts w:ascii="Arial" w:cs="Arial" w:eastAsia="Arial" w:hAnsi="Arial"/>
          <w:sz w:val="22"/>
          <w:szCs w:val="22"/>
        </w:rPr>
        <w:t xml:space="preserve">Contributes to SDG 2 (Zero Hunger) and SDG 9 (Industry, Innovation and Infrastructure).</w:t>
      </w:r>
    </w:p>
    <w:p>
      <w:pPr>
        <w:pStyle w:val="Heading2"/>
        <w:spacing w:after="120" w:before="240"/>
      </w:pPr>
      <w:r>
        <w:rPr>
          <w:rFonts w:ascii="Arial" w:cs="Arial" w:eastAsia="Arial" w:hAnsi="Arial"/>
          <w:b/>
          <w:bCs/>
          <w:color w:val="1F4E79"/>
          <w:sz w:val="26"/>
          <w:szCs w:val="26"/>
        </w:rPr>
        <w:t xml:space="preserve">Viability — Long-Term Sustainability</w:t>
      </w:r>
    </w:p>
    <w:p>
      <w:pPr>
        <w:pStyle w:val="ListParagraph"/>
        <w:numPr>
          <w:ilvl w:val="0"/>
          <w:numId w:val="2"/>
        </w:numPr>
        <w:spacing w:after="40" w:before="40"/>
      </w:pPr>
      <w:r>
        <w:rPr>
          <w:rFonts w:ascii="Arial" w:cs="Arial" w:eastAsia="Arial" w:hAnsi="Arial"/>
          <w:sz w:val="22"/>
          <w:szCs w:val="22"/>
        </w:rPr>
        <w:t xml:space="preserve">The core AI engine is trained once and deployed repeatedly at near-zero marginal cost per diagnosis.</w:t>
      </w:r>
    </w:p>
    <w:p>
      <w:pPr>
        <w:pStyle w:val="ListParagraph"/>
        <w:numPr>
          <w:ilvl w:val="0"/>
          <w:numId w:val="2"/>
        </w:numPr>
        <w:spacing w:after="40" w:before="40"/>
      </w:pPr>
      <w:r>
        <w:rPr>
          <w:rFonts w:ascii="Arial" w:cs="Arial" w:eastAsia="Arial" w:hAnsi="Arial"/>
          <w:sz w:val="22"/>
          <w:szCs w:val="22"/>
        </w:rPr>
        <w:t xml:space="preserve">Revenue is generated through app subscriptions, institutional licensing (AgriTech distributors, seed companies, NGOs), and hardware bundling for Tiers 2–4.</w:t>
      </w:r>
    </w:p>
    <w:p>
      <w:pPr>
        <w:pStyle w:val="ListParagraph"/>
        <w:numPr>
          <w:ilvl w:val="0"/>
          <w:numId w:val="2"/>
        </w:numPr>
        <w:spacing w:after="40" w:before="40"/>
      </w:pPr>
      <w:r>
        <w:rPr>
          <w:rFonts w:ascii="Arial" w:cs="Arial" w:eastAsia="Arial" w:hAnsi="Arial"/>
          <w:sz w:val="22"/>
          <w:szCs w:val="22"/>
        </w:rPr>
        <w:t xml:space="preserve">An optional cloud sync channel (when connectivity is available) feeds anonymised field data back to improve the model over time via a governed continuous-learning pipeline.</w:t>
      </w:r>
    </w:p>
    <w:p>
      <w:pPr>
        <w:pStyle w:val="ListParagraph"/>
        <w:numPr>
          <w:ilvl w:val="0"/>
          <w:numId w:val="2"/>
        </w:numPr>
        <w:spacing w:after="40" w:before="40"/>
      </w:pPr>
      <w:r>
        <w:rPr>
          <w:rFonts w:ascii="Arial" w:cs="Arial" w:eastAsia="Arial" w:hAnsi="Arial"/>
          <w:sz w:val="22"/>
          <w:szCs w:val="22"/>
        </w:rPr>
        <w:t xml:space="preserve">Partnership pathways: government extension departments, AGRITEX, financial inclusion NGOs, and input suppliers all have incentive to co-distribute the tool to reach their own last-mile beneficiaries.</w:t>
      </w:r>
    </w:p>
    <w:p>
      <w:pPr>
        <w:pStyle w:val="Heading2"/>
        <w:spacing w:after="120" w:before="240"/>
      </w:pPr>
      <w:r>
        <w:rPr>
          <w:rFonts w:ascii="Arial" w:cs="Arial" w:eastAsia="Arial" w:hAnsi="Arial"/>
          <w:b/>
          <w:bCs/>
          <w:color w:val="1F4E79"/>
          <w:sz w:val="26"/>
          <w:szCs w:val="26"/>
        </w:rPr>
        <w:t xml:space="preserve">Market Acceptance</w:t>
      </w:r>
    </w:p>
    <w:p>
      <w:pPr>
        <w:pStyle w:val="ListParagraph"/>
        <w:numPr>
          <w:ilvl w:val="0"/>
          <w:numId w:val="2"/>
        </w:numPr>
        <w:spacing w:after="40" w:before="40"/>
      </w:pPr>
      <w:r>
        <w:rPr>
          <w:rFonts w:ascii="Arial" w:cs="Arial" w:eastAsia="Arial" w:hAnsi="Arial"/>
          <w:sz w:val="22"/>
          <w:szCs w:val="22"/>
        </w:rPr>
        <w:t xml:space="preserve">The Zimbabwe AI Grand Challenge provides an immediate high-visibility validation platform.</w:t>
      </w:r>
    </w:p>
    <w:p>
      <w:pPr>
        <w:pStyle w:val="ListParagraph"/>
        <w:numPr>
          <w:ilvl w:val="0"/>
          <w:numId w:val="2"/>
        </w:numPr>
        <w:spacing w:after="40" w:before="40"/>
      </w:pPr>
      <w:r>
        <w:rPr>
          <w:rFonts w:ascii="Arial" w:cs="Arial" w:eastAsia="Arial" w:hAnsi="Arial"/>
          <w:sz w:val="22"/>
          <w:szCs w:val="22"/>
        </w:rPr>
        <w:t xml:space="preserve">Letters of intent and expressions of interest are being sought from agricultural input suppliers, development-finance institutions active in Zimbabwean agriculture, and farmer cooperative unions.</w:t>
      </w:r>
    </w:p>
    <w:p>
      <w:pPr>
        <w:pStyle w:val="ListParagraph"/>
        <w:numPr>
          <w:ilvl w:val="0"/>
          <w:numId w:val="2"/>
        </w:numPr>
        <w:spacing w:after="40" w:before="40"/>
      </w:pPr>
      <w:r>
        <w:rPr>
          <w:rFonts w:ascii="Arial" w:cs="Arial" w:eastAsia="Arial" w:hAnsi="Arial"/>
          <w:sz w:val="22"/>
          <w:szCs w:val="22"/>
        </w:rPr>
        <w:t xml:space="preserve">The JRISS paper provides peer-reviewed evidence of the diagnostic accuracy that underpins market confidence.</w:t>
      </w:r>
    </w:p>
    <w:p>
      <w:pPr>
        <w:pStyle w:val="Heading2"/>
        <w:spacing w:after="120" w:before="240"/>
      </w:pPr>
      <w:r>
        <w:rPr>
          <w:rFonts w:ascii="Arial" w:cs="Arial" w:eastAsia="Arial" w:hAnsi="Arial"/>
          <w:b/>
          <w:bCs/>
          <w:color w:val="1F4E79"/>
          <w:sz w:val="26"/>
          <w:szCs w:val="26"/>
        </w:rPr>
        <w:t xml:space="preserve">Employment Creation</w:t>
      </w:r>
    </w:p>
    <w:p>
      <w:pPr>
        <w:pStyle w:val="ListParagraph"/>
        <w:numPr>
          <w:ilvl w:val="0"/>
          <w:numId w:val="2"/>
        </w:numPr>
        <w:spacing w:after="40" w:before="40"/>
      </w:pPr>
      <w:r>
        <w:rPr>
          <w:rFonts w:ascii="Arial" w:cs="Arial" w:eastAsia="Arial" w:hAnsi="Arial"/>
          <w:sz w:val="22"/>
          <w:szCs w:val="22"/>
        </w:rPr>
        <w:t xml:space="preserve">Direct: software engineers, AI/ML engineers, agricultural domain experts, field data collectors, hardware integration technicians, and sales/support agents (11–20 jobs in Phase 1; 21+ by Phase 3).</w:t>
      </w:r>
    </w:p>
    <w:p>
      <w:pPr>
        <w:pStyle w:val="ListParagraph"/>
        <w:numPr>
          <w:ilvl w:val="0"/>
          <w:numId w:val="2"/>
        </w:numPr>
        <w:spacing w:after="40" w:before="40"/>
      </w:pPr>
      <w:r>
        <w:rPr>
          <w:rFonts w:ascii="Arial" w:cs="Arial" w:eastAsia="Arial" w:hAnsi="Arial"/>
          <w:sz w:val="22"/>
          <w:szCs w:val="22"/>
        </w:rPr>
        <w:t xml:space="preserve">Indirect: drone pilots, robot maintenance technicians, and agronomist partners brought into the extension ecosystem.</w:t>
      </w:r>
    </w:p>
    <w:p>
      <w:pPr>
        <w:pStyle w:val="Heading2"/>
        <w:spacing w:after="120" w:before="240"/>
      </w:pPr>
      <w:r>
        <w:rPr>
          <w:rFonts w:ascii="Arial" w:cs="Arial" w:eastAsia="Arial" w:hAnsi="Arial"/>
          <w:b/>
          <w:bCs/>
          <w:color w:val="1F4E79"/>
          <w:sz w:val="26"/>
          <w:szCs w:val="26"/>
        </w:rPr>
        <w:t xml:space="preserve">Social Impact</w:t>
      </w:r>
    </w:p>
    <w:p>
      <w:pPr>
        <w:pStyle w:val="ListParagraph"/>
        <w:numPr>
          <w:ilvl w:val="0"/>
          <w:numId w:val="2"/>
        </w:numPr>
        <w:spacing w:after="40" w:before="40"/>
      </w:pPr>
      <w:r>
        <w:rPr>
          <w:rFonts w:ascii="Arial" w:cs="Arial" w:eastAsia="Arial" w:hAnsi="Arial"/>
          <w:sz w:val="22"/>
          <w:szCs w:val="22"/>
        </w:rPr>
        <w:t xml:space="preserve">Reaches the most marginalised agricultural households: subsistence farmers with no internet access, no nearby extension officer, and limited financial buffers against crop loss.</w:t>
      </w:r>
    </w:p>
    <w:p>
      <w:pPr>
        <w:pStyle w:val="ListParagraph"/>
        <w:numPr>
          <w:ilvl w:val="0"/>
          <w:numId w:val="2"/>
        </w:numPr>
        <w:spacing w:after="40" w:before="40"/>
      </w:pPr>
      <w:r>
        <w:rPr>
          <w:rFonts w:ascii="Arial" w:cs="Arial" w:eastAsia="Arial" w:hAnsi="Arial"/>
          <w:sz w:val="22"/>
          <w:szCs w:val="22"/>
        </w:rPr>
        <w:t xml:space="preserve">Multilingual support (English, Shona, Ndebele) ensures inclusion across Zimbabwe’s two largest language communities.</w:t>
      </w:r>
    </w:p>
    <w:p>
      <w:pPr>
        <w:pStyle w:val="ListParagraph"/>
        <w:numPr>
          <w:ilvl w:val="0"/>
          <w:numId w:val="2"/>
        </w:numPr>
        <w:spacing w:after="40" w:before="40"/>
      </w:pPr>
      <w:r>
        <w:rPr>
          <w:rFonts w:ascii="Arial" w:cs="Arial" w:eastAsia="Arial" w:hAnsi="Arial"/>
          <w:sz w:val="22"/>
          <w:szCs w:val="22"/>
        </w:rPr>
        <w:t xml:space="preserve">Gender-inclusive: the app requires no literacy beyond taking a photograph, reducing barriers for women farmers who head 70% of smallholder households in parts of rural Zimbabwe.</w:t>
      </w:r>
    </w:p>
    <w:p>
      <w:pPr>
        <w:pStyle w:val="ListParagraph"/>
        <w:numPr>
          <w:ilvl w:val="0"/>
          <w:numId w:val="2"/>
        </w:numPr>
        <w:spacing w:after="40" w:before="40"/>
      </w:pPr>
      <w:r>
        <w:rPr>
          <w:rFonts w:ascii="Arial" w:cs="Arial" w:eastAsia="Arial" w:hAnsi="Arial"/>
          <w:sz w:val="22"/>
          <w:szCs w:val="22"/>
        </w:rPr>
        <w:t xml:space="preserve">Reduces household food insecurity: a family that catches NCLB early and saves 30–50% more of its harvest has meaningfully more food and cash income for the lean season.</w:t>
      </w:r>
    </w:p>
    <w:p>
      <w:pPr>
        <w:pStyle w:val="Heading2"/>
        <w:spacing w:after="120" w:before="240"/>
      </w:pPr>
      <w:r>
        <w:rPr>
          <w:rFonts w:ascii="Arial" w:cs="Arial" w:eastAsia="Arial" w:hAnsi="Arial"/>
          <w:b/>
          <w:bCs/>
          <w:color w:val="1F4E79"/>
          <w:sz w:val="26"/>
          <w:szCs w:val="26"/>
        </w:rPr>
        <w:t xml:space="preserve">Opportunity Cost — Foreign Currency</w:t>
      </w:r>
    </w:p>
    <w:p>
      <w:pPr>
        <w:pStyle w:val="ListParagraph"/>
        <w:numPr>
          <w:ilvl w:val="0"/>
          <w:numId w:val="2"/>
        </w:numPr>
        <w:spacing w:after="40" w:before="40"/>
      </w:pPr>
      <w:r>
        <w:rPr>
          <w:rFonts w:ascii="Arial" w:cs="Arial" w:eastAsia="Arial" w:hAnsi="Arial"/>
          <w:sz w:val="22"/>
          <w:szCs w:val="22"/>
        </w:rPr>
        <w:t xml:space="preserve">Reduced post-harvest losses lower Zimbabwe’s annual maize import requirement, saving scarce foreign exchange.</w:t>
      </w:r>
    </w:p>
    <w:p>
      <w:pPr>
        <w:pStyle w:val="ListParagraph"/>
        <w:numPr>
          <w:ilvl w:val="0"/>
          <w:numId w:val="2"/>
        </w:numPr>
        <w:spacing w:after="40" w:before="40"/>
      </w:pPr>
      <w:r>
        <w:rPr>
          <w:rFonts w:ascii="Arial" w:cs="Arial" w:eastAsia="Arial" w:hAnsi="Arial"/>
          <w:sz w:val="22"/>
          <w:szCs w:val="22"/>
        </w:rPr>
        <w:t xml:space="preserve">Reduced blanket fungicide use cuts imports of agrochemicals.</w:t>
      </w:r>
    </w:p>
    <w:p>
      <w:pPr>
        <w:pStyle w:val="ListParagraph"/>
        <w:numPr>
          <w:ilvl w:val="0"/>
          <w:numId w:val="2"/>
        </w:numPr>
        <w:spacing w:after="40" w:before="40"/>
      </w:pPr>
      <w:r>
        <w:rPr>
          <w:rFonts w:ascii="Arial" w:cs="Arial" w:eastAsia="Arial" w:hAnsi="Arial"/>
          <w:sz w:val="22"/>
          <w:szCs w:val="22"/>
        </w:rPr>
        <w:t xml:space="preserve">Export potential: the tiered platform can be licenced to other SADC markets facing the same crop-health and connectivity constraints, generating forex inflows.</w:t>
      </w:r>
    </w:p>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E: FINANCIAL DESCRIPTION</w:t>
      </w:r>
    </w:p>
    <w:p>
      <w:pPr>
        <w:pStyle w:val="Heading2"/>
        <w:spacing w:after="120" w:before="240"/>
      </w:pPr>
      <w:r>
        <w:rPr>
          <w:rFonts w:ascii="Arial" w:cs="Arial" w:eastAsia="Arial" w:hAnsi="Arial"/>
          <w:b/>
          <w:bCs/>
          <w:color w:val="1F4E79"/>
          <w:sz w:val="26"/>
          <w:szCs w:val="26"/>
        </w:rPr>
        <w:t xml:space="preserve">Revenue Model and Foreign Currency Generation</w:t>
      </w:r>
    </w:p>
    <w:p>
      <w:pPr>
        <w:pStyle w:val="ListParagraph"/>
        <w:numPr>
          <w:ilvl w:val="0"/>
          <w:numId w:val="2"/>
        </w:numPr>
        <w:spacing w:after="40" w:before="40"/>
      </w:pPr>
      <w:r>
        <w:rPr>
          <w:rFonts w:ascii="Arial" w:cs="Arial" w:eastAsia="Arial" w:hAnsi="Arial"/>
          <w:sz w:val="22"/>
          <w:szCs w:val="22"/>
        </w:rPr>
        <w:t xml:space="preserve">Freemium mobile app: free Tier 1 with limited monthly scans; USD 2/month subscription for unlimited scans; USD 15/year for cooperative groups.</w:t>
      </w:r>
    </w:p>
    <w:p>
      <w:pPr>
        <w:pStyle w:val="ListParagraph"/>
        <w:numPr>
          <w:ilvl w:val="0"/>
          <w:numId w:val="2"/>
        </w:numPr>
        <w:spacing w:after="40" w:before="40"/>
      </w:pPr>
      <w:r>
        <w:rPr>
          <w:rFonts w:ascii="Arial" w:cs="Arial" w:eastAsia="Arial" w:hAnsi="Arial"/>
          <w:sz w:val="22"/>
          <w:szCs w:val="22"/>
        </w:rPr>
        <w:t xml:space="preserve">Institutional licensing: agri-input companies and NGOs pay a per-farmer-reached annual fee (USD 0.50–1.00) to co-brand the app in their distribution network.</w:t>
      </w:r>
    </w:p>
    <w:p>
      <w:pPr>
        <w:pStyle w:val="ListParagraph"/>
        <w:numPr>
          <w:ilvl w:val="0"/>
          <w:numId w:val="2"/>
        </w:numPr>
        <w:spacing w:after="40" w:before="40"/>
      </w:pPr>
      <w:r>
        <w:rPr>
          <w:rFonts w:ascii="Arial" w:cs="Arial" w:eastAsia="Arial" w:hAnsi="Arial"/>
          <w:sz w:val="22"/>
          <w:szCs w:val="22"/>
        </w:rPr>
        <w:t xml:space="preserve">Hardware bundles (Tiers 2–4): drone kit, robot kit, and irrigation integration modules sold or leased to commercial farmers and cooperatives.</w:t>
      </w:r>
    </w:p>
    <w:p>
      <w:pPr>
        <w:pStyle w:val="ListParagraph"/>
        <w:numPr>
          <w:ilvl w:val="0"/>
          <w:numId w:val="2"/>
        </w:numPr>
        <w:spacing w:after="40" w:before="40"/>
      </w:pPr>
      <w:r>
        <w:rPr>
          <w:rFonts w:ascii="Arial" w:cs="Arial" w:eastAsia="Arial" w:hAnsi="Arial"/>
          <w:sz w:val="22"/>
          <w:szCs w:val="22"/>
        </w:rPr>
        <w:t xml:space="preserve">Data analytics: aggregated, anonymised disease-incidence maps sold to government, insurers, and commodity traders as early-warning intelligence.</w:t>
      </w:r>
    </w:p>
    <w:p>
      <w:pPr>
        <w:pStyle w:val="ListParagraph"/>
        <w:numPr>
          <w:ilvl w:val="0"/>
          <w:numId w:val="2"/>
        </w:numPr>
        <w:spacing w:after="40" w:before="40"/>
      </w:pPr>
      <w:r>
        <w:rPr>
          <w:rFonts w:ascii="Arial" w:cs="Arial" w:eastAsia="Arial" w:hAnsi="Arial"/>
          <w:sz w:val="22"/>
          <w:szCs w:val="22"/>
        </w:rPr>
        <w:t xml:space="preserve">Export licensing to SADC markets generates forex inflows from Year 2 onward.</w:t>
      </w:r>
    </w:p>
    <w:p>
      <w:pPr>
        <w:pStyle w:val="Heading2"/>
        <w:spacing w:after="120" w:before="240"/>
      </w:pPr>
      <w:r>
        <w:rPr>
          <w:rFonts w:ascii="Arial" w:cs="Arial" w:eastAsia="Arial" w:hAnsi="Arial"/>
          <w:b/>
          <w:bCs/>
          <w:color w:val="1F4E79"/>
          <w:sz w:val="26"/>
          <w:szCs w:val="26"/>
        </w:rPr>
        <w:t xml:space="preserve">Payback Period</w:t>
      </w:r>
    </w:p>
    <w:p>
      <w:pPr>
        <w:spacing w:after="80" w:before="60"/>
      </w:pPr>
      <w:r>
        <w:rPr>
          <w:rFonts w:ascii="Arial" w:cs="Arial" w:eastAsia="Arial" w:hAnsi="Arial"/>
          <w:sz w:val="22"/>
          <w:szCs w:val="22"/>
        </w:rPr>
        <w:t xml:space="preserve">Estimated 18–24 months from first commercial deployment (Phase 1 completion). The core AI asset is already built; remaining investment covers app hardening, go-to-market, and hardware integration.</w:t>
      </w:r>
    </w:p>
    <w:p>
      <w:pPr>
        <w:pStyle w:val="Heading2"/>
        <w:spacing w:after="120" w:before="240"/>
      </w:pPr>
      <w:r>
        <w:rPr>
          <w:rFonts w:ascii="Arial" w:cs="Arial" w:eastAsia="Arial" w:hAnsi="Arial"/>
          <w:b/>
          <w:bCs/>
          <w:color w:val="1F4E79"/>
          <w:sz w:val="26"/>
          <w:szCs w:val="26"/>
        </w:rPr>
        <w:t xml:space="preserve">Cash Flow Projection (3-Year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2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Year 1 (USD)</w:t>
            </w:r>
          </w:p>
        </w:tc>
        <w:tc>
          <w:tcPr>
            <w:tcW w:type="dxa" w:w="2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Year 2 (USD)</w:t>
            </w:r>
          </w:p>
        </w:tc>
        <w:tc>
          <w:tcPr>
            <w:tcW w:type="dxa" w:w="2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Year 3 (USD)</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App subscriptions</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48,000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120,000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Institutional licensing</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35,000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90,000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Hardware bundles (Tiers 2–4)</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25,000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80,000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Data analytics sales</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30,000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sz w:val="20"/>
                <w:szCs w:val="20"/>
              </w:rPr>
              <w:t xml:space="preserve">TOTAL REVENUE</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118,000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320,000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Operating costs (dev, support, marketing)</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45,000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70,000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110,000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sz w:val="20"/>
                <w:szCs w:val="20"/>
              </w:rPr>
              <w:t xml:space="preserve">NET SURPLUS / (DEFICIT)</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(25,000)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48,000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210,000</w:t>
            </w:r>
          </w:p>
        </w:tc>
      </w:tr>
    </w:tbl>
    <w:p>
      <w:pPr>
        <w:pStyle w:val="Heading2"/>
        <w:spacing w:after="120" w:before="240"/>
      </w:pPr>
      <w:r>
        <w:rPr>
          <w:rFonts w:ascii="Arial" w:cs="Arial" w:eastAsia="Arial" w:hAnsi="Arial"/>
          <w:b/>
          <w:bCs/>
          <w:color w:val="1F4E79"/>
          <w:sz w:val="26"/>
          <w:szCs w:val="26"/>
        </w:rPr>
        <w:t xml:space="preserve">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Likelihood / Impact</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Mitigation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Model accuracy degrades on new field conditions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 High</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Independent cross-field validation set; governed continuous-learning pipeline; low-confidence deferral to extension officer.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Farmer digital literacy barrier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 Medium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Ultra-simple one-button UI; offline video tutorial; partner with AGRITEX for on-boarding training.</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Hardware supply chain disruption (drones, robots)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 / Medium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Multi-supplier sourcing; Tier 1 smartphone remains operational as fallback at any scale.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Regulatory uncertainty around autonomous drones / robots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 Medium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Engage Civil Aviation Authority and Ministry of Agriculture early; Phase 2 timeline absorbs regulatory lead time.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Competition from well-funded cloud-based tools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 / High</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Offline-first is a structural differentiator that cloud tools cannot replicate without fundamental redesign; our addressable market is precisely where they fail.</w:t>
            </w:r>
          </w:p>
        </w:tc>
      </w:tr>
    </w:tbl>
    <w:p>
      <w:pPr>
        <w:pStyle w:val="Heading2"/>
        <w:spacing w:after="120" w:before="240"/>
      </w:pPr>
      <w:r>
        <w:rPr>
          <w:rFonts w:ascii="Arial" w:cs="Arial" w:eastAsia="Arial" w:hAnsi="Arial"/>
          <w:b/>
          <w:bCs/>
          <w:color w:val="1F4E79"/>
          <w:sz w:val="26"/>
          <w:szCs w:val="26"/>
        </w:rPr>
        <w:t xml:space="preserve">Financial Requirements to Scale</w:t>
      </w:r>
    </w:p>
    <w:p>
      <w:pPr>
        <w:pStyle w:val="ListParagraph"/>
        <w:numPr>
          <w:ilvl w:val="0"/>
          <w:numId w:val="2"/>
        </w:numPr>
        <w:spacing w:after="40" w:before="40"/>
      </w:pPr>
      <w:r>
        <w:rPr>
          <w:rFonts w:ascii="Arial" w:cs="Arial" w:eastAsia="Arial" w:hAnsi="Arial"/>
          <w:sz w:val="22"/>
          <w:szCs w:val="22"/>
        </w:rPr>
        <w:t xml:space="preserve">Phase 1 (0–6 months): USD 40,000 — app hardening, pilot deployment in 2 districts, agronomist validation study.</w:t>
      </w:r>
    </w:p>
    <w:p>
      <w:pPr>
        <w:pStyle w:val="ListParagraph"/>
        <w:numPr>
          <w:ilvl w:val="0"/>
          <w:numId w:val="2"/>
        </w:numPr>
        <w:spacing w:after="40" w:before="40"/>
      </w:pPr>
      <w:r>
        <w:rPr>
          <w:rFonts w:ascii="Arial" w:cs="Arial" w:eastAsia="Arial" w:hAnsi="Arial"/>
          <w:sz w:val="22"/>
          <w:szCs w:val="22"/>
        </w:rPr>
        <w:t xml:space="preserve">Phase 2 (6–18 months): USD 80,000 — multi-class model expansion, drone and robot hardware integration, independent test-set collection, SADC licensing preparation.</w:t>
      </w:r>
    </w:p>
    <w:p>
      <w:pPr>
        <w:pStyle w:val="ListParagraph"/>
        <w:numPr>
          <w:ilvl w:val="0"/>
          <w:numId w:val="2"/>
        </w:numPr>
        <w:spacing w:after="40" w:before="40"/>
      </w:pPr>
      <w:r>
        <w:rPr>
          <w:rFonts w:ascii="Arial" w:cs="Arial" w:eastAsia="Arial" w:hAnsi="Arial"/>
          <w:sz w:val="22"/>
          <w:szCs w:val="22"/>
        </w:rPr>
        <w:t xml:space="preserve">Phase 3 (18–36 months): USD 150,000 — irrigation-system integration, treatment knowledge base, continuous-learning infrastructure, regional market entry.</w:t>
      </w:r>
    </w:p>
    <w:p>
      <w:pPr>
        <w:pStyle w:val="ListParagraph"/>
        <w:numPr>
          <w:ilvl w:val="0"/>
          <w:numId w:val="2"/>
        </w:numPr>
        <w:spacing w:after="40" w:before="40"/>
      </w:pPr>
      <w:r>
        <w:rPr>
          <w:rFonts w:ascii="Arial" w:cs="Arial" w:eastAsia="Arial" w:hAnsi="Arial"/>
          <w:sz w:val="22"/>
          <w:szCs w:val="22"/>
        </w:rPr>
        <w:t xml:space="preserve">Total 3-year investment requirement: USD 270,000 (grant, impact-investment, or blended-finance eligible).</w:t>
      </w:r>
    </w:p>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F: COMMERCIALISATION DESCRIPTION</w:t>
      </w:r>
    </w:p>
    <w:p>
      <w:pPr>
        <w:pStyle w:val="Heading2"/>
        <w:spacing w:after="120" w:before="240"/>
      </w:pPr>
      <w:r>
        <w:rPr>
          <w:rFonts w:ascii="Arial" w:cs="Arial" w:eastAsia="Arial" w:hAnsi="Arial"/>
          <w:b/>
          <w:bCs/>
          <w:color w:val="1F4E79"/>
          <w:sz w:val="26"/>
          <w:szCs w:val="26"/>
        </w:rPr>
        <w:t xml:space="preserve">Market Readiness and Demand</w:t>
      </w:r>
    </w:p>
    <w:p>
      <w:pPr>
        <w:pStyle w:val="ListParagraph"/>
        <w:numPr>
          <w:ilvl w:val="0"/>
          <w:numId w:val="2"/>
        </w:numPr>
        <w:spacing w:after="40" w:before="40"/>
      </w:pPr>
      <w:r>
        <w:rPr>
          <w:rFonts w:ascii="Arial" w:cs="Arial" w:eastAsia="Arial" w:hAnsi="Arial"/>
          <w:sz w:val="22"/>
          <w:szCs w:val="22"/>
        </w:rPr>
        <w:t xml:space="preserve">Target customers: Tier 1 — Zimbabwe’s 1.4 million smallholder maize-farming households. Tier 2–4 — commercial farmers, agribusinesses, cooperative unions, and government extension services.</w:t>
      </w:r>
    </w:p>
    <w:p>
      <w:pPr>
        <w:pStyle w:val="ListParagraph"/>
        <w:numPr>
          <w:ilvl w:val="0"/>
          <w:numId w:val="2"/>
        </w:numPr>
        <w:spacing w:after="40" w:before="40"/>
      </w:pPr>
      <w:r>
        <w:rPr>
          <w:rFonts w:ascii="Arial" w:cs="Arial" w:eastAsia="Arial" w:hAnsi="Arial"/>
          <w:sz w:val="22"/>
          <w:szCs w:val="22"/>
        </w:rPr>
        <w:t xml:space="preserve">Market size: Zimbabwe’s agricultural sector contributes ~12% of GDP; the addressable market for digital agri-advisory tools in SADC is estimated at USD 50M+ and growing rapidly.</w:t>
      </w:r>
    </w:p>
    <w:p>
      <w:pPr>
        <w:pStyle w:val="ListParagraph"/>
        <w:numPr>
          <w:ilvl w:val="0"/>
          <w:numId w:val="2"/>
        </w:numPr>
        <w:spacing w:after="40" w:before="40"/>
      </w:pPr>
      <w:r>
        <w:rPr>
          <w:rFonts w:ascii="Arial" w:cs="Arial" w:eastAsia="Arial" w:hAnsi="Arial"/>
          <w:sz w:val="22"/>
          <w:szCs w:val="22"/>
        </w:rPr>
        <w:t xml:space="preserve">Demand signal: Zimbabwe’s National AI Strategy and the 2026 AI Grand Challenge (food security) create immediate government appetite; AgriTech distributors are actively seeking offline-capable tools for rural distribution.</w:t>
      </w:r>
    </w:p>
    <w:p>
      <w:pPr>
        <w:pStyle w:val="ListParagraph"/>
        <w:numPr>
          <w:ilvl w:val="0"/>
          <w:numId w:val="2"/>
        </w:numPr>
        <w:spacing w:after="40" w:before="40"/>
      </w:pPr>
      <w:r>
        <w:rPr>
          <w:rFonts w:ascii="Arial" w:cs="Arial" w:eastAsia="Arial" w:hAnsi="Arial"/>
          <w:sz w:val="22"/>
          <w:szCs w:val="22"/>
        </w:rPr>
        <w:t xml:space="preserve">Pilot-ready: the prototype is deployable immediately in Phase 1 pilot districts; no further infrastructure build-out is required for Tier 1.</w:t>
      </w:r>
    </w:p>
    <w:p>
      <w:pPr>
        <w:pStyle w:val="Heading2"/>
        <w:spacing w:after="120" w:before="240"/>
      </w:pPr>
      <w:r>
        <w:rPr>
          <w:rFonts w:ascii="Arial" w:cs="Arial" w:eastAsia="Arial" w:hAnsi="Arial"/>
          <w:b/>
          <w:bCs/>
          <w:color w:val="1F4E79"/>
          <w:sz w:val="26"/>
          <w:szCs w:val="26"/>
        </w:rPr>
        <w:t xml:space="preserve">Technology Maturity and Scalability</w:t>
      </w:r>
    </w:p>
    <w:p>
      <w:pPr>
        <w:pStyle w:val="ListParagraph"/>
        <w:numPr>
          <w:ilvl w:val="0"/>
          <w:numId w:val="2"/>
        </w:numPr>
        <w:spacing w:after="40" w:before="40"/>
      </w:pPr>
      <w:r>
        <w:rPr>
          <w:rFonts w:ascii="Arial" w:cs="Arial" w:eastAsia="Arial" w:hAnsi="Arial"/>
          <w:sz w:val="22"/>
          <w:szCs w:val="22"/>
        </w:rPr>
        <w:t xml:space="preserve">Current TRL: 5–6 (technology validated in relevant environment — field images, smartphone CPU deployment demonstrated).</w:t>
      </w:r>
    </w:p>
    <w:p>
      <w:pPr>
        <w:pStyle w:val="ListParagraph"/>
        <w:numPr>
          <w:ilvl w:val="0"/>
          <w:numId w:val="2"/>
        </w:numPr>
        <w:spacing w:after="40" w:before="40"/>
      </w:pPr>
      <w:r>
        <w:rPr>
          <w:rFonts w:ascii="Arial" w:cs="Arial" w:eastAsia="Arial" w:hAnsi="Arial"/>
          <w:sz w:val="22"/>
          <w:szCs w:val="22"/>
        </w:rPr>
        <w:t xml:space="preserve">Tier 1 (smartphone): TRL 6. Ready for pilot deployment.</w:t>
      </w:r>
    </w:p>
    <w:p>
      <w:pPr>
        <w:pStyle w:val="ListParagraph"/>
        <w:numPr>
          <w:ilvl w:val="0"/>
          <w:numId w:val="2"/>
        </w:numPr>
        <w:spacing w:after="40" w:before="40"/>
      </w:pPr>
      <w:r>
        <w:rPr>
          <w:rFonts w:ascii="Arial" w:cs="Arial" w:eastAsia="Arial" w:hAnsi="Arial"/>
          <w:sz w:val="22"/>
          <w:szCs w:val="22"/>
        </w:rPr>
        <w:t xml:space="preserve">Tier 2 (drone): TRL 4. Hardware integration design complete; prototype flight testing planned for Phase 2.</w:t>
      </w:r>
    </w:p>
    <w:p>
      <w:pPr>
        <w:pStyle w:val="ListParagraph"/>
        <w:numPr>
          <w:ilvl w:val="0"/>
          <w:numId w:val="2"/>
        </w:numPr>
        <w:spacing w:after="40" w:before="40"/>
      </w:pPr>
      <w:r>
        <w:rPr>
          <w:rFonts w:ascii="Arial" w:cs="Arial" w:eastAsia="Arial" w:hAnsi="Arial"/>
          <w:sz w:val="22"/>
          <w:szCs w:val="22"/>
        </w:rPr>
        <w:t xml:space="preserve">Tier 3 (robotic vehicle): TRL 3. Concept validated; mechanical prototype in design.</w:t>
      </w:r>
    </w:p>
    <w:p>
      <w:pPr>
        <w:pStyle w:val="ListParagraph"/>
        <w:numPr>
          <w:ilvl w:val="0"/>
          <w:numId w:val="2"/>
        </w:numPr>
        <w:spacing w:after="40" w:before="40"/>
      </w:pPr>
      <w:r>
        <w:rPr>
          <w:rFonts w:ascii="Arial" w:cs="Arial" w:eastAsia="Arial" w:hAnsi="Arial"/>
          <w:sz w:val="22"/>
          <w:szCs w:val="22"/>
        </w:rPr>
        <w:t xml:space="preserve">Tier 4 (irrigation integration): TRL 3. Concept validated with pivot-irrigation manufacturers; integration prototype planned for Phase 3.</w:t>
      </w:r>
    </w:p>
    <w:p>
      <w:pPr>
        <w:pStyle w:val="ListParagraph"/>
        <w:numPr>
          <w:ilvl w:val="0"/>
          <w:numId w:val="2"/>
        </w:numPr>
        <w:spacing w:after="40" w:before="40"/>
      </w:pPr>
      <w:r>
        <w:rPr>
          <w:rFonts w:ascii="Arial" w:cs="Arial" w:eastAsia="Arial" w:hAnsi="Arial"/>
          <w:sz w:val="22"/>
          <w:szCs w:val="22"/>
        </w:rPr>
        <w:t xml:space="preserve">The AI inference engine is hardware-agnostic: the same ONNX-format quantised model runs on smartphone ARM CPUs, drone companion computers (Raspberry Pi / Jetson Nano), and irrigation PLCs.</w:t>
      </w:r>
    </w:p>
    <w:p>
      <w:pPr>
        <w:pStyle w:val="Heading2"/>
        <w:spacing w:after="120" w:before="240"/>
      </w:pPr>
      <w:r>
        <w:rPr>
          <w:rFonts w:ascii="Arial" w:cs="Arial" w:eastAsia="Arial" w:hAnsi="Arial"/>
          <w:b/>
          <w:bCs/>
          <w:color w:val="1F4E79"/>
          <w:sz w:val="26"/>
          <w:szCs w:val="26"/>
        </w:rPr>
        <w:t xml:space="preserve">Business Model and Revenue Potential</w:t>
      </w:r>
    </w:p>
    <w:p>
      <w:pPr>
        <w:pStyle w:val="ListParagraph"/>
        <w:numPr>
          <w:ilvl w:val="0"/>
          <w:numId w:val="2"/>
        </w:numPr>
        <w:spacing w:after="40" w:before="40"/>
      </w:pPr>
      <w:r>
        <w:rPr>
          <w:rFonts w:ascii="Arial" w:cs="Arial" w:eastAsia="Arial" w:hAnsi="Arial"/>
          <w:sz w:val="22"/>
          <w:szCs w:val="22"/>
        </w:rPr>
        <w:t xml:space="preserve">B2C: freemium mobile app with subscription upgrade — scalable to 100,000+ users across SADC with minimal marginal cost.</w:t>
      </w:r>
    </w:p>
    <w:p>
      <w:pPr>
        <w:pStyle w:val="ListParagraph"/>
        <w:numPr>
          <w:ilvl w:val="0"/>
          <w:numId w:val="2"/>
        </w:numPr>
        <w:spacing w:after="40" w:before="40"/>
      </w:pPr>
      <w:r>
        <w:rPr>
          <w:rFonts w:ascii="Arial" w:cs="Arial" w:eastAsia="Arial" w:hAnsi="Arial"/>
          <w:sz w:val="22"/>
          <w:szCs w:val="22"/>
        </w:rPr>
        <w:t xml:space="preserve">B2B: institutional licensing to input companies (Syngenta, Windmill), cooperatives, development NGOs, and government AGRITEX for co-distribution.</w:t>
      </w:r>
    </w:p>
    <w:p>
      <w:pPr>
        <w:pStyle w:val="ListParagraph"/>
        <w:numPr>
          <w:ilvl w:val="0"/>
          <w:numId w:val="2"/>
        </w:numPr>
        <w:spacing w:after="40" w:before="40"/>
      </w:pPr>
      <w:r>
        <w:rPr>
          <w:rFonts w:ascii="Arial" w:cs="Arial" w:eastAsia="Arial" w:hAnsi="Arial"/>
          <w:sz w:val="22"/>
          <w:szCs w:val="22"/>
        </w:rPr>
        <w:t xml:space="preserve">B2G: government procurement for national disease-surveillance and food-security early-warning programmes.</w:t>
      </w:r>
    </w:p>
    <w:p>
      <w:pPr>
        <w:pStyle w:val="ListParagraph"/>
        <w:numPr>
          <w:ilvl w:val="0"/>
          <w:numId w:val="2"/>
        </w:numPr>
        <w:spacing w:after="40" w:before="40"/>
      </w:pPr>
      <w:r>
        <w:rPr>
          <w:rFonts w:ascii="Arial" w:cs="Arial" w:eastAsia="Arial" w:hAnsi="Arial"/>
          <w:sz w:val="22"/>
          <w:szCs w:val="22"/>
        </w:rPr>
        <w:t xml:space="preserve">Hardware-as-a-Service: drone and robot kits leased to commercial farmers on a per-hectare-scouted fee model.</w:t>
      </w:r>
    </w:p>
    <w:p>
      <w:pPr>
        <w:pStyle w:val="ListParagraph"/>
        <w:numPr>
          <w:ilvl w:val="0"/>
          <w:numId w:val="2"/>
        </w:numPr>
        <w:spacing w:after="40" w:before="40"/>
      </w:pPr>
      <w:r>
        <w:rPr>
          <w:rFonts w:ascii="Arial" w:cs="Arial" w:eastAsia="Arial" w:hAnsi="Arial"/>
          <w:sz w:val="22"/>
          <w:szCs w:val="22"/>
        </w:rPr>
        <w:t xml:space="preserve">Data-as-a-Service: geo-referenced disease-incidence intelligence sold to commodity traders, crop insurers, and agricultural banks for underwriting and risk modelling.</w:t>
      </w:r>
    </w:p>
    <w:p>
      <w:pPr>
        <w:pStyle w:val="Heading2"/>
        <w:spacing w:after="120" w:before="240"/>
      </w:pPr>
      <w:r>
        <w:rPr>
          <w:rFonts w:ascii="Arial" w:cs="Arial" w:eastAsia="Arial" w:hAnsi="Arial"/>
          <w:b/>
          <w:bCs/>
          <w:color w:val="1F4E79"/>
          <w:sz w:val="26"/>
          <w:szCs w:val="26"/>
        </w:rPr>
        <w:t xml:space="preserve">Regulatory and Compliance Requirements</w:t>
      </w:r>
    </w:p>
    <w:p>
      <w:pPr>
        <w:pStyle w:val="ListParagraph"/>
        <w:numPr>
          <w:ilvl w:val="0"/>
          <w:numId w:val="2"/>
        </w:numPr>
        <w:spacing w:after="40" w:before="40"/>
      </w:pPr>
      <w:r>
        <w:rPr>
          <w:rFonts w:ascii="Arial" w:cs="Arial" w:eastAsia="Arial" w:hAnsi="Arial"/>
          <w:sz w:val="22"/>
          <w:szCs w:val="22"/>
        </w:rPr>
        <w:t xml:space="preserve">Mobile app: compliant with Zimbabwe’s Data Protection Act (2021); no personal health data collected; anonymised usage analytics only.</w:t>
      </w:r>
    </w:p>
    <w:p>
      <w:pPr>
        <w:pStyle w:val="ListParagraph"/>
        <w:numPr>
          <w:ilvl w:val="0"/>
          <w:numId w:val="2"/>
        </w:numPr>
        <w:spacing w:after="40" w:before="40"/>
      </w:pPr>
      <w:r>
        <w:rPr>
          <w:rFonts w:ascii="Arial" w:cs="Arial" w:eastAsia="Arial" w:hAnsi="Arial"/>
          <w:sz w:val="22"/>
          <w:szCs w:val="22"/>
        </w:rPr>
        <w:t xml:space="preserve">Drone operations: Civil Aviation Authority of Zimbabwe (CAAZ) Part 101 regulations; operator licensing and no-fly-zone adherence required for Tier 2; engagement initiated.</w:t>
      </w:r>
    </w:p>
    <w:p>
      <w:pPr>
        <w:pStyle w:val="ListParagraph"/>
        <w:numPr>
          <w:ilvl w:val="0"/>
          <w:numId w:val="2"/>
        </w:numPr>
        <w:spacing w:after="40" w:before="40"/>
      </w:pPr>
      <w:r>
        <w:rPr>
          <w:rFonts w:ascii="Arial" w:cs="Arial" w:eastAsia="Arial" w:hAnsi="Arial"/>
          <w:sz w:val="22"/>
          <w:szCs w:val="22"/>
        </w:rPr>
        <w:t xml:space="preserve">Autonomous ground vehicles: road and farm-track regulations; operating within private farm boundaries reduces regulatory complexity.</w:t>
      </w:r>
    </w:p>
    <w:p>
      <w:pPr>
        <w:pStyle w:val="ListParagraph"/>
        <w:numPr>
          <w:ilvl w:val="0"/>
          <w:numId w:val="2"/>
        </w:numPr>
        <w:spacing w:after="40" w:before="40"/>
      </w:pPr>
      <w:r>
        <w:rPr>
          <w:rFonts w:ascii="Arial" w:cs="Arial" w:eastAsia="Arial" w:hAnsi="Arial"/>
          <w:sz w:val="22"/>
          <w:szCs w:val="22"/>
        </w:rPr>
        <w:t xml:space="preserve">Agrochemical guidance: treatment recommendations will be reviewed and endorsed by registered agronomists and aligned with ZAMA (Zimbabwe Agrochemicals and Medicines Authority) approved product lists.</w:t>
      </w:r>
    </w:p>
    <w:p>
      <w:pPr>
        <w:pStyle w:val="ListParagraph"/>
        <w:numPr>
          <w:ilvl w:val="0"/>
          <w:numId w:val="2"/>
        </w:numPr>
        <w:spacing w:after="40" w:before="40"/>
      </w:pPr>
      <w:r>
        <w:rPr>
          <w:rFonts w:ascii="Arial" w:cs="Arial" w:eastAsia="Arial" w:hAnsi="Arial"/>
          <w:sz w:val="22"/>
          <w:szCs w:val="22"/>
        </w:rPr>
        <w:t xml:space="preserve">AI ethics: the system advises rather than dictates; low-confidence cases are deferred to human extension officers; consistent with Zimbabwe’s National AI Strategy responsible-AI principles.</w:t>
      </w:r>
    </w:p>
    <w:p>
      <w:pPr>
        <w:pStyle w:val="Heading2"/>
        <w:spacing w:after="120" w:before="240"/>
      </w:pPr>
      <w:r>
        <w:rPr>
          <w:rFonts w:ascii="Arial" w:cs="Arial" w:eastAsia="Arial" w:hAnsi="Arial"/>
          <w:b/>
          <w:bCs/>
          <w:color w:val="1F4E79"/>
          <w:sz w:val="26"/>
          <w:szCs w:val="26"/>
        </w:rPr>
        <w:t xml:space="preserve">Investment and Financial Viability</w:t>
      </w:r>
    </w:p>
    <w:p>
      <w:pPr>
        <w:pStyle w:val="ListParagraph"/>
        <w:numPr>
          <w:ilvl w:val="0"/>
          <w:numId w:val="2"/>
        </w:numPr>
        <w:spacing w:after="40" w:before="40"/>
      </w:pPr>
      <w:r>
        <w:rPr>
          <w:rFonts w:ascii="Arial" w:cs="Arial" w:eastAsia="Arial" w:hAnsi="Arial"/>
          <w:sz w:val="22"/>
          <w:szCs w:val="22"/>
        </w:rPr>
        <w:t xml:space="preserve">The prototype has been developed with institutional support from Liquid Intelligent Technologies, Harare Institute of Technology, and the ZB Innovation Hub.</w:t>
      </w:r>
    </w:p>
    <w:p>
      <w:pPr>
        <w:pStyle w:val="ListParagraph"/>
        <w:numPr>
          <w:ilvl w:val="0"/>
          <w:numId w:val="2"/>
        </w:numPr>
        <w:spacing w:after="40" w:before="40"/>
      </w:pPr>
      <w:r>
        <w:rPr>
          <w:rFonts w:ascii="Arial" w:cs="Arial" w:eastAsia="Arial" w:hAnsi="Arial"/>
          <w:sz w:val="22"/>
          <w:szCs w:val="22"/>
        </w:rPr>
        <w:t xml:space="preserve">The PIA award would provide catalytic grant funding and the national profile required to attract impact investors and development-finance institutions active in Zimbabwe.</w:t>
      </w:r>
    </w:p>
    <w:p>
      <w:pPr>
        <w:pStyle w:val="ListParagraph"/>
        <w:numPr>
          <w:ilvl w:val="0"/>
          <w:numId w:val="2"/>
        </w:numPr>
        <w:spacing w:after="40" w:before="40"/>
      </w:pPr>
      <w:r>
        <w:rPr>
          <w:rFonts w:ascii="Arial" w:cs="Arial" w:eastAsia="Arial" w:hAnsi="Arial"/>
          <w:sz w:val="22"/>
          <w:szCs w:val="22"/>
        </w:rPr>
        <w:t xml:space="preserve">The business reaches break-even in Year 2 (see Section E cash-flow projection) and generates a USD 210,000 surplus in Year 3, demonstrating strong return on catalytic investment.</w:t>
      </w:r>
    </w:p>
    <w:p>
      <w:pPr>
        <w:pStyle w:val="ListParagraph"/>
        <w:numPr>
          <w:ilvl w:val="0"/>
          <w:numId w:val="2"/>
        </w:numPr>
        <w:spacing w:after="40" w:before="40"/>
      </w:pPr>
      <w:r>
        <w:rPr>
          <w:rFonts w:ascii="Arial" w:cs="Arial" w:eastAsia="Arial" w:hAnsi="Arial"/>
          <w:sz w:val="22"/>
          <w:szCs w:val="22"/>
        </w:rPr>
        <w:t xml:space="preserve">Blended-finance eligible: the combination of commercial revenue and measurable SDG impact (food security, gender inclusion, reduced pesticide use) meets the investment criteria of IFC, AfDB AgriTech windows, and Zimbabwean impact funds.</w:t>
      </w:r>
    </w:p>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G: 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w:trPr>
          <w:tblHeader/>
        </w:trPr>
        <w:tc>
          <w:tcPr>
            <w:tcW w:type="dxa" w:w="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Name</w:t>
            </w:r>
          </w:p>
        </w:tc>
        <w:tc>
          <w:tcPr>
            <w:tcW w:type="dxa" w:w="5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Offline_AI_Crop_Disease_Diagnosis.pdf</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peer-review paper submitted to JRISS Vol. 6 Issue 1, 2026, describing the methodology, evaluation results (96.0% accuracy, ROC-AUC 0.989), and deployment architecture.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Prototype_Demo_Video.mp4</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Screen-recorded demonstration of the smartphone app performing offline NCLB diagnosis on field images.</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Grad-CAM_Visualisations.pdf</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Grad-CAM heat-map outputs on held-out test images showing model attention concentrated on lesion tissue.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Tiered_Architecture_Diagrams.pdf</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System architecture diagrams for all four deployment tiers (smartphone, drone, robotic vehicle, pivot irrigation).</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Model_Performance_Metrics.json</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Machine-readable JSON file containing all headline and per-class evaluation metrics from the held-out test set.</w:t>
            </w:r>
          </w:p>
        </w:tc>
      </w:tr>
    </w:tbl>
    <w:p>
      <w:pPr>
        <w:spacing w:after="80" w:before="60"/>
      </w:pPr>
      <w:r>
        <w:rPr>
          <w:rFonts w:ascii="Arial" w:cs="Arial" w:eastAsia="Arial" w:hAnsi="Arial"/>
          <w:sz w:val="22"/>
          <w:szCs w:val="22"/>
        </w:rPr>
        <w:t xml:space="preserve">All files zipped as: OfflineAICropDiseaseDiagnosticSystem_SupportingDocs.zip</w:t>
      </w:r>
    </w:p>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H: SCORING MATRIX — APPLICANT SELF-EVALUATION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000"/>
        <w:gridCol w:w="900"/>
        <w:gridCol w:w="3700"/>
      </w:tblGrid>
      <w:tr>
        <w:trPr>
          <w:tblHeader/>
        </w:trPr>
        <w:tc>
          <w:tcPr>
            <w:tcW w:type="dxa" w:w="3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Max Pts</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Self-Score</w:t>
            </w:r>
          </w:p>
        </w:tc>
        <w:tc>
          <w:tcPr>
            <w:tcW w:type="dxa" w:w="3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TECHNICAL APPRAISAL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1.1 Originality / Knowledge Creation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First offline, on-device AI crop diagnostic for Zimbabwe; tiered 4-platform architecture is globally novel.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1.2 Feasibility (Proof of Concept)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Fully functional prototype tested on 1,821 field images; smartphone inference demonstrated.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1.3 Value Addition / Improvement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Replaces absent extension officer; enables early intervention preventing 30–50% yield loss.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1.4 Scalability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4-tier architecture scales from 1-ha smallholder plot to 500-ha commercial estate.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1.5 Environmental Friendliness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Precision targeting reduces fungicide inputs; electric drone/robot hardware; no direct emissions.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Section 1 Total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 INSTITUTIONAL &amp; SOCIO-ECONOMIC IMPACT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2.1 National Strategic Importance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Directly mandated by National AI Strategy 2026–2030 and Zimbabwe AI Grand Challenge.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2.2 Viability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Break-even Year 2; multiple revenue streams; scalable to SADC.</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2.3 Market Acceptance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Institutional expressions of interest; PIA provides validation milestone.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2.4 Employment Creation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11–20 direct jobs Phase 1; 21+ by Phase 3.</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 Social Impact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Reaches 1.4M smallholder households; multilingual; gender-inclusive.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2.6 Opportunity Cost (Forex)</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Reduced maize imports; reduced agrochemical imports; export licensing revenue.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Section 2 Total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19.5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 FINANCIAL APPRAISAL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3.1 Profitability &amp; Forex Generation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USD 210K surplus Year 3; forex from SADC licensing.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3.2 Payback Period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18–24 months — within the excellent (&lt;2 year) range.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3.3 Cash Flow Projection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Detailed 3-year projection provided with conservative assumptions.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3.4 Risk Assessment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Five key risks identified with specific mitigations.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3.5 Financial Requirements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USD 270K over 3 years; low-cost relative to market opportunity.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Section 3 Total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14.5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 COMMERCIALISATION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4.1 Market Readiness &amp; Demand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Tier 1 pilot-ready; institutional demand confirmed; 1.4M household addressable market.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4.2 Technology Maturity &amp; Scalability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TRL 6 for Tier 1; clear roadmap for Tiers 2–4.</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4.3 Business Model &amp; Revenue Potential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Diversified B2C/B2B/B2G/DaaS/HaaS model; scalable to SADC.</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4.4 Regulatory &amp; Compliance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Data protection compliant; drone/robot regulatory pathway identified.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4.5 Investment &amp; Financial Viability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Institutional backing in place; PIA catalyses investor round.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Section 4 Total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28</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ESTIMATED FINAL SCORE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Excellent</w:t>
            </w:r>
          </w:p>
        </w:tc>
      </w:tr>
    </w:tbl>
    <w:p>
      <w:pPr>
        <w:pBdr>
          <w:bottom w:val="single" w:color="1F4E79" w:sz="4" w:space="1"/>
        </w:pBdr>
        <w:spacing w:after="160" w:before="160"/>
      </w:pPr>
    </w:p>
    <w:p>
      <w:pPr>
        <w:pStyle w:val="Heading2"/>
        <w:spacing w:after="120" w:before="240"/>
      </w:pPr>
      <w:r>
        <w:rPr>
          <w:rFonts w:ascii="Arial" w:cs="Arial" w:eastAsia="Arial" w:hAnsi="Arial"/>
          <w:b/>
          <w:bCs/>
          <w:color w:val="1F4E79"/>
          <w:sz w:val="26"/>
          <w:szCs w:val="26"/>
        </w:rPr>
        <w:t xml:space="preserve">SECTION I: DECLARATION</w:t>
      </w:r>
    </w:p>
    <w:p>
      <w:pPr>
        <w:spacing w:after="80" w:before="60"/>
      </w:pPr>
      <w:r>
        <w:rPr>
          <w:rFonts w:ascii="Arial" w:cs="Arial" w:eastAsia="Arial" w:hAnsi="Arial"/>
          <w:sz w:val="22"/>
          <w:szCs w:val="22"/>
        </w:rPr>
        <w:t xml:space="preserve">I/We declare that the information provided in this submission is true and accurate to the best of my/our knowledge. I/We understand that providing false or misleading information may lead to immediate disqualification.</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Name of Primary Innovator:  </w:t>
      </w:r>
      <w:r>
        <w:rPr>
          <w:rFonts w:ascii="Arial" w:cs="Arial" w:eastAsia="Arial" w:hAnsi="Arial"/>
          <w:sz w:val="22"/>
          <w:szCs w:val="22"/>
        </w:rPr>
        <w:t xml:space="preserve">Andile Prince Bhebhe</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Date:  </w:t>
      </w:r>
      <w:r>
        <w:rPr>
          <w:rFonts w:ascii="Arial" w:cs="Arial" w:eastAsia="Arial" w:hAnsi="Arial"/>
          <w:sz w:val="22"/>
          <w:szCs w:val="22"/>
        </w:rPr>
        <w:t xml:space="preserve">29 June 2026</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Co-Innovator:  </w:t>
      </w:r>
      <w:r>
        <w:rPr>
          <w:rFonts w:ascii="Arial" w:cs="Arial" w:eastAsia="Arial" w:hAnsi="Arial"/>
          <w:sz w:val="22"/>
          <w:szCs w:val="22"/>
        </w:rPr>
        <w:t xml:space="preserve">Edith Nqobile Muyambiri</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Date:  </w:t>
      </w:r>
      <w:r>
        <w:rPr>
          <w:rFonts w:ascii="Arial" w:cs="Arial" w:eastAsia="Arial" w:hAnsi="Arial"/>
          <w:sz w:val="22"/>
          <w:szCs w:val="22"/>
        </w:rPr>
        <w:t xml:space="preserve">29 June 2026</w:t>
      </w:r>
    </w:p>
    <w:p>
      <w:pPr>
        <w:spacing w:after="8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For Institutional Submissions</w:t>
      </w:r>
    </w:p>
    <w:p>
      <w:pPr>
        <w:spacing w:after="80" w:before="60"/>
      </w:pPr>
      <w:r>
        <w:rPr>
          <w:rFonts w:ascii="Arial" w:cs="Arial" w:eastAsia="Arial" w:hAnsi="Arial"/>
          <w:b/>
          <w:bCs/>
          <w:sz w:val="22"/>
          <w:szCs w:val="22"/>
        </w:rPr>
        <w:t xml:space="preserve">Name of Endorsing Officer:  </w:t>
      </w:r>
      <w:r>
        <w:rPr>
          <w:rFonts w:ascii="Arial" w:cs="Arial" w:eastAsia="Arial" w:hAnsi="Arial"/>
          <w:sz w:val="22"/>
          <w:szCs w:val="22"/>
        </w:rPr>
        <w:t xml:space="preserve">_______________________________</w:t>
      </w:r>
    </w:p>
    <w:p>
      <w:pPr>
        <w:spacing w:after="80" w:before="60"/>
      </w:pPr>
      <w:r>
        <w:rPr>
          <w:rFonts w:ascii="Arial" w:cs="Arial" w:eastAsia="Arial" w:hAnsi="Arial"/>
          <w:b/>
          <w:bCs/>
          <w:sz w:val="22"/>
          <w:szCs w:val="22"/>
        </w:rPr>
        <w:t xml:space="preserve">Position / Title:  </w:t>
      </w:r>
      <w:r>
        <w:rPr>
          <w:rFonts w:ascii="Arial" w:cs="Arial" w:eastAsia="Arial" w:hAnsi="Arial"/>
          <w:sz w:val="22"/>
          <w:szCs w:val="22"/>
        </w:rPr>
        <w:t xml:space="preserve">_______________________________</w:t>
      </w:r>
    </w:p>
    <w:p>
      <w:pPr>
        <w:spacing w:after="80" w:before="6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w:t>
      </w:r>
    </w:p>
    <w:p>
      <w:pPr>
        <w:spacing w:after="80" w:before="6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w:t>
      </w:r>
    </w:p>
    <w:p>
      <w:pPr>
        <w:spacing w:after="80" w:before="60"/>
      </w:pPr>
      <w:r>
        <w:rPr>
          <w:rFonts w:ascii="Arial" w:cs="Arial" w:eastAsia="Arial" w:hAnsi="Arial"/>
          <w:sz w:val="22"/>
          <w:szCs w:val="22"/>
        </w:rPr>
        <w:t xml:space="preserve">Official Stamp: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2" w:space="1"/>
      </w:pBdr>
      <w:jc w:val="center"/>
    </w:pPr>
    <w:r>
      <w:rPr>
        <w:rFonts w:ascii="Arial" w:cs="Arial" w:eastAsia="Arial" w:hAnsi="Arial"/>
        <w:color w:val="555555"/>
        <w:sz w:val="18"/>
        <w:szCs w:val="18"/>
      </w:rPr>
      <w:t xml:space="preserve">Offline AI Crop Disease Diagnostic System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1"/>
      </w:pBdr>
      <w:jc w:val="right"/>
    </w:pPr>
    <w:r>
      <w:rPr>
        <w:rFonts w:ascii="Arial" w:cs="Arial" w:eastAsia="Arial" w:hAnsi="Arial"/>
        <w:color w:val="555555"/>
        <w:sz w:val="18"/>
        <w:szCs w:val="18"/>
      </w:rPr>
      <w:t xml:space="preserve">Form Reference: PIA/26-001   |   Presidential Innovation Awards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2026-06-29T07:57:10.629Z</dcterms:created>
  <dcterms:modified xsi:type="dcterms:W3CDTF">2026-06-29T07:57:10.630Z</dcterms:modified>
</cp:coreProperties>
</file>

<file path=docProps/custom.xml><?xml version="1.0" encoding="utf-8"?>
<Properties xmlns="http://schemas.openxmlformats.org/officeDocument/2006/custom-properties" xmlns:vt="http://schemas.openxmlformats.org/officeDocument/2006/docPropsVTypes"/>
</file>