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Finanzübersicht Q3 2024</w:t>
      </w:r>
    </w:p>
    <w:tbl>
      <w:tblPr>
        <w:tblStyle w:val="MediumGrid3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Kategorie</w:t>
            </w:r>
          </w:p>
        </w:tc>
        <w:tc>
          <w:tcPr>
            <w:tcW w:type="dxa" w:w="1728"/>
          </w:tcPr>
          <w:p>
            <w:r>
              <w:t>Q1</w:t>
            </w:r>
          </w:p>
        </w:tc>
        <w:tc>
          <w:tcPr>
            <w:tcW w:type="dxa" w:w="1728"/>
          </w:tcPr>
          <w:p>
            <w:r>
              <w:t>Q2</w:t>
            </w:r>
          </w:p>
        </w:tc>
        <w:tc>
          <w:tcPr>
            <w:tcW w:type="dxa" w:w="1728"/>
          </w:tcPr>
          <w:p>
            <w:r>
              <w:t>Q3</w:t>
            </w:r>
          </w:p>
        </w:tc>
        <w:tc>
          <w:tcPr>
            <w:tcW w:type="dxa" w:w="1728"/>
          </w:tcPr>
          <w:p>
            <w:r>
              <w:t>Q4</w:t>
            </w:r>
          </w:p>
        </w:tc>
      </w:tr>
      <w:tr>
        <w:tc>
          <w:tcPr>
            <w:tcW w:type="dxa" w:w="1728"/>
          </w:tcPr>
          <w:p>
            <w:r>
              <w:t>Umsatz</w:t>
            </w:r>
          </w:p>
        </w:tc>
        <w:tc>
          <w:tcPr>
            <w:tcW w:type="dxa" w:w="1728"/>
          </w:tcPr>
          <w:p>
            <w:r>
              <w:t>2.450.000 €</w:t>
            </w:r>
          </w:p>
        </w:tc>
        <w:tc>
          <w:tcPr>
            <w:tcW w:type="dxa" w:w="1728"/>
          </w:tcPr>
          <w:p>
            <w:r>
              <w:t>2.890.000 €</w:t>
            </w:r>
          </w:p>
        </w:tc>
        <w:tc>
          <w:tcPr>
            <w:tcW w:type="dxa" w:w="1728"/>
          </w:tcPr>
          <w:p>
            <w:r>
              <w:t>3.120.000 €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Kosten</w:t>
            </w:r>
          </w:p>
        </w:tc>
        <w:tc>
          <w:tcPr>
            <w:tcW w:type="dxa" w:w="1728"/>
          </w:tcPr>
          <w:p>
            <w:r>
              <w:t>1.980.000 €</w:t>
            </w:r>
          </w:p>
        </w:tc>
        <w:tc>
          <w:tcPr>
            <w:tcW w:type="dxa" w:w="1728"/>
          </w:tcPr>
          <w:p>
            <w:r>
              <w:t>2.100.000 €</w:t>
            </w:r>
          </w:p>
        </w:tc>
        <w:tc>
          <w:tcPr>
            <w:tcW w:type="dxa" w:w="1728"/>
          </w:tcPr>
          <w:p>
            <w:r>
              <w:t>2.340.000 €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Gewinn</w:t>
            </w:r>
          </w:p>
        </w:tc>
        <w:tc>
          <w:tcPr>
            <w:tcW w:type="dxa" w:w="1728"/>
          </w:tcPr>
          <w:p>
            <w:r>
              <w:t>470.000 €</w:t>
            </w:r>
          </w:p>
        </w:tc>
        <w:tc>
          <w:tcPr>
            <w:tcW w:type="dxa" w:w="1728"/>
          </w:tcPr>
          <w:p>
            <w:r>
              <w:t>790.000 €</w:t>
            </w:r>
          </w:p>
        </w:tc>
        <w:tc>
          <w:tcPr>
            <w:tcW w:type="dxa" w:w="1728"/>
          </w:tcPr>
          <w:p>
            <w:r>
              <w:t>780.000 €</w:t>
            </w:r>
          </w:p>
        </w:tc>
        <w:tc>
          <w:tcPr>
            <w:tcW w:type="dxa" w:w="1728"/>
          </w:tcPr>
          <w:p>
            <w:r/>
          </w:p>
        </w:tc>
      </w:tr>
    </w:tbl>
    <w:p/>
    <w:p>
      <w:r>
        <w:t>Grafische Darstellung der Quartalsübersicht: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nancial_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