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ESG</w:t>
      </w:r>
      <w:r>
        <w:t xml:space="preserve"> </w:t>
      </w:r>
      <w:r>
        <w:t xml:space="preserve">&amp;</w:t>
      </w:r>
      <w:r>
        <w:t xml:space="preserve"> </w:t>
      </w:r>
      <w:r>
        <w:t xml:space="preserve">Impact</w:t>
      </w:r>
      <w:r>
        <w:t xml:space="preserve"> </w:t>
      </w:r>
      <w:r>
        <w:t xml:space="preserve">Assessment</w:t>
      </w:r>
      <w:r>
        <w:t xml:space="preserve"> </w:t>
      </w:r>
      <w:r>
        <w:t xml:space="preserve">Report</w:t>
      </w:r>
    </w:p>
    <w:bookmarkStart w:id="30" w:name="esg-impact-assessment-report"/>
    <w:p>
      <w:pPr>
        <w:pStyle w:val="Heading1"/>
      </w:pPr>
      <w:r>
        <w:t xml:space="preserve">ESG &amp; Impact Assessment Report</w:t>
      </w:r>
    </w:p>
    <w:p>
      <w:pPr>
        <w:pStyle w:val="FirstParagraph"/>
      </w:pPr>
      <w:r>
        <w:rPr>
          <w:bCs/>
          <w:b/>
        </w:rPr>
        <w:t xml:space="preserve">Project Name:</w:t>
      </w:r>
      <w:r>
        <w:t xml:space="preserve"> </w:t>
      </w:r>
      <w:r>
        <w:t xml:space="preserve">OptiGrid AI (Smart Energy Management System for Commercial Buildings)</w:t>
      </w:r>
    </w:p>
    <w:p>
      <w:pPr>
        <w:pStyle w:val="BodyText"/>
      </w:pPr>
      <w:r>
        <w:rPr>
          <w:bCs/>
          <w:b/>
        </w:rPr>
        <w:t xml:space="preserve">Author:</w:t>
      </w:r>
      <w:r>
        <w:t xml:space="preserve"> </w:t>
      </w:r>
      <w:r>
        <w:t xml:space="preserve">Nripendra Narayan Singh</w:t>
      </w:r>
    </w:p>
    <w:p>
      <w:pPr>
        <w:pStyle w:val="BodyText"/>
      </w:pPr>
      <w:r>
        <w:rPr>
          <w:bCs/>
          <w:b/>
        </w:rPr>
        <w:t xml:space="preserve">Date:</w:t>
      </w:r>
      <w:r>
        <w:t xml:space="preserve"> </w:t>
      </w:r>
      <w:r>
        <w:t xml:space="preserve">July 10, 2026</w:t>
      </w:r>
    </w:p>
    <w:p>
      <w:pPr>
        <w:pStyle w:val="BodyText"/>
      </w:pPr>
      <w:r>
        <w:rPr>
          <w:bCs/>
          <w:b/>
        </w:rPr>
        <w:t xml:space="preserve">Target Sector:</w:t>
      </w:r>
      <w:r>
        <w:t xml:space="preserve"> </w:t>
      </w:r>
      <w:r>
        <w:t xml:space="preserve">Energy &amp; Real Estate</w:t>
      </w:r>
    </w:p>
    <w:bookmarkStart w:id="20" w:name="executive-summary"/>
    <w:p>
      <w:pPr>
        <w:pStyle w:val="Heading2"/>
      </w:pPr>
      <w:r>
        <w:t xml:space="preserve">Executive Summary</w:t>
      </w:r>
    </w:p>
    <w:p>
      <w:pPr>
        <w:pStyle w:val="FirstParagraph"/>
      </w:pPr>
      <w:r>
        <w:t xml:space="preserve">This report evaluates the sustainability outcomes of</w:t>
      </w:r>
      <w:r>
        <w:t xml:space="preserve"> </w:t>
      </w:r>
      <w:r>
        <w:rPr>
          <w:bCs/>
          <w:b/>
        </w:rPr>
        <w:t xml:space="preserve">OptiGrid AI</w:t>
      </w:r>
      <w:r>
        <w:t xml:space="preserve">, an advanced artificial intelligence solution designed to optimize HVAC (Heating, Ventilation, and Air Conditioning) and lighting systems in commercial real estate. By leveraging machine learning to predict occupancy patterns, analyze weather forecasts, and adapt to historical energy usage, the system minimizes energy waste without compromising human comfort. This assessment outlines the measurable Environmental, Social, and Governance (ESG) impacts of the solution, linking technical implementation directly to actionable sustainability goals.</w:t>
      </w:r>
    </w:p>
    <w:bookmarkEnd w:id="20"/>
    <w:bookmarkStart w:id="24" w:name="defined-esg-metrics"/>
    <w:p>
      <w:pPr>
        <w:pStyle w:val="Heading2"/>
      </w:pPr>
      <w:r>
        <w:t xml:space="preserve">1. Defined ESG Metrics</w:t>
      </w:r>
    </w:p>
    <w:p>
      <w:pPr>
        <w:pStyle w:val="FirstParagraph"/>
      </w:pPr>
      <w:r>
        <w:t xml:space="preserve">To effectively track the sustainability performance of OptiGrid AI, we have established three primary, context-specific metrics aligned with the three ESG pillars. Each metric is highly measurable and directly tied to the solution's core functions.</w:t>
      </w:r>
    </w:p>
    <w:bookmarkStart w:id="21" w:name="Xa1bd01f3ac15b68dfaa8b8f641e84ce6181992c"/>
    <w:p>
      <w:pPr>
        <w:pStyle w:val="Heading3"/>
      </w:pPr>
      <w:r>
        <w:t xml:space="preserve">🌿 Environmental: Carbon Footprint &amp; Energy Reduction</w:t>
      </w:r>
    </w:p>
    <w:p>
      <w:pPr>
        <w:numPr>
          <w:ilvl w:val="0"/>
          <w:numId w:val="1001"/>
        </w:numPr>
        <w:pStyle w:val="Compact"/>
      </w:pPr>
      <w:r>
        <w:rPr>
          <w:bCs/>
          <w:b/>
        </w:rPr>
        <w:t xml:space="preserve">Metric:</w:t>
      </w:r>
      <w:r>
        <w:t xml:space="preserve"> </w:t>
      </w:r>
      <w:r>
        <w:t xml:space="preserve">Reduction in Scope 2 Greenhouse Gas (GHG) Emissions (measured in Metric Tons of CO₂ equivalent - MTCO₂e).</w:t>
      </w:r>
    </w:p>
    <w:p>
      <w:pPr>
        <w:numPr>
          <w:ilvl w:val="0"/>
          <w:numId w:val="1001"/>
        </w:numPr>
        <w:pStyle w:val="Compact"/>
      </w:pPr>
      <w:r>
        <w:rPr>
          <w:bCs/>
          <w:b/>
        </w:rPr>
        <w:t xml:space="preserve">Relevance:</w:t>
      </w:r>
      <w:r>
        <w:t xml:space="preserve"> </w:t>
      </w:r>
      <w:r>
        <w:t xml:space="preserve">OptiGrid AI directly reduces the reliance on grid-supplied electricity. Tracking Scope 2 emissions ensures the environmental impact of this energy reduction is accurately quantified.</w:t>
      </w:r>
    </w:p>
    <w:bookmarkEnd w:id="21"/>
    <w:bookmarkStart w:id="22" w:name="Xa6a8a510f16a1284c384e3063430d178ab1ab44"/>
    <w:p>
      <w:pPr>
        <w:pStyle w:val="Heading3"/>
      </w:pPr>
      <w:r>
        <w:t xml:space="preserve">👥 Social: Occupant Well-being &amp; Indoor Environmental Quality (IEQ)</w:t>
      </w:r>
    </w:p>
    <w:p>
      <w:pPr>
        <w:numPr>
          <w:ilvl w:val="0"/>
          <w:numId w:val="1002"/>
        </w:numPr>
        <w:pStyle w:val="Compact"/>
      </w:pPr>
      <w:r>
        <w:rPr>
          <w:bCs/>
          <w:b/>
        </w:rPr>
        <w:t xml:space="preserve">Metric:</w:t>
      </w:r>
      <w:r>
        <w:t xml:space="preserve"> </w:t>
      </w:r>
      <w:r>
        <w:t xml:space="preserve">Thermal Comfort &amp; Air Quality Satisfaction Score (measured via an index of 1-100).</w:t>
      </w:r>
    </w:p>
    <w:p>
      <w:pPr>
        <w:numPr>
          <w:ilvl w:val="0"/>
          <w:numId w:val="1002"/>
        </w:numPr>
        <w:pStyle w:val="Compact"/>
      </w:pPr>
      <w:r>
        <w:rPr>
          <w:bCs/>
          <w:b/>
        </w:rPr>
        <w:t xml:space="preserve">Relevance:</w:t>
      </w:r>
      <w:r>
        <w:t xml:space="preserve"> </w:t>
      </w:r>
      <w:r>
        <w:t xml:space="preserve">Energy optimization must not come at the cost of human health or productivity. This metric guarantees that the AI balances energy savings with a highly habitable, comfortable environment for building tenants.</w:t>
      </w:r>
    </w:p>
    <w:bookmarkEnd w:id="22"/>
    <w:bookmarkStart w:id="23" w:name="Xf1ef95cc7438d9b07fb5686a0b4d7ecd307d7dc"/>
    <w:p>
      <w:pPr>
        <w:pStyle w:val="Heading3"/>
      </w:pPr>
      <w:r>
        <w:t xml:space="preserve">⚖️ Governance: AI Data Privacy &amp; Security Compliance</w:t>
      </w:r>
    </w:p>
    <w:p>
      <w:pPr>
        <w:numPr>
          <w:ilvl w:val="0"/>
          <w:numId w:val="1003"/>
        </w:numPr>
        <w:pStyle w:val="Compact"/>
      </w:pPr>
      <w:r>
        <w:rPr>
          <w:bCs/>
          <w:b/>
        </w:rPr>
        <w:t xml:space="preserve">Metric:</w:t>
      </w:r>
      <w:r>
        <w:t xml:space="preserve"> </w:t>
      </w:r>
      <w:r>
        <w:t xml:space="preserve">Percentage of sensory and occupancy data fully anonymized and encrypted during processing (Target: 100%).</w:t>
      </w:r>
    </w:p>
    <w:p>
      <w:pPr>
        <w:numPr>
          <w:ilvl w:val="0"/>
          <w:numId w:val="1003"/>
        </w:numPr>
        <w:pStyle w:val="Compact"/>
      </w:pPr>
      <w:r>
        <w:rPr>
          <w:bCs/>
          <w:b/>
        </w:rPr>
        <w:t xml:space="preserve">Relevance:</w:t>
      </w:r>
      <w:r>
        <w:t xml:space="preserve"> </w:t>
      </w:r>
      <w:r>
        <w:t xml:space="preserve">The system relies on continuous data collection (occupancy sensors, network usage). Strict governance and encryption protocols ensure tenant privacy is never compromised by the AI models, reducing corporate liability.</w:t>
      </w:r>
    </w:p>
    <w:bookmarkEnd w:id="23"/>
    <w:bookmarkEnd w:id="24"/>
    <w:bookmarkStart w:id="25" w:name="measurement-approach"/>
    <w:p>
      <w:pPr>
        <w:pStyle w:val="Heading2"/>
      </w:pPr>
      <w:r>
        <w:t xml:space="preserve">2. Measurement Approach</w:t>
      </w:r>
    </w:p>
    <w:p>
      <w:pPr>
        <w:pStyle w:val="FirstParagraph"/>
      </w:pPr>
      <w:r>
        <w:t xml:space="preserve">For each identified metric, practical mechanics for measurement, data collection, and tracking frequency have been established to ensure data integrity.</w:t>
      </w:r>
    </w:p>
    <w:tbl>
      <w:tblPr>
        <w:tblStyle w:val="Table"/>
        <w:tblW w:type="pct" w:w="0.0"/>
        <w:tblLook w:firstRow="1" w:lastRow="0" w:firstColumn="0" w:lastColumn="0" w:noHBand="0" w:noVBand="0" w:val="0020"/>
      </w:tblPr>
      <w:tblGrid/>
      <w:tr>
        <w:tc>
          <w:p>
            <w:pPr>
              <w:pStyle w:val="Compact"/>
              <w:jc w:val="left"/>
            </w:pPr>
            <w:r>
              <w:t xml:space="preserve">ESG Pillar</w:t>
            </w:r>
          </w:p>
        </w:tc>
        <w:tc>
          <w:p>
            <w:pPr>
              <w:pStyle w:val="Compact"/>
              <w:jc w:val="left"/>
            </w:pPr>
            <w:r>
              <w:t xml:space="preserve">Measurement Method</w:t>
            </w:r>
          </w:p>
        </w:tc>
        <w:tc>
          <w:p>
            <w:pPr>
              <w:pStyle w:val="Compact"/>
              <w:jc w:val="left"/>
            </w:pPr>
            <w:r>
              <w:t xml:space="preserve">Data Required</w:t>
            </w:r>
          </w:p>
        </w:tc>
        <w:tc>
          <w:p>
            <w:pPr>
              <w:pStyle w:val="Compact"/>
              <w:jc w:val="left"/>
            </w:pPr>
            <w:r>
              <w:t xml:space="preserve">Tracking Frequency</w:t>
            </w:r>
          </w:p>
        </w:tc>
      </w:tr>
      <w:tr>
        <w:tc>
          <w:p>
            <w:pPr>
              <w:pStyle w:val="Compact"/>
              <w:jc w:val="left"/>
            </w:pPr>
            <w:r>
              <w:rPr>
                <w:bCs/>
                <w:b/>
              </w:rPr>
              <w:t xml:space="preserve">Environmental</w:t>
            </w:r>
          </w:p>
        </w:tc>
        <w:tc>
          <w:p>
            <w:pPr>
              <w:pStyle w:val="Compact"/>
              <w:jc w:val="left"/>
            </w:pPr>
            <w:r>
              <w:t xml:space="preserve">Integration with building smart meters and utility APIs to calculate the carbon equivalent of saved energy.</w:t>
            </w:r>
          </w:p>
        </w:tc>
        <w:tc>
          <w:p>
            <w:pPr>
              <w:pStyle w:val="Compact"/>
              <w:jc w:val="left"/>
            </w:pPr>
            <w:r>
              <w:t xml:space="preserve">Real-time kWh consumption data, local grid carbon intensity factors (gCO₂/kWh).</w:t>
            </w:r>
          </w:p>
        </w:tc>
        <w:tc>
          <w:p>
            <w:pPr>
              <w:pStyle w:val="Compact"/>
              <w:jc w:val="left"/>
            </w:pPr>
            <w:r>
              <w:t xml:space="preserve">Continuous daily tracking, aggregated into monthly sustainability reports.</w:t>
            </w:r>
          </w:p>
        </w:tc>
      </w:tr>
      <w:tr>
        <w:tc>
          <w:p>
            <w:pPr>
              <w:pStyle w:val="Compact"/>
              <w:jc w:val="left"/>
            </w:pPr>
            <w:r>
              <w:rPr>
                <w:bCs/>
                <w:b/>
              </w:rPr>
              <w:t xml:space="preserve">Social</w:t>
            </w:r>
          </w:p>
        </w:tc>
        <w:tc>
          <w:p>
            <w:pPr>
              <w:pStyle w:val="Compact"/>
              <w:jc w:val="left"/>
            </w:pPr>
            <w:r>
              <w:t xml:space="preserve">Automated digital pulse surveys sent to building tenants, cross-referenced with indoor IoT sensor data.</w:t>
            </w:r>
          </w:p>
        </w:tc>
        <w:tc>
          <w:p>
            <w:pPr>
              <w:pStyle w:val="Compact"/>
              <w:jc w:val="left"/>
            </w:pPr>
            <w:r>
              <w:t xml:space="preserve">Tenant survey responses (1-10 scale), continuous IoT logs (temperature, humidity, CO₂ levels).</w:t>
            </w:r>
          </w:p>
        </w:tc>
        <w:tc>
          <w:p>
            <w:pPr>
              <w:pStyle w:val="Compact"/>
              <w:jc w:val="left"/>
            </w:pPr>
            <w:r>
              <w:t xml:space="preserve">Quarterly tenant surveys, continuous real-time sensor monitoring.</w:t>
            </w:r>
          </w:p>
        </w:tc>
      </w:tr>
      <w:tr>
        <w:tc>
          <w:p>
            <w:pPr>
              <w:pStyle w:val="Compact"/>
              <w:jc w:val="left"/>
            </w:pPr>
            <w:r>
              <w:rPr>
                <w:bCs/>
                <w:b/>
              </w:rPr>
              <w:t xml:space="preserve">Governance</w:t>
            </w:r>
          </w:p>
        </w:tc>
        <w:tc>
          <w:p>
            <w:pPr>
              <w:pStyle w:val="Compact"/>
              <w:jc w:val="left"/>
            </w:pPr>
            <w:r>
              <w:t xml:space="preserve">Automated compliance scans of AI data pipelines and periodic third-party cybersecurity audits.</w:t>
            </w:r>
          </w:p>
        </w:tc>
        <w:tc>
          <w:p>
            <w:pPr>
              <w:pStyle w:val="Compact"/>
              <w:jc w:val="left"/>
            </w:pPr>
            <w:r>
              <w:t xml:space="preserve">Data flow logs, encryption protocol statuses, audit pass/fail reports.</w:t>
            </w:r>
          </w:p>
        </w:tc>
        <w:tc>
          <w:p>
            <w:pPr>
              <w:pStyle w:val="Compact"/>
              <w:jc w:val="left"/>
            </w:pPr>
            <w:r>
              <w:t xml:space="preserve">Continuous automated internal checks, Bi-annual external audits.</w:t>
            </w:r>
          </w:p>
        </w:tc>
      </w:tr>
    </w:tbl>
    <w:bookmarkEnd w:id="25"/>
    <w:bookmarkStart w:id="26" w:name="reporting-structure-baseline-vs.-target"/>
    <w:p>
      <w:pPr>
        <w:pStyle w:val="Heading2"/>
      </w:pPr>
      <w:r>
        <w:t xml:space="preserve">3. Reporting Structure (Baseline vs. Target)</w:t>
      </w:r>
    </w:p>
    <w:p>
      <w:pPr>
        <w:pStyle w:val="FirstParagraph"/>
      </w:pPr>
      <w:r>
        <w:t xml:space="preserve">The following structure compares the current state of a standard commercial building (baseline) versus the expected improvements within the first 12 months of OptiGrid AI implementation.</w:t>
      </w:r>
    </w:p>
    <w:tbl>
      <w:tblPr>
        <w:tblStyle w:val="Table"/>
        <w:tblW w:type="pct" w:w="0.0"/>
        <w:tblLook w:firstRow="1" w:lastRow="0" w:firstColumn="0" w:lastColumn="0" w:noHBand="0" w:noVBand="0" w:val="0020"/>
      </w:tblPr>
      <w:tblGrid/>
      <w:tr>
        <w:tc>
          <w:p>
            <w:pPr>
              <w:pStyle w:val="Compact"/>
              <w:jc w:val="left"/>
            </w:pPr>
            <w:r>
              <w:t xml:space="preserve">Impact Metric</w:t>
            </w:r>
          </w:p>
        </w:tc>
        <w:tc>
          <w:p>
            <w:pPr>
              <w:pStyle w:val="Compact"/>
              <w:jc w:val="left"/>
            </w:pPr>
            <w:r>
              <w:t xml:space="preserve">Current State (Baseline)</w:t>
            </w:r>
          </w:p>
        </w:tc>
        <w:tc>
          <w:p>
            <w:pPr>
              <w:pStyle w:val="Compact"/>
              <w:jc w:val="left"/>
            </w:pPr>
            <w:r>
              <w:t xml:space="preserve">Expected Improvement (Target)</w:t>
            </w:r>
          </w:p>
        </w:tc>
      </w:tr>
      <w:tr>
        <w:tc>
          <w:p>
            <w:pPr>
              <w:pStyle w:val="Compact"/>
              <w:jc w:val="left"/>
            </w:pPr>
            <w:r>
              <w:rPr>
                <w:bCs/>
                <w:b/>
              </w:rPr>
              <w:t xml:space="preserve">Scope 2 GHG Emissions</w:t>
            </w:r>
          </w:p>
        </w:tc>
        <w:tc>
          <w:p>
            <w:pPr>
              <w:pStyle w:val="Compact"/>
              <w:jc w:val="left"/>
            </w:pPr>
            <w:r>
              <w:t xml:space="preserve">1,200 MTCO₂e / year</w:t>
            </w:r>
          </w:p>
        </w:tc>
        <w:tc>
          <w:p>
            <w:pPr>
              <w:pStyle w:val="Compact"/>
              <w:jc w:val="left"/>
            </w:pPr>
            <w:r>
              <w:t xml:space="preserve">900 MTCO₂e / year (25% Reduction)</w:t>
            </w:r>
          </w:p>
        </w:tc>
      </w:tr>
      <w:tr>
        <w:tc>
          <w:p>
            <w:pPr>
              <w:pStyle w:val="Compact"/>
              <w:jc w:val="left"/>
            </w:pPr>
            <w:r>
              <w:rPr>
                <w:bCs/>
                <w:b/>
              </w:rPr>
              <w:t xml:space="preserve">Occupant Satisfaction (IEQ)</w:t>
            </w:r>
          </w:p>
        </w:tc>
        <w:tc>
          <w:p>
            <w:pPr>
              <w:pStyle w:val="Compact"/>
              <w:jc w:val="left"/>
            </w:pPr>
            <w:r>
              <w:t xml:space="preserve">72 / 100 average score</w:t>
            </w:r>
          </w:p>
        </w:tc>
        <w:tc>
          <w:p>
            <w:pPr>
              <w:pStyle w:val="Compact"/>
              <w:jc w:val="left"/>
            </w:pPr>
            <w:r>
              <w:t xml:space="preserve">85 / 100 average score (+13 points)</w:t>
            </w:r>
          </w:p>
        </w:tc>
      </w:tr>
      <w:tr>
        <w:tc>
          <w:p>
            <w:pPr>
              <w:pStyle w:val="Compact"/>
              <w:jc w:val="left"/>
            </w:pPr>
            <w:r>
              <w:rPr>
                <w:bCs/>
                <w:b/>
              </w:rPr>
              <w:t xml:space="preserve">Data Anonymization Rate</w:t>
            </w:r>
          </w:p>
        </w:tc>
        <w:tc>
          <w:p>
            <w:pPr>
              <w:pStyle w:val="Compact"/>
              <w:jc w:val="left"/>
            </w:pPr>
            <w:r>
              <w:t xml:space="preserve">40% (Legacy systems)</w:t>
            </w:r>
          </w:p>
        </w:tc>
        <w:tc>
          <w:p>
            <w:pPr>
              <w:pStyle w:val="Compact"/>
              <w:jc w:val="left"/>
            </w:pPr>
            <w:r>
              <w:t xml:space="preserve">100% of PII and occupancy data encrypted</w:t>
            </w:r>
          </w:p>
        </w:tc>
      </w:tr>
    </w:tbl>
    <w:bookmarkEnd w:id="26"/>
    <w:bookmarkStart w:id="29" w:name="key-insights-actionable-decisions"/>
    <w:p>
      <w:pPr>
        <w:pStyle w:val="Heading2"/>
      </w:pPr>
      <w:r>
        <w:t xml:space="preserve">4. Key Insights &amp; Actionable Decisions</w:t>
      </w:r>
    </w:p>
    <w:bookmarkStart w:id="27" w:name="Xd98660772c0ccb5e0d5e1fc8d2b06a5f2e87e37"/>
    <w:p>
      <w:pPr>
        <w:pStyle w:val="Heading3"/>
      </w:pPr>
      <w:r>
        <w:t xml:space="preserve">What the data says about the solution’s impact:</w:t>
      </w:r>
    </w:p>
    <w:p>
      <w:pPr>
        <w:numPr>
          <w:ilvl w:val="0"/>
          <w:numId w:val="1004"/>
        </w:numPr>
        <w:pStyle w:val="Compact"/>
      </w:pPr>
      <w:r>
        <w:rPr>
          <w:bCs/>
          <w:b/>
        </w:rPr>
        <w:t xml:space="preserve">Environmental Impact:</w:t>
      </w:r>
      <w:r>
        <w:t xml:space="preserve"> </w:t>
      </w:r>
      <w:r>
        <w:t xml:space="preserve">A 25% reduction in emissions demonstrates strong environmental stewardship and translates directly into substantial operational cost savings (ROI) for building owners.</w:t>
      </w:r>
    </w:p>
    <w:p>
      <w:pPr>
        <w:numPr>
          <w:ilvl w:val="0"/>
          <w:numId w:val="1004"/>
        </w:numPr>
        <w:pStyle w:val="Compact"/>
      </w:pPr>
      <w:r>
        <w:rPr>
          <w:bCs/>
          <w:b/>
        </w:rPr>
        <w:t xml:space="preserve">Social Impact:</w:t>
      </w:r>
      <w:r>
        <w:t xml:space="preserve"> </w:t>
      </w:r>
      <w:r>
        <w:t xml:space="preserve">An increase in the IEQ score proves that AI-driven efficiency can simultaneously improve the human experience, leading to reduced tenant turnover and increased workplace productivity.</w:t>
      </w:r>
    </w:p>
    <w:p>
      <w:pPr>
        <w:numPr>
          <w:ilvl w:val="0"/>
          <w:numId w:val="1004"/>
        </w:numPr>
        <w:pStyle w:val="Compact"/>
      </w:pPr>
      <w:r>
        <w:rPr>
          <w:bCs/>
          <w:b/>
        </w:rPr>
        <w:t xml:space="preserve">Governance Impact:</w:t>
      </w:r>
      <w:r>
        <w:t xml:space="preserve"> </w:t>
      </w:r>
      <w:r>
        <w:t xml:space="preserve">Achieving 100% data anonymization mitigates legal and ethical risks, building trust with corporate tenants regarding AI surveillance concerns.</w:t>
      </w:r>
    </w:p>
    <w:bookmarkEnd w:id="27"/>
    <w:bookmarkStart w:id="28" w:name="Xc8e959e0c2a1d89354e46bf47f7341434fafa59"/>
    <w:p>
      <w:pPr>
        <w:pStyle w:val="Heading3"/>
      </w:pPr>
      <w:r>
        <w:t xml:space="preserve">Decisions that can be made based on this data:</w:t>
      </w:r>
    </w:p>
    <w:p>
      <w:pPr>
        <w:numPr>
          <w:ilvl w:val="0"/>
          <w:numId w:val="1005"/>
        </w:numPr>
        <w:pStyle w:val="Compact"/>
      </w:pPr>
      <w:r>
        <w:rPr>
          <w:bCs/>
          <w:b/>
        </w:rPr>
        <w:t xml:space="preserve">Iterative AI Tuning:</w:t>
      </w:r>
      <w:r>
        <w:t xml:space="preserve"> </w:t>
      </w:r>
      <w:r>
        <w:t xml:space="preserve">If the Environmental metric improves but the Social metric (Comfort Score) drops, facility managers can easily adjust the AI's weight parameters to prioritize comfort over aggressive energy savings during core working hours.</w:t>
      </w:r>
    </w:p>
    <w:p>
      <w:pPr>
        <w:numPr>
          <w:ilvl w:val="0"/>
          <w:numId w:val="1005"/>
        </w:numPr>
        <w:pStyle w:val="Compact"/>
      </w:pPr>
      <w:r>
        <w:rPr>
          <w:bCs/>
          <w:b/>
        </w:rPr>
        <w:t xml:space="preserve">Capital Allocation &amp; Certification:</w:t>
      </w:r>
      <w:r>
        <w:t xml:space="preserve"> </w:t>
      </w:r>
      <w:r>
        <w:t xml:space="preserve">Proven Scope 2 emission reductions can be utilized by the property owner to secure premium "Green Building" certifications (e.g., LEED or BREEAM) and apply for government sustainability grants or tax credits.</w:t>
      </w:r>
    </w:p>
    <w:p>
      <w:pPr>
        <w:numPr>
          <w:ilvl w:val="0"/>
          <w:numId w:val="1005"/>
        </w:numPr>
        <w:pStyle w:val="Compact"/>
      </w:pPr>
      <w:r>
        <w:rPr>
          <w:bCs/>
          <w:b/>
        </w:rPr>
        <w:t xml:space="preserve">Strategic Scaling:</w:t>
      </w:r>
      <w:r>
        <w:t xml:space="preserve"> </w:t>
      </w:r>
      <w:r>
        <w:t xml:space="preserve">If the Governance metrics remain flawless and emission targets are hit, stakeholders have the quantitative, data-backed justification needed to confidently scale the OptiGrid AI solution across their entire global real estate portfolio.</w:t>
      </w:r>
    </w:p>
    <w:p>
      <w:pPr>
        <w:pStyle w:val="FirstParagraph"/>
      </w:pPr>
      <w:r>
        <w:t xml:space="preserve">Prepared for: Assignment 4A - HypershiftAI Solutions Pvt. Ltd.</w:t>
      </w:r>
    </w:p>
    <w:bookmarkEnd w:id="28"/>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ea454b4c"/>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&amp; Impact Assessment Report</dc:title>
  <dc:creator/>
  <dc:language>en</dc:language>
  <cp:keywords/>
  <dcterms:created xsi:type="dcterms:W3CDTF">2026-07-10T16:15:01Z</dcterms:created>
  <dcterms:modified xsi:type="dcterms:W3CDTF">2026-07-10T16:15:01Z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