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Categories of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Sales Analysis: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Sales by product, category, and subcategory.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Sales by region, territory, and salesperson.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Sales trends over time (daily, monthly, yearly).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Inventory levels by product and warehouse.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Inventory turnover rate.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Stock levels and reorder points.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 Insights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Customer demographics and segmentation.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Customer purchase behavior and lifetime value.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Customer satisfaction and feedback analysis.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Supplier Performance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Supplier delivery performance.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Supplier quality analysis.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Cost analysis by supplier.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Financial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Revenue and profit margins.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Cost of goods sold (COGS).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Expense tracking and financial ratios.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Specific Examples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Sales Dashboard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Total Sales and Revenue: Display total sales and revenue over time with line charts.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Top Products: Use bar charts to show the top-selling products.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Sales by Region: Use a map visualization to display sales by geographical region.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Sales Trends: Line charts showing trends in sales over months, quarters, and years.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Inventory Dashboard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Current Stock Levels: Bar chart showing current stock levels by product.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Stock Turnover Rate: Gauge or KPI to show how quickly inventory is sold.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Low Stock Alerts: Conditional formatting to highlight products with low stock.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Customer Insights Dashboard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Customer Demographics: Pie charts or bar charts to display customer age groups, gender, and other demographics.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Customer Segmentation: Clustered bar charts to show segments based on purchase behavior.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Customer Lifetime Value: KPI to display the average customer lifetime value.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Supplier Performance Dashboard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Supplier Delivery Performance: Line charts showing on-time delivery rates.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Cost Analysis by Supplier: Bar charts displaying costs associated with each supplier.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Supplier Quality: Line charts or bar charts showing defect rates by supplier.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Financial Dashboard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Revenue and Profit Margins: Line charts and KPIs to display revenue and profit margins over time.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Expense Tracking: Pie charts or bar charts to show breakdowns of various expenses.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Financial Ratios: KPIs to display key financial ratios like ROI, ROE, and current ratio.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