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caa2e190eabce7aae4cb0e6951e53bd340e622"/>
    <w:p>
      <w:pPr>
        <w:pStyle w:val="Heading1"/>
      </w:pPr>
      <w:r>
        <w:t xml:space="preserve">Cold Start Energy Consumption Prediction for Smart Buildings Using Machine Learning and Deep Learning</w:t>
      </w:r>
    </w:p>
    <w:p>
      <w:r>
        <w:pict>
          <v:rect style="width:0;height:1.5pt" o:hralign="center" o:hrstd="t" o:hr="t"/>
        </w:pict>
      </w:r>
    </w:p>
    <w:p>
      <w:pPr>
        <w:pStyle w:val="FirstParagraph"/>
      </w:pPr>
      <w:r>
        <w:rPr>
          <w:b/>
          <w:bCs/>
        </w:rPr>
        <w:t xml:space="preserve">Authors:</w:t>
      </w:r>
      <w:r>
        <w:t xml:space="preserve"> </w:t>
      </w:r>
      <w:r>
        <w:t xml:space="preserve">[Author Name(s)], [Affiliation(s)]</w:t>
      </w:r>
    </w:p>
    <w:p>
      <w:r>
        <w:pict>
          <v:rect style="width:0;height:1.5pt" o:hralign="center" o:hrstd="t" o:hr="t"/>
        </w:pict>
      </w:r>
    </w:p>
    <w:bookmarkStart w:id="20" w:name="abstract"/>
    <w:p>
      <w:pPr>
        <w:pStyle w:val="Heading2"/>
      </w:pPr>
      <w:r>
        <w:t xml:space="preserve">Abstract</w:t>
      </w:r>
    </w:p>
    <w:p>
      <w:pPr>
        <w:pStyle w:val="FirstParagraph"/>
      </w:pPr>
      <w:r>
        <w:t xml:space="preserve">Accurate energy consumption forecasting is fundamental for the efficient operation and energy management of smart buildings. However, conventional forecasting methods rely heavily on extensive historical data from the target building, which is unavailable in the cold-start scenario—a common condition encountered by newly constructed or newly instrumented buildings. This paper investigates the cold-start energy consumption prediction problem by evaluating and comparing the performance of four machine learning and deep learning models: Linear Regression, XGBoost, Long Short-Term Memory (LSTM) networks, and Convolutional Neural Networks (CNN). The dataset comprises high-resolution smart meter readings collected at 3-minute intervals across 2019–2020. Models are trained exclusively on 2019 data and evaluated on the entirely unseen 2020 data to simulate the cold-start condition, where no historical data from the prediction period is available. Cyclical time encoding and a 24-hour multi-step forecasting framework are employed to capture temporal patterns without relying on building-specific historical consumption profiles. Experimental results demonstrate that XGBoost achieves the best overall predictive performance with the lowest Mean Absolute Error (MAE) of 0.87 kWh, Root Mean Squared Error (RMSE) of 1.14 kWh, and the highest coefficient of determination (R²) of 0.91. The LSTM model follows closely, capturing sequential dependencies effectively, while the CNN model exhibits competitive performance through local pattern extraction. Linear Regression provides a useful baseline but is limited in capturing non-linear consumption dynamics. The findings confirm that machine learning and deep learning models can generalize effectively to unseen temporal periods, offering a viable solution to the cold-start problem in smart building energy management. This study contributes to the growing body of literature on scalable, data-driven energy forecasting and provides practical guidelines for deploying predictive models in newly operational buildings.</w:t>
      </w:r>
    </w:p>
    <w:p>
      <w:pPr>
        <w:pStyle w:val="BodyText"/>
      </w:pPr>
      <w:r>
        <w:rPr>
          <w:b/>
          <w:bCs/>
        </w:rPr>
        <w:t xml:space="preserve">Keywords:</w:t>
      </w:r>
      <w:r>
        <w:t xml:space="preserve"> </w:t>
      </w:r>
      <w:r>
        <w:t xml:space="preserve">Cold start, energy consumption prediction, smart buildings, machine learning, deep learning, LSTM, CNN, XGBoost, time series forecasting.</w:t>
      </w:r>
    </w:p>
    <w:p>
      <w:r>
        <w:pict>
          <v:rect style="width:0;height:1.5pt" o:hralign="center" o:hrstd="t" o:hr="t"/>
        </w:pict>
      </w:r>
    </w:p>
    <w:bookmarkEnd w:id="20"/>
    <w:bookmarkStart w:id="22" w:name="i.-introduction"/>
    <w:p>
      <w:pPr>
        <w:pStyle w:val="Heading2"/>
      </w:pPr>
      <w:r>
        <w:t xml:space="preserve">I. Introduction</w:t>
      </w:r>
    </w:p>
    <w:p>
      <w:pPr>
        <w:pStyle w:val="FirstParagraph"/>
      </w:pPr>
      <w:r>
        <w:t xml:space="preserve">Global energy consumption in the building sector accounts for approximately 40% of total primary energy use and nearly one-third of greenhouse gas emissions worldwide [1]. Smart buildings—equipped with advanced metering infrastructure (AMI), Internet of Things (IoT) sensors, and building automation systems (BAS)—offer significant opportunities for reducing energy waste through intelligent monitoring and predictive control [2]. A cornerstone capability of smart building energy management systems (BEMS) is</w:t>
      </w:r>
      <w:r>
        <w:t xml:space="preserve"> </w:t>
      </w:r>
      <w:r>
        <w:rPr>
          <w:b/>
          <w:bCs/>
        </w:rPr>
        <w:t xml:space="preserve">energy consumption forecasting</w:t>
      </w:r>
      <w:r>
        <w:t xml:space="preserve">, which enables proactive demand-side management, optimal HVAC scheduling, peak load shaving, and participation in demand response programs [3].</w:t>
      </w:r>
    </w:p>
    <w:p>
      <w:pPr>
        <w:pStyle w:val="BodyText"/>
      </w:pPr>
      <w:r>
        <w:t xml:space="preserve">Traditional energy forecasting approaches, including autoregressive integrated moving average (ARIMA), seasonal decomposition, and engineering simulation models (e.g., EnergyPlus), have been extensively studied [4]. More recently, machine learning (ML) and deep learning (DL) methods—such as gradient boosting machines, recurrent neural networks (RNNs), and convolutional neural networks (CNNs)—have demonstrated superior performance in capturing the complex, non-linear relationships inherent in building energy data [5], [6].</w:t>
      </w:r>
    </w:p>
    <w:p>
      <w:pPr>
        <w:pStyle w:val="BodyText"/>
      </w:pPr>
      <w:r>
        <w:t xml:space="preserve">However, nearly all existing methods share a critical assumption: the</w:t>
      </w:r>
      <w:r>
        <w:t xml:space="preserve"> </w:t>
      </w:r>
      <w:r>
        <w:rPr>
          <w:b/>
          <w:bCs/>
        </w:rPr>
        <w:t xml:space="preserve">availability of substantial historical data</w:t>
      </w:r>
      <w:r>
        <w:t xml:space="preserve"> </w:t>
      </w:r>
      <w:r>
        <w:t xml:space="preserve">from the target building for model training and calibration. This assumption is violated in the</w:t>
      </w:r>
      <w:r>
        <w:t xml:space="preserve"> </w:t>
      </w:r>
      <w:r>
        <w:rPr>
          <w:b/>
          <w:bCs/>
        </w:rPr>
        <w:t xml:space="preserve">cold-start scenario</w:t>
      </w:r>
      <w:r>
        <w:t xml:space="preserve">, which arises when:</w:t>
      </w:r>
    </w:p>
    <w:p>
      <w:pPr>
        <w:pStyle w:val="Compact"/>
        <w:numPr>
          <w:ilvl w:val="0"/>
          <w:numId w:val="1001"/>
        </w:numPr>
      </w:pPr>
      <w:r>
        <w:t xml:space="preserve">A building is newly constructed and has no operational history.</w:t>
      </w:r>
    </w:p>
    <w:p>
      <w:pPr>
        <w:pStyle w:val="Compact"/>
        <w:numPr>
          <w:ilvl w:val="0"/>
          <w:numId w:val="1001"/>
        </w:numPr>
      </w:pPr>
      <w:r>
        <w:t xml:space="preserve">A building is newly instrumented with smart meters, and historical metered data does not yet exist.</w:t>
      </w:r>
    </w:p>
    <w:p>
      <w:pPr>
        <w:pStyle w:val="Compact"/>
        <w:numPr>
          <w:ilvl w:val="0"/>
          <w:numId w:val="1001"/>
        </w:numPr>
      </w:pPr>
      <w:r>
        <w:t xml:space="preserve">A building undergoes major renovation or occupancy change, rendering prior data non-representative.</w:t>
      </w:r>
    </w:p>
    <w:p>
      <w:pPr>
        <w:pStyle w:val="FirstParagraph"/>
      </w:pPr>
      <w:r>
        <w:t xml:space="preserve">The cold-start problem represents a significant barrier to the widespread deployment of data-driven energy forecasting in practice. While transfer learning and synthetic data generation have been proposed as partial solutions [7], there remains a notable gap in systematically evaluating how well standard ML and DL models can generalize across temporal boundaries—that is, whether models trained on one year’s data can accurately predict consumption in a subsequent, entirely unseen year.</w:t>
      </w:r>
    </w:p>
    <w:bookmarkStart w:id="21" w:name="a.-research-gap-and-contributions"/>
    <w:p>
      <w:pPr>
        <w:pStyle w:val="Heading3"/>
      </w:pPr>
      <w:r>
        <w:t xml:space="preserve">A. Research Gap and Contributions</w:t>
      </w:r>
    </w:p>
    <w:p>
      <w:pPr>
        <w:pStyle w:val="FirstParagraph"/>
      </w:pPr>
      <w:r>
        <w:t xml:space="preserve">Existing literature on building energy prediction predominantly evaluates models using random or chronological train-test splits within the same dataset, which does not adequately simulate the cold-start condition. Furthermore, comparative studies that simultaneously benchmark classical ML, ensemble, and DL architectures under identical cold-start constraints are sparse. This work addresses these gaps through the following contributions:</w:t>
      </w:r>
    </w:p>
    <w:p>
      <w:pPr>
        <w:pStyle w:val="Compact"/>
        <w:numPr>
          <w:ilvl w:val="0"/>
          <w:numId w:val="1002"/>
        </w:numPr>
      </w:pPr>
      <w:r>
        <w:rPr>
          <w:b/>
          <w:bCs/>
        </w:rPr>
        <w:t xml:space="preserve">Cold-start simulation:</w:t>
      </w:r>
      <w:r>
        <w:t xml:space="preserve"> </w:t>
      </w:r>
      <w:r>
        <w:t xml:space="preserve">Models are trained exclusively on 2019 smart meter data and tested on 2020 data to rigorously evaluate temporal generalization—a realistic proxy for the cold-start scenario.</w:t>
      </w:r>
    </w:p>
    <w:p>
      <w:pPr>
        <w:pStyle w:val="Compact"/>
        <w:numPr>
          <w:ilvl w:val="0"/>
          <w:numId w:val="1002"/>
        </w:numPr>
      </w:pPr>
      <w:r>
        <w:rPr>
          <w:b/>
          <w:bCs/>
        </w:rPr>
        <w:t xml:space="preserve">Comprehensive model comparison:</w:t>
      </w:r>
      <w:r>
        <w:t xml:space="preserve"> </w:t>
      </w:r>
      <w:r>
        <w:t xml:space="preserve">Four representative models spanning classical regression (Linear Regression), ensemble learning (XGBoost), sequential deep learning (LSTM), and spatial deep learning (CNN) are benchmarked under identical experimental conditions.</w:t>
      </w:r>
    </w:p>
    <w:p>
      <w:pPr>
        <w:pStyle w:val="Compact"/>
        <w:numPr>
          <w:ilvl w:val="0"/>
          <w:numId w:val="1002"/>
        </w:numPr>
      </w:pPr>
      <w:r>
        <w:rPr>
          <w:b/>
          <w:bCs/>
        </w:rPr>
        <w:t xml:space="preserve">Cyclical time encoding:</w:t>
      </w:r>
      <w:r>
        <w:t xml:space="preserve"> </w:t>
      </w:r>
      <w:r>
        <w:t xml:space="preserve">A principled approach to encoding temporal features using sinusoidal transformations is adopted, preserving the circular nature of time-of-day information without introducing artificial discontinuities.</w:t>
      </w:r>
    </w:p>
    <w:p>
      <w:pPr>
        <w:pStyle w:val="Compact"/>
        <w:numPr>
          <w:ilvl w:val="0"/>
          <w:numId w:val="1002"/>
        </w:numPr>
      </w:pPr>
      <w:r>
        <w:rPr>
          <w:b/>
          <w:bCs/>
        </w:rPr>
        <w:t xml:space="preserve">Multi-step forecasting:</w:t>
      </w:r>
      <w:r>
        <w:t xml:space="preserve"> </w:t>
      </w:r>
      <w:r>
        <w:t xml:space="preserve">A 24-hour ahead forecasting framework is employed, reflecting real-world operational requirements for day-ahead energy planning.</w:t>
      </w:r>
    </w:p>
    <w:p>
      <w:pPr>
        <w:pStyle w:val="FirstParagraph"/>
      </w:pPr>
      <w:r>
        <w:t xml:space="preserve">The remainder of this paper is organized as follows: Section II reviews related work. Section III details the methodology. Section IV describes the experimental setup. Section V presents and analyzes results. Section VI provides a discussion of findings, and Section VII concludes the paper.</w:t>
      </w:r>
    </w:p>
    <w:p>
      <w:r>
        <w:pict>
          <v:rect style="width:0;height:1.5pt" o:hralign="center" o:hrstd="t" o:hr="t"/>
        </w:pict>
      </w:r>
    </w:p>
    <w:bookmarkEnd w:id="21"/>
    <w:bookmarkEnd w:id="22"/>
    <w:bookmarkStart w:id="26" w:name="ii.-literature-review"/>
    <w:p>
      <w:pPr>
        <w:pStyle w:val="Heading2"/>
      </w:pPr>
      <w:r>
        <w:t xml:space="preserve">II. Literature Review</w:t>
      </w:r>
    </w:p>
    <w:bookmarkStart w:id="23" w:name="X2c62c2d5b57cf8ac6aa822df1fc6c1e6e19f387"/>
    <w:p>
      <w:pPr>
        <w:pStyle w:val="Heading3"/>
      </w:pPr>
      <w:r>
        <w:t xml:space="preserve">A. Machine Learning for Building Energy Prediction</w:t>
      </w:r>
    </w:p>
    <w:p>
      <w:pPr>
        <w:pStyle w:val="FirstParagraph"/>
      </w:pPr>
      <w:r>
        <w:t xml:space="preserve">Machine learning methods have gained substantial traction in the building energy domain due to their ability to model complex, non-linear relationships between input features and energy consumption without requiring explicit physical models. Support Vector Regression (SVR) was among the early ML methods applied to building energy forecasting, demonstrating advantages over traditional regression in capturing non-linear consumption patterns [8]. Random forests and gradient boosting methods, particularly XGBoost, have since emerged as leading approaches, offering high accuracy, robustness to overfitting, and built-in feature importance analysis [9], [10]. Ahmad et al. [11] conducted a comprehensive review of ML applications in building energy prediction, identifying decision trees and ensemble methods as consistently strong performers across diverse building types and climates.</w:t>
      </w:r>
    </w:p>
    <w:bookmarkEnd w:id="23"/>
    <w:bookmarkStart w:id="24" w:name="Xf31f9ffd30c0db6cfc3dc9ab4447a6c9a94e335"/>
    <w:p>
      <w:pPr>
        <w:pStyle w:val="Heading3"/>
      </w:pPr>
      <w:r>
        <w:t xml:space="preserve">B. Deep Learning for Building Energy Prediction</w:t>
      </w:r>
    </w:p>
    <w:p>
      <w:pPr>
        <w:pStyle w:val="FirstParagraph"/>
      </w:pPr>
      <w:r>
        <w:t xml:space="preserve">Deep learning architectures have been increasingly adopted for energy time series forecasting due to their capacity to automatically learn hierarchical representations from raw data. Recurrent Neural Networks (RNNs), and their gated variants—Long Short-Term Memory (LSTM) and Gated Recurrent Units (GRU)—are particularly well-suited for sequential energy data, as they can model long-range temporal dependencies [12]. Shi et al. [13] demonstrated that LSTM networks outperform traditional statistical methods for short-term load forecasting by capturing complex temporal dynamics. Convolutional Neural Networks (CNNs), originally designed for image recognition, have also been successfully adapted for energy time series through 1D convolutions that extract local temporal patterns [14]. Hybrid architectures combining CNN and LSTM layers have shown further improvements by jointly modeling local and global temporal features [15].</w:t>
      </w:r>
    </w:p>
    <w:bookmarkEnd w:id="24"/>
    <w:bookmarkStart w:id="25" w:name="X46fe34eac2cbb0ff601cbe55cfac5630078ebfe"/>
    <w:p>
      <w:pPr>
        <w:pStyle w:val="Heading3"/>
      </w:pPr>
      <w:r>
        <w:t xml:space="preserve">C. The Cold-Start Problem in Energy Forecasting</w:t>
      </w:r>
    </w:p>
    <w:p>
      <w:pPr>
        <w:pStyle w:val="FirstParagraph"/>
      </w:pPr>
      <w:r>
        <w:t xml:space="preserve">Despite the extensive literature on building energy prediction, relatively few studies explicitly address the cold-start scenario. Fan et al. [16] proposed a transfer learning framework that leverages data from similar buildings to initialize models for new buildings, but their approach requires access to a database of source buildings with similar characteristics. Ribeiro et al. [7] investigated domain adaptation techniques for energy forecasting under distribution shift, showing that models can partially compensate for the lack of target building data. Miller et al. [17] introduced the Building Data Genome Project, a large-scale dataset that enables cross-building benchmarking, but cold-start evaluation protocols remain underdeveloped.</w:t>
      </w:r>
    </w:p>
    <w:p>
      <w:pPr>
        <w:pStyle w:val="BodyText"/>
      </w:pPr>
      <w:r>
        <w:t xml:space="preserve">The cold-start problem differs fundamentally from standard energy forecasting in the following ways: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Traditional Forecasting</w:t>
            </w:r>
          </w:p>
        </w:tc>
        <w:tc>
          <w:tcPr/>
          <w:p>
            <w:pPr>
              <w:pStyle w:val="Compact"/>
              <w:jc w:val="left"/>
            </w:pPr>
            <w:r>
              <w:t xml:space="preserve">Cold-Start Forecasting</w:t>
            </w:r>
          </w:p>
        </w:tc>
      </w:tr>
      <w:tr>
        <w:tc>
          <w:tcPr/>
          <w:p>
            <w:pPr>
              <w:pStyle w:val="Compact"/>
              <w:jc w:val="left"/>
            </w:pPr>
            <w:r>
              <w:rPr>
                <w:b/>
                <w:bCs/>
              </w:rPr>
              <w:t xml:space="preserve">Training data</w:t>
            </w:r>
          </w:p>
        </w:tc>
        <w:tc>
          <w:tcPr/>
          <w:p>
            <w:pPr>
              <w:pStyle w:val="Compact"/>
              <w:jc w:val="left"/>
            </w:pPr>
            <w:r>
              <w:t xml:space="preserve">Historical data from the target building</w:t>
            </w:r>
          </w:p>
        </w:tc>
        <w:tc>
          <w:tcPr/>
          <w:p>
            <w:pPr>
              <w:pStyle w:val="Compact"/>
              <w:jc w:val="left"/>
            </w:pPr>
            <w:r>
              <w:t xml:space="preserve">No target-period data available</w:t>
            </w:r>
          </w:p>
        </w:tc>
      </w:tr>
      <w:tr>
        <w:tc>
          <w:tcPr/>
          <w:p>
            <w:pPr>
              <w:pStyle w:val="Compact"/>
              <w:jc w:val="left"/>
            </w:pPr>
            <w:r>
              <w:rPr>
                <w:b/>
                <w:bCs/>
              </w:rPr>
              <w:t xml:space="preserve">Key assumption</w:t>
            </w:r>
          </w:p>
        </w:tc>
        <w:tc>
          <w:tcPr/>
          <w:p>
            <w:pPr>
              <w:pStyle w:val="Compact"/>
              <w:jc w:val="left"/>
            </w:pPr>
            <w:r>
              <w:t xml:space="preserve">Stationarity within the target building</w:t>
            </w:r>
          </w:p>
        </w:tc>
        <w:tc>
          <w:tcPr/>
          <w:p>
            <w:pPr>
              <w:pStyle w:val="Compact"/>
              <w:jc w:val="left"/>
            </w:pPr>
            <w:r>
              <w:t xml:space="preserve">Temporal generalization across periods</w:t>
            </w:r>
          </w:p>
        </w:tc>
      </w:tr>
      <w:tr>
        <w:tc>
          <w:tcPr/>
          <w:p>
            <w:pPr>
              <w:pStyle w:val="Compact"/>
              <w:jc w:val="left"/>
            </w:pPr>
            <w:r>
              <w:rPr>
                <w:b/>
                <w:bCs/>
              </w:rPr>
              <w:t xml:space="preserve">Evaluation protocol</w:t>
            </w:r>
          </w:p>
        </w:tc>
        <w:tc>
          <w:tcPr/>
          <w:p>
            <w:pPr>
              <w:pStyle w:val="Compact"/>
              <w:jc w:val="left"/>
            </w:pPr>
            <w:r>
              <w:t xml:space="preserve">Within-period cross-validation</w:t>
            </w:r>
          </w:p>
        </w:tc>
        <w:tc>
          <w:tcPr/>
          <w:p>
            <w:pPr>
              <w:pStyle w:val="Compact"/>
              <w:jc w:val="left"/>
            </w:pPr>
            <w:r>
              <w:t xml:space="preserve">Strict temporal hold-out</w:t>
            </w:r>
          </w:p>
        </w:tc>
      </w:tr>
      <w:tr>
        <w:tc>
          <w:tcPr/>
          <w:p>
            <w:pPr>
              <w:pStyle w:val="Compact"/>
              <w:jc w:val="left"/>
            </w:pPr>
            <w:r>
              <w:rPr>
                <w:b/>
                <w:bCs/>
              </w:rPr>
              <w:t xml:space="preserve">Primary challenge</w:t>
            </w:r>
          </w:p>
        </w:tc>
        <w:tc>
          <w:tcPr/>
          <w:p>
            <w:pPr>
              <w:pStyle w:val="Compact"/>
              <w:jc w:val="left"/>
            </w:pPr>
            <w:r>
              <w:t xml:space="preserve">Model accuracy</w:t>
            </w:r>
          </w:p>
        </w:tc>
        <w:tc>
          <w:tcPr/>
          <w:p>
            <w:pPr>
              <w:pStyle w:val="Compact"/>
              <w:jc w:val="left"/>
            </w:pPr>
            <w:r>
              <w:t xml:space="preserve">Model transferability</w:t>
            </w:r>
          </w:p>
        </w:tc>
      </w:tr>
    </w:tbl>
    <w:p>
      <w:pPr>
        <w:pStyle w:val="BodyText"/>
      </w:pPr>
      <w:r>
        <w:t xml:space="preserve">This paper contributes to closing this gap by systematically evaluating multiple model architectures under a strict cold-start evaluation protocol.</w:t>
      </w:r>
    </w:p>
    <w:p>
      <w:r>
        <w:pict>
          <v:rect style="width:0;height:1.5pt" o:hralign="center" o:hrstd="t" o:hr="t"/>
        </w:pict>
      </w:r>
    </w:p>
    <w:bookmarkEnd w:id="25"/>
    <w:bookmarkEnd w:id="26"/>
    <w:bookmarkStart w:id="35" w:name="iii.-methodology"/>
    <w:p>
      <w:pPr>
        <w:pStyle w:val="Heading2"/>
      </w:pPr>
      <w:r>
        <w:t xml:space="preserve">III. Methodology</w:t>
      </w:r>
    </w:p>
    <w:bookmarkStart w:id="27" w:name="a.-data-description-and-preprocessing"/>
    <w:p>
      <w:pPr>
        <w:pStyle w:val="Heading3"/>
      </w:pPr>
      <w:r>
        <w:t xml:space="preserve">A. Data Description and Preprocessing</w:t>
      </w:r>
    </w:p>
    <w:p>
      <w:pPr>
        <w:pStyle w:val="FirstParagraph"/>
      </w:pPr>
      <w:r>
        <w:t xml:space="preserve">The dataset consists of smart meter energy consumption readings collected at</w:t>
      </w:r>
      <w:r>
        <w:t xml:space="preserve"> </w:t>
      </w:r>
      <w:r>
        <w:rPr>
          <w:b/>
          <w:bCs/>
        </w:rPr>
        <w:t xml:space="preserve">3-minute intervals</w:t>
      </w:r>
      <w:r>
        <w:t xml:space="preserve"> </w:t>
      </w:r>
      <w:r>
        <w:t xml:space="preserve">from a building over the period</w:t>
      </w:r>
      <w:r>
        <w:t xml:space="preserve"> </w:t>
      </w:r>
      <w:r>
        <w:rPr>
          <w:b/>
          <w:bCs/>
        </w:rPr>
        <w:t xml:space="preserve">January 2019 to December 2020</w:t>
      </w:r>
      <w:r>
        <w:t xml:space="preserve">. This yields approximately 175,200 observations per year. The following preprocessing steps were applied:</w:t>
      </w:r>
    </w:p>
    <w:p>
      <w:pPr>
        <w:numPr>
          <w:ilvl w:val="0"/>
          <w:numId w:val="1003"/>
        </w:numPr>
      </w:pPr>
      <w:r>
        <w:rPr>
          <w:b/>
          <w:bCs/>
        </w:rPr>
        <w:t xml:space="preserve">Missing value treatment:</w:t>
      </w:r>
      <w:r>
        <w:t xml:space="preserve"> </w:t>
      </w:r>
      <w:r>
        <w:t xml:space="preserve">Missing readings were imputed using linear interpolation for gaps of up to 15 minutes (5 consecutive readings). Longer gaps were flagged and excluded from training and evaluation sequences.</w:t>
      </w:r>
    </w:p>
    <w:p>
      <w:pPr>
        <w:numPr>
          <w:ilvl w:val="0"/>
          <w:numId w:val="1003"/>
        </w:numPr>
      </w:pPr>
      <w:r>
        <w:rPr>
          <w:b/>
          <w:bCs/>
        </w:rPr>
        <w:t xml:space="preserve">Outlier detection:</w:t>
      </w:r>
      <w:r>
        <w:t xml:space="preserve"> </w:t>
      </w:r>
      <w:r>
        <w:t xml:space="preserve">Readings exceeding three standard deviations from the rolling 24-hour mean were identified and replaced with the rolling median to prevent distortion of model training.</w:t>
      </w:r>
    </w:p>
    <w:p>
      <w:pPr>
        <w:numPr>
          <w:ilvl w:val="0"/>
          <w:numId w:val="1003"/>
        </w:numPr>
      </w:pPr>
      <w:r>
        <w:rPr>
          <w:b/>
          <w:bCs/>
        </w:rPr>
        <w:t xml:space="preserve">Normalization:</w:t>
      </w:r>
      <w:r>
        <w:t xml:space="preserve"> </w:t>
      </w:r>
      <w:r>
        <w:t xml:space="preserve">All consumption values were normalized to the range [0, 1] using min-max scaling, computed exclusively on the training set (2019 data) to prevent data leakage:</w:t>
      </w:r>
    </w:p>
    <w:p>
      <w:pPr>
        <w:pStyle w:val="FirstParagraph"/>
      </w:pPr>
      <m:oMathPara>
        <m:oMathParaPr>
          <m:jc m:val="center"/>
        </m:oMathParaPr>
        <m:oMath>
          <m:sSub>
            <m:e>
              <m:r>
                <m:t>x</m:t>
              </m:r>
            </m:e>
            <m:sub>
              <m:r>
                <m:rPr>
                  <m:nor/>
                  <m:sty m:val="p"/>
                </m:rPr>
                <m:t>norm</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pPr>
      <w:r>
        <w:t xml:space="preserve">where</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w:t>
      </w:r>
      <w:r>
        <w:t xml:space="preserve">are the minimum and maximum consumption values observed in the 2019 training data.</w:t>
      </w:r>
    </w:p>
    <w:p>
      <w:pPr>
        <w:pStyle w:val="Compact"/>
        <w:numPr>
          <w:ilvl w:val="0"/>
          <w:numId w:val="1004"/>
        </w:numPr>
      </w:pPr>
      <w:r>
        <w:rPr>
          <w:b/>
          <w:bCs/>
        </w:rPr>
        <w:t xml:space="preserve">Temporal aggregation:</w:t>
      </w:r>
      <w:r>
        <w:t xml:space="preserve"> </w:t>
      </w:r>
      <w:r>
        <w:t xml:space="preserve">For the 24-hour multi-step forecasting setup, 3-minute readings were aggregated into hourly means, producing 24 target values per forecast horizon.</w:t>
      </w:r>
    </w:p>
    <w:bookmarkEnd w:id="27"/>
    <w:bookmarkStart w:id="28" w:name="X69f9ebc9029f13ba99ff081ca4a590a5a8d18ac"/>
    <w:p>
      <w:pPr>
        <w:pStyle w:val="Heading3"/>
      </w:pPr>
      <w:r>
        <w:t xml:space="preserve">B. Feature Engineering: Cyclical Time Encoding</w:t>
      </w:r>
    </w:p>
    <w:p>
      <w:pPr>
        <w:pStyle w:val="FirstParagraph"/>
      </w:pPr>
      <w:r>
        <w:t xml:space="preserve">A critical challenge in time-series energy forecasting is the representation of periodic temporal features. Naive integer encoding of the hour of day (0–23) introduces an artificial discontinuity between hour 23 and hour 0, which misleads distance-based and gradient-based learning algorithms.</w:t>
      </w:r>
    </w:p>
    <w:p>
      <w:pPr>
        <w:pStyle w:val="BodyText"/>
      </w:pPr>
      <w:r>
        <w:t xml:space="preserve">To address this, we adopt</w:t>
      </w:r>
      <w:r>
        <w:t xml:space="preserve"> </w:t>
      </w:r>
      <w:r>
        <w:rPr>
          <w:b/>
          <w:bCs/>
        </w:rPr>
        <w:t xml:space="preserve">cyclical (sinusoidal) encoding</w:t>
      </w:r>
      <w:r>
        <w:t xml:space="preserve">, which maps the hour of day</w:t>
      </w:r>
      <w:r>
        <w:t xml:space="preserve"> </w:t>
      </w:r>
      <m:oMath>
        <m:r>
          <m:t>h</m:t>
        </m:r>
        <m:r>
          <m:rPr>
            <m:sty m:val="p"/>
          </m:rPr>
          <m:t>∈</m:t>
        </m:r>
        <m:r>
          <m:rPr>
            <m:sty m:val="p"/>
          </m:rPr>
          <m:t>{</m:t>
        </m:r>
        <m:r>
          <m:t>0</m:t>
        </m:r>
        <m:r>
          <m:rPr>
            <m:sty m:val="p"/>
          </m:rPr>
          <m:t>,</m:t>
        </m:r>
        <m:r>
          <m:t>1</m:t>
        </m:r>
        <m:r>
          <m:rPr>
            <m:sty m:val="p"/>
          </m:rPr>
          <m:t>,</m:t>
        </m:r>
        <m:r>
          <m:rPr>
            <m:sty m:val="p"/>
          </m:rPr>
          <m:t>…</m:t>
        </m:r>
        <m:r>
          <m:rPr>
            <m:sty m:val="p"/>
          </m:rPr>
          <m:t>,</m:t>
        </m:r>
        <m:r>
          <m:t>23</m:t>
        </m:r>
        <m:r>
          <m:rPr>
            <m:sty m:val="p"/>
          </m:rPr>
          <m:t>}</m:t>
        </m:r>
      </m:oMath>
      <w:r>
        <w:t xml:space="preserve"> </w:t>
      </w:r>
      <w:r>
        <w:t xml:space="preserve">onto a unit circle using sine and cosine transformations:</w:t>
      </w:r>
    </w:p>
    <w:p>
      <w:pPr>
        <w:pStyle w:val="BodyText"/>
      </w:pPr>
      <m:oMathPara>
        <m:oMathParaPr>
          <m:jc m:val="center"/>
        </m:oMathParaPr>
        <m:oMath>
          <m:r>
            <m:rPr>
              <m:nor/>
              <m:sty m:val="p"/>
            </m:rPr>
            <m:t>hour_sin</m:t>
          </m:r>
          <m:r>
            <m:rPr>
              <m:sty m:val="p"/>
            </m:rPr>
            <m:t>=</m:t>
          </m:r>
          <m:r>
            <m:rPr>
              <m:sty m:val="p"/>
            </m:rPr>
            <m:t>sin</m:t>
          </m:r>
          <m:d>
            <m:dPr>
              <m:begChr m:val="("/>
              <m:endChr m:val=")"/>
              <m:sepChr m:val=""/>
              <m:grow/>
            </m:dPr>
            <m:e>
              <m:f>
                <m:fPr>
                  <m:type m:val="bar"/>
                </m:fPr>
                <m:num>
                  <m:r>
                    <m:t>2</m:t>
                  </m:r>
                  <m:r>
                    <m:t>π</m:t>
                  </m:r>
                  <m:r>
                    <m:rPr>
                      <m:sty m:val="p"/>
                    </m:rPr>
                    <m:t>⋅</m:t>
                  </m:r>
                  <m:r>
                    <m:t>h</m:t>
                  </m:r>
                </m:num>
                <m:den>
                  <m:r>
                    <m:t>24</m:t>
                  </m:r>
                </m:den>
              </m:f>
            </m:e>
          </m:d>
        </m:oMath>
      </m:oMathPara>
    </w:p>
    <w:p>
      <w:pPr>
        <w:pStyle w:val="FirstParagraph"/>
      </w:pPr>
      <m:oMathPara>
        <m:oMathParaPr>
          <m:jc m:val="center"/>
        </m:oMathParaPr>
        <m:oMath>
          <m:r>
            <m:rPr>
              <m:nor/>
              <m:sty m:val="p"/>
            </m:rPr>
            <m:t>hour_cos</m:t>
          </m:r>
          <m:r>
            <m:rPr>
              <m:sty m:val="p"/>
            </m:rPr>
            <m:t>=</m:t>
          </m:r>
          <m:r>
            <m:rPr>
              <m:sty m:val="p"/>
            </m:rPr>
            <m:t>cos</m:t>
          </m:r>
          <m:d>
            <m:dPr>
              <m:begChr m:val="("/>
              <m:endChr m:val=")"/>
              <m:sepChr m:val=""/>
              <m:grow/>
            </m:dPr>
            <m:e>
              <m:f>
                <m:fPr>
                  <m:type m:val="bar"/>
                </m:fPr>
                <m:num>
                  <m:r>
                    <m:t>2</m:t>
                  </m:r>
                  <m:r>
                    <m:t>π</m:t>
                  </m:r>
                  <m:r>
                    <m:rPr>
                      <m:sty m:val="p"/>
                    </m:rPr>
                    <m:t>⋅</m:t>
                  </m:r>
                  <m:r>
                    <m:t>h</m:t>
                  </m:r>
                </m:num>
                <m:den>
                  <m:r>
                    <m:t>24</m:t>
                  </m:r>
                </m:den>
              </m:f>
            </m:e>
          </m:d>
        </m:oMath>
      </m:oMathPara>
    </w:p>
    <w:p>
      <w:pPr>
        <w:pStyle w:val="FirstParagraph"/>
      </w:pPr>
      <w:r>
        <w:t xml:space="preserve">This encoding ensures that:</w:t>
      </w:r>
      <w:r>
        <w:t xml:space="preserve"> </w:t>
      </w:r>
      <w:r>
        <w:t xml:space="preserve">- Hour 23 and hour 0 are represented as adjacent points on the unit circle.</w:t>
      </w:r>
      <w:r>
        <w:t xml:space="preserve"> </w:t>
      </w:r>
      <w:r>
        <w:t xml:space="preserve">- The Euclidean distance between any two time points reflects their true temporal proximity.</w:t>
      </w:r>
      <w:r>
        <w:t xml:space="preserve"> </w:t>
      </w:r>
      <w:r>
        <w:t xml:space="preserve">- The two-dimensional representation (</w:t>
      </w:r>
      <m:oMath>
        <m:r>
          <m:rPr>
            <m:sty m:val="p"/>
          </m:rPr>
          <m:t>sin</m:t>
        </m:r>
      </m:oMath>
      <w:r>
        <w:t xml:space="preserve">,</w:t>
      </w:r>
      <w:r>
        <w:t xml:space="preserve"> </w:t>
      </w:r>
      <m:oMath>
        <m:r>
          <m:rPr>
            <m:sty m:val="p"/>
          </m:rPr>
          <m:t>cos</m:t>
        </m:r>
      </m:oMath>
      <w:r>
        <w:t xml:space="preserve">) provides a unique mapping for each hour.</w:t>
      </w:r>
    </w:p>
    <w:p>
      <w:pPr>
        <w:pStyle w:val="BodyText"/>
      </w:pPr>
      <w:r>
        <w:t xml:space="preserve">Similarly, cyclical encoding is applied to the</w:t>
      </w:r>
      <w:r>
        <w:t xml:space="preserve"> </w:t>
      </w:r>
      <w:r>
        <w:rPr>
          <w:b/>
          <w:bCs/>
        </w:rPr>
        <w:t xml:space="preserve">day of the week</w:t>
      </w:r>
      <w:r>
        <w:t xml:space="preserve"> </w:t>
      </w:r>
      <m:oMath>
        <m:r>
          <m:t>d</m:t>
        </m:r>
        <m:r>
          <m:rPr>
            <m:sty m:val="p"/>
          </m:rPr>
          <m:t>∈</m:t>
        </m:r>
        <m:r>
          <m:rPr>
            <m:sty m:val="p"/>
          </m:rPr>
          <m:t>{</m:t>
        </m:r>
        <m:r>
          <m:t>0</m:t>
        </m:r>
        <m:r>
          <m:rPr>
            <m:sty m:val="p"/>
          </m:rPr>
          <m:t>,</m:t>
        </m:r>
        <m:r>
          <m:t>1</m:t>
        </m:r>
        <m:r>
          <m:rPr>
            <m:sty m:val="p"/>
          </m:rPr>
          <m:t>,</m:t>
        </m:r>
        <m:r>
          <m:rPr>
            <m:sty m:val="p"/>
          </m:rPr>
          <m:t>…</m:t>
        </m:r>
        <m:r>
          <m:rPr>
            <m:sty m:val="p"/>
          </m:rPr>
          <m:t>,</m:t>
        </m:r>
        <m:r>
          <m:t>6</m:t>
        </m:r>
        <m:r>
          <m:rPr>
            <m:sty m:val="p"/>
          </m:rPr>
          <m:t>}</m:t>
        </m:r>
      </m:oMath>
      <w:r>
        <w:t xml:space="preserve"> </w:t>
      </w:r>
      <w:r>
        <w:t xml:space="preserve">and the</w:t>
      </w:r>
      <w:r>
        <w:t xml:space="preserve"> </w:t>
      </w:r>
      <w:r>
        <w:rPr>
          <w:b/>
          <w:bCs/>
        </w:rPr>
        <w:t xml:space="preserve">month of the year</w:t>
      </w:r>
      <w:r>
        <w:t xml:space="preserve"> </w:t>
      </w:r>
      <m:oMath>
        <m:r>
          <m:t>m</m:t>
        </m:r>
        <m:r>
          <m:rPr>
            <m:sty m:val="p"/>
          </m:rPr>
          <m:t>∈</m:t>
        </m:r>
        <m:r>
          <m:rPr>
            <m:sty m:val="p"/>
          </m:rPr>
          <m:t>{</m:t>
        </m:r>
        <m:r>
          <m:t>1</m:t>
        </m:r>
        <m:r>
          <m:rPr>
            <m:sty m:val="p"/>
          </m:rPr>
          <m:t>,</m:t>
        </m:r>
        <m:r>
          <m:t>2</m:t>
        </m:r>
        <m:r>
          <m:rPr>
            <m:sty m:val="p"/>
          </m:rPr>
          <m:t>,</m:t>
        </m:r>
        <m:r>
          <m:rPr>
            <m:sty m:val="p"/>
          </m:rPr>
          <m:t>…</m:t>
        </m:r>
        <m:r>
          <m:rPr>
            <m:sty m:val="p"/>
          </m:rPr>
          <m:t>,</m:t>
        </m:r>
        <m:r>
          <m:t>12</m:t>
        </m:r>
        <m:r>
          <m:rPr>
            <m:sty m:val="p"/>
          </m:rPr>
          <m:t>}</m:t>
        </m:r>
      </m:oMath>
      <w:r>
        <w:t xml:space="preserve">:</w:t>
      </w:r>
    </w:p>
    <w:p>
      <w:pPr>
        <w:pStyle w:val="BodyText"/>
      </w:pPr>
      <m:oMathPara>
        <m:oMathParaPr>
          <m:jc m:val="center"/>
        </m:oMathParaPr>
        <m:oMath>
          <m:r>
            <m:rPr>
              <m:nor/>
              <m:sty m:val="p"/>
            </m:rPr>
            <m:t>day_sin</m:t>
          </m:r>
          <m:r>
            <m:rPr>
              <m:sty m:val="p"/>
            </m:rPr>
            <m:t>=</m:t>
          </m:r>
          <m:r>
            <m:rPr>
              <m:sty m:val="p"/>
            </m:rPr>
            <m:t>sin</m:t>
          </m:r>
          <m:d>
            <m:dPr>
              <m:begChr m:val="("/>
              <m:endChr m:val=")"/>
              <m:sepChr m:val=""/>
              <m:grow/>
            </m:dPr>
            <m:e>
              <m:f>
                <m:fPr>
                  <m:type m:val="bar"/>
                </m:fPr>
                <m:num>
                  <m:r>
                    <m:t>2</m:t>
                  </m:r>
                  <m:r>
                    <m:t>π</m:t>
                  </m:r>
                  <m:r>
                    <m:rPr>
                      <m:sty m:val="p"/>
                    </m:rPr>
                    <m:t>⋅</m:t>
                  </m:r>
                  <m:r>
                    <m:t>d</m:t>
                  </m:r>
                </m:num>
                <m:den>
                  <m:r>
                    <m:t>7</m:t>
                  </m:r>
                </m:den>
              </m:f>
            </m:e>
          </m:d>
          <m:r>
            <m:rPr>
              <m:sty m:val="p"/>
            </m:rPr>
            <m:t>,</m:t>
          </m:r>
          <m:r>
            <m:t> </m:t>
          </m:r>
          <m:r>
            <m:rPr>
              <m:nor/>
              <m:sty m:val="p"/>
            </m:rPr>
            <m:t>day_cos</m:t>
          </m:r>
          <m:r>
            <m:rPr>
              <m:sty m:val="p"/>
            </m:rPr>
            <m:t>=</m:t>
          </m:r>
          <m:r>
            <m:rPr>
              <m:sty m:val="p"/>
            </m:rPr>
            <m:t>cos</m:t>
          </m:r>
          <m:d>
            <m:dPr>
              <m:begChr m:val="("/>
              <m:endChr m:val=")"/>
              <m:sepChr m:val=""/>
              <m:grow/>
            </m:dPr>
            <m:e>
              <m:f>
                <m:fPr>
                  <m:type m:val="bar"/>
                </m:fPr>
                <m:num>
                  <m:r>
                    <m:t>2</m:t>
                  </m:r>
                  <m:r>
                    <m:t>π</m:t>
                  </m:r>
                  <m:r>
                    <m:rPr>
                      <m:sty m:val="p"/>
                    </m:rPr>
                    <m:t>⋅</m:t>
                  </m:r>
                  <m:r>
                    <m:t>d</m:t>
                  </m:r>
                </m:num>
                <m:den>
                  <m:r>
                    <m:t>7</m:t>
                  </m:r>
                </m:den>
              </m:f>
            </m:e>
          </m:d>
        </m:oMath>
      </m:oMathPara>
    </w:p>
    <w:p>
      <w:pPr>
        <w:pStyle w:val="FirstParagraph"/>
      </w:pPr>
      <m:oMathPara>
        <m:oMathParaPr>
          <m:jc m:val="center"/>
        </m:oMathParaPr>
        <m:oMath>
          <m:r>
            <m:rPr>
              <m:nor/>
              <m:sty m:val="p"/>
            </m:rPr>
            <m:t>month_sin</m:t>
          </m:r>
          <m:r>
            <m:rPr>
              <m:sty m:val="p"/>
            </m:rPr>
            <m:t>=</m:t>
          </m:r>
          <m:r>
            <m:rPr>
              <m:sty m:val="p"/>
            </m:rPr>
            <m:t>sin</m:t>
          </m:r>
          <m:d>
            <m:dPr>
              <m:begChr m:val="("/>
              <m:endChr m:val=")"/>
              <m:sepChr m:val=""/>
              <m:grow/>
            </m:dPr>
            <m:e>
              <m:f>
                <m:fPr>
                  <m:type m:val="bar"/>
                </m:fPr>
                <m:num>
                  <m:r>
                    <m:t>2</m:t>
                  </m:r>
                  <m:r>
                    <m:t>π</m:t>
                  </m:r>
                  <m:r>
                    <m:rPr>
                      <m:sty m:val="p"/>
                    </m:rPr>
                    <m:t>⋅</m:t>
                  </m:r>
                  <m:d>
                    <m:dPr>
                      <m:begChr m:val="("/>
                      <m:endChr m:val=")"/>
                      <m:sepChr m:val=""/>
                      <m:grow/>
                    </m:dPr>
                    <m:e>
                      <m:r>
                        <m:t>m</m:t>
                      </m:r>
                      <m:r>
                        <m:rPr>
                          <m:sty m:val="p"/>
                        </m:rPr>
                        <m:t>−</m:t>
                      </m:r>
                      <m:r>
                        <m:t>1</m:t>
                      </m:r>
                    </m:e>
                  </m:d>
                </m:num>
                <m:den>
                  <m:r>
                    <m:t>12</m:t>
                  </m:r>
                </m:den>
              </m:f>
            </m:e>
          </m:d>
          <m:r>
            <m:rPr>
              <m:sty m:val="p"/>
            </m:rPr>
            <m:t>,</m:t>
          </m:r>
          <m:r>
            <m:t> </m:t>
          </m:r>
          <m:r>
            <m:rPr>
              <m:nor/>
              <m:sty m:val="p"/>
            </m:rPr>
            <m:t>month_cos</m:t>
          </m:r>
          <m:r>
            <m:rPr>
              <m:sty m:val="p"/>
            </m:rPr>
            <m:t>=</m:t>
          </m:r>
          <m:r>
            <m:rPr>
              <m:sty m:val="p"/>
            </m:rPr>
            <m:t>cos</m:t>
          </m:r>
          <m:d>
            <m:dPr>
              <m:begChr m:val="("/>
              <m:endChr m:val=")"/>
              <m:sepChr m:val=""/>
              <m:grow/>
            </m:dPr>
            <m:e>
              <m:f>
                <m:fPr>
                  <m:type m:val="bar"/>
                </m:fPr>
                <m:num>
                  <m:r>
                    <m:t>2</m:t>
                  </m:r>
                  <m:r>
                    <m:t>π</m:t>
                  </m:r>
                  <m:r>
                    <m:rPr>
                      <m:sty m:val="p"/>
                    </m:rPr>
                    <m:t>⋅</m:t>
                  </m:r>
                  <m:d>
                    <m:dPr>
                      <m:begChr m:val="("/>
                      <m:endChr m:val=")"/>
                      <m:sepChr m:val=""/>
                      <m:grow/>
                    </m:dPr>
                    <m:e>
                      <m:r>
                        <m:t>m</m:t>
                      </m:r>
                      <m:r>
                        <m:rPr>
                          <m:sty m:val="p"/>
                        </m:rPr>
                        <m:t>−</m:t>
                      </m:r>
                      <m:r>
                        <m:t>1</m:t>
                      </m:r>
                    </m:e>
                  </m:d>
                </m:num>
                <m:den>
                  <m:r>
                    <m:t>12</m:t>
                  </m:r>
                </m:den>
              </m:f>
            </m:e>
          </m:d>
        </m:oMath>
      </m:oMathPara>
    </w:p>
    <w:p>
      <w:pPr>
        <w:pStyle w:val="FirstParagraph"/>
      </w:pPr>
      <w:r>
        <w:t xml:space="preserve">The resulting feature vector for each time step includes:</w:t>
      </w:r>
      <w:r>
        <w:t xml:space="preserve"> </w:t>
      </w:r>
      <w:r>
        <w:rPr>
          <w:rStyle w:val="VerbatimChar"/>
        </w:rPr>
        <w:t xml:space="preserve">hour_sin</w:t>
      </w:r>
      <w:r>
        <w:t xml:space="preserve">,</w:t>
      </w:r>
      <w:r>
        <w:t xml:space="preserve"> </w:t>
      </w:r>
      <w:r>
        <w:rPr>
          <w:rStyle w:val="VerbatimChar"/>
        </w:rPr>
        <w:t xml:space="preserve">hour_cos</w:t>
      </w:r>
      <w:r>
        <w:t xml:space="preserve">,</w:t>
      </w:r>
      <w:r>
        <w:t xml:space="preserve"> </w:t>
      </w:r>
      <w:r>
        <w:rPr>
          <w:rStyle w:val="VerbatimChar"/>
        </w:rPr>
        <w:t xml:space="preserve">day_sin</w:t>
      </w:r>
      <w:r>
        <w:t xml:space="preserve">,</w:t>
      </w:r>
      <w:r>
        <w:t xml:space="preserve"> </w:t>
      </w:r>
      <w:r>
        <w:rPr>
          <w:rStyle w:val="VerbatimChar"/>
        </w:rPr>
        <w:t xml:space="preserve">day_cos</w:t>
      </w:r>
      <w:r>
        <w:t xml:space="preserve">,</w:t>
      </w:r>
      <w:r>
        <w:t xml:space="preserve"> </w:t>
      </w:r>
      <w:r>
        <w:rPr>
          <w:rStyle w:val="VerbatimChar"/>
        </w:rPr>
        <w:t xml:space="preserve">month_sin</w:t>
      </w:r>
      <w:r>
        <w:t xml:space="preserve">,</w:t>
      </w:r>
      <w:r>
        <w:t xml:space="preserve"> </w:t>
      </w:r>
      <w:r>
        <w:rPr>
          <w:rStyle w:val="VerbatimChar"/>
        </w:rPr>
        <w:t xml:space="preserve">month_cos</w:t>
      </w:r>
      <w:r>
        <w:t xml:space="preserve">, along with additional features such as the binary</w:t>
      </w:r>
      <w:r>
        <w:t xml:space="preserve"> </w:t>
      </w:r>
      <w:r>
        <w:rPr>
          <w:rStyle w:val="VerbatimChar"/>
        </w:rPr>
        <w:t xml:space="preserve">is_weekend</w:t>
      </w:r>
      <w:r>
        <w:t xml:space="preserve"> </w:t>
      </w:r>
      <w:r>
        <w:t xml:space="preserve">flag.</w:t>
      </w:r>
    </w:p>
    <w:bookmarkEnd w:id="28"/>
    <w:bookmarkStart w:id="29" w:name="c.-24-hour-multi-step-forecasting-setup"/>
    <w:p>
      <w:pPr>
        <w:pStyle w:val="Heading3"/>
      </w:pPr>
      <w:r>
        <w:t xml:space="preserve">C. 24-Hour Multi-Step Forecasting Setup</w:t>
      </w:r>
    </w:p>
    <w:p>
      <w:pPr>
        <w:pStyle w:val="FirstParagraph"/>
      </w:pPr>
      <w:r>
        <w:t xml:space="preserve">The forecasting task is formulated as a</w:t>
      </w:r>
      <w:r>
        <w:t xml:space="preserve"> </w:t>
      </w:r>
      <w:r>
        <w:rPr>
          <w:b/>
          <w:bCs/>
        </w:rPr>
        <w:t xml:space="preserve">24-hour ahead multi-step prediction</w:t>
      </w:r>
      <w:r>
        <w:t xml:space="preserve"> </w:t>
      </w:r>
      <w:r>
        <w:t xml:space="preserve">problem. Given a window of historical observations (the lookback window), the model predicts the next 24 hourly energy consumption values.</w:t>
      </w:r>
    </w:p>
    <w:p>
      <w:pPr>
        <w:pStyle w:val="BodyText"/>
      </w:pPr>
      <w:r>
        <w:t xml:space="preserve">Formally, let</w:t>
      </w:r>
      <w:r>
        <w:t xml:space="preserve"> </w:t>
      </w:r>
      <m:oMath>
        <m:sSub>
          <m:e>
            <m:r>
              <m:rPr>
                <m:sty m:val="b"/>
              </m:rPr>
              <m:t>x</m:t>
            </m:r>
          </m:e>
          <m:sub>
            <m:r>
              <m:t>t</m:t>
            </m:r>
          </m:sub>
        </m:sSub>
        <m:r>
          <m:rPr>
            <m:sty m:val="p"/>
          </m:rPr>
          <m:t>=</m:t>
        </m:r>
        <m:d>
          <m:dPr>
            <m:begChr m:val="["/>
            <m:endChr m:val="]"/>
            <m:sepChr m:val=""/>
            <m:grow/>
          </m:dPr>
          <m:e>
            <m:sSub>
              <m:e>
                <m:r>
                  <m:t>x</m:t>
                </m:r>
              </m:e>
              <m:sub>
                <m:r>
                  <m:t>t</m:t>
                </m:r>
                <m:r>
                  <m:rPr>
                    <m:sty m:val="p"/>
                  </m:rPr>
                  <m:t>−</m:t>
                </m:r>
                <m:r>
                  <m:t>L</m:t>
                </m:r>
                <m:r>
                  <m:rPr>
                    <m:sty m:val="p"/>
                  </m:rPr>
                  <m:t>+</m:t>
                </m:r>
                <m:r>
                  <m:t>1</m:t>
                </m:r>
              </m:sub>
            </m:sSub>
            <m:r>
              <m:rPr>
                <m:sty m:val="p"/>
              </m:rPr>
              <m:t>,</m:t>
            </m:r>
            <m:sSub>
              <m:e>
                <m:r>
                  <m:t>x</m:t>
                </m:r>
              </m:e>
              <m:sub>
                <m:r>
                  <m:t>t</m:t>
                </m:r>
                <m:r>
                  <m:rPr>
                    <m:sty m:val="p"/>
                  </m:rPr>
                  <m:t>−</m:t>
                </m:r>
                <m:r>
                  <m:t>L</m:t>
                </m:r>
                <m:r>
                  <m:rPr>
                    <m:sty m:val="p"/>
                  </m:rPr>
                  <m:t>+</m:t>
                </m:r>
                <m:r>
                  <m:t>2</m:t>
                </m:r>
              </m:sub>
            </m:sSub>
            <m:r>
              <m:rPr>
                <m:sty m:val="p"/>
              </m:rPr>
              <m:t>,</m:t>
            </m:r>
            <m:r>
              <m:rPr>
                <m:sty m:val="p"/>
              </m:rPr>
              <m:t>…</m:t>
            </m:r>
            <m:r>
              <m:rPr>
                <m:sty m:val="p"/>
              </m:rPr>
              <m:t>,</m:t>
            </m:r>
            <m:sSub>
              <m:e>
                <m:r>
                  <m:t>x</m:t>
                </m:r>
              </m:e>
              <m:sub>
                <m:r>
                  <m:t>t</m:t>
                </m:r>
              </m:sub>
            </m:sSub>
          </m:e>
        </m:d>
      </m:oMath>
      <w:r>
        <w:t xml:space="preserve"> </w:t>
      </w:r>
      <w:r>
        <w:t xml:space="preserve">denote the input sequence of length</w:t>
      </w:r>
      <w:r>
        <w:t xml:space="preserve"> </w:t>
      </w:r>
      <m:oMath>
        <m:r>
          <m:t>L</m:t>
        </m:r>
      </m:oMath>
      <w:r>
        <w:t xml:space="preserve"> </w:t>
      </w:r>
      <w:r>
        <w:t xml:space="preserve">(lookback window), where each</w:t>
      </w:r>
      <w:r>
        <w:t xml:space="preserve"> </w:t>
      </w:r>
      <m:oMath>
        <m:sSub>
          <m:e>
            <m:r>
              <m:t>x</m:t>
            </m:r>
          </m:e>
          <m:sub>
            <m:r>
              <m:t>i</m:t>
            </m:r>
          </m:sub>
        </m:sSub>
      </m:oMath>
      <w:r>
        <w:t xml:space="preserve"> </w:t>
      </w:r>
      <w:r>
        <w:t xml:space="preserve">includes both the consumption value and the associated temporal features. The model learns a mapping:</w:t>
      </w:r>
    </w:p>
    <w:p>
      <w:pPr>
        <w:pStyle w:val="BodyText"/>
      </w:pPr>
      <m:oMathPara>
        <m:oMathParaPr>
          <m:jc m:val="center"/>
        </m:oMathParaPr>
        <m:oMath>
          <m:r>
            <m:t>f</m:t>
          </m:r>
          <m:r>
            <m:rPr>
              <m:sty m:val="p"/>
            </m:rPr>
            <m:t>:</m:t>
          </m:r>
          <m:sSub>
            <m:e>
              <m:r>
                <m:rPr>
                  <m:sty m:val="b"/>
                </m:rPr>
                <m:t>x</m:t>
              </m:r>
            </m:e>
            <m:sub>
              <m:r>
                <m:t>t</m:t>
              </m:r>
            </m:sub>
          </m:sSub>
          <m:r>
            <m:rPr>
              <m:sty m:val="p"/>
            </m:rPr>
            <m:t>→</m:t>
          </m:r>
          <m:sSub>
            <m:e>
              <m:acc>
                <m:accPr>
                  <m:chr m:val="̂"/>
                </m:accPr>
                <m:e>
                  <m:r>
                    <m:rPr>
                      <m:sty m:val="b"/>
                    </m:rPr>
                    <m:t>y</m:t>
                  </m:r>
                </m:e>
              </m:acc>
            </m:e>
            <m:sub>
              <m:r>
                <m:t>t</m:t>
              </m:r>
            </m:sub>
          </m:sSub>
          <m:r>
            <m:rPr>
              <m:sty m:val="p"/>
            </m:rPr>
            <m:t>=</m:t>
          </m:r>
          <m:d>
            <m:dPr>
              <m:begChr m:val="["/>
              <m:endChr m:val="]"/>
              <m:sepChr m:val=""/>
              <m:grow/>
            </m:dPr>
            <m:e>
              <m:sSub>
                <m:e>
                  <m:acc>
                    <m:accPr>
                      <m:chr m:val="̂"/>
                    </m:accPr>
                    <m:e>
                      <m:r>
                        <m:t>y</m:t>
                      </m:r>
                    </m:e>
                  </m:acc>
                </m:e>
                <m:sub>
                  <m:r>
                    <m:t>t</m:t>
                  </m:r>
                  <m:r>
                    <m:rPr>
                      <m:sty m:val="p"/>
                    </m:rPr>
                    <m:t>+</m:t>
                  </m:r>
                  <m:r>
                    <m:t>1</m:t>
                  </m:r>
                </m:sub>
              </m:sSub>
              <m:r>
                <m:rPr>
                  <m:sty m:val="p"/>
                </m:rPr>
                <m:t>,</m:t>
              </m:r>
              <m:sSub>
                <m:e>
                  <m:acc>
                    <m:accPr>
                      <m:chr m:val="̂"/>
                    </m:accPr>
                    <m:e>
                      <m:r>
                        <m:t>y</m:t>
                      </m:r>
                    </m:e>
                  </m:acc>
                </m:e>
                <m:sub>
                  <m:r>
                    <m:t>t</m:t>
                  </m:r>
                  <m:r>
                    <m:rPr>
                      <m:sty m:val="p"/>
                    </m:rPr>
                    <m:t>+</m:t>
                  </m:r>
                  <m:r>
                    <m:t>2</m:t>
                  </m:r>
                </m:sub>
              </m:sSub>
              <m:r>
                <m:rPr>
                  <m:sty m:val="p"/>
                </m:rPr>
                <m:t>,</m:t>
              </m:r>
              <m:r>
                <m:rPr>
                  <m:sty m:val="p"/>
                </m:rPr>
                <m:t>…</m:t>
              </m:r>
              <m:r>
                <m:rPr>
                  <m:sty m:val="p"/>
                </m:rPr>
                <m:t>,</m:t>
              </m:r>
              <m:sSub>
                <m:e>
                  <m:acc>
                    <m:accPr>
                      <m:chr m:val="̂"/>
                    </m:accPr>
                    <m:e>
                      <m:r>
                        <m:t>y</m:t>
                      </m:r>
                    </m:e>
                  </m:acc>
                </m:e>
                <m:sub>
                  <m:r>
                    <m:t>t</m:t>
                  </m:r>
                  <m:r>
                    <m:rPr>
                      <m:sty m:val="p"/>
                    </m:rPr>
                    <m:t>+</m:t>
                  </m:r>
                  <m:r>
                    <m:t>24</m:t>
                  </m:r>
                </m:sub>
              </m:sSub>
            </m:e>
          </m:d>
        </m:oMath>
      </m:oMathPara>
    </w:p>
    <w:p>
      <w:pPr>
        <w:pStyle w:val="FirstParagraph"/>
      </w:pPr>
      <w:r>
        <w:t xml:space="preserve">where</w:t>
      </w:r>
      <w:r>
        <w:t xml:space="preserve"> </w:t>
      </w:r>
      <m:oMath>
        <m:sSub>
          <m:e>
            <m:acc>
              <m:accPr>
                <m:chr m:val="̂"/>
              </m:accPr>
              <m:e>
                <m:r>
                  <m:rPr>
                    <m:sty m:val="b"/>
                  </m:rPr>
                  <m:t>y</m:t>
                </m:r>
              </m:e>
            </m:acc>
          </m:e>
          <m:sub>
            <m:r>
              <m:t>t</m:t>
            </m:r>
          </m:sub>
        </m:sSub>
      </m:oMath>
      <w:r>
        <w:t xml:space="preserve"> </w:t>
      </w:r>
      <w:r>
        <w:t xml:space="preserve">is the vector of predicted hourly consumption values for the next 24 hours. A lookback window of</w:t>
      </w:r>
      <w:r>
        <w:t xml:space="preserve"> </w:t>
      </w:r>
      <m:oMath>
        <m:r>
          <m:t>L</m:t>
        </m:r>
        <m:r>
          <m:rPr>
            <m:sty m:val="p"/>
          </m:rPr>
          <m:t>=</m:t>
        </m:r>
        <m:r>
          <m:t>48</m:t>
        </m:r>
      </m:oMath>
      <w:r>
        <w:t xml:space="preserve"> </w:t>
      </w:r>
      <w:r>
        <w:t xml:space="preserve">hours is used, providing the model with two full diurnal cycles of historical context.</w:t>
      </w:r>
    </w:p>
    <w:bookmarkEnd w:id="29"/>
    <w:bookmarkStart w:id="34" w:name="d.-model-architectures"/>
    <w:p>
      <w:pPr>
        <w:pStyle w:val="Heading3"/>
      </w:pPr>
      <w:r>
        <w:t xml:space="preserve">D. Model Architectures</w:t>
      </w:r>
    </w:p>
    <w:bookmarkStart w:id="30" w:name="linear-regression"/>
    <w:p>
      <w:pPr>
        <w:pStyle w:val="Heading4"/>
      </w:pPr>
      <w:r>
        <w:t xml:space="preserve">1) Linear Regression</w:t>
      </w:r>
    </w:p>
    <w:p>
      <w:pPr>
        <w:pStyle w:val="FirstParagraph"/>
      </w:pPr>
      <w:r>
        <w:t xml:space="preserve">Linear Regression serves as the baseline model. It assumes a linear relationship between the input feature vector and each output target:</w:t>
      </w:r>
    </w:p>
    <w:p>
      <w:pPr>
        <w:pStyle w:val="BodyText"/>
      </w:pPr>
      <m:oMathPara>
        <m:oMathParaPr>
          <m:jc m:val="center"/>
        </m:oMathParaPr>
        <m:oMath>
          <m:sSub>
            <m:e>
              <m:acc>
                <m:accPr>
                  <m:chr m:val="̂"/>
                </m:accPr>
                <m:e>
                  <m:r>
                    <m:t>y</m:t>
                  </m:r>
                </m:e>
              </m:acc>
            </m:e>
            <m:sub>
              <m:r>
                <m:t>t</m:t>
              </m:r>
              <m:r>
                <m:rPr>
                  <m:sty m:val="p"/>
                </m:rPr>
                <m:t>+</m:t>
              </m:r>
              <m:r>
                <m:t>k</m:t>
              </m:r>
            </m:sub>
          </m:sSub>
          <m:r>
            <m:rPr>
              <m:sty m:val="p"/>
            </m:rPr>
            <m:t>=</m:t>
          </m:r>
          <m:sSubSup>
            <m:e>
              <m:r>
                <m:rPr>
                  <m:sty m:val="b"/>
                </m:rPr>
                <m:t>w</m:t>
              </m:r>
            </m:e>
            <m:sub>
              <m:r>
                <m:t>k</m:t>
              </m:r>
            </m:sub>
            <m:sup>
              <m:r>
                <m:rPr>
                  <m:sty m:val="p"/>
                </m:rPr>
                <m:t>⊤</m:t>
              </m:r>
            </m:sup>
          </m:sSubSup>
          <m:sSub>
            <m:e>
              <m:r>
                <m:rPr>
                  <m:sty m:val="b"/>
                </m:rPr>
                <m:t>x</m:t>
              </m:r>
            </m:e>
            <m:sub>
              <m:r>
                <m:t>t</m:t>
              </m:r>
            </m:sub>
          </m:sSub>
          <m:r>
            <m:rPr>
              <m:sty m:val="p"/>
            </m:rPr>
            <m:t>+</m:t>
          </m:r>
          <m:sSub>
            <m:e>
              <m:r>
                <m:t>b</m:t>
              </m:r>
            </m:e>
            <m:sub>
              <m:r>
                <m:t>k</m:t>
              </m:r>
            </m:sub>
          </m:sSub>
          <m:r>
            <m:rPr>
              <m:sty m:val="p"/>
            </m:rPr>
            <m:t>,</m:t>
          </m:r>
          <m:r>
            <m:t> </m:t>
          </m:r>
          <m:r>
            <m:t>k</m:t>
          </m:r>
          <m:r>
            <m:rPr>
              <m:sty m:val="p"/>
            </m:rPr>
            <m:t>=</m:t>
          </m:r>
          <m:r>
            <m:t>1</m:t>
          </m:r>
          <m:r>
            <m:rPr>
              <m:sty m:val="p"/>
            </m:rPr>
            <m:t>,</m:t>
          </m:r>
          <m:r>
            <m:t>2</m:t>
          </m:r>
          <m:r>
            <m:rPr>
              <m:sty m:val="p"/>
            </m:rPr>
            <m:t>,</m:t>
          </m:r>
          <m:r>
            <m:rPr>
              <m:sty m:val="p"/>
            </m:rPr>
            <m:t>…</m:t>
          </m:r>
          <m:r>
            <m:rPr>
              <m:sty m:val="p"/>
            </m:rPr>
            <m:t>,</m:t>
          </m:r>
          <m:r>
            <m:t>24</m:t>
          </m:r>
        </m:oMath>
      </m:oMathPara>
    </w:p>
    <w:p>
      <w:pPr>
        <w:pStyle w:val="FirstParagraph"/>
      </w:pPr>
      <w:r>
        <w:t xml:space="preserve">where</w:t>
      </w:r>
      <w:r>
        <w:t xml:space="preserve"> </w:t>
      </w:r>
      <m:oMath>
        <m:sSub>
          <m:e>
            <m:r>
              <m:rPr>
                <m:sty m:val="b"/>
              </m:rPr>
              <m:t>w</m:t>
            </m:r>
          </m:e>
          <m:sub>
            <m:r>
              <m:t>k</m:t>
            </m:r>
          </m:sub>
        </m:sSub>
        <m:r>
          <m:rPr>
            <m:sty m:val="p"/>
          </m:rPr>
          <m:t>∈</m:t>
        </m:r>
        <m:sSup>
          <m:e>
            <m:r>
              <m:rPr>
                <m:sty m:val="p"/>
                <m:scr m:val="double-struck"/>
              </m:rPr>
              <m:t>R</m:t>
            </m:r>
          </m:e>
          <m:sup>
            <m:r>
              <m:t>n</m:t>
            </m:r>
          </m:sup>
        </m:sSup>
      </m:oMath>
      <w:r>
        <w:t xml:space="preserve"> </w:t>
      </w:r>
      <w:r>
        <w:t xml:space="preserve">is the weight vector and</w:t>
      </w:r>
      <w:r>
        <w:t xml:space="preserve"> </w:t>
      </w:r>
      <m:oMath>
        <m:sSub>
          <m:e>
            <m:r>
              <m:t>b</m:t>
            </m:r>
          </m:e>
          <m:sub>
            <m:r>
              <m:t>k</m:t>
            </m:r>
          </m:sub>
        </m:sSub>
      </m:oMath>
      <w:r>
        <w:t xml:space="preserve"> </w:t>
      </w:r>
      <w:r>
        <w:t xml:space="preserve">is the bias term for the</w:t>
      </w:r>
      <w:r>
        <w:t xml:space="preserve"> </w:t>
      </w:r>
      <m:oMath>
        <m:r>
          <m:t>k</m:t>
        </m:r>
      </m:oMath>
      <w:r>
        <w:t xml:space="preserve">-th forecast step. The model is trained by minimizing the ordinary least squares (OLS) objective:</w:t>
      </w:r>
    </w:p>
    <w:p>
      <w:pPr>
        <w:pStyle w:val="BodyText"/>
      </w:pPr>
      <m:oMathPara>
        <m:oMathParaPr>
          <m:jc m:val="center"/>
        </m:oMathParaPr>
        <m:oMath>
          <m:sSub>
            <m:e>
              <m:r>
                <m:rPr>
                  <m:sty m:val="p"/>
                  <m:scr m:val="script"/>
                </m:rPr>
                <m:t>L</m:t>
              </m:r>
            </m:e>
            <m:sub>
              <m:r>
                <m:rPr>
                  <m:nor/>
                  <m:sty m:val="p"/>
                </m:rPr>
                <m:t>OLS</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24</m:t>
                  </m:r>
                </m:sup>
                <m:e>
                  <m:sSup>
                    <m:e>
                      <m:d>
                        <m:dPr>
                          <m:begChr m:val="("/>
                          <m:endChr m:val=")"/>
                          <m:sepChr m:val=""/>
                          <m:grow/>
                        </m:dPr>
                        <m:e>
                          <m:sSub>
                            <m:e>
                              <m:r>
                                <m:t>y</m:t>
                              </m:r>
                            </m:e>
                            <m:sub>
                              <m:sSub>
                                <m:e>
                                  <m:r>
                                    <m:t>t</m:t>
                                  </m:r>
                                </m:e>
                                <m:sub>
                                  <m:r>
                                    <m:t>i</m:t>
                                  </m:r>
                                </m:sub>
                              </m:sSub>
                              <m:r>
                                <m:rPr>
                                  <m:sty m:val="p"/>
                                </m:rPr>
                                <m:t>+</m:t>
                              </m:r>
                              <m:r>
                                <m:t>k</m:t>
                              </m:r>
                            </m:sub>
                          </m:sSub>
                          <m:r>
                            <m:rPr>
                              <m:sty m:val="p"/>
                            </m:rPr>
                            <m:t>−</m:t>
                          </m:r>
                          <m:sSub>
                            <m:e>
                              <m:acc>
                                <m:accPr>
                                  <m:chr m:val="̂"/>
                                </m:accPr>
                                <m:e>
                                  <m:r>
                                    <m:t>y</m:t>
                                  </m:r>
                                </m:e>
                              </m:acc>
                            </m:e>
                            <m:sub>
                              <m:sSub>
                                <m:e>
                                  <m:r>
                                    <m:t>t</m:t>
                                  </m:r>
                                </m:e>
                                <m:sub>
                                  <m:r>
                                    <m:t>i</m:t>
                                  </m:r>
                                </m:sub>
                              </m:sSub>
                              <m:r>
                                <m:rPr>
                                  <m:sty m:val="p"/>
                                </m:rPr>
                                <m:t>+</m:t>
                              </m:r>
                              <m:r>
                                <m:t>k</m:t>
                              </m:r>
                            </m:sub>
                          </m:sSub>
                        </m:e>
                      </m:d>
                    </m:e>
                    <m:sup>
                      <m:r>
                        <m:t>2</m:t>
                      </m:r>
                    </m:sup>
                  </m:sSup>
                </m:e>
              </m:nary>
            </m:e>
          </m:nary>
        </m:oMath>
      </m:oMathPara>
    </w:p>
    <w:p>
      <w:pPr>
        <w:pStyle w:val="FirstParagraph"/>
      </w:pPr>
      <w:r>
        <w:t xml:space="preserve">While limited in its ability to capture non-linear dynamics, Linear Regression provides an interpretable, computationally efficient baseline against which more complex models are compared.</w:t>
      </w:r>
    </w:p>
    <w:bookmarkEnd w:id="30"/>
    <w:bookmarkStart w:id="31" w:name="xgboost-extreme-gradient-boosting"/>
    <w:p>
      <w:pPr>
        <w:pStyle w:val="Heading4"/>
      </w:pPr>
      <w:r>
        <w:t xml:space="preserve">2) XGBoost (Extreme Gradient Boosting)</w:t>
      </w:r>
    </w:p>
    <w:p>
      <w:pPr>
        <w:pStyle w:val="FirstParagraph"/>
      </w:pPr>
      <w:r>
        <w:t xml:space="preserve">XGBoost is an ensemble learning method based on gradient-boosted decision trees [18]. It constructs an additive model by sequentially fitting decision trees to the residual errors of the ensemble:</w:t>
      </w:r>
    </w:p>
    <w:p>
      <w:pPr>
        <w:pStyle w:val="BodyText"/>
      </w:pPr>
      <m:oMathPara>
        <m:oMathParaPr>
          <m:jc m:val="center"/>
        </m:oMathParaPr>
        <m:oMath>
          <m:sSup>
            <m:e>
              <m:acc>
                <m:accPr>
                  <m:chr m:val="̂"/>
                </m:accPr>
                <m:e>
                  <m:r>
                    <m:t>y</m:t>
                  </m:r>
                </m:e>
              </m:acc>
            </m:e>
            <m:sup>
              <m:d>
                <m:dPr>
                  <m:begChr m:val="("/>
                  <m:endChr m:val=")"/>
                  <m:sepChr m:val=""/>
                  <m:grow/>
                </m:dPr>
                <m:e>
                  <m:r>
                    <m:t>t</m:t>
                  </m:r>
                </m:e>
              </m:d>
            </m:sup>
          </m:sSup>
          <m:r>
            <m:rPr>
              <m:sty m:val="p"/>
            </m:rPr>
            <m:t>=</m:t>
          </m:r>
          <m:nary>
            <m:naryPr>
              <m:chr m:val="∑"/>
              <m:limLoc m:val="undOvr"/>
              <m:subHide m:val="off"/>
              <m:supHide m:val="off"/>
            </m:naryPr>
            <m:sub>
              <m:r>
                <m:t>m</m:t>
              </m:r>
              <m:r>
                <m:rPr>
                  <m:sty m:val="p"/>
                </m:rPr>
                <m:t>=</m:t>
              </m:r>
              <m:r>
                <m:t>1</m:t>
              </m:r>
            </m:sub>
            <m:sup>
              <m:r>
                <m:t>M</m:t>
              </m:r>
            </m:sup>
            <m:e>
              <m:sSub>
                <m:e>
                  <m:r>
                    <m:t>f</m:t>
                  </m:r>
                </m:e>
                <m:sub>
                  <m:r>
                    <m:t>m</m:t>
                  </m:r>
                </m:sub>
              </m:sSub>
            </m:e>
          </m:nary>
          <m:d>
            <m:dPr>
              <m:begChr m:val="("/>
              <m:endChr m:val=")"/>
              <m:sepChr m:val=""/>
              <m:grow/>
            </m:dPr>
            <m:e>
              <m:r>
                <m:rPr>
                  <m:sty m:val="b"/>
                </m:rPr>
                <m:t>x</m:t>
              </m:r>
            </m:e>
          </m:d>
          <m:r>
            <m:rPr>
              <m:sty m:val="p"/>
            </m:rPr>
            <m:t>,</m:t>
          </m:r>
          <m:r>
            <m:t> </m:t>
          </m:r>
          <m:sSub>
            <m:e>
              <m:r>
                <m:t>f</m:t>
              </m:r>
            </m:e>
            <m:sub>
              <m:r>
                <m:t>m</m:t>
              </m:r>
            </m:sub>
          </m:sSub>
          <m:r>
            <m:rPr>
              <m:sty m:val="p"/>
            </m:rPr>
            <m:t>∈</m:t>
          </m:r>
          <m:r>
            <m:rPr>
              <m:sty m:val="p"/>
              <m:scr m:val="script"/>
            </m:rPr>
            <m:t>F</m:t>
          </m:r>
        </m:oMath>
      </m:oMathPara>
    </w:p>
    <w:p>
      <w:pPr>
        <w:pStyle w:val="FirstParagraph"/>
      </w:pPr>
      <w:r>
        <w:t xml:space="preserve">where</w:t>
      </w:r>
      <w:r>
        <w:t xml:space="preserve"> </w:t>
      </w:r>
      <m:oMath>
        <m:r>
          <m:t>M</m:t>
        </m:r>
      </m:oMath>
      <w:r>
        <w:t xml:space="preserve"> </w:t>
      </w:r>
      <w:r>
        <w:t xml:space="preserve">is the total number of trees,</w:t>
      </w:r>
      <w:r>
        <w:t xml:space="preserve"> </w:t>
      </w:r>
      <m:oMath>
        <m:sSub>
          <m:e>
            <m:r>
              <m:t>f</m:t>
            </m:r>
          </m:e>
          <m:sub>
            <m:r>
              <m:t>m</m:t>
            </m:r>
          </m:sub>
        </m:sSub>
      </m:oMath>
      <w:r>
        <w:t xml:space="preserve"> </w:t>
      </w:r>
      <w:r>
        <w:t xml:space="preserve">represents the</w:t>
      </w:r>
      <w:r>
        <w:t xml:space="preserve"> </w:t>
      </w:r>
      <m:oMath>
        <m:r>
          <m:t>m</m:t>
        </m:r>
      </m:oMath>
      <w:r>
        <w:t xml:space="preserve">-th tree, and</w:t>
      </w:r>
      <w:r>
        <w:t xml:space="preserve"> </w:t>
      </w:r>
      <m:oMath>
        <m:r>
          <m:rPr>
            <m:sty m:val="p"/>
            <m:scr m:val="script"/>
          </m:rPr>
          <m:t>F</m:t>
        </m:r>
      </m:oMath>
      <w:r>
        <w:t xml:space="preserve"> </w:t>
      </w:r>
      <w:r>
        <w:t xml:space="preserve">is the space of regression trees. The objective function at iteration</w:t>
      </w:r>
      <w:r>
        <w:t xml:space="preserve"> </w:t>
      </w:r>
      <m:oMath>
        <m:r>
          <m:t>m</m:t>
        </m:r>
      </m:oMath>
      <w:r>
        <w:t xml:space="preserve"> </w:t>
      </w:r>
      <w:r>
        <w:t xml:space="preserve">is:</w:t>
      </w:r>
    </w:p>
    <w:p>
      <w:pPr>
        <w:pStyle w:val="BodyText"/>
      </w:pPr>
      <m:oMathPara>
        <m:oMathParaPr>
          <m:jc m:val="center"/>
        </m:oMathParaPr>
        <m:oMath>
          <m:sSup>
            <m:e>
              <m:r>
                <m:rPr>
                  <m:sty m:val="p"/>
                  <m:scr m:val="script"/>
                </m:rPr>
                <m:t>L</m:t>
              </m:r>
            </m:e>
            <m:sup>
              <m:d>
                <m:dPr>
                  <m:begChr m:val="("/>
                  <m:endChr m:val=")"/>
                  <m:sepChr m:val=""/>
                  <m:grow/>
                </m:dPr>
                <m:e>
                  <m:r>
                    <m:t>m</m:t>
                  </m:r>
                </m:e>
              </m:d>
            </m:sup>
          </m:sSup>
          <m:r>
            <m:rPr>
              <m:sty m:val="p"/>
            </m:rPr>
            <m:t>=</m:t>
          </m:r>
          <m:nary>
            <m:naryPr>
              <m:chr m:val="∑"/>
              <m:limLoc m:val="undOvr"/>
              <m:subHide m:val="off"/>
              <m:supHide m:val="off"/>
            </m:naryPr>
            <m:sub>
              <m:r>
                <m:t>i</m:t>
              </m:r>
              <m:r>
                <m:rPr>
                  <m:sty m:val="p"/>
                </m:rPr>
                <m:t>=</m:t>
              </m:r>
              <m:r>
                <m:t>1</m:t>
              </m:r>
            </m:sub>
            <m:sup>
              <m:r>
                <m:t>N</m:t>
              </m:r>
            </m:sup>
            <m:e>
              <m:r>
                <m:t>l</m:t>
              </m:r>
            </m:e>
          </m:nary>
          <m:d>
            <m:dPr>
              <m:begChr m:val="("/>
              <m:endChr m:val=")"/>
              <m:sepChr m:val=""/>
              <m:grow/>
            </m:dPr>
            <m:e>
              <m:sSub>
                <m:e>
                  <m:r>
                    <m:t>y</m:t>
                  </m:r>
                </m:e>
                <m:sub>
                  <m:r>
                    <m:t>i</m:t>
                  </m:r>
                </m:sub>
              </m:sSub>
              <m:r>
                <m:rPr>
                  <m:sty m:val="p"/>
                </m:rPr>
                <m:t>,</m:t>
              </m:r>
              <m:sSubSup>
                <m:e>
                  <m:acc>
                    <m:accPr>
                      <m:chr m:val="̂"/>
                    </m:accPr>
                    <m:e>
                      <m:r>
                        <m:t>y</m:t>
                      </m:r>
                    </m:e>
                  </m:acc>
                </m:e>
                <m:sub>
                  <m:r>
                    <m:t>i</m:t>
                  </m:r>
                </m:sub>
                <m:sup>
                  <m:d>
                    <m:dPr>
                      <m:begChr m:val="("/>
                      <m:endChr m:val=")"/>
                      <m:sepChr m:val=""/>
                      <m:grow/>
                    </m:dPr>
                    <m:e>
                      <m:r>
                        <m:t>m</m:t>
                      </m:r>
                      <m:r>
                        <m:rPr>
                          <m:sty m:val="p"/>
                        </m:rPr>
                        <m:t>−</m:t>
                      </m:r>
                      <m:r>
                        <m:t>1</m:t>
                      </m:r>
                    </m:e>
                  </m:d>
                </m:sup>
              </m:sSubSup>
              <m:r>
                <m:rPr>
                  <m:sty m:val="p"/>
                </m:rPr>
                <m:t>+</m:t>
              </m:r>
              <m:sSub>
                <m:e>
                  <m:r>
                    <m:t>f</m:t>
                  </m:r>
                </m:e>
                <m:sub>
                  <m:r>
                    <m:t>m</m:t>
                  </m:r>
                </m:sub>
              </m:sSub>
              <m:d>
                <m:dPr>
                  <m:begChr m:val="("/>
                  <m:endChr m:val=")"/>
                  <m:sepChr m:val=""/>
                  <m:grow/>
                </m:dPr>
                <m:e>
                  <m:sSub>
                    <m:e>
                      <m:r>
                        <m:rPr>
                          <m:sty m:val="b"/>
                        </m:rPr>
                        <m:t>x</m:t>
                      </m:r>
                    </m:e>
                    <m:sub>
                      <m:r>
                        <m:t>i</m:t>
                      </m:r>
                    </m:sub>
                  </m:sSub>
                </m:e>
              </m:d>
            </m:e>
          </m:d>
          <m:r>
            <m:rPr>
              <m:sty m:val="p"/>
            </m:rPr>
            <m:t>+</m:t>
          </m:r>
          <m:r>
            <m:t>Ω</m:t>
          </m:r>
          <m:d>
            <m:dPr>
              <m:begChr m:val="("/>
              <m:endChr m:val=")"/>
              <m:sepChr m:val=""/>
              <m:grow/>
            </m:dPr>
            <m:e>
              <m:sSub>
                <m:e>
                  <m:r>
                    <m:t>f</m:t>
                  </m:r>
                </m:e>
                <m:sub>
                  <m:r>
                    <m:t>m</m:t>
                  </m:r>
                </m:sub>
              </m:sSub>
            </m:e>
          </m:d>
        </m:oMath>
      </m:oMathPara>
    </w:p>
    <w:p>
      <w:pPr>
        <w:pStyle w:val="FirstParagraph"/>
      </w:pPr>
      <w:r>
        <w:t xml:space="preserve">where</w:t>
      </w:r>
      <w:r>
        <w:t xml:space="preserve"> </w:t>
      </w:r>
      <m:oMath>
        <m:r>
          <m:t>l</m:t>
        </m:r>
        <m:d>
          <m:dPr>
            <m:begChr m:val="("/>
            <m:endChr m:val=")"/>
            <m:sepChr m:val=""/>
            <m:grow/>
          </m:dPr>
          <m:e>
            <m:r>
              <m:rPr>
                <m:sty m:val="p"/>
              </m:rPr>
              <m:t>⋅</m:t>
            </m:r>
          </m:e>
        </m:d>
      </m:oMath>
      <w:r>
        <w:t xml:space="preserve"> </w:t>
      </w:r>
      <w:r>
        <w:t xml:space="preserve">is the loss function (squared error) and</w:t>
      </w:r>
      <w:r>
        <w:t xml:space="preserve"> </w:t>
      </w:r>
      <m:oMath>
        <m:r>
          <m:t>Ω</m:t>
        </m:r>
        <m:d>
          <m:dPr>
            <m:begChr m:val="("/>
            <m:endChr m:val=")"/>
            <m:sepChr m:val=""/>
            <m:grow/>
          </m:dPr>
          <m:e>
            <m:sSub>
              <m:e>
                <m:r>
                  <m:t>f</m:t>
                </m:r>
              </m:e>
              <m:sub>
                <m:r>
                  <m:t>m</m:t>
                </m:r>
              </m:sub>
            </m:sSub>
          </m:e>
        </m:d>
        <m:r>
          <m:rPr>
            <m:sty m:val="p"/>
          </m:rPr>
          <m:t>=</m:t>
        </m:r>
        <m:r>
          <m:t>γ</m:t>
        </m:r>
        <m:r>
          <m:t>T</m:t>
        </m:r>
        <m:r>
          <m:rPr>
            <m:sty m:val="p"/>
          </m:rPr>
          <m:t>+</m:t>
        </m:r>
        <m:f>
          <m:fPr>
            <m:type m:val="bar"/>
          </m:fPr>
          <m:num>
            <m:r>
              <m:t>1</m:t>
            </m:r>
          </m:num>
          <m:den>
            <m:r>
              <m:t>2</m:t>
            </m:r>
          </m:den>
        </m:f>
        <m:r>
          <m:t>λ</m:t>
        </m:r>
        <m:r>
          <m:rPr>
            <m:sty m:val="p"/>
          </m:rPr>
          <m:t>∥</m:t>
        </m:r>
        <m:r>
          <m:rPr>
            <m:sty m:val="b"/>
          </m:rPr>
          <m:t>w</m:t>
        </m:r>
        <m:sSup>
          <m:e>
            <m:r>
              <m:rPr>
                <m:sty m:val="p"/>
              </m:rPr>
              <m:t>∥</m:t>
            </m:r>
          </m:e>
          <m:sup>
            <m:r>
              <m:t>2</m:t>
            </m:r>
          </m:sup>
        </m:sSup>
      </m:oMath>
      <w:r>
        <w:t xml:space="preserve"> </w:t>
      </w:r>
      <w:r>
        <w:t xml:space="preserve">is the regularization term penalizing tree complexity (</w:t>
      </w:r>
      <m:oMath>
        <m:r>
          <m:t>T</m:t>
        </m:r>
      </m:oMath>
      <w:r>
        <w:t xml:space="preserve"> </w:t>
      </w:r>
      <w:r>
        <w:t xml:space="preserve">= number of leaves,</w:t>
      </w:r>
      <w:r>
        <w:t xml:space="preserve"> </w:t>
      </w:r>
      <m:oMath>
        <m:r>
          <m:rPr>
            <m:sty m:val="b"/>
          </m:rPr>
          <m:t>w</m:t>
        </m:r>
      </m:oMath>
      <w:r>
        <w:t xml:space="preserve"> </w:t>
      </w:r>
      <w:r>
        <w:t xml:space="preserve">= leaf weights).</w:t>
      </w:r>
    </w:p>
    <w:p>
      <w:pPr>
        <w:pStyle w:val="BodyText"/>
      </w:pPr>
      <w:r>
        <w:t xml:space="preserve">For multi-step forecasting, a separate XGBoost model is trained for each of the 24 forecast horizons (multi-output strategy), with the flattened lookback window and temporal features as inputs.</w:t>
      </w:r>
    </w:p>
    <w:p>
      <w:pPr>
        <w:pStyle w:val="BodyText"/>
      </w:pPr>
      <w:r>
        <w:t xml:space="preserve">Key hyperparameters used include: maximum tree depth of 6, learning rate (</w:t>
      </w:r>
      <m:oMath>
        <m:r>
          <m:t>η</m:t>
        </m:r>
      </m:oMath>
      <w:r>
        <w:t xml:space="preserve">) of 0.1, 500 boosting rounds with early stopping (patience = 20), and L2 regularization (</w:t>
      </w:r>
      <m:oMath>
        <m:r>
          <m:t>λ</m:t>
        </m:r>
        <m:r>
          <m:rPr>
            <m:sty m:val="p"/>
          </m:rPr>
          <m:t>=</m:t>
        </m:r>
        <m:r>
          <m:t>1.0</m:t>
        </m:r>
      </m:oMath>
      <w:r>
        <w:t xml:space="preserve">).</w:t>
      </w:r>
    </w:p>
    <w:bookmarkEnd w:id="31"/>
    <w:bookmarkStart w:id="32" w:name="long-short-term-memory-lstm-network"/>
    <w:p>
      <w:pPr>
        <w:pStyle w:val="Heading4"/>
      </w:pPr>
      <w:r>
        <w:t xml:space="preserve">3) Long Short-Term Memory (LSTM) Network</w:t>
      </w:r>
    </w:p>
    <w:p>
      <w:pPr>
        <w:pStyle w:val="FirstParagraph"/>
      </w:pPr>
      <w:r>
        <w:t xml:space="preserve">LSTM networks are a class of recurrent neural networks specifically designed to learn long-range dependencies in sequential data [19]. The LSTM cell maintains a cell state</w:t>
      </w:r>
      <w:r>
        <w:t xml:space="preserve"> </w:t>
      </w:r>
      <m:oMath>
        <m:sSub>
          <m:e>
            <m:r>
              <m:rPr>
                <m:sty m:val="b"/>
              </m:rPr>
              <m:t>c</m:t>
            </m:r>
          </m:e>
          <m:sub>
            <m:r>
              <m:t>t</m:t>
            </m:r>
          </m:sub>
        </m:sSub>
      </m:oMath>
      <w:r>
        <w:t xml:space="preserve"> </w:t>
      </w:r>
      <w:r>
        <w:t xml:space="preserve">and hidden state</w:t>
      </w:r>
      <w:r>
        <w:t xml:space="preserve"> </w:t>
      </w:r>
      <m:oMath>
        <m:sSub>
          <m:e>
            <m:r>
              <m:rPr>
                <m:sty m:val="b"/>
              </m:rPr>
              <m:t>h</m:t>
            </m:r>
          </m:e>
          <m:sub>
            <m:r>
              <m:t>t</m:t>
            </m:r>
          </m:sub>
        </m:sSub>
      </m:oMath>
      <w:r>
        <w:t xml:space="preserve">, regulated by three gates:</w:t>
      </w:r>
    </w:p>
    <w:p>
      <w:pPr>
        <w:pStyle w:val="BodyText"/>
      </w:pPr>
      <w:r>
        <w:rPr>
          <w:b/>
          <w:bCs/>
        </w:rPr>
        <w:t xml:space="preserve">Forget gate:</w:t>
      </w:r>
    </w:p>
    <w:p>
      <w:pPr>
        <w:pStyle w:val="BodyText"/>
      </w:pPr>
      <m:oMathPara>
        <m:oMathParaPr>
          <m:jc m:val="center"/>
        </m:oMathParaPr>
        <m:oMath>
          <m:sSub>
            <m:e>
              <m:r>
                <m:rPr>
                  <m:sty m:val="b"/>
                </m:rPr>
                <m:t>f</m:t>
              </m:r>
            </m:e>
            <m:sub>
              <m:r>
                <m:t>t</m:t>
              </m:r>
            </m:sub>
          </m:sSub>
          <m:r>
            <m:rPr>
              <m:sty m:val="p"/>
            </m:rPr>
            <m:t>=</m:t>
          </m:r>
          <m:r>
            <m:t>σ</m:t>
          </m:r>
          <m:d>
            <m:dPr>
              <m:begChr m:val="("/>
              <m:endChr m:val=")"/>
              <m:sepChr m:val=""/>
              <m:grow/>
            </m:dPr>
            <m:e>
              <m:sSub>
                <m:e>
                  <m:r>
                    <m:rPr>
                      <m:sty m:val="b"/>
                    </m:rPr>
                    <m:t>W</m:t>
                  </m:r>
                </m:e>
                <m:sub>
                  <m:r>
                    <m:t>f</m:t>
                  </m:r>
                </m:sub>
              </m:sSub>
              <m:r>
                <m:rPr>
                  <m:sty m:val="p"/>
                </m:rPr>
                <m:t>⋅</m:t>
              </m:r>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oMath>
      </m:oMathPara>
    </w:p>
    <w:p>
      <w:pPr>
        <w:pStyle w:val="FirstParagraph"/>
      </w:pPr>
      <w:r>
        <w:rPr>
          <w:b/>
          <w:bCs/>
        </w:rPr>
        <w:t xml:space="preserve">Input gate:</w:t>
      </w:r>
    </w:p>
    <w:p>
      <w:pPr>
        <w:pStyle w:val="BodyText"/>
      </w:pPr>
      <m:oMathPara>
        <m:oMathParaPr>
          <m:jc m:val="center"/>
        </m:oMathParaPr>
        <m:oMath>
          <m:sSub>
            <m:e>
              <m:r>
                <m:rPr>
                  <m:sty m:val="b"/>
                </m:rPr>
                <m:t>i</m:t>
              </m:r>
            </m:e>
            <m:sub>
              <m:r>
                <m:t>t</m:t>
              </m:r>
            </m:sub>
          </m:sSub>
          <m:r>
            <m:rPr>
              <m:sty m:val="p"/>
            </m:rPr>
            <m:t>=</m:t>
          </m:r>
          <m:r>
            <m:t>σ</m:t>
          </m:r>
          <m:d>
            <m:dPr>
              <m:begChr m:val="("/>
              <m:endChr m:val=")"/>
              <m:sepChr m:val=""/>
              <m:grow/>
            </m:dPr>
            <m:e>
              <m:sSub>
                <m:e>
                  <m:r>
                    <m:rPr>
                      <m:sty m:val="b"/>
                    </m:rPr>
                    <m:t>W</m:t>
                  </m:r>
                </m:e>
                <m:sub>
                  <m:r>
                    <m:t>i</m:t>
                  </m:r>
                </m:sub>
              </m:sSub>
              <m:r>
                <m:rPr>
                  <m:sty m:val="p"/>
                </m:rPr>
                <m:t>⋅</m:t>
              </m:r>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oMath>
      </m:oMathPara>
    </w:p>
    <w:p>
      <w:pPr>
        <w:pStyle w:val="FirstParagraph"/>
      </w:pPr>
      <m:oMathPara>
        <m:oMathParaPr>
          <m:jc m:val="center"/>
        </m:oMathParaPr>
        <m:oMath>
          <m:sSub>
            <m:e>
              <m:acc>
                <m:accPr>
                  <m:chr m:val="̃"/>
                </m:accPr>
                <m:e>
                  <m:r>
                    <m:rPr>
                      <m:sty m:val="b"/>
                    </m:rPr>
                    <m:t>c</m:t>
                  </m:r>
                </m:e>
              </m:acc>
            </m:e>
            <m:sub>
              <m:r>
                <m:t>t</m:t>
              </m:r>
            </m:sub>
          </m:sSub>
          <m:r>
            <m:rPr>
              <m:sty m:val="p"/>
            </m:rPr>
            <m:t>=</m:t>
          </m:r>
          <m:r>
            <m:rPr>
              <m:sty m:val="p"/>
            </m:rPr>
            <m:t>tanh</m:t>
          </m:r>
          <m:d>
            <m:dPr>
              <m:begChr m:val="("/>
              <m:endChr m:val=")"/>
              <m:sepChr m:val=""/>
              <m:grow/>
            </m:dPr>
            <m:e>
              <m:sSub>
                <m:e>
                  <m:r>
                    <m:rPr>
                      <m:sty m:val="b"/>
                    </m:rPr>
                    <m:t>W</m:t>
                  </m:r>
                </m:e>
                <m:sub>
                  <m:r>
                    <m:t>c</m:t>
                  </m:r>
                </m:sub>
              </m:sSub>
              <m:r>
                <m:rPr>
                  <m:sty m:val="p"/>
                </m:rPr>
                <m:t>⋅</m:t>
              </m:r>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oMath>
      </m:oMathPara>
    </w:p>
    <w:p>
      <w:pPr>
        <w:pStyle w:val="FirstParagraph"/>
      </w:pPr>
      <w:r>
        <w:rPr>
          <w:b/>
          <w:bCs/>
        </w:rPr>
        <w:t xml:space="preserve">Cell state update:</w:t>
      </w:r>
    </w:p>
    <w:p>
      <w:pPr>
        <w:pStyle w:val="BodyText"/>
      </w:pPr>
      <m:oMathPara>
        <m:oMathParaPr>
          <m:jc m:val="center"/>
        </m:oMathParaPr>
        <m:oMath>
          <m:sSub>
            <m:e>
              <m:r>
                <m:rPr>
                  <m:sty m:val="b"/>
                </m:rPr>
                <m:t>c</m:t>
              </m:r>
            </m:e>
            <m:sub>
              <m:r>
                <m:t>t</m:t>
              </m:r>
            </m:sub>
          </m:sSub>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acc>
                <m:accPr>
                  <m:chr m:val="̃"/>
                </m:accPr>
                <m:e>
                  <m:r>
                    <m:rPr>
                      <m:sty m:val="b"/>
                    </m:rPr>
                    <m:t>c</m:t>
                  </m:r>
                </m:e>
              </m:acc>
            </m:e>
            <m:sub>
              <m:r>
                <m:t>t</m:t>
              </m:r>
            </m:sub>
          </m:sSub>
        </m:oMath>
      </m:oMathPara>
    </w:p>
    <w:p>
      <w:pPr>
        <w:pStyle w:val="FirstParagraph"/>
      </w:pPr>
      <w:r>
        <w:rPr>
          <w:b/>
          <w:bCs/>
        </w:rPr>
        <w:t xml:space="preserve">Output gate:</w:t>
      </w:r>
    </w:p>
    <w:p>
      <w:pPr>
        <w:pStyle w:val="BodyText"/>
      </w:pPr>
      <m:oMathPara>
        <m:oMathParaPr>
          <m:jc m:val="center"/>
        </m:oMathParaPr>
        <m:oMath>
          <m:sSub>
            <m:e>
              <m:r>
                <m:rPr>
                  <m:sty m:val="b"/>
                </m:rPr>
                <m:t>o</m:t>
              </m:r>
            </m:e>
            <m:sub>
              <m:r>
                <m:t>t</m:t>
              </m:r>
            </m:sub>
          </m:sSub>
          <m:r>
            <m:rPr>
              <m:sty m:val="p"/>
            </m:rPr>
            <m:t>=</m:t>
          </m:r>
          <m:r>
            <m:t>σ</m:t>
          </m:r>
          <m:d>
            <m:dPr>
              <m:begChr m:val="("/>
              <m:endChr m:val=")"/>
              <m:sepChr m:val=""/>
              <m:grow/>
            </m:dPr>
            <m:e>
              <m:sSub>
                <m:e>
                  <m:r>
                    <m:rPr>
                      <m:sty m:val="b"/>
                    </m:rPr>
                    <m:t>W</m:t>
                  </m:r>
                </m:e>
                <m:sub>
                  <m:r>
                    <m:t>o</m:t>
                  </m:r>
                </m:sub>
              </m:sSub>
              <m:r>
                <m:rPr>
                  <m:sty m:val="p"/>
                </m:rPr>
                <m:t>⋅</m:t>
              </m:r>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oMath>
      </m:oMathPara>
    </w:p>
    <w:p>
      <w:pPr>
        <w:pStyle w:val="FirstParagraph"/>
      </w:pPr>
      <m:oMathPara>
        <m:oMathParaPr>
          <m:jc m:val="center"/>
        </m:oMathParaPr>
        <m:oMath>
          <m:sSub>
            <m:e>
              <m:r>
                <m:rPr>
                  <m:sty m:val="b"/>
                </m:rPr>
                <m:t>h</m:t>
              </m:r>
            </m:e>
            <m:sub>
              <m:r>
                <m:t>t</m:t>
              </m:r>
            </m:sub>
          </m:sSub>
          <m:r>
            <m:rPr>
              <m:sty m:val="p"/>
            </m:rPr>
            <m:t>=</m:t>
          </m:r>
          <m:sSub>
            <m:e>
              <m:r>
                <m:rPr>
                  <m:sty m:val="b"/>
                </m:rPr>
                <m:t>o</m:t>
              </m:r>
            </m:e>
            <m:sub>
              <m:r>
                <m:t>t</m:t>
              </m:r>
            </m:sub>
          </m:sSub>
          <m:r>
            <m:rPr>
              <m:sty m:val="p"/>
            </m:rPr>
            <m:t>⊙</m:t>
          </m:r>
          <m:r>
            <m:rPr>
              <m:sty m:val="p"/>
            </m:rPr>
            <m:t>tanh</m:t>
          </m:r>
          <m:d>
            <m:dPr>
              <m:begChr m:val="("/>
              <m:endChr m:val=")"/>
              <m:sepChr m:val=""/>
              <m:grow/>
            </m:dPr>
            <m:e>
              <m:sSub>
                <m:e>
                  <m:r>
                    <m:rPr>
                      <m:sty m:val="b"/>
                    </m:rPr>
                    <m:t>c</m:t>
                  </m:r>
                </m:e>
                <m:sub>
                  <m:r>
                    <m:t>t</m:t>
                  </m:r>
                </m:sub>
              </m:sSub>
            </m:e>
          </m:d>
        </m:oMath>
      </m:oMathPara>
    </w:p>
    <w:p>
      <w:pPr>
        <w:pStyle w:val="FirstParagraph"/>
      </w:pPr>
      <w:r>
        <w:t xml:space="preserve">where</w:t>
      </w:r>
      <w:r>
        <w:t xml:space="preserve"> </w:t>
      </w:r>
      <m:oMath>
        <m:r>
          <m:t>σ</m:t>
        </m:r>
      </m:oMath>
      <w:r>
        <w:t xml:space="preserve"> </w:t>
      </w:r>
      <w:r>
        <w:t xml:space="preserve">is the sigmoid activation function,</w:t>
      </w:r>
      <w:r>
        <w:t xml:space="preserve"> </w:t>
      </w:r>
      <m:oMath>
        <m:r>
          <m:rPr>
            <m:sty m:val="p"/>
          </m:rPr>
          <m:t>⊙</m:t>
        </m:r>
      </m:oMath>
      <w:r>
        <w:t xml:space="preserve"> </w:t>
      </w:r>
      <w:r>
        <w:t xml:space="preserve">denotes element-wise multiplication, and</w:t>
      </w:r>
      <w:r>
        <w:t xml:space="preserve"> </w:t>
      </w:r>
      <m:oMath>
        <m:r>
          <m:rPr>
            <m:sty m:val="b"/>
          </m:rPr>
          <m:t>W</m:t>
        </m:r>
      </m:oMath>
      <w:r>
        <w:t xml:space="preserve">,</w:t>
      </w:r>
      <w:r>
        <w:t xml:space="preserve"> </w:t>
      </w:r>
      <m:oMath>
        <m:r>
          <m:rPr>
            <m:sty m:val="b"/>
          </m:rPr>
          <m:t>b</m:t>
        </m:r>
      </m:oMath>
      <w:r>
        <w:t xml:space="preserve"> </w:t>
      </w:r>
      <w:r>
        <w:t xml:space="preserve">are the learnable weight matrices and bias vectors.</w:t>
      </w:r>
    </w:p>
    <w:p>
      <w:pPr>
        <w:pStyle w:val="BodyText"/>
      </w:pPr>
      <w:r>
        <w:t xml:space="preserve">The LSTM architecture used in this study consists of two stacked LSTM layers with 128 and 64 hidden units, respectively, followed by a fully connected output layer with 24 neurons (one per forecast step). Dropout regularization (rate = 0.2) is applied between LSTM layers to mitigate overfitting. The model is trained using the Adam optimizer with a learning rate of 0.001 for 100 epochs with a batch size of 64.</w:t>
      </w:r>
    </w:p>
    <w:bookmarkEnd w:id="32"/>
    <w:bookmarkStart w:id="33" w:name="convolutional-neural-network-cnn"/>
    <w:p>
      <w:pPr>
        <w:pStyle w:val="Heading4"/>
      </w:pPr>
      <w:r>
        <w:t xml:space="preserve">4) Convolutional Neural Network (CNN)</w:t>
      </w:r>
    </w:p>
    <w:p>
      <w:pPr>
        <w:pStyle w:val="FirstParagraph"/>
      </w:pPr>
      <w:r>
        <w:t xml:space="preserve">CNNs exploit local temporal patterns through 1D convolutional filters that slide across the input time series [20]. For a 1D convolution with kernel</w:t>
      </w:r>
      <w:r>
        <w:t xml:space="preserve"> </w:t>
      </w:r>
      <m:oMath>
        <m:r>
          <m:rPr>
            <m:sty m:val="b"/>
          </m:rPr>
          <m:t>k</m:t>
        </m:r>
      </m:oMath>
      <w:r>
        <w:t xml:space="preserve"> </w:t>
      </w:r>
      <w:r>
        <w:t xml:space="preserve">of size</w:t>
      </w:r>
      <w:r>
        <w:t xml:space="preserve"> </w:t>
      </w:r>
      <m:oMath>
        <m:r>
          <m:t>K</m:t>
        </m:r>
      </m:oMath>
      <w:r>
        <w:t xml:space="preserve">:</w:t>
      </w:r>
    </w:p>
    <w:p>
      <w:pPr>
        <w:pStyle w:val="BodyText"/>
      </w:pPr>
      <m:oMathPara>
        <m:oMathParaPr>
          <m:jc m:val="center"/>
        </m:oMathParaPr>
        <m:oMath>
          <m:d>
            <m:dPr>
              <m:begChr m:val="("/>
              <m:endChr m:val=")"/>
              <m:sepChr m:val=""/>
              <m:grow/>
            </m:dPr>
            <m:e>
              <m:r>
                <m:t>x</m:t>
              </m:r>
              <m:r>
                <m:rPr>
                  <m:sty m:val="p"/>
                </m:rPr>
                <m:t>*</m:t>
              </m:r>
              <m:r>
                <m:t>k</m:t>
              </m:r>
            </m:e>
          </m:d>
          <m:d>
            <m:dPr>
              <m:begChr m:val="["/>
              <m:endChr m:val="]"/>
              <m:sepChr m:val=""/>
              <m:grow/>
            </m:dPr>
            <m:e>
              <m:r>
                <m:t>t</m:t>
              </m:r>
            </m:e>
          </m:d>
          <m:r>
            <m:rPr>
              <m:sty m:val="p"/>
            </m:rPr>
            <m:t>=</m:t>
          </m:r>
          <m:nary>
            <m:naryPr>
              <m:chr m:val="∑"/>
              <m:limLoc m:val="undOvr"/>
              <m:subHide m:val="off"/>
              <m:supHide m:val="off"/>
            </m:naryPr>
            <m:sub>
              <m:r>
                <m:t>j</m:t>
              </m:r>
              <m:r>
                <m:rPr>
                  <m:sty m:val="p"/>
                </m:rPr>
                <m:t>=</m:t>
              </m:r>
              <m:r>
                <m:t>0</m:t>
              </m:r>
            </m:sub>
            <m:sup>
              <m:r>
                <m:t>K</m:t>
              </m:r>
              <m:r>
                <m:rPr>
                  <m:sty m:val="p"/>
                </m:rPr>
                <m:t>−</m:t>
              </m:r>
              <m:r>
                <m:t>1</m:t>
              </m:r>
            </m:sup>
            <m:e>
              <m:r>
                <m:t>x</m:t>
              </m:r>
            </m:e>
          </m:nary>
          <m:d>
            <m:dPr>
              <m:begChr m:val="["/>
              <m:endChr m:val="]"/>
              <m:sepChr m:val=""/>
              <m:grow/>
            </m:dPr>
            <m:e>
              <m:r>
                <m:t>t</m:t>
              </m:r>
              <m:r>
                <m:rPr>
                  <m:sty m:val="p"/>
                </m:rPr>
                <m:t>−</m:t>
              </m:r>
              <m:r>
                <m:t>j</m:t>
              </m:r>
            </m:e>
          </m:d>
          <m:r>
            <m:rPr>
              <m:sty m:val="p"/>
            </m:rPr>
            <m:t>⋅</m:t>
          </m:r>
          <m:r>
            <m:t>k</m:t>
          </m:r>
          <m:d>
            <m:dPr>
              <m:begChr m:val="["/>
              <m:endChr m:val="]"/>
              <m:sepChr m:val=""/>
              <m:grow/>
            </m:dPr>
            <m:e>
              <m:r>
                <m:t>j</m:t>
              </m:r>
            </m:e>
          </m:d>
        </m:oMath>
      </m:oMathPara>
    </w:p>
    <w:p>
      <w:pPr>
        <w:pStyle w:val="FirstParagraph"/>
      </w:pPr>
      <w:r>
        <w:t xml:space="preserve">The CNN architecture used in this study consists of:</w:t>
      </w:r>
      <w:r>
        <w:t xml:space="preserve"> </w:t>
      </w:r>
      <w:r>
        <w:t xml:space="preserve">- Two 1D convolutional layers with 64 and 32 filters, kernel size 3, and ReLU activation.</w:t>
      </w:r>
      <w:r>
        <w:t xml:space="preserve"> </w:t>
      </w:r>
      <w:r>
        <w:t xml:space="preserve">- Max pooling (pool size = 2) after each convolutional layer.</w:t>
      </w:r>
      <w:r>
        <w:t xml:space="preserve"> </w:t>
      </w:r>
      <w:r>
        <w:t xml:space="preserve">- A flatten layer followed by a fully connected layer with 128 neurons (ReLU activation).</w:t>
      </w:r>
      <w:r>
        <w:t xml:space="preserve"> </w:t>
      </w:r>
      <w:r>
        <w:t xml:space="preserve">- A dense output layer with 24 neurons for multi-step prediction.</w:t>
      </w:r>
    </w:p>
    <w:p>
      <w:pPr>
        <w:pStyle w:val="BodyText"/>
      </w:pPr>
      <w:r>
        <w:t xml:space="preserve">Batch normalization is applied after each convolutional layer to stabilize training. The model is optimized using Adam (learning rate = 0.001) with MSE loss over 100 epochs.</w:t>
      </w:r>
    </w:p>
    <w:p>
      <w:r>
        <w:pict>
          <v:rect style="width:0;height:1.5pt" o:hralign="center" o:hrstd="t" o:hr="t"/>
        </w:pict>
      </w:r>
    </w:p>
    <w:bookmarkEnd w:id="33"/>
    <w:bookmarkEnd w:id="34"/>
    <w:bookmarkEnd w:id="35"/>
    <w:bookmarkStart w:id="39" w:name="iv.-experimental-setup"/>
    <w:p>
      <w:pPr>
        <w:pStyle w:val="Heading2"/>
      </w:pPr>
      <w:r>
        <w:t xml:space="preserve">IV. Experimental Setup</w:t>
      </w:r>
    </w:p>
    <w:bookmarkStart w:id="36" w:name="a.-train-test-split"/>
    <w:p>
      <w:pPr>
        <w:pStyle w:val="Heading3"/>
      </w:pPr>
      <w:r>
        <w:t xml:space="preserve">A. Train-Test Split</w:t>
      </w:r>
    </w:p>
    <w:p>
      <w:pPr>
        <w:pStyle w:val="FirstParagraph"/>
      </w:pPr>
      <w:r>
        <w:t xml:space="preserve">To simulate the cold-start scenario, the dataset is split</w:t>
      </w:r>
      <w:r>
        <w:t xml:space="preserve"> </w:t>
      </w:r>
      <w:r>
        <w:rPr>
          <w:b/>
          <w:bCs/>
        </w:rPr>
        <w:t xml:space="preserve">strictly by year</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Split</w:t>
            </w:r>
          </w:p>
        </w:tc>
        <w:tc>
          <w:tcPr/>
          <w:p>
            <w:pPr>
              <w:pStyle w:val="Compact"/>
              <w:jc w:val="left"/>
            </w:pPr>
            <w:r>
              <w:t xml:space="preserve">Period</w:t>
            </w:r>
          </w:p>
        </w:tc>
        <w:tc>
          <w:tcPr/>
          <w:p>
            <w:pPr>
              <w:pStyle w:val="Compact"/>
              <w:jc w:val="left"/>
            </w:pPr>
            <w:r>
              <w:t xml:space="preserve">Purpose</w:t>
            </w:r>
          </w:p>
        </w:tc>
      </w:tr>
      <w:tr>
        <w:tc>
          <w:tcPr/>
          <w:p>
            <w:pPr>
              <w:pStyle w:val="Compact"/>
              <w:jc w:val="left"/>
            </w:pPr>
            <w:r>
              <w:rPr>
                <w:b/>
                <w:bCs/>
              </w:rPr>
              <w:t xml:space="preserve">Training</w:t>
            </w:r>
          </w:p>
        </w:tc>
        <w:tc>
          <w:tcPr/>
          <w:p>
            <w:pPr>
              <w:pStyle w:val="Compact"/>
              <w:jc w:val="left"/>
            </w:pPr>
            <w:r>
              <w:t xml:space="preserve">January 1, 2019 – December 31, 2019</w:t>
            </w:r>
          </w:p>
        </w:tc>
        <w:tc>
          <w:tcPr/>
          <w:p>
            <w:pPr>
              <w:pStyle w:val="Compact"/>
              <w:jc w:val="left"/>
            </w:pPr>
            <w:r>
              <w:t xml:space="preserve">Model training and validation</w:t>
            </w:r>
          </w:p>
        </w:tc>
      </w:tr>
      <w:tr>
        <w:tc>
          <w:tcPr/>
          <w:p>
            <w:pPr>
              <w:pStyle w:val="Compact"/>
              <w:jc w:val="left"/>
            </w:pPr>
            <w:r>
              <w:rPr>
                <w:b/>
                <w:bCs/>
              </w:rPr>
              <w:t xml:space="preserve">Testing</w:t>
            </w:r>
          </w:p>
        </w:tc>
        <w:tc>
          <w:tcPr/>
          <w:p>
            <w:pPr>
              <w:pStyle w:val="Compact"/>
              <w:jc w:val="left"/>
            </w:pPr>
            <w:r>
              <w:t xml:space="preserve">January 1, 2020 – December 31, 2020</w:t>
            </w:r>
          </w:p>
        </w:tc>
        <w:tc>
          <w:tcPr/>
          <w:p>
            <w:pPr>
              <w:pStyle w:val="Compact"/>
              <w:jc w:val="left"/>
            </w:pPr>
            <w:r>
              <w:t xml:space="preserve">Cold-start generalization evaluation</w:t>
            </w:r>
          </w:p>
        </w:tc>
      </w:tr>
    </w:tbl>
    <w:p>
      <w:pPr>
        <w:pStyle w:val="BodyText"/>
      </w:pPr>
      <w:r>
        <w:t xml:space="preserve">Within the 2019 training data, an 80-20 chronological split is used for training and validation (i.e., January–October 2019 for training; November–December 2019 for validation and hyperparameter tuning). The entire 2020 dataset serves as the held-out test set, representing a building year for which no data was available during model development.</w:t>
      </w:r>
    </w:p>
    <w:p>
      <w:pPr>
        <w:pStyle w:val="BodyText"/>
      </w:pPr>
      <w:r>
        <w:t xml:space="preserve">This strict temporal separation ensures that no information from 2020 — including consumption patterns, seasonal trends, or anomalies — leaks into the training process, thereby providing a rigorous evaluation of temporal generalization.</w:t>
      </w:r>
    </w:p>
    <w:bookmarkEnd w:id="36"/>
    <w:bookmarkStart w:id="37" w:name="b.-evaluation-metrics"/>
    <w:p>
      <w:pPr>
        <w:pStyle w:val="Heading3"/>
      </w:pPr>
      <w:r>
        <w:t xml:space="preserve">B. Evaluation Metrics</w:t>
      </w:r>
    </w:p>
    <w:p>
      <w:pPr>
        <w:pStyle w:val="FirstParagraph"/>
      </w:pPr>
      <w:r>
        <w:t xml:space="preserve">Three standard regression metrics are used to evaluate model performance:</w:t>
      </w:r>
    </w:p>
    <w:p>
      <w:pPr>
        <w:pStyle w:val="BodyText"/>
      </w:pPr>
      <w:r>
        <w:rPr>
          <w:b/>
          <w:bCs/>
        </w:rPr>
        <w:t xml:space="preserve">1) Mean Absolute Error (MAE):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oMath>
      </m:oMathPara>
    </w:p>
    <w:p>
      <w:pPr>
        <w:pStyle w:val="FirstParagraph"/>
      </w:pPr>
      <w:r>
        <w:t xml:space="preserve">MAE measures the average magnitude of prediction errors without considering direction. It is expressed in the same units as the target variable (kWh) and is robust to outliers.</w:t>
      </w:r>
    </w:p>
    <w:p>
      <w:pPr>
        <w:pStyle w:val="BodyText"/>
      </w:pPr>
      <w:r>
        <w:rPr>
          <w:b/>
          <w:bCs/>
        </w:rPr>
        <w:t xml:space="preserve">2) Root Mean Squared Error (RMSE):</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w:r>
        <w:t xml:space="preserve">RMSE penalizes larger errors more heavily than MAE due to the squaring operation, making it sensitive to outliers and large forecast deviations. It is also expressed in kWh.</w:t>
      </w:r>
    </w:p>
    <w:p>
      <w:pPr>
        <w:pStyle w:val="BodyText"/>
      </w:pPr>
      <w:r>
        <w:rPr>
          <w:b/>
          <w:bCs/>
        </w:rPr>
        <w:t xml:space="preserve">3) Coefficient of Determination (R²):</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acc>
                            <m:accPr>
                              <m:chr m:val="‾"/>
                            </m:accPr>
                            <m:e>
                              <m:r>
                                <m:t>y</m:t>
                              </m:r>
                            </m:e>
                          </m:acc>
                        </m:e>
                      </m:d>
                    </m:e>
                    <m:sup>
                      <m:r>
                        <m:t>2</m:t>
                      </m:r>
                    </m:sup>
                  </m:sSup>
                </m:e>
              </m:nary>
            </m:den>
          </m:f>
        </m:oMath>
      </m:oMathPara>
    </w:p>
    <w:p>
      <w:pPr>
        <w:pStyle w:val="FirstParagraph"/>
      </w:pPr>
      <w:r>
        <w:t xml:space="preserve">where</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t xml:space="preserve">is the mean of observed values. R² indicates the proportion of variance in the actual consumption explained by the model. An R² of 1.0 represents perfect prediction, while R² = 0 indicates performance equivalent to predicting the mean.</w:t>
      </w:r>
    </w:p>
    <w:bookmarkEnd w:id="37"/>
    <w:bookmarkStart w:id="38" w:name="c.-implementation-details"/>
    <w:p>
      <w:pPr>
        <w:pStyle w:val="Heading3"/>
      </w:pPr>
      <w:r>
        <w:t xml:space="preserve">C. Implementation Details</w:t>
      </w:r>
    </w:p>
    <w:p>
      <w:pPr>
        <w:pStyle w:val="FirstParagraph"/>
      </w:pPr>
      <w:r>
        <w:t xml:space="preserve">All models are implemented in Python 3.9. Scikit-learn (v1.2) is used for Linear Regression. XGBoost (v1.7) is used for gradient boosting. TensorFlow/Keras (v2.12) is used for LSTM and CNN models. Experiments are conducted on a workstation equipped with an NVIDIA RTX 3080 GPU (10 GB VRAM), Intel Core i7-12700K CPU, and 32 GB RAM. Deep learning models are trained with GPU acceleration using CUDA 11.8. All experiments are repeated five times with different random seeds, and mean results are reported to ensure reproducibility.</w:t>
      </w:r>
    </w:p>
    <w:p>
      <w:r>
        <w:pict>
          <v:rect style="width:0;height:1.5pt" o:hralign="center" o:hrstd="t" o:hr="t"/>
        </w:pict>
      </w:r>
    </w:p>
    <w:bookmarkEnd w:id="38"/>
    <w:bookmarkEnd w:id="39"/>
    <w:bookmarkStart w:id="44" w:name="v.-results-and-comparative-analysis"/>
    <w:p>
      <w:pPr>
        <w:pStyle w:val="Heading2"/>
      </w:pPr>
      <w:r>
        <w:t xml:space="preserve">V. Results and Comparative Analysis</w:t>
      </w:r>
    </w:p>
    <w:bookmarkStart w:id="40" w:name="a.-overall-performance-comparison"/>
    <w:p>
      <w:pPr>
        <w:pStyle w:val="Heading3"/>
      </w:pPr>
      <w:r>
        <w:t xml:space="preserve">A. Overall Performance Comparison</w:t>
      </w:r>
    </w:p>
    <w:p>
      <w:pPr>
        <w:pStyle w:val="FirstParagraph"/>
      </w:pPr>
      <w:r>
        <w:t xml:space="preserve">Table I presents the overall performance of all four models on the 2020 test set (cold-start evaluation). Results represent the average across all 24 forecast horizons.</w:t>
      </w:r>
    </w:p>
    <w:p>
      <w:pPr>
        <w:pStyle w:val="BodyText"/>
      </w:pPr>
      <w:r>
        <w:rPr>
          <w:b/>
          <w:bCs/>
        </w:rPr>
        <w:t xml:space="preserve">TABLE I: Overall Model Performance on the 2020 Test Set (Cold-Start Evaluation)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MAE (kWh)</w:t>
            </w:r>
          </w:p>
        </w:tc>
        <w:tc>
          <w:tcPr/>
          <w:p>
            <w:pPr>
              <w:pStyle w:val="Compact"/>
              <w:jc w:val="left"/>
            </w:pPr>
            <w:r>
              <w:t xml:space="preserve">RMSE (kWh)</w:t>
            </w:r>
          </w:p>
        </w:tc>
        <w:tc>
          <w:tcPr/>
          <w:p>
            <w:pPr>
              <w:pStyle w:val="Compact"/>
              <w:jc w:val="left"/>
            </w:pPr>
            <w:r>
              <w:t xml:space="preserve">R²</w:t>
            </w:r>
          </w:p>
        </w:tc>
        <w:tc>
          <w:tcPr/>
          <w:p>
            <w:pPr>
              <w:pStyle w:val="Compact"/>
              <w:jc w:val="left"/>
            </w:pPr>
            <w:r>
              <w:t xml:space="preserve">Training Time</w:t>
            </w:r>
          </w:p>
        </w:tc>
      </w:tr>
      <w:tr>
        <w:tc>
          <w:tcPr/>
          <w:p>
            <w:pPr>
              <w:pStyle w:val="Compact"/>
              <w:jc w:val="left"/>
            </w:pPr>
            <w:r>
              <w:t xml:space="preserve">Linear Regression</w:t>
            </w:r>
          </w:p>
        </w:tc>
        <w:tc>
          <w:tcPr/>
          <w:p>
            <w:pPr>
              <w:pStyle w:val="Compact"/>
              <w:jc w:val="left"/>
            </w:pPr>
            <w:r>
              <w:t xml:space="preserve">1.42</w:t>
            </w:r>
          </w:p>
        </w:tc>
        <w:tc>
          <w:tcPr/>
          <w:p>
            <w:pPr>
              <w:pStyle w:val="Compact"/>
              <w:jc w:val="left"/>
            </w:pPr>
            <w:r>
              <w:t xml:space="preserve">1.89</w:t>
            </w:r>
          </w:p>
        </w:tc>
        <w:tc>
          <w:tcPr/>
          <w:p>
            <w:pPr>
              <w:pStyle w:val="Compact"/>
              <w:jc w:val="left"/>
            </w:pPr>
            <w:r>
              <w:t xml:space="preserve">0.74</w:t>
            </w:r>
          </w:p>
        </w:tc>
        <w:tc>
          <w:tcPr/>
          <w:p>
            <w:pPr>
              <w:pStyle w:val="Compact"/>
              <w:jc w:val="left"/>
            </w:pPr>
            <w:r>
              <w:t xml:space="preserve">~2 sec</w:t>
            </w:r>
          </w:p>
        </w:tc>
      </w:tr>
      <w:tr>
        <w:tc>
          <w:tcPr/>
          <w:p>
            <w:pPr>
              <w:pStyle w:val="Compact"/>
              <w:jc w:val="left"/>
            </w:pPr>
            <w:r>
              <w:t xml:space="preserve">XGBoost</w:t>
            </w:r>
          </w:p>
        </w:tc>
        <w:tc>
          <w:tcPr/>
          <w:p>
            <w:pPr>
              <w:pStyle w:val="Compact"/>
              <w:jc w:val="left"/>
            </w:pPr>
            <w:r>
              <w:rPr>
                <w:b/>
                <w:bCs/>
              </w:rPr>
              <w:t xml:space="preserve">0.87</w:t>
            </w:r>
          </w:p>
        </w:tc>
        <w:tc>
          <w:tcPr/>
          <w:p>
            <w:pPr>
              <w:pStyle w:val="Compact"/>
              <w:jc w:val="left"/>
            </w:pPr>
            <w:r>
              <w:rPr>
                <w:b/>
                <w:bCs/>
              </w:rPr>
              <w:t xml:space="preserve">1.14</w:t>
            </w:r>
          </w:p>
        </w:tc>
        <w:tc>
          <w:tcPr/>
          <w:p>
            <w:pPr>
              <w:pStyle w:val="Compact"/>
              <w:jc w:val="left"/>
            </w:pPr>
            <w:r>
              <w:rPr>
                <w:b/>
                <w:bCs/>
              </w:rPr>
              <w:t xml:space="preserve">0.91</w:t>
            </w:r>
          </w:p>
        </w:tc>
        <w:tc>
          <w:tcPr/>
          <w:p>
            <w:pPr>
              <w:pStyle w:val="Compact"/>
              <w:jc w:val="left"/>
            </w:pPr>
            <w:r>
              <w:t xml:space="preserve">~45 sec</w:t>
            </w:r>
          </w:p>
        </w:tc>
      </w:tr>
      <w:tr>
        <w:tc>
          <w:tcPr/>
          <w:p>
            <w:pPr>
              <w:pStyle w:val="Compact"/>
              <w:jc w:val="left"/>
            </w:pPr>
            <w:r>
              <w:t xml:space="preserve">LSTM</w:t>
            </w:r>
          </w:p>
        </w:tc>
        <w:tc>
          <w:tcPr/>
          <w:p>
            <w:pPr>
              <w:pStyle w:val="Compact"/>
              <w:jc w:val="left"/>
            </w:pPr>
            <w:r>
              <w:t xml:space="preserve">0.93</w:t>
            </w:r>
          </w:p>
        </w:tc>
        <w:tc>
          <w:tcPr/>
          <w:p>
            <w:pPr>
              <w:pStyle w:val="Compact"/>
              <w:jc w:val="left"/>
            </w:pPr>
            <w:r>
              <w:t xml:space="preserve">1.22</w:t>
            </w:r>
          </w:p>
        </w:tc>
        <w:tc>
          <w:tcPr/>
          <w:p>
            <w:pPr>
              <w:pStyle w:val="Compact"/>
              <w:jc w:val="left"/>
            </w:pPr>
            <w:r>
              <w:t xml:space="preserve">0.89</w:t>
            </w:r>
          </w:p>
        </w:tc>
        <w:tc>
          <w:tcPr/>
          <w:p>
            <w:pPr>
              <w:pStyle w:val="Compact"/>
              <w:jc w:val="left"/>
            </w:pPr>
            <w:r>
              <w:t xml:space="preserve">~18 min</w:t>
            </w:r>
          </w:p>
        </w:tc>
      </w:tr>
      <w:tr>
        <w:tc>
          <w:tcPr/>
          <w:p>
            <w:pPr>
              <w:pStyle w:val="Compact"/>
              <w:jc w:val="left"/>
            </w:pPr>
            <w:r>
              <w:t xml:space="preserve">CNN</w:t>
            </w:r>
          </w:p>
        </w:tc>
        <w:tc>
          <w:tcPr/>
          <w:p>
            <w:pPr>
              <w:pStyle w:val="Compact"/>
              <w:jc w:val="left"/>
            </w:pPr>
            <w:r>
              <w:t xml:space="preserve">1.05</w:t>
            </w:r>
          </w:p>
        </w:tc>
        <w:tc>
          <w:tcPr/>
          <w:p>
            <w:pPr>
              <w:pStyle w:val="Compact"/>
              <w:jc w:val="left"/>
            </w:pPr>
            <w:r>
              <w:t xml:space="preserve">1.38</w:t>
            </w:r>
          </w:p>
        </w:tc>
        <w:tc>
          <w:tcPr/>
          <w:p>
            <w:pPr>
              <w:pStyle w:val="Compact"/>
              <w:jc w:val="left"/>
            </w:pPr>
            <w:r>
              <w:t xml:space="preserve">0.86</w:t>
            </w:r>
          </w:p>
        </w:tc>
        <w:tc>
          <w:tcPr/>
          <w:p>
            <w:pPr>
              <w:pStyle w:val="Compact"/>
              <w:jc w:val="left"/>
            </w:pPr>
            <w:r>
              <w:t xml:space="preserve">~12 min</w:t>
            </w:r>
          </w:p>
        </w:tc>
      </w:tr>
    </w:tbl>
    <w:p>
      <w:pPr>
        <w:pStyle w:val="BodyText"/>
      </w:pPr>
      <w:r>
        <w:t xml:space="preserve">Key observations:</w:t>
      </w:r>
      <w:r>
        <w:t xml:space="preserve"> </w:t>
      </w:r>
      <w:r>
        <w:t xml:space="preserve">-</w:t>
      </w:r>
      <w:r>
        <w:t xml:space="preserve"> </w:t>
      </w:r>
      <w:r>
        <w:rPr>
          <w:b/>
          <w:bCs/>
        </w:rPr>
        <w:t xml:space="preserve">XGBoost</w:t>
      </w:r>
      <w:r>
        <w:t xml:space="preserve"> </w:t>
      </w:r>
      <w:r>
        <w:t xml:space="preserve">achieves the best performance across all three metrics, with the lowest MAE (0.87 kWh), lowest RMSE (1.14 kWh), and highest R² (0.91).</w:t>
      </w:r>
      <w:r>
        <w:t xml:space="preserve"> </w:t>
      </w:r>
      <w:r>
        <w:t xml:space="preserve">-</w:t>
      </w:r>
      <w:r>
        <w:t xml:space="preserve"> </w:t>
      </w:r>
      <w:r>
        <w:rPr>
          <w:b/>
          <w:bCs/>
        </w:rPr>
        <w:t xml:space="preserve">LSTM</w:t>
      </w:r>
      <w:r>
        <w:t xml:space="preserve"> </w:t>
      </w:r>
      <w:r>
        <w:t xml:space="preserve">ranks second, demonstrating strong sequential modeling capability with an R² of 0.89. Its RMSE is 7.0% higher than XGBoost’s.</w:t>
      </w:r>
      <w:r>
        <w:t xml:space="preserve"> </w:t>
      </w:r>
      <w:r>
        <w:t xml:space="preserve">-</w:t>
      </w:r>
      <w:r>
        <w:t xml:space="preserve"> </w:t>
      </w:r>
      <w:r>
        <w:rPr>
          <w:b/>
          <w:bCs/>
        </w:rPr>
        <w:t xml:space="preserve">CNN</w:t>
      </w:r>
      <w:r>
        <w:t xml:space="preserve"> </w:t>
      </w:r>
      <w:r>
        <w:t xml:space="preserve">achieves competitive results (R² = 0.86), indicating that local temporal patterns captured by 1D convolutions are informative for energy prediction.</w:t>
      </w:r>
      <w:r>
        <w:t xml:space="preserve"> </w:t>
      </w:r>
      <w:r>
        <w:t xml:space="preserve">-</w:t>
      </w:r>
      <w:r>
        <w:t xml:space="preserve"> </w:t>
      </w:r>
      <w:r>
        <w:rPr>
          <w:b/>
          <w:bCs/>
        </w:rPr>
        <w:t xml:space="preserve">Linear Regression</w:t>
      </w:r>
      <w:r>
        <w:t xml:space="preserve"> </w:t>
      </w:r>
      <w:r>
        <w:t xml:space="preserve">provides a reasonable baseline (R² = 0.74) but exhibits substantially higher error, confirming the non-linear nature of building energy consumption.</w:t>
      </w:r>
    </w:p>
    <w:bookmarkEnd w:id="40"/>
    <w:bookmarkStart w:id="41" w:name="b.-performance-across-forecast-horizons"/>
    <w:p>
      <w:pPr>
        <w:pStyle w:val="Heading3"/>
      </w:pPr>
      <w:r>
        <w:t xml:space="preserve">B. Performance Across Forecast Horizons</w:t>
      </w:r>
    </w:p>
    <w:p>
      <w:pPr>
        <w:pStyle w:val="FirstParagraph"/>
      </w:pPr>
      <w:r>
        <w:t xml:space="preserve">Table II presents model performance disaggregated by forecast horizon ranges, revealing how prediction accuracy degrades with increasing lead time.</w:t>
      </w:r>
    </w:p>
    <w:p>
      <w:pPr>
        <w:pStyle w:val="BodyText"/>
      </w:pPr>
      <w:r>
        <w:rPr>
          <w:b/>
          <w:bCs/>
        </w:rPr>
        <w:t xml:space="preserve">TABLE II: Performance by Forecast Horizon (MAE in kWh)</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Forecast Horizon</w:t>
            </w:r>
          </w:p>
        </w:tc>
        <w:tc>
          <w:tcPr/>
          <w:p>
            <w:pPr>
              <w:pStyle w:val="Compact"/>
              <w:jc w:val="left"/>
            </w:pPr>
            <w:r>
              <w:t xml:space="preserve">Linear Regression</w:t>
            </w:r>
          </w:p>
        </w:tc>
        <w:tc>
          <w:tcPr/>
          <w:p>
            <w:pPr>
              <w:pStyle w:val="Compact"/>
              <w:jc w:val="left"/>
            </w:pPr>
            <w:r>
              <w:t xml:space="preserve">XGBoost</w:t>
            </w:r>
          </w:p>
        </w:tc>
        <w:tc>
          <w:tcPr/>
          <w:p>
            <w:pPr>
              <w:pStyle w:val="Compact"/>
              <w:jc w:val="left"/>
            </w:pPr>
            <w:r>
              <w:t xml:space="preserve">LSTM</w:t>
            </w:r>
          </w:p>
        </w:tc>
        <w:tc>
          <w:tcPr/>
          <w:p>
            <w:pPr>
              <w:pStyle w:val="Compact"/>
              <w:jc w:val="left"/>
            </w:pPr>
            <w:r>
              <w:t xml:space="preserve">CNN</w:t>
            </w:r>
          </w:p>
        </w:tc>
      </w:tr>
      <w:tr>
        <w:tc>
          <w:tcPr/>
          <w:p>
            <w:pPr>
              <w:pStyle w:val="Compact"/>
              <w:jc w:val="left"/>
            </w:pPr>
            <w:r>
              <w:t xml:space="preserve">1–6 hours</w:t>
            </w:r>
          </w:p>
        </w:tc>
        <w:tc>
          <w:tcPr/>
          <w:p>
            <w:pPr>
              <w:pStyle w:val="Compact"/>
              <w:jc w:val="left"/>
            </w:pPr>
            <w:r>
              <w:t xml:space="preserve">1.18</w:t>
            </w:r>
          </w:p>
        </w:tc>
        <w:tc>
          <w:tcPr/>
          <w:p>
            <w:pPr>
              <w:pStyle w:val="Compact"/>
              <w:jc w:val="left"/>
            </w:pPr>
            <w:r>
              <w:t xml:space="preserve">0.71</w:t>
            </w:r>
          </w:p>
        </w:tc>
        <w:tc>
          <w:tcPr/>
          <w:p>
            <w:pPr>
              <w:pStyle w:val="Compact"/>
              <w:jc w:val="left"/>
            </w:pPr>
            <w:r>
              <w:t xml:space="preserve">0.74</w:t>
            </w:r>
          </w:p>
        </w:tc>
        <w:tc>
          <w:tcPr/>
          <w:p>
            <w:pPr>
              <w:pStyle w:val="Compact"/>
              <w:jc w:val="left"/>
            </w:pPr>
            <w:r>
              <w:t xml:space="preserve">0.85</w:t>
            </w:r>
          </w:p>
        </w:tc>
      </w:tr>
      <w:tr>
        <w:tc>
          <w:tcPr/>
          <w:p>
            <w:pPr>
              <w:pStyle w:val="Compact"/>
              <w:jc w:val="left"/>
            </w:pPr>
            <w:r>
              <w:t xml:space="preserve">7–12 hours</w:t>
            </w:r>
          </w:p>
        </w:tc>
        <w:tc>
          <w:tcPr/>
          <w:p>
            <w:pPr>
              <w:pStyle w:val="Compact"/>
              <w:jc w:val="left"/>
            </w:pPr>
            <w:r>
              <w:t xml:space="preserve">1.35</w:t>
            </w:r>
          </w:p>
        </w:tc>
        <w:tc>
          <w:tcPr/>
          <w:p>
            <w:pPr>
              <w:pStyle w:val="Compact"/>
              <w:jc w:val="left"/>
            </w:pPr>
            <w:r>
              <w:t xml:space="preserve">0.82</w:t>
            </w:r>
          </w:p>
        </w:tc>
        <w:tc>
          <w:tcPr/>
          <w:p>
            <w:pPr>
              <w:pStyle w:val="Compact"/>
              <w:jc w:val="left"/>
            </w:pPr>
            <w:r>
              <w:t xml:space="preserve">0.88</w:t>
            </w:r>
          </w:p>
        </w:tc>
        <w:tc>
          <w:tcPr/>
          <w:p>
            <w:pPr>
              <w:pStyle w:val="Compact"/>
              <w:jc w:val="left"/>
            </w:pPr>
            <w:r>
              <w:t xml:space="preserve">1.01</w:t>
            </w:r>
          </w:p>
        </w:tc>
      </w:tr>
      <w:tr>
        <w:tc>
          <w:tcPr/>
          <w:p>
            <w:pPr>
              <w:pStyle w:val="Compact"/>
              <w:jc w:val="left"/>
            </w:pPr>
            <w:r>
              <w:t xml:space="preserve">13–18 hours</w:t>
            </w:r>
          </w:p>
        </w:tc>
        <w:tc>
          <w:tcPr/>
          <w:p>
            <w:pPr>
              <w:pStyle w:val="Compact"/>
              <w:jc w:val="left"/>
            </w:pPr>
            <w:r>
              <w:t xml:space="preserve">1.52</w:t>
            </w:r>
          </w:p>
        </w:tc>
        <w:tc>
          <w:tcPr/>
          <w:p>
            <w:pPr>
              <w:pStyle w:val="Compact"/>
              <w:jc w:val="left"/>
            </w:pPr>
            <w:r>
              <w:t xml:space="preserve">0.94</w:t>
            </w:r>
          </w:p>
        </w:tc>
        <w:tc>
          <w:tcPr/>
          <w:p>
            <w:pPr>
              <w:pStyle w:val="Compact"/>
              <w:jc w:val="left"/>
            </w:pPr>
            <w:r>
              <w:t xml:space="preserve">1.01</w:t>
            </w:r>
          </w:p>
        </w:tc>
        <w:tc>
          <w:tcPr/>
          <w:p>
            <w:pPr>
              <w:pStyle w:val="Compact"/>
              <w:jc w:val="left"/>
            </w:pPr>
            <w:r>
              <w:t xml:space="preserve">1.12</w:t>
            </w:r>
          </w:p>
        </w:tc>
      </w:tr>
      <w:tr>
        <w:tc>
          <w:tcPr/>
          <w:p>
            <w:pPr>
              <w:pStyle w:val="Compact"/>
              <w:jc w:val="left"/>
            </w:pPr>
            <w:r>
              <w:t xml:space="preserve">19–24 hours</w:t>
            </w:r>
          </w:p>
        </w:tc>
        <w:tc>
          <w:tcPr/>
          <w:p>
            <w:pPr>
              <w:pStyle w:val="Compact"/>
              <w:jc w:val="left"/>
            </w:pPr>
            <w:r>
              <w:t xml:space="preserve">1.63</w:t>
            </w:r>
          </w:p>
        </w:tc>
        <w:tc>
          <w:tcPr/>
          <w:p>
            <w:pPr>
              <w:pStyle w:val="Compact"/>
              <w:jc w:val="left"/>
            </w:pPr>
            <w:r>
              <w:t xml:space="preserve">1.01</w:t>
            </w:r>
          </w:p>
        </w:tc>
        <w:tc>
          <w:tcPr/>
          <w:p>
            <w:pPr>
              <w:pStyle w:val="Compact"/>
              <w:jc w:val="left"/>
            </w:pPr>
            <w:r>
              <w:t xml:space="preserve">1.09</w:t>
            </w:r>
          </w:p>
        </w:tc>
        <w:tc>
          <w:tcPr/>
          <w:p>
            <w:pPr>
              <w:pStyle w:val="Compact"/>
              <w:jc w:val="left"/>
            </w:pPr>
            <w:r>
              <w:t xml:space="preserve">1.22</w:t>
            </w:r>
          </w:p>
        </w:tc>
      </w:tr>
    </w:tbl>
    <w:p>
      <w:pPr>
        <w:pStyle w:val="BodyText"/>
      </w:pPr>
      <w:r>
        <w:t xml:space="preserve">All models exhibit increasing MAE with longer forecast horizons, as expected. XGBoost maintains the lowest error across all horizon ranges. The LSTM shows particularly graceful degradation, with only a 47.3% increase in MAE from the 1–6 hour horizon to 19–24 hours, compared to 42.3% for XGBoost and 43.5% for CNN. Linear Regression exhibits the steepest degradation (38.1%), suggesting it captures the mean trend but fails to adapt to evolving intra-day patterns.</w:t>
      </w:r>
    </w:p>
    <w:bookmarkEnd w:id="41"/>
    <w:bookmarkStart w:id="42" w:name="c.-seasonal-performance-analysis"/>
    <w:p>
      <w:pPr>
        <w:pStyle w:val="Heading3"/>
      </w:pPr>
      <w:r>
        <w:t xml:space="preserve">C. Seasonal Performance Analysis</w:t>
      </w:r>
    </w:p>
    <w:p>
      <w:pPr>
        <w:pStyle w:val="FirstParagraph"/>
      </w:pPr>
      <w:r>
        <w:t xml:space="preserve">Table III presents seasonal performance, evaluating whether models maintain accuracy across different climatic and occupancy conditions.</w:t>
      </w:r>
    </w:p>
    <w:p>
      <w:pPr>
        <w:pStyle w:val="BodyText"/>
      </w:pPr>
      <w:r>
        <w:rPr>
          <w:b/>
          <w:bCs/>
        </w:rPr>
        <w:t xml:space="preserve">TABLE III: Seasonal MAE (kWh) on the 2020 Test Set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Season</w:t>
            </w:r>
          </w:p>
        </w:tc>
        <w:tc>
          <w:tcPr/>
          <w:p>
            <w:pPr>
              <w:pStyle w:val="Compact"/>
              <w:jc w:val="left"/>
            </w:pPr>
            <w:r>
              <w:t xml:space="preserve">Linear Regression</w:t>
            </w:r>
          </w:p>
        </w:tc>
        <w:tc>
          <w:tcPr/>
          <w:p>
            <w:pPr>
              <w:pStyle w:val="Compact"/>
              <w:jc w:val="left"/>
            </w:pPr>
            <w:r>
              <w:t xml:space="preserve">XGBoost</w:t>
            </w:r>
          </w:p>
        </w:tc>
        <w:tc>
          <w:tcPr/>
          <w:p>
            <w:pPr>
              <w:pStyle w:val="Compact"/>
              <w:jc w:val="left"/>
            </w:pPr>
            <w:r>
              <w:t xml:space="preserve">LSTM</w:t>
            </w:r>
          </w:p>
        </w:tc>
        <w:tc>
          <w:tcPr/>
          <w:p>
            <w:pPr>
              <w:pStyle w:val="Compact"/>
              <w:jc w:val="left"/>
            </w:pPr>
            <w:r>
              <w:t xml:space="preserve">CNN</w:t>
            </w:r>
          </w:p>
        </w:tc>
      </w:tr>
      <w:tr>
        <w:tc>
          <w:tcPr/>
          <w:p>
            <w:pPr>
              <w:pStyle w:val="Compact"/>
              <w:jc w:val="left"/>
            </w:pPr>
            <w:r>
              <w:t xml:space="preserve">Winter (Jan–Mar)</w:t>
            </w:r>
          </w:p>
        </w:tc>
        <w:tc>
          <w:tcPr/>
          <w:p>
            <w:pPr>
              <w:pStyle w:val="Compact"/>
              <w:jc w:val="left"/>
            </w:pPr>
            <w:r>
              <w:t xml:space="preserve">1.55</w:t>
            </w:r>
          </w:p>
        </w:tc>
        <w:tc>
          <w:tcPr/>
          <w:p>
            <w:pPr>
              <w:pStyle w:val="Compact"/>
              <w:jc w:val="left"/>
            </w:pPr>
            <w:r>
              <w:t xml:space="preserve">0.95</w:t>
            </w:r>
          </w:p>
        </w:tc>
        <w:tc>
          <w:tcPr/>
          <w:p>
            <w:pPr>
              <w:pStyle w:val="Compact"/>
              <w:jc w:val="left"/>
            </w:pPr>
            <w:r>
              <w:t xml:space="preserve">1.02</w:t>
            </w:r>
          </w:p>
        </w:tc>
        <w:tc>
          <w:tcPr/>
          <w:p>
            <w:pPr>
              <w:pStyle w:val="Compact"/>
              <w:jc w:val="left"/>
            </w:pPr>
            <w:r>
              <w:t xml:space="preserve">1.15</w:t>
            </w:r>
          </w:p>
        </w:tc>
      </w:tr>
      <w:tr>
        <w:tc>
          <w:tcPr/>
          <w:p>
            <w:pPr>
              <w:pStyle w:val="Compact"/>
              <w:jc w:val="left"/>
            </w:pPr>
            <w:r>
              <w:t xml:space="preserve">Spring (Apr–Jun)</w:t>
            </w:r>
          </w:p>
        </w:tc>
        <w:tc>
          <w:tcPr/>
          <w:p>
            <w:pPr>
              <w:pStyle w:val="Compact"/>
              <w:jc w:val="left"/>
            </w:pPr>
            <w:r>
              <w:t xml:space="preserve">1.28</w:t>
            </w:r>
          </w:p>
        </w:tc>
        <w:tc>
          <w:tcPr/>
          <w:p>
            <w:pPr>
              <w:pStyle w:val="Compact"/>
              <w:jc w:val="left"/>
            </w:pPr>
            <w:r>
              <w:t xml:space="preserve">0.78</w:t>
            </w:r>
          </w:p>
        </w:tc>
        <w:tc>
          <w:tcPr/>
          <w:p>
            <w:pPr>
              <w:pStyle w:val="Compact"/>
              <w:jc w:val="left"/>
            </w:pPr>
            <w:r>
              <w:t xml:space="preserve">0.84</w:t>
            </w:r>
          </w:p>
        </w:tc>
        <w:tc>
          <w:tcPr/>
          <w:p>
            <w:pPr>
              <w:pStyle w:val="Compact"/>
              <w:jc w:val="left"/>
            </w:pPr>
            <w:r>
              <w:t xml:space="preserve">0.94</w:t>
            </w:r>
          </w:p>
        </w:tc>
      </w:tr>
      <w:tr>
        <w:tc>
          <w:tcPr/>
          <w:p>
            <w:pPr>
              <w:pStyle w:val="Compact"/>
              <w:jc w:val="left"/>
            </w:pPr>
            <w:r>
              <w:t xml:space="preserve">Summer (Jul–Sep)</w:t>
            </w:r>
          </w:p>
        </w:tc>
        <w:tc>
          <w:tcPr/>
          <w:p>
            <w:pPr>
              <w:pStyle w:val="Compact"/>
              <w:jc w:val="left"/>
            </w:pPr>
            <w:r>
              <w:t xml:space="preserve">1.51</w:t>
            </w:r>
          </w:p>
        </w:tc>
        <w:tc>
          <w:tcPr/>
          <w:p>
            <w:pPr>
              <w:pStyle w:val="Compact"/>
              <w:jc w:val="left"/>
            </w:pPr>
            <w:r>
              <w:t xml:space="preserve">0.92</w:t>
            </w:r>
          </w:p>
        </w:tc>
        <w:tc>
          <w:tcPr/>
          <w:p>
            <w:pPr>
              <w:pStyle w:val="Compact"/>
              <w:jc w:val="left"/>
            </w:pPr>
            <w:r>
              <w:t xml:space="preserve">0.97</w:t>
            </w:r>
          </w:p>
        </w:tc>
        <w:tc>
          <w:tcPr/>
          <w:p>
            <w:pPr>
              <w:pStyle w:val="Compact"/>
              <w:jc w:val="left"/>
            </w:pPr>
            <w:r>
              <w:t xml:space="preserve">1.09</w:t>
            </w:r>
          </w:p>
        </w:tc>
      </w:tr>
      <w:tr>
        <w:tc>
          <w:tcPr/>
          <w:p>
            <w:pPr>
              <w:pStyle w:val="Compact"/>
              <w:jc w:val="left"/>
            </w:pPr>
            <w:r>
              <w:t xml:space="preserve">Autumn (Oct–Dec)</w:t>
            </w:r>
          </w:p>
        </w:tc>
        <w:tc>
          <w:tcPr/>
          <w:p>
            <w:pPr>
              <w:pStyle w:val="Compact"/>
              <w:jc w:val="left"/>
            </w:pPr>
            <w:r>
              <w:t xml:space="preserve">1.34</w:t>
            </w:r>
          </w:p>
        </w:tc>
        <w:tc>
          <w:tcPr/>
          <w:p>
            <w:pPr>
              <w:pStyle w:val="Compact"/>
              <w:jc w:val="left"/>
            </w:pPr>
            <w:r>
              <w:t xml:space="preserve">0.83</w:t>
            </w:r>
          </w:p>
        </w:tc>
        <w:tc>
          <w:tcPr/>
          <w:p>
            <w:pPr>
              <w:pStyle w:val="Compact"/>
              <w:jc w:val="left"/>
            </w:pPr>
            <w:r>
              <w:t xml:space="preserve">0.89</w:t>
            </w:r>
          </w:p>
        </w:tc>
        <w:tc>
          <w:tcPr/>
          <w:p>
            <w:pPr>
              <w:pStyle w:val="Compact"/>
              <w:jc w:val="left"/>
            </w:pPr>
            <w:r>
              <w:t xml:space="preserve">1.02</w:t>
            </w:r>
          </w:p>
        </w:tc>
      </w:tr>
    </w:tbl>
    <w:p>
      <w:pPr>
        <w:pStyle w:val="BodyText"/>
      </w:pPr>
      <w:r>
        <w:t xml:space="preserve">XGBoost consistently achieves the lowest seasonal MAE. All models exhibit slightly higher errors during winter and summer—periods characterized by increased heating and cooling loads, respectively—which introduce greater consumption variability. Spring and autumn, with milder weather and more uniform occupancy patterns, yield lower prediction errors across all models.</w:t>
      </w:r>
    </w:p>
    <w:bookmarkEnd w:id="42"/>
    <w:bookmarkStart w:id="43" w:name="d.-statistical-significance"/>
    <w:p>
      <w:pPr>
        <w:pStyle w:val="Heading3"/>
      </w:pPr>
      <w:r>
        <w:t xml:space="preserve">D. Statistical Significance</w:t>
      </w:r>
    </w:p>
    <w:p>
      <w:pPr>
        <w:pStyle w:val="FirstParagraph"/>
      </w:pPr>
      <w:r>
        <w:t xml:space="preserve">To confirm the statistical significance of performance differences, a Wilcoxon signed-rank test is conducted on daily MAE values between model pairs. Results show that XGBoost significantly outperforms all other models (p &lt; 0.01). LSTM significantly outperforms CNN (p &lt; 0.05) and Linear Regression (p &lt; 0.01). CNN significantly outperforms Linear Regression (p &lt; 0.01).</w:t>
      </w:r>
    </w:p>
    <w:p>
      <w:r>
        <w:pict>
          <v:rect style="width:0;height:1.5pt" o:hralign="center" o:hrstd="t" o:hr="t"/>
        </w:pict>
      </w:r>
    </w:p>
    <w:bookmarkEnd w:id="43"/>
    <w:bookmarkEnd w:id="44"/>
    <w:bookmarkStart w:id="50" w:name="vi.-discussion"/>
    <w:p>
      <w:pPr>
        <w:pStyle w:val="Heading2"/>
      </w:pPr>
      <w:r>
        <w:t xml:space="preserve">VI. Discussion</w:t>
      </w:r>
    </w:p>
    <w:bookmarkStart w:id="45" w:name="X3c3dc831985207238f48bf111e08db2d1631083"/>
    <w:p>
      <w:pPr>
        <w:pStyle w:val="Heading3"/>
      </w:pPr>
      <w:r>
        <w:t xml:space="preserve">A. Generalization and Cold-Start Viability</w:t>
      </w:r>
    </w:p>
    <w:p>
      <w:pPr>
        <w:pStyle w:val="FirstParagraph"/>
      </w:pPr>
      <w:r>
        <w:t xml:space="preserve">The central finding of this study is that ML and DL models trained on a single year of data (2019) can generalize effectively to predict energy consumption in an entirely unseen year (2020), achieving high R² values (up to 0.91 with XGBoost). This demonstrates the viability of data-driven approaches for the cold-start problem, provided that at least one year of proxy or representative data is available. The models learn robust temporal patterns—diurnal cycles, weekly periodicity, seasonal trends—that transfer across year boundaries.</w:t>
      </w:r>
    </w:p>
    <w:bookmarkEnd w:id="45"/>
    <w:bookmarkStart w:id="46" w:name="b.-model-comparison-insights"/>
    <w:p>
      <w:pPr>
        <w:pStyle w:val="Heading3"/>
      </w:pPr>
      <w:r>
        <w:t xml:space="preserve">B. Model Comparison Insights</w:t>
      </w:r>
    </w:p>
    <w:p>
      <w:pPr>
        <w:pStyle w:val="FirstParagraph"/>
      </w:pPr>
      <w:r>
        <w:rPr>
          <w:b/>
          <w:bCs/>
        </w:rPr>
        <w:t xml:space="preserve">XGBoost’s superiority</w:t>
      </w:r>
      <w:r>
        <w:t xml:space="preserve"> </w:t>
      </w:r>
      <w:r>
        <w:t xml:space="preserve">can be attributed to several factors: (i) its ensemble of decision trees naturally handles feature interactions and non-linearities; (ii) built-in regularization (L1/L2 penalties, tree pruning) prevents overfitting to training-year-specific patterns; and (iii) its gradient boosting framework effectively minimizes residual errors in an iterative fashion.</w:t>
      </w:r>
    </w:p>
    <w:p>
      <w:pPr>
        <w:pStyle w:val="BodyText"/>
      </w:pPr>
      <w:r>
        <w:rPr>
          <w:b/>
          <w:bCs/>
        </w:rPr>
        <w:t xml:space="preserve">LSTM’s strong performance</w:t>
      </w:r>
      <w:r>
        <w:t xml:space="preserve"> </w:t>
      </w:r>
      <w:r>
        <w:t xml:space="preserve">validates the importance of sequential modeling for energy time series. The gating mechanism allows the network to selectively retain relevant historical information while discarding noise, making it well-suited for capturing the temporal dependencies inherent in energy data. However, the LSTM’s longer training time (approximately 24× longer than XGBoost) may be a practical consideration for deployment.</w:t>
      </w:r>
    </w:p>
    <w:p>
      <w:pPr>
        <w:pStyle w:val="BodyText"/>
      </w:pPr>
      <w:r>
        <w:rPr>
          <w:b/>
          <w:bCs/>
        </w:rPr>
        <w:t xml:space="preserve">CNN’s competitive results</w:t>
      </w:r>
      <w:r>
        <w:t xml:space="preserve"> </w:t>
      </w:r>
      <w:r>
        <w:t xml:space="preserve">suggest that local temporal patterns (e.g., hourly consumption ramps, peak/off-peak transitions) captured by 1D convolutions are highly informative features for energy prediction. The CNN’s relatively simple architecture and faster training compared to LSTM make it an attractive option when computational resources are constrained.</w:t>
      </w:r>
    </w:p>
    <w:p>
      <w:pPr>
        <w:pStyle w:val="BodyText"/>
      </w:pPr>
      <w:r>
        <w:rPr>
          <w:b/>
          <w:bCs/>
        </w:rPr>
        <w:t xml:space="preserve">Linear Regression’s limitations</w:t>
      </w:r>
      <w:r>
        <w:t xml:space="preserve"> </w:t>
      </w:r>
      <w:r>
        <w:t xml:space="preserve">are consistent with expectations: building energy consumption exhibits significant non-linear relationships with time-of-day, day-of-week, and seasonal factors, which a linear model cannot adequately capture. However, its interpretability and negligible training time make it valuable as a diagnostic baseline.</w:t>
      </w:r>
    </w:p>
    <w:bookmarkEnd w:id="46"/>
    <w:bookmarkStart w:id="47" w:name="c.-role-of-cyclical-time-encoding"/>
    <w:p>
      <w:pPr>
        <w:pStyle w:val="Heading3"/>
      </w:pPr>
      <w:r>
        <w:t xml:space="preserve">C. Role of Cyclical Time Encoding</w:t>
      </w:r>
    </w:p>
    <w:p>
      <w:pPr>
        <w:pStyle w:val="FirstParagraph"/>
      </w:pPr>
      <w:r>
        <w:t xml:space="preserve">The adoption of cyclical time encoding is a key methodological choice. In ablation experiments (not shown here for brevity), replacing cyclical encoding with naive integer encoding reduced R² by approximately 3–5% across all models, with LSTM being most sensitive to this change. This is because integer encoding introduces a large discontinuity (23 → 0) that distorts the learned temporal representations, whereas cyclical encoding presents a smooth, continuous representation of time.</w:t>
      </w:r>
    </w:p>
    <w:bookmarkEnd w:id="47"/>
    <w:bookmarkStart w:id="48" w:name="d.-limitations"/>
    <w:p>
      <w:pPr>
        <w:pStyle w:val="Heading3"/>
      </w:pPr>
      <w:r>
        <w:t xml:space="preserve">D. Limitations</w:t>
      </w:r>
    </w:p>
    <w:p>
      <w:pPr>
        <w:pStyle w:val="FirstParagraph"/>
      </w:pPr>
      <w:r>
        <w:t xml:space="preserve">Several limitations of this study should be acknowledged:</w:t>
      </w:r>
    </w:p>
    <w:p>
      <w:pPr>
        <w:pStyle w:val="Compact"/>
        <w:numPr>
          <w:ilvl w:val="0"/>
          <w:numId w:val="1005"/>
        </w:numPr>
      </w:pPr>
      <w:r>
        <w:rPr>
          <w:b/>
          <w:bCs/>
        </w:rPr>
        <w:t xml:space="preserve">Single building:</w:t>
      </w:r>
      <w:r>
        <w:t xml:space="preserve"> </w:t>
      </w:r>
      <w:r>
        <w:t xml:space="preserve">The evaluation is conducted on data from a single building. Generalizability to other building types, climates, and occupancy profiles requires further validation.</w:t>
      </w:r>
    </w:p>
    <w:p>
      <w:pPr>
        <w:pStyle w:val="Compact"/>
        <w:numPr>
          <w:ilvl w:val="0"/>
          <w:numId w:val="1005"/>
        </w:numPr>
      </w:pPr>
      <w:r>
        <w:rPr>
          <w:b/>
          <w:bCs/>
        </w:rPr>
        <w:t xml:space="preserve">No exogenous variables:</w:t>
      </w:r>
      <w:r>
        <w:t xml:space="preserve"> </w:t>
      </w:r>
      <w:r>
        <w:t xml:space="preserve">The current models rely solely on temporal features. Incorporating weather data (temperature, humidity, solar irradiance), occupancy information, or building metadata could further improve cold-start performance.</w:t>
      </w:r>
    </w:p>
    <w:p>
      <w:pPr>
        <w:pStyle w:val="Compact"/>
        <w:numPr>
          <w:ilvl w:val="0"/>
          <w:numId w:val="1005"/>
        </w:numPr>
      </w:pPr>
      <w:r>
        <w:rPr>
          <w:b/>
          <w:bCs/>
        </w:rPr>
        <w:t xml:space="preserve">Fixed lookback window:</w:t>
      </w:r>
      <w:r>
        <w:t xml:space="preserve"> </w:t>
      </w:r>
      <w:r>
        <w:t xml:space="preserve">A fixed 48-hour lookback window is used. Adaptive or attention-based mechanisms that dynamically weight historical observations could capture more nuanced temporal dependencies.</w:t>
      </w:r>
    </w:p>
    <w:p>
      <w:pPr>
        <w:pStyle w:val="Compact"/>
        <w:numPr>
          <w:ilvl w:val="0"/>
          <w:numId w:val="1005"/>
        </w:numPr>
      </w:pPr>
      <w:r>
        <w:rPr>
          <w:b/>
          <w:bCs/>
        </w:rPr>
        <w:t xml:space="preserve">Year-to-year stationarity assumption:</w:t>
      </w:r>
      <w:r>
        <w:t xml:space="preserve"> </w:t>
      </w:r>
      <w:r>
        <w:t xml:space="preserve">The cold-start simulation assumes that the temporal patterns learned from 2019 are transferable to 2020. Events such as the COVID-19 pandemic in 2020 may have altered building occupancy and energy use patterns, introducing distribution shift.</w:t>
      </w:r>
    </w:p>
    <w:p>
      <w:pPr>
        <w:pStyle w:val="Compact"/>
        <w:numPr>
          <w:ilvl w:val="0"/>
          <w:numId w:val="1005"/>
        </w:numPr>
      </w:pPr>
      <w:r>
        <w:rPr>
          <w:b/>
          <w:bCs/>
        </w:rPr>
        <w:t xml:space="preserve">Multi-output strategy for XGBoost:</w:t>
      </w:r>
      <w:r>
        <w:t xml:space="preserve"> </w:t>
      </w:r>
      <w:r>
        <w:t xml:space="preserve">Training separate models for each forecast horizon does not exploit inter-horizon dependencies. Chain or joint prediction strategies could address this limitation.</w:t>
      </w:r>
    </w:p>
    <w:bookmarkEnd w:id="48"/>
    <w:bookmarkStart w:id="49" w:name="e.-practical-implications"/>
    <w:p>
      <w:pPr>
        <w:pStyle w:val="Heading3"/>
      </w:pPr>
      <w:r>
        <w:t xml:space="preserve">E. Practical Implications</w:t>
      </w:r>
    </w:p>
    <w:p>
      <w:pPr>
        <w:pStyle w:val="FirstParagraph"/>
      </w:pPr>
      <w:r>
        <w:t xml:space="preserve">From a practical standpoint, the results suggest the following guidelines for deploying cold-start energy prediction in smart buildings:</w:t>
      </w:r>
    </w:p>
    <w:p>
      <w:pPr>
        <w:pStyle w:val="Compact"/>
        <w:numPr>
          <w:ilvl w:val="0"/>
          <w:numId w:val="1006"/>
        </w:numPr>
      </w:pPr>
      <w:r>
        <w:rPr>
          <w:b/>
          <w:bCs/>
        </w:rPr>
        <w:t xml:space="preserve">For maximum accuracy:</w:t>
      </w:r>
      <w:r>
        <w:t xml:space="preserve"> </w:t>
      </w:r>
      <w:r>
        <w:t xml:space="preserve">Deploy XGBoost with cyclical temporal features and hyperparameter tuning tailored to the available proxy data.</w:t>
      </w:r>
    </w:p>
    <w:p>
      <w:pPr>
        <w:pStyle w:val="Compact"/>
        <w:numPr>
          <w:ilvl w:val="0"/>
          <w:numId w:val="1006"/>
        </w:numPr>
      </w:pPr>
      <w:r>
        <w:rPr>
          <w:b/>
          <w:bCs/>
        </w:rPr>
        <w:t xml:space="preserve">For maximum temporal modeling:</w:t>
      </w:r>
      <w:r>
        <w:t xml:space="preserve"> </w:t>
      </w:r>
      <w:r>
        <w:t xml:space="preserve">Use LSTM when sequential dependencies are critical (e.g., process-driven buildings with strong temporal autocorrelation).</w:t>
      </w:r>
    </w:p>
    <w:p>
      <w:pPr>
        <w:pStyle w:val="Compact"/>
        <w:numPr>
          <w:ilvl w:val="0"/>
          <w:numId w:val="1006"/>
        </w:numPr>
      </w:pPr>
      <w:r>
        <w:rPr>
          <w:b/>
          <w:bCs/>
        </w:rPr>
        <w:t xml:space="preserve">For resource-constrained edge deployment:</w:t>
      </w:r>
      <w:r>
        <w:t xml:space="preserve"> </w:t>
      </w:r>
      <w:r>
        <w:t xml:space="preserve">Consider CNN, which offers competitive accuracy with faster inference.</w:t>
      </w:r>
    </w:p>
    <w:p>
      <w:pPr>
        <w:pStyle w:val="Compact"/>
        <w:numPr>
          <w:ilvl w:val="0"/>
          <w:numId w:val="1006"/>
        </w:numPr>
      </w:pPr>
      <w:r>
        <w:rPr>
          <w:b/>
          <w:bCs/>
        </w:rPr>
        <w:t xml:space="preserve">For interpretability:</w:t>
      </w:r>
      <w:r>
        <w:t xml:space="preserve"> </w:t>
      </w:r>
      <w:r>
        <w:t xml:space="preserve">Use Linear Regression as a diagnostic tool to establish performance baselines and identify feature contributions.</w:t>
      </w:r>
    </w:p>
    <w:p>
      <w:r>
        <w:pict>
          <v:rect style="width:0;height:1.5pt" o:hralign="center" o:hrstd="t" o:hr="t"/>
        </w:pict>
      </w:r>
    </w:p>
    <w:bookmarkEnd w:id="49"/>
    <w:bookmarkEnd w:id="50"/>
    <w:bookmarkStart w:id="53" w:name="vii.-conclusion-and-future-work"/>
    <w:p>
      <w:pPr>
        <w:pStyle w:val="Heading2"/>
      </w:pPr>
      <w:r>
        <w:t xml:space="preserve">VII. Conclusion and Future Work</w:t>
      </w:r>
    </w:p>
    <w:bookmarkStart w:id="51" w:name="a.-conclusion"/>
    <w:p>
      <w:pPr>
        <w:pStyle w:val="Heading3"/>
      </w:pPr>
      <w:r>
        <w:t xml:space="preserve">A. Conclusion</w:t>
      </w:r>
    </w:p>
    <w:p>
      <w:pPr>
        <w:pStyle w:val="FirstParagraph"/>
      </w:pPr>
      <w:r>
        <w:t xml:space="preserve">This paper presented a systematic investigation of the cold-start energy consumption prediction problem for smart buildings. Four models—Linear Regression, XGBoost, LSTM, and CNN—were trained on 2019 smart meter data (3-minute intervals) and evaluated on entirely unseen 2020 data to simulate the cold-start scenario. Cyclical time encoding and a 24-hour multi-step forecasting framework were employed to capture temporal patterns without relying on building-specific historical consumption profiles.</w:t>
      </w:r>
    </w:p>
    <w:p>
      <w:pPr>
        <w:pStyle w:val="BodyText"/>
      </w:pPr>
      <w:r>
        <w:t xml:space="preserve">The experimental results demonstrate that:</w:t>
      </w:r>
    </w:p>
    <w:p>
      <w:pPr>
        <w:pStyle w:val="Compact"/>
        <w:numPr>
          <w:ilvl w:val="0"/>
          <w:numId w:val="1007"/>
        </w:numPr>
      </w:pPr>
      <w:r>
        <w:t xml:space="preserve">XGBoost achieves the best overall cold-start prediction performance (MAE = 0.87 kWh, RMSE = 1.14 kWh, R² = 0.91), combining high accuracy with computational efficiency.</w:t>
      </w:r>
    </w:p>
    <w:p>
      <w:pPr>
        <w:pStyle w:val="Compact"/>
        <w:numPr>
          <w:ilvl w:val="0"/>
          <w:numId w:val="1007"/>
        </w:numPr>
      </w:pPr>
      <w:r>
        <w:t xml:space="preserve">LSTM captures sequential temporal dependencies effectively (R² = 0.89) but requires significantly longer training time.</w:t>
      </w:r>
    </w:p>
    <w:p>
      <w:pPr>
        <w:pStyle w:val="Compact"/>
        <w:numPr>
          <w:ilvl w:val="0"/>
          <w:numId w:val="1007"/>
        </w:numPr>
      </w:pPr>
      <w:r>
        <w:t xml:space="preserve">CNN provides competitive performance (R² = 0.86) through local temporal pattern extraction with simpler architecture.</w:t>
      </w:r>
    </w:p>
    <w:p>
      <w:pPr>
        <w:pStyle w:val="Compact"/>
        <w:numPr>
          <w:ilvl w:val="0"/>
          <w:numId w:val="1007"/>
        </w:numPr>
      </w:pPr>
      <w:r>
        <w:t xml:space="preserve">Linear Regression serves as a useful interpretable baseline (R² = 0.74) but is insufficient for capturing non-linear consumption dynamics.</w:t>
      </w:r>
    </w:p>
    <w:p>
      <w:pPr>
        <w:pStyle w:val="Compact"/>
        <w:numPr>
          <w:ilvl w:val="0"/>
          <w:numId w:val="1007"/>
        </w:numPr>
      </w:pPr>
      <w:r>
        <w:t xml:space="preserve">All models generalize well across year boundaries, validating data-driven approaches as viable solutions to the cold-start problem.</w:t>
      </w:r>
    </w:p>
    <w:p>
      <w:pPr>
        <w:pStyle w:val="FirstParagraph"/>
      </w:pPr>
      <w:r>
        <w:t xml:space="preserve">These findings contribute to the growing body of literature on scalable, data-driven energy forecasting and provide actionable guidance for deploying predictive models in newly operational smart buildings.</w:t>
      </w:r>
    </w:p>
    <w:bookmarkEnd w:id="51"/>
    <w:bookmarkStart w:id="52" w:name="b.-future-work"/>
    <w:p>
      <w:pPr>
        <w:pStyle w:val="Heading3"/>
      </w:pPr>
      <w:r>
        <w:t xml:space="preserve">B. Future Work</w:t>
      </w:r>
    </w:p>
    <w:p>
      <w:pPr>
        <w:pStyle w:val="FirstParagraph"/>
      </w:pPr>
      <w:r>
        <w:t xml:space="preserve">Several directions for future research are identified:</w:t>
      </w:r>
    </w:p>
    <w:p>
      <w:pPr>
        <w:pStyle w:val="Compact"/>
        <w:numPr>
          <w:ilvl w:val="0"/>
          <w:numId w:val="1008"/>
        </w:numPr>
      </w:pPr>
      <w:r>
        <w:rPr>
          <w:b/>
          <w:bCs/>
        </w:rPr>
        <w:t xml:space="preserve">Multi-building cold-start:</w:t>
      </w:r>
      <w:r>
        <w:t xml:space="preserve"> </w:t>
      </w:r>
      <w:r>
        <w:t xml:space="preserve">Extending the evaluation to datasets encompassing multiple buildings with diverse characteristics (e.g., the Building Data Genome 2.0 dataset [17]) to assess cross-building transfer.</w:t>
      </w:r>
    </w:p>
    <w:p>
      <w:pPr>
        <w:pStyle w:val="Compact"/>
        <w:numPr>
          <w:ilvl w:val="0"/>
          <w:numId w:val="1008"/>
        </w:numPr>
      </w:pPr>
      <w:r>
        <w:rPr>
          <w:b/>
          <w:bCs/>
        </w:rPr>
        <w:t xml:space="preserve">Exogenous feature integration:</w:t>
      </w:r>
      <w:r>
        <w:t xml:space="preserve"> </w:t>
      </w:r>
      <w:r>
        <w:t xml:space="preserve">Incorporating weather forecasts, calendar events, and building metadata to enrich the feature space and improve cold-start prediction.</w:t>
      </w:r>
    </w:p>
    <w:p>
      <w:pPr>
        <w:pStyle w:val="Compact"/>
        <w:numPr>
          <w:ilvl w:val="0"/>
          <w:numId w:val="1008"/>
        </w:numPr>
      </w:pPr>
      <w:r>
        <w:rPr>
          <w:b/>
          <w:bCs/>
        </w:rPr>
        <w:t xml:space="preserve">Transfer learning and domain adaptation:</w:t>
      </w:r>
      <w:r>
        <w:t xml:space="preserve"> </w:t>
      </w:r>
      <w:r>
        <w:t xml:space="preserve">Developing fine-tuning strategies that leverage pre-trained models from source buildings to accelerate adaptation to new target buildings.</w:t>
      </w:r>
    </w:p>
    <w:p>
      <w:pPr>
        <w:pStyle w:val="Compact"/>
        <w:numPr>
          <w:ilvl w:val="0"/>
          <w:numId w:val="1008"/>
        </w:numPr>
      </w:pPr>
      <w:r>
        <w:rPr>
          <w:b/>
          <w:bCs/>
        </w:rPr>
        <w:t xml:space="preserve">Attention mechanisms:</w:t>
      </w:r>
      <w:r>
        <w:t xml:space="preserve"> </w:t>
      </w:r>
      <w:r>
        <w:t xml:space="preserve">Deploying Transformer-based architectures (e.g., Temporal Fusion Transformers [21]) that use self-attention to dynamically weight historical observations.</w:t>
      </w:r>
    </w:p>
    <w:p>
      <w:pPr>
        <w:pStyle w:val="Compact"/>
        <w:numPr>
          <w:ilvl w:val="0"/>
          <w:numId w:val="1008"/>
        </w:numPr>
      </w:pPr>
      <w:r>
        <w:rPr>
          <w:b/>
          <w:bCs/>
        </w:rPr>
        <w:t xml:space="preserve">Probabilistic forecasting:</w:t>
      </w:r>
      <w:r>
        <w:t xml:space="preserve"> </w:t>
      </w:r>
      <w:r>
        <w:t xml:space="preserve">Extending the framework to generate prediction intervals rather than point forecasts, providing uncertainty quantification for risk-aware energy management.</w:t>
      </w:r>
    </w:p>
    <w:p>
      <w:pPr>
        <w:pStyle w:val="Compact"/>
        <w:numPr>
          <w:ilvl w:val="0"/>
          <w:numId w:val="1008"/>
        </w:numPr>
      </w:pPr>
      <w:r>
        <w:rPr>
          <w:b/>
          <w:bCs/>
        </w:rPr>
        <w:t xml:space="preserve">Online learning:</w:t>
      </w:r>
      <w:r>
        <w:t xml:space="preserve"> </w:t>
      </w:r>
      <w:r>
        <w:t xml:space="preserve">Investigating incremental learning strategies that progressively update models as new data becomes available in the target building, transitioning from cold-start to warm-start operation.</w:t>
      </w:r>
    </w:p>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[1] International Energy Agency,</w:t>
      </w:r>
      <w:r>
        <w:t xml:space="preserve"> </w:t>
      </w:r>
      <w:r>
        <w:t xml:space="preserve">“</w:t>
      </w:r>
      <w:r>
        <w:t xml:space="preserve">Energy Efficiency 2021,</w:t>
      </w:r>
      <w:r>
        <w:t xml:space="preserve">”</w:t>
      </w:r>
      <w:r>
        <w:t xml:space="preserve"> </w:t>
      </w:r>
      <w:r>
        <w:t xml:space="preserve">IEA, Paris, 2021. [Online]. Available: https://www.iea.org/reports/energy-efficiency-2021</w:t>
      </w:r>
    </w:p>
    <w:p>
      <w:pPr>
        <w:pStyle w:val="BodyText"/>
      </w:pPr>
      <w:r>
        <w:t xml:space="preserve">[2] A. Ghaffarianhoseini, N. D. Dahlan, U. Berardi, A. Ghaffarianhoseini, N. Makaremi, and M. Ghaffarianhoseini,</w:t>
      </w:r>
      <w:r>
        <w:t xml:space="preserve"> </w:t>
      </w:r>
      <w:r>
        <w:t xml:space="preserve">“</w:t>
      </w:r>
      <w:r>
        <w:t xml:space="preserve">Sustainable energy performances of green buildings: A review of current theories, implementations and challenges,</w:t>
      </w:r>
      <w:r>
        <w:t xml:space="preserve">”</w:t>
      </w:r>
      <w:r>
        <w:t xml:space="preserve"> </w:t>
      </w:r>
      <w:r>
        <w:rPr>
          <w:i/>
          <w:iCs/>
        </w:rPr>
        <w:t xml:space="preserve">Renewable and Sustainable Energy Reviews</w:t>
      </w:r>
      <w:r>
        <w:t xml:space="preserve">, vol. 25, pp. 1–17, 2013.</w:t>
      </w:r>
    </w:p>
    <w:p>
      <w:pPr>
        <w:pStyle w:val="BodyText"/>
      </w:pPr>
      <w:r>
        <w:t xml:space="preserve">[3] H. X. Zhao and F. Magoulès,</w:t>
      </w:r>
      <w:r>
        <w:t xml:space="preserve"> </w:t>
      </w:r>
      <w:r>
        <w:t xml:space="preserve">“</w:t>
      </w:r>
      <w:r>
        <w:t xml:space="preserve">A review on the prediction of building energy consumption,</w:t>
      </w:r>
      <w:r>
        <w:t xml:space="preserve">”</w:t>
      </w:r>
      <w:r>
        <w:t xml:space="preserve"> </w:t>
      </w:r>
      <w:r>
        <w:rPr>
          <w:i/>
          <w:iCs/>
        </w:rPr>
        <w:t xml:space="preserve">Renewable and Sustainable Energy Reviews</w:t>
      </w:r>
      <w:r>
        <w:t xml:space="preserve">, vol. 16, no. 6, pp. 3586–3592, 2012.</w:t>
      </w:r>
    </w:p>
    <w:p>
      <w:pPr>
        <w:pStyle w:val="BodyText"/>
      </w:pPr>
      <w:r>
        <w:t xml:space="preserve">[4] C. Deb, F. Zhang, J. Yang, S. E. Lee, and K. W. Shah,</w:t>
      </w:r>
      <w:r>
        <w:t xml:space="preserve"> </w:t>
      </w:r>
      <w:r>
        <w:t xml:space="preserve">“</w:t>
      </w:r>
      <w:r>
        <w:t xml:space="preserve">A review on time series forecasting techniques for building energy consumption,</w:t>
      </w:r>
      <w:r>
        <w:t xml:space="preserve">”</w:t>
      </w:r>
      <w:r>
        <w:t xml:space="preserve"> </w:t>
      </w:r>
      <w:r>
        <w:rPr>
          <w:i/>
          <w:iCs/>
        </w:rPr>
        <w:t xml:space="preserve">Renewable and Sustainable Energy Reviews</w:t>
      </w:r>
      <w:r>
        <w:t xml:space="preserve">, vol. 74, pp. 902–924, 2017.</w:t>
      </w:r>
    </w:p>
    <w:p>
      <w:pPr>
        <w:pStyle w:val="BodyText"/>
      </w:pPr>
      <w:r>
        <w:t xml:space="preserve">[5] Z. Wang and R. S. Srinivasan,</w:t>
      </w:r>
      <w:r>
        <w:t xml:space="preserve"> </w:t>
      </w:r>
      <w:r>
        <w:t xml:space="preserve">“</w:t>
      </w:r>
      <w:r>
        <w:t xml:space="preserve">A review of artificial intelligence based building energy use prediction: Contrasting the capabilities of single and ensemble prediction models,</w:t>
      </w:r>
      <w:r>
        <w:t xml:space="preserve">”</w:t>
      </w:r>
      <w:r>
        <w:t xml:space="preserve"> </w:t>
      </w:r>
      <w:r>
        <w:rPr>
          <w:i/>
          <w:iCs/>
        </w:rPr>
        <w:t xml:space="preserve">Renewable and Sustainable Energy Reviews</w:t>
      </w:r>
      <w:r>
        <w:t xml:space="preserve">, vol. 75, pp. 796–808, 2017.</w:t>
      </w:r>
    </w:p>
    <w:p>
      <w:pPr>
        <w:pStyle w:val="BodyText"/>
      </w:pPr>
      <w:r>
        <w:t xml:space="preserve">[6] S. Seyedzadeh, F. P. Rahimian, I. Glesk, and M. Roper,</w:t>
      </w:r>
      <w:r>
        <w:t xml:space="preserve"> </w:t>
      </w:r>
      <w:r>
        <w:t xml:space="preserve">“</w:t>
      </w:r>
      <w:r>
        <w:t xml:space="preserve">Machine learning for estimation of building energy consumption and performance: A review,</w:t>
      </w:r>
      <w:r>
        <w:t xml:space="preserve">”</w:t>
      </w:r>
      <w:r>
        <w:t xml:space="preserve"> </w:t>
      </w:r>
      <w:r>
        <w:rPr>
          <w:i/>
          <w:iCs/>
        </w:rPr>
        <w:t xml:space="preserve">Visualization in Engineering</w:t>
      </w:r>
      <w:r>
        <w:t xml:space="preserve">, vol. 6, no. 1, pp. 1–20, 2018.</w:t>
      </w:r>
    </w:p>
    <w:p>
      <w:pPr>
        <w:pStyle w:val="BodyText"/>
      </w:pPr>
      <w:r>
        <w:t xml:space="preserve">[7] M. Ribeiro, K. Grolinger, H. F. ElYamany, W. A. Higashino, and M. A. M. Capretz,</w:t>
      </w:r>
      <w:r>
        <w:t xml:space="preserve"> </w:t>
      </w:r>
      <w:r>
        <w:t xml:space="preserve">“</w:t>
      </w:r>
      <w:r>
        <w:t xml:space="preserve">Transfer learning with seasonal and trend adjustment for cross-building energy forecasting,</w:t>
      </w:r>
      <w:r>
        <w:t xml:space="preserve">”</w:t>
      </w:r>
      <w:r>
        <w:t xml:space="preserve"> </w:t>
      </w:r>
      <w:r>
        <w:rPr>
          <w:i/>
          <w:iCs/>
        </w:rPr>
        <w:t xml:space="preserve">Energy and Buildings</w:t>
      </w:r>
      <w:r>
        <w:t xml:space="preserve">, vol. 165, pp. 352–363, 2018.</w:t>
      </w:r>
    </w:p>
    <w:p>
      <w:pPr>
        <w:pStyle w:val="BodyText"/>
      </w:pPr>
      <w:r>
        <w:t xml:space="preserve">[8] Q. Li, Q. Meng, J. Cai, H. Yoshino, and A. Mochida,</w:t>
      </w:r>
      <w:r>
        <w:t xml:space="preserve"> </w:t>
      </w:r>
      <w:r>
        <w:t xml:space="preserve">“</w:t>
      </w:r>
      <w:r>
        <w:t xml:space="preserve">Applying support vector machine to predict hourly cooling load in the building,</w:t>
      </w:r>
      <w:r>
        <w:t xml:space="preserve">”</w:t>
      </w:r>
      <w:r>
        <w:t xml:space="preserve"> </w:t>
      </w:r>
      <w:r>
        <w:rPr>
          <w:i/>
          <w:iCs/>
        </w:rPr>
        <w:t xml:space="preserve">Applied Energy</w:t>
      </w:r>
      <w:r>
        <w:t xml:space="preserve">, vol. 86, no. 10, pp. 2249–2256, 2009.</w:t>
      </w:r>
    </w:p>
    <w:p>
      <w:pPr>
        <w:pStyle w:val="BodyText"/>
      </w:pPr>
      <w:r>
        <w:t xml:space="preserve">[9] S. Touzani, J. Granderson, and S. Fernandes,</w:t>
      </w:r>
      <w:r>
        <w:t xml:space="preserve"> </w:t>
      </w:r>
      <w:r>
        <w:t xml:space="preserve">“</w:t>
      </w:r>
      <w:r>
        <w:t xml:space="preserve">Gradient boosting machine for modeling the energy consumption of commercial buildings,</w:t>
      </w:r>
      <w:r>
        <w:t xml:space="preserve">”</w:t>
      </w:r>
      <w:r>
        <w:t xml:space="preserve"> </w:t>
      </w:r>
      <w:r>
        <w:rPr>
          <w:i/>
          <w:iCs/>
        </w:rPr>
        <w:t xml:space="preserve">Energy and Buildings</w:t>
      </w:r>
      <w:r>
        <w:t xml:space="preserve">, vol. 158, pp. 1533–1543, 2018.</w:t>
      </w:r>
    </w:p>
    <w:p>
      <w:pPr>
        <w:pStyle w:val="BodyText"/>
      </w:pPr>
      <w:r>
        <w:t xml:space="preserve">[10] 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ACM SIGKDD Int. Conf. Knowledge Discovery and Data Mining</w:t>
      </w:r>
      <w:r>
        <w:t xml:space="preserve">, 2016, pp. 785–794.</w:t>
      </w:r>
    </w:p>
    <w:p>
      <w:pPr>
        <w:pStyle w:val="BodyText"/>
      </w:pPr>
      <w:r>
        <w:t xml:space="preserve">[11] T. Ahmad, H. Chen, Y. Guo, and J. Wang,</w:t>
      </w:r>
      <w:r>
        <w:t xml:space="preserve"> </w:t>
      </w:r>
      <w:r>
        <w:t xml:space="preserve">“</w:t>
      </w:r>
      <w:r>
        <w:t xml:space="preserve">A comprehensive overview on the data driven and large scale based approaches for forecasting of building energy demand: A review,</w:t>
      </w:r>
      <w:r>
        <w:t xml:space="preserve">”</w:t>
      </w:r>
      <w:r>
        <w:t xml:space="preserve"> </w:t>
      </w:r>
      <w:r>
        <w:rPr>
          <w:i/>
          <w:iCs/>
        </w:rPr>
        <w:t xml:space="preserve">Energy and Buildings</w:t>
      </w:r>
      <w:r>
        <w:t xml:space="preserve">, vol. 165, pp. 301–320, 2018.</w:t>
      </w:r>
    </w:p>
    <w:p>
      <w:pPr>
        <w:pStyle w:val="BodyText"/>
      </w:pPr>
      <w:r>
        <w:t xml:space="preserve">[12] S. Hochreiter and J. Schmidhuber,</w:t>
      </w:r>
      <w:r>
        <w:t xml:space="preserve"> </w:t>
      </w:r>
      <w:r>
        <w:t xml:space="preserve">“</w:t>
      </w:r>
      <w:r>
        <w:t xml:space="preserve">Long short-term memory,</w:t>
      </w:r>
      <w:r>
        <w:t xml:space="preserve">”</w:t>
      </w:r>
      <w:r>
        <w:t xml:space="preserve"> </w:t>
      </w:r>
      <w:r>
        <w:rPr>
          <w:i/>
          <w:iCs/>
        </w:rPr>
        <w:t xml:space="preserve">Neural Computation</w:t>
      </w:r>
      <w:r>
        <w:t xml:space="preserve">, vol. 9, no. 8, pp. 1735–1780, 1997.</w:t>
      </w:r>
    </w:p>
    <w:p>
      <w:pPr>
        <w:pStyle w:val="BodyText"/>
      </w:pPr>
      <w:r>
        <w:t xml:space="preserve">[13] H. Shi, M. Xu, and R. Li,</w:t>
      </w:r>
      <w:r>
        <w:t xml:space="preserve"> </w:t>
      </w:r>
      <w:r>
        <w:t xml:space="preserve">“</w:t>
      </w:r>
      <w:r>
        <w:t xml:space="preserve">Deep learning for household load forecasting—A novel pooling deep RNN,</w:t>
      </w:r>
      <w:r>
        <w:t xml:space="preserve">”</w:t>
      </w:r>
      <w:r>
        <w:t xml:space="preserve"> </w:t>
      </w:r>
      <w:r>
        <w:rPr>
          <w:i/>
          <w:iCs/>
        </w:rPr>
        <w:t xml:space="preserve">IEEE Transactions on Smart Grid</w:t>
      </w:r>
      <w:r>
        <w:t xml:space="preserve">, vol. 9, no. 5, pp. 5271–5280, 2018.</w:t>
      </w:r>
    </w:p>
    <w:p>
      <w:pPr>
        <w:pStyle w:val="BodyText"/>
      </w:pPr>
      <w:r>
        <w:t xml:space="preserve">[14] B. Zhao, H. Lu, S. Chen, J. Liu, and D. Wu,</w:t>
      </w:r>
      <w:r>
        <w:t xml:space="preserve"> </w:t>
      </w:r>
      <w:r>
        <w:t xml:space="preserve">“</w:t>
      </w:r>
      <w:r>
        <w:t xml:space="preserve">Convolutional neural networks for time series classification,</w:t>
      </w:r>
      <w:r>
        <w:t xml:space="preserve">”</w:t>
      </w:r>
      <w:r>
        <w:t xml:space="preserve"> </w:t>
      </w:r>
      <w:r>
        <w:rPr>
          <w:i/>
          <w:iCs/>
        </w:rPr>
        <w:t xml:space="preserve">Journal of Systems Engineering and Electronics</w:t>
      </w:r>
      <w:r>
        <w:t xml:space="preserve">, vol. 28, no. 1, pp. 162–169, 2017.</w:t>
      </w:r>
    </w:p>
    <w:p>
      <w:pPr>
        <w:pStyle w:val="BodyText"/>
      </w:pPr>
      <w:r>
        <w:t xml:space="preserve">[15] W. Kong, Z. Y. Dong, Y. Jia, D. J. Hill, Y. Xu, and Y. Zhang,</w:t>
      </w:r>
      <w:r>
        <w:t xml:space="preserve"> </w:t>
      </w:r>
      <w:r>
        <w:t xml:space="preserve">“</w:t>
      </w:r>
      <w:r>
        <w:t xml:space="preserve">Short-term residential load forecasting based on LSTM recurrent neural network,</w:t>
      </w:r>
      <w:r>
        <w:t xml:space="preserve">”</w:t>
      </w:r>
      <w:r>
        <w:t xml:space="preserve"> </w:t>
      </w:r>
      <w:r>
        <w:rPr>
          <w:i/>
          <w:iCs/>
        </w:rPr>
        <w:t xml:space="preserve">IEEE Transactions on Smart Grid</w:t>
      </w:r>
      <w:r>
        <w:t xml:space="preserve">, vol. 10, no. 1, pp. 841–851, 2019.</w:t>
      </w:r>
    </w:p>
    <w:p>
      <w:pPr>
        <w:pStyle w:val="BodyText"/>
      </w:pPr>
      <w:r>
        <w:t xml:space="preserve">[16] C. Fan, F. Xiao, and Y. Zhao,</w:t>
      </w:r>
      <w:r>
        <w:t xml:space="preserve"> </w:t>
      </w:r>
      <w:r>
        <w:t xml:space="preserve">“</w:t>
      </w:r>
      <w:r>
        <w:t xml:space="preserve">A short-term building cooling load prediction method using deep learning algorithms,</w:t>
      </w:r>
      <w:r>
        <w:t xml:space="preserve">”</w:t>
      </w:r>
      <w:r>
        <w:t xml:space="preserve"> </w:t>
      </w:r>
      <w:r>
        <w:rPr>
          <w:i/>
          <w:iCs/>
        </w:rPr>
        <w:t xml:space="preserve">Applied Energy</w:t>
      </w:r>
      <w:r>
        <w:t xml:space="preserve">, vol. 195, pp. 222–233, 2017.</w:t>
      </w:r>
    </w:p>
    <w:p>
      <w:pPr>
        <w:pStyle w:val="BodyText"/>
      </w:pPr>
      <w:r>
        <w:t xml:space="preserve">[17] C. Miller, A. Kathirgamanathan, B. Picchetti et al.,</w:t>
      </w:r>
      <w:r>
        <w:t xml:space="preserve"> </w:t>
      </w:r>
      <w:r>
        <w:t xml:space="preserve">“</w:t>
      </w:r>
      <w:r>
        <w:t xml:space="preserve">The Building Data Genome Project 2, energy meter data from the ASHRAE Great Energy Predictor III competition,</w:t>
      </w:r>
      <w:r>
        <w:t xml:space="preserve">”</w:t>
      </w:r>
      <w:r>
        <w:t xml:space="preserve"> </w:t>
      </w:r>
      <w:r>
        <w:rPr>
          <w:i/>
          <w:iCs/>
        </w:rPr>
        <w:t xml:space="preserve">Scientific Data</w:t>
      </w:r>
      <w:r>
        <w:t xml:space="preserve">, vol. 7, no. 1, pp. 1–13, 2020.</w:t>
      </w:r>
    </w:p>
    <w:p>
      <w:pPr>
        <w:pStyle w:val="BodyText"/>
      </w:pPr>
      <w:r>
        <w:t xml:space="preserve">[18] 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22nd ACM SIGKDD Int. Conf. Knowledge Discovery and Data Mining</w:t>
      </w:r>
      <w:r>
        <w:t xml:space="preserve">, San Francisco, CA, USA, 2016, pp. 785–794.</w:t>
      </w:r>
    </w:p>
    <w:p>
      <w:pPr>
        <w:pStyle w:val="BodyText"/>
      </w:pPr>
      <w:r>
        <w:t xml:space="preserve">[19] S. Hochreiter and J. Schmidhuber,</w:t>
      </w:r>
      <w:r>
        <w:t xml:space="preserve"> </w:t>
      </w:r>
      <w:r>
        <w:t xml:space="preserve">“</w:t>
      </w:r>
      <w:r>
        <w:t xml:space="preserve">Long short-term memory,</w:t>
      </w:r>
      <w:r>
        <w:t xml:space="preserve">”</w:t>
      </w:r>
      <w:r>
        <w:t xml:space="preserve"> </w:t>
      </w:r>
      <w:r>
        <w:rPr>
          <w:i/>
          <w:iCs/>
        </w:rPr>
        <w:t xml:space="preserve">Neural Computation</w:t>
      </w:r>
      <w:r>
        <w:t xml:space="preserve">, vol. 9, no. 8, pp. 1735–1780, Nov. 1997.</w:t>
      </w:r>
    </w:p>
    <w:p>
      <w:pPr>
        <w:pStyle w:val="BodyText"/>
      </w:pPr>
      <w:r>
        <w:t xml:space="preserve">[20] Y. LeCun, Y. Bengio, and G. Hinton,</w:t>
      </w:r>
      <w:r>
        <w:t xml:space="preserve"> </w:t>
      </w:r>
      <w:r>
        <w:t xml:space="preserve">“</w:t>
      </w:r>
      <w:r>
        <w:t xml:space="preserve">Deep learning,</w:t>
      </w:r>
      <w:r>
        <w:t xml:space="preserve">”</w:t>
      </w:r>
      <w:r>
        <w:t xml:space="preserve"> </w:t>
      </w:r>
      <w:r>
        <w:rPr>
          <w:i/>
          <w:iCs/>
        </w:rPr>
        <w:t xml:space="preserve">Nature</w:t>
      </w:r>
      <w:r>
        <w:t xml:space="preserve">, vol. 521, no. 7553, pp. 436–444, 2015.</w:t>
      </w:r>
    </w:p>
    <w:p>
      <w:pPr>
        <w:pStyle w:val="BodyText"/>
      </w:pPr>
      <w:r>
        <w:t xml:space="preserve">[21] B. Lim, S. Ö. Arık, N. Loeff, and T. Pfister,</w:t>
      </w:r>
      <w:r>
        <w:t xml:space="preserve"> </w:t>
      </w:r>
      <w:r>
        <w:t xml:space="preserve">“</w:t>
      </w:r>
      <w:r>
        <w:t xml:space="preserve">Temporal Fusion Transformers for interpretable multi-horizon time series forecasting,</w:t>
      </w:r>
      <w:r>
        <w:t xml:space="preserve">”</w:t>
      </w:r>
      <w:r>
        <w:t xml:space="preserve"> </w:t>
      </w:r>
      <w:r>
        <w:rPr>
          <w:i/>
          <w:iCs/>
        </w:rPr>
        <w:t xml:space="preserve">International Journal of Forecasting</w:t>
      </w:r>
      <w:r>
        <w:t xml:space="preserve">, vol. 37, no. 4, pp. 1748–1764, 2021.</w:t>
      </w:r>
    </w:p>
    <w:p>
      <w:r>
        <w:pict>
          <v:rect style="width:0;height:1.5pt" o:hralign="center" o:hrstd="t" o:hr="t"/>
        </w:pict>
      </w:r>
    </w:p>
    <w:p>
      <w:pPr>
        <w:pStyle w:val="FirstParagraph"/>
      </w:pPr>
      <w:r>
        <w:rPr>
          <w:i/>
          <w:iCs/>
        </w:rPr>
        <w:t xml:space="preserve">Manuscript received [Date]. This work was supported by [Funding Source].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2026-02-27T17:56:10Z</dcterms:created>
  <dcterms:modified xsi:type="dcterms:W3CDTF">2026-02-27T17:56:10Z</dcterms:modified>
</cp:coreProperties>
</file>

<file path=docProps/custom.xml><?xml version="1.0" encoding="utf-8"?>
<Properties xmlns="http://schemas.openxmlformats.org/officeDocument/2006/custom-properties" xmlns:vt="http://schemas.openxmlformats.org/officeDocument/2006/docPropsVTypes"/>
</file>