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x(start=3);</w:t>
      </w:r>
      <w:r>
        <w:br/>
      </w:r>
      <w:r>
        <w:rPr>
          <w:rStyle w:val="VerbatimChar"/>
        </w:rPr>
        <w:t xml:space="preserve">Real y(start=8);</w:t>
      </w:r>
      <w:r>
        <w:br/>
      </w:r>
      <w:r>
        <w:br/>
      </w:r>
      <w:r>
        <w:rPr>
          <w:rStyle w:val="VerbatimChar"/>
        </w:rPr>
        <w:t xml:space="preserve">parameter Real a = 0.22;</w:t>
      </w:r>
      <w:r>
        <w:br/>
      </w:r>
      <w:r>
        <w:rPr>
          <w:rStyle w:val="VerbatimChar"/>
        </w:rPr>
        <w:t xml:space="preserve">parameter Real b = 0.044;</w:t>
      </w:r>
      <w:r>
        <w:br/>
      </w:r>
      <w:r>
        <w:rPr>
          <w:rStyle w:val="VerbatimChar"/>
        </w:rPr>
        <w:t xml:space="preserve">parameter Real c = 0.33;</w:t>
      </w:r>
      <w:r>
        <w:br/>
      </w:r>
      <w:r>
        <w:rPr>
          <w:rStyle w:val="VerbatimChar"/>
        </w:rPr>
        <w:t xml:space="preserve">parameter Real d = 0.022;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</w:t>
      </w:r>
      <w:r>
        <w:br/>
      </w:r>
      <w:r>
        <w:rPr>
          <w:rStyle w:val="VerbatimChar"/>
        </w:rPr>
        <w:t xml:space="preserve">y0 = 8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0.22</w:t>
      </w:r>
      <w:r>
        <w:br/>
      </w:r>
      <w:r>
        <w:rPr>
          <w:rStyle w:val="VerbatimChar"/>
        </w:rPr>
        <w:t xml:space="preserve">b = 0.044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1.5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Этук Нсе-Абаси Акпан</dc:creator>
  <dc:language>ru-RU</dc:language>
  <cp:keywords/>
  <dcterms:created xsi:type="dcterms:W3CDTF">2024-03-05T07:16:01Z</dcterms:created>
  <dcterms:modified xsi:type="dcterms:W3CDTF">2024-03-05T07:16:01Z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