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Aptos Display" w:hAnsi="Aptos Display"/>
          <w:b/>
          <w:color w:val="246BFD"/>
          <w:sz w:val="36"/>
        </w:rPr>
        <w:t>COTIZA</w:t>
      </w:r>
    </w:p>
    <w:p>
      <w:pPr>
        <w:pStyle w:val="Title"/>
        <w:spacing w:after="280"/>
      </w:pPr>
      <w:r>
        <w:t>Anexo Técnico</w:t>
        <w:br/>
        <w:t>Salidas del Cotizador, Persistencia Normalizada y Dashboard</w:t>
      </w:r>
    </w:p>
    <w:p>
      <w:pPr>
        <w:spacing w:after="360"/>
      </w:pPr>
      <w:r>
        <w:rPr>
          <w:b/>
          <w:color w:val="5B6B7C"/>
          <w:sz w:val="26"/>
        </w:rPr>
        <w:t>Especificación complementaria para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EF5FF"/>
          <w:left w:val="single" w:sz="0" w:space="0" w:color="EEF5FF"/>
          <w:bottom w:val="single" w:sz="0" w:space="0" w:color="EEF5FF"/>
          <w:right w:val="single" w:sz="0" w:space="0" w:color="EEF5FF"/>
          <w:insideH w:val="single" w:sz="0" w:space="0" w:color="EEF5FF"/>
          <w:insideV w:val="single" w:sz="0" w:space="0" w:color="EEF5FF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246BFD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EEF5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Propósito del anexo</w:t>
            </w:r>
          </w:p>
          <w:p>
            <w:pPr>
              <w:pStyle w:val="Callout"/>
              <w:spacing w:after="0"/>
            </w:pPr>
            <w:r>
              <w:t>Desarrollar técnicamente los requerimientos ya entregados sobre Salidas del Cotizador, persistencia normalizada y consumo del Dashboard, sin sustituir ni contradecir la especificación funcional anterior.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48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Proyecto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Cotiza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Organización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Exceltec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Tipo de documento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Anexo técnico complementario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Fecha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19 de septiembre de 2026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Estado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Para desarrollo / validación técnica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Documentos base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8"/>
              </w:rPr>
              <w:t>Requerimientos_Cotiza_Consolidados (10-ago-2026) y Requerimientos_Detallados_Cotiza (13-ago-2026)</w:t>
            </w:r>
          </w:p>
        </w:tc>
      </w:tr>
    </w:tbl>
    <w:p>
      <w:pPr>
        <w:spacing w:after="20"/>
      </w:pPr>
    </w:p>
    <w:p>
      <w:pPr>
        <w:spacing w:before="200"/>
      </w:pPr>
      <w:r>
        <w:rPr>
          <w:b/>
          <w:color w:val="173A5E"/>
          <w:sz w:val="22"/>
        </w:rPr>
        <w:t>Regla central</w:t>
      </w:r>
    </w:p>
    <w:p>
      <w:pPr>
        <w:spacing w:after="0"/>
        <w:ind w:left="360" w:right="360"/>
      </w:pPr>
      <w:r>
        <w:rPr>
          <w:b/>
          <w:color w:val="173A5E"/>
          <w:sz w:val="22"/>
        </w:rPr>
        <w:t>El JSON conserva la cotización completa. Las Salidas del Cotizador son la interfaz normalizada entre cada calculadora y Cotiza. Gestor, Dashboard, Reportes y CRM consumen los valores normalizados guardados; no reinterpretan el JSON interno de cada calculadora.</w:t>
      </w:r>
    </w:p>
    <w:p>
      <w:r>
        <w:br w:type="page"/>
      </w:r>
    </w:p>
    <w:p>
      <w:pPr>
        <w:pStyle w:val="Heading1"/>
      </w:pPr>
      <w:r>
        <w:t>1. Alcance y trazabilidad con los requerimientos existentes</w:t>
      </w:r>
    </w:p>
    <w:p>
      <w:r>
        <w:t>Este anexo complementa la documentación funcional ya entregada. Su objetivo es traducir las decisiones funcionales sobre Salidas del Cotizador y Dashboard a una implementación técnica consistente con la arquitectura original de Cotiza.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Requerimiento previo</w:t>
            </w:r>
          </w:p>
        </w:tc>
        <w:tc>
          <w:tcPr>
            <w:tcW w:type="dxa" w:w="720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Qué desarrolla este anexo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SAL-001 a SAL-007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Salidas del Cotizador: definición, fuentes, compilación, persistencia, validaciones y escenarios.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REP-001 a REP-004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Dashboard y Reportes consumen valores normalizados y conservan moneda/contexto.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DAT-004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Al guardar, persistir datos fuente y salidas financieras normalizadas.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CTZ-CAL-003/004/005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Sección Salidas del Cotizador, salidas normalizadas y mapa técnico generado automáticamente.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CTZ-DAT-001/002/003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Persistencia, opción recomendada y consistencia entre consumidores.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3F7FB"/>
          <w:left w:val="single" w:sz="0" w:space="0" w:color="F3F7FB"/>
          <w:bottom w:val="single" w:sz="0" w:space="0" w:color="F3F7FB"/>
          <w:right w:val="single" w:sz="0" w:space="0" w:color="F3F7FB"/>
          <w:insideH w:val="single" w:sz="0" w:space="0" w:color="F3F7FB"/>
          <w:insideV w:val="single" w:sz="0" w:space="0" w:color="F3F7FB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1B9AAA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No es un cambio de arquitectura</w:t>
            </w:r>
          </w:p>
          <w:p>
            <w:pPr>
              <w:pStyle w:val="Callout"/>
              <w:spacing w:after="0"/>
            </w:pPr>
            <w:r>
              <w:t>Se conserva el principio ya definido: diseñador configurable, versión compilada en JSON, cotización versionada, resultados normalizados persistidos y consumidores desacoplados de la estructura interna del cotizador.</w:t>
            </w:r>
          </w:p>
        </w:tc>
      </w:tr>
    </w:tbl>
    <w:p>
      <w:pPr>
        <w:spacing w:after="40"/>
      </w:pPr>
    </w:p>
    <w:p>
      <w:pPr>
        <w:pStyle w:val="Heading1"/>
      </w:pPr>
      <w:r>
        <w:t>2. Conceptos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720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Campo / componente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Dato interno de una calculadora. Puede variar completamente entre cotizadores.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Salida del Cotizador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Resultado estándar que Cotiza entiende independientemente de cómo fue calculado.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Mapa_Salidas_Cotizador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Configuración técnica que relaciona una salida estándar con su fuente dentro del cotizador.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Cotizacion_Valores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Persistencia tipada de las salidas normalizadas para una versión concreta de la cotización.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KPI del Dashboard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Indicador derivado de cotizaciones, estados, fechas y salidas. No es una salida almacenada por sí misma.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snapshot_json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Representación completa de la versión de cotización para reconstrucción, auditoría y render de oferta.</w:t>
            </w:r>
          </w:p>
        </w:tc>
      </w:tr>
    </w:tbl>
    <w:p>
      <w:pPr>
        <w:spacing w:after="20"/>
      </w:pPr>
    </w:p>
    <w:p>
      <w:pPr>
        <w:pStyle w:val="Heading1"/>
      </w:pPr>
      <w:r>
        <w:t>3. Arquitectura funcional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E"/>
          <w:left w:val="single" w:sz="4" w:space="0" w:color="D7E2EE"/>
          <w:bottom w:val="single" w:sz="4" w:space="0" w:color="D7E2EE"/>
          <w:right w:val="single" w:sz="4" w:space="0" w:color="D7E2EE"/>
          <w:insideH w:val="single" w:sz="4" w:space="0" w:color="D7E2EE"/>
          <w:insideV w:val="single" w:sz="4" w:space="0" w:color="D7E2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Text"/>
              <w:spacing w:after="0"/>
            </w:pPr>
            <w:r>
              <w:rPr>
                <w:rFonts w:ascii="Consolas" w:hAnsi="Consolas"/>
                <w:sz w:val="17"/>
              </w:rPr>
              <w:t>COTIZADOR CONFIGURABLE</w:t>
              <w:br/>
            </w:r>
            <w:r>
              <w:rPr>
                <w:rFonts w:ascii="Consolas" w:hAnsi="Consolas"/>
                <w:sz w:val="17"/>
              </w:rPr>
              <w:t xml:space="preserve">  Campos / Tablas / Listas / Escenarios</w:t>
              <w:br/>
            </w:r>
            <w:r>
              <w:rPr>
                <w:rFonts w:ascii="Consolas" w:hAnsi="Consolas"/>
                <w:sz w:val="17"/>
              </w:rPr>
              <w:t xml:space="preserve">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v</w:t>
              <w:br/>
            </w:r>
            <w:r>
              <w:rPr>
                <w:rFonts w:ascii="Consolas" w:hAnsi="Consolas"/>
                <w:sz w:val="17"/>
              </w:rPr>
              <w:t xml:space="preserve">             Cálculos</w:t>
              <w:br/>
            </w:r>
            <w:r>
              <w:rPr>
                <w:rFonts w:ascii="Consolas" w:hAnsi="Consolas"/>
                <w:sz w:val="17"/>
              </w:rPr>
              <w:t xml:space="preserve">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v</w:t>
              <w:br/>
            </w:r>
            <w:r>
              <w:rPr>
                <w:rFonts w:ascii="Consolas" w:hAnsi="Consolas"/>
                <w:sz w:val="17"/>
              </w:rPr>
              <w:t xml:space="preserve">      SALIDAS DEL COTIZADOR</w:t>
              <w:br/>
            </w:r>
            <w:r>
              <w:rPr>
                <w:rFonts w:ascii="Consolas" w:hAnsi="Consolas"/>
                <w:sz w:val="17"/>
              </w:rPr>
              <w:t xml:space="preserve">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v</w:t>
              <w:br/>
            </w:r>
            <w:r>
              <w:rPr>
                <w:rFonts w:ascii="Consolas" w:hAnsi="Consolas"/>
                <w:sz w:val="17"/>
              </w:rPr>
              <w:t xml:space="preserve">     Mapa_Salidas_Cotizador</w:t>
              <w:br/>
            </w:r>
            <w:r>
              <w:rPr>
                <w:rFonts w:ascii="Consolas" w:hAnsi="Consolas"/>
                <w:sz w:val="17"/>
              </w:rPr>
              <w:t xml:space="preserve">                |</w:t>
              <w:br/>
            </w:r>
            <w:r>
              <w:rPr>
                <w:rFonts w:ascii="Consolas" w:hAnsi="Consolas"/>
                <w:sz w:val="17"/>
              </w:rPr>
              <w:t xml:space="preserve">          Guardar versión</w:t>
              <w:br/>
            </w:r>
            <w:r>
              <w:rPr>
                <w:rFonts w:ascii="Consolas" w:hAnsi="Consolas"/>
                <w:sz w:val="17"/>
              </w:rPr>
              <w:t xml:space="preserve">        ________|________</w:t>
              <w:br/>
            </w:r>
            <w:r>
              <w:rPr>
                <w:rFonts w:ascii="Consolas" w:hAnsi="Consolas"/>
                <w:sz w:val="17"/>
              </w:rPr>
              <w:t xml:space="preserve">       |                 |</w:t>
              <w:br/>
            </w:r>
            <w:r>
              <w:rPr>
                <w:rFonts w:ascii="Consolas" w:hAnsi="Consolas"/>
                <w:sz w:val="17"/>
              </w:rPr>
              <w:t xml:space="preserve">       v                 v</w:t>
              <w:br/>
            </w:r>
            <w:r>
              <w:rPr>
                <w:rFonts w:ascii="Consolas" w:hAnsi="Consolas"/>
                <w:sz w:val="17"/>
              </w:rPr>
              <w:t>Cotizacion_Versiones   Cotizacion_Valores</w:t>
              <w:br/>
            </w:r>
            <w:r>
              <w:rPr>
                <w:rFonts w:ascii="Consolas" w:hAnsi="Consolas"/>
                <w:sz w:val="17"/>
              </w:rPr>
              <w:t xml:space="preserve">   snapshot_json        salidas normalizadas</w:t>
              <w:br/>
            </w:r>
            <w:r>
              <w:rPr>
                <w:rFonts w:ascii="Consolas" w:hAnsi="Consolas"/>
                <w:sz w:val="17"/>
              </w:rPr>
              <w:t xml:space="preserve">       |                 |</w:t>
              <w:br/>
            </w:r>
            <w:r>
              <w:rPr>
                <w:rFonts w:ascii="Consolas" w:hAnsi="Consolas"/>
                <w:sz w:val="17"/>
              </w:rPr>
              <w:t xml:space="preserve">       |________  _______|</w:t>
              <w:br/>
            </w:r>
            <w:r>
              <w:rPr>
                <w:rFonts w:ascii="Consolas" w:hAnsi="Consolas"/>
                <w:sz w:val="17"/>
              </w:rPr>
              <w:t xml:space="preserve">                \/</w:t>
              <w:br/>
            </w:r>
            <w:r>
              <w:rPr>
                <w:rFonts w:ascii="Consolas" w:hAnsi="Consolas"/>
                <w:sz w:val="17"/>
              </w:rPr>
              <w:t xml:space="preserve">          Cotizaciones_V2</w:t>
              <w:br/>
            </w:r>
            <w:r>
              <w:rPr>
                <w:rFonts w:ascii="Consolas" w:hAnsi="Consolas"/>
                <w:sz w:val="17"/>
              </w:rPr>
              <w:t xml:space="preserve">     estado / versión actual / aceptada</w:t>
              <w:br/>
            </w:r>
            <w:r>
              <w:rPr>
                <w:rFonts w:ascii="Consolas" w:hAnsi="Consolas"/>
                <w:sz w:val="17"/>
              </w:rPr>
              <w:t xml:space="preserve">                |</w:t>
              <w:br/>
            </w:r>
            <w:r>
              <w:rPr>
                <w:rFonts w:ascii="Consolas" w:hAnsi="Consolas"/>
                <w:sz w:val="17"/>
              </w:rPr>
              <w:t xml:space="preserve">       _________|_________</w:t>
              <w:br/>
            </w:r>
            <w:r>
              <w:rPr>
                <w:rFonts w:ascii="Consolas" w:hAnsi="Consolas"/>
                <w:sz w:val="17"/>
              </w:rPr>
              <w:t xml:space="preserve">      |         |         |</w:t>
              <w:br/>
            </w:r>
            <w:r>
              <w:rPr>
                <w:rFonts w:ascii="Consolas" w:hAnsi="Consolas"/>
                <w:sz w:val="17"/>
              </w:rPr>
              <w:t xml:space="preserve">      v         v         v</w:t>
              <w:br/>
            </w:r>
            <w:r>
              <w:rPr>
                <w:rFonts w:ascii="Consolas" w:hAnsi="Consolas"/>
                <w:sz w:val="17"/>
              </w:rPr>
              <w:t xml:space="preserve">   Gestor   Dashboard    CRM/Reportes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El JSON es obligatorio para reconstruir y reabrir la cotización.</w:t>
      </w:r>
    </w:p>
    <w:p>
      <w:pPr>
        <w:pStyle w:val="ListBullet"/>
        <w:spacing w:after="40"/>
      </w:pPr>
      <w:r>
        <w:t>Las salidas normalizadas son obligatorias para análisis y consumo transversal.</w:t>
      </w:r>
    </w:p>
    <w:p>
      <w:pPr>
        <w:pStyle w:val="ListBullet"/>
        <w:spacing w:after="40"/>
      </w:pPr>
      <w:r>
        <w:t>El Dashboard no debe recorrer snapshot_json ni depender de códigos internos de campos.</w:t>
      </w:r>
    </w:p>
    <w:p>
      <w:pPr>
        <w:pStyle w:val="ListBullet"/>
        <w:spacing w:after="40"/>
      </w:pPr>
      <w:r>
        <w:t>Una nueva calculadora debe poder integrarse al Dashboard mapeando sus salidas estándar, sin modificar el Dashboard.</w:t>
      </w:r>
    </w:p>
    <w:p>
      <w:r>
        <w:br w:type="page"/>
      </w:r>
    </w:p>
    <w:p>
      <w:pPr>
        <w:pStyle w:val="Heading1"/>
      </w:pPr>
      <w:r>
        <w:t>4. Catálogo de Salidas estándar</w:t>
      </w:r>
    </w:p>
    <w:p>
      <w:r>
        <w:t>Las Salidas del Cotizador son un vocabulario controlado. Para la primera versión deben mantenerse los códigos ya definidos en la documentación funcional.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58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216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22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23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  <w:tc>
          <w:tcPr>
            <w:tcW w:type="dxa" w:w="244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Consumidores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TOTAL_PRECIO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Precio total de la oferta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Obligatoria para cotización liberada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Dashboard, Gestor, CRM, Reportes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TOTAL_COSTO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Costo total interno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Requerida cuando la calculadora maneja costo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Gestor, Reportes, rentabilidad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TOTAL_GANANCIA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Ganancia total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Requerida cuando existe costo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Gestor, Reportes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MARGEN_TOTAL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Margen total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PORCENTAJE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Requerida cuando existe costo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Dashboard, Gestor, Reportes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SUBTOTAL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Subtotal antes de descuentos/impuestos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Opcional según modelo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Resumen financiero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DESCUENTO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Descuento total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Opcional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Resumen financiero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IMPUESTOS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Impuestos totalizados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Opcional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Resumen financiero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 de la oferta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TEXTO/CATÁLOGO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Obligatoria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Dashboard, Gestor, Reportes</w:t>
            </w:r>
          </w:p>
        </w:tc>
      </w:tr>
    </w:tbl>
    <w:p>
      <w:pPr>
        <w:spacing w:after="20"/>
      </w:pPr>
    </w:p>
    <w:p>
      <w:pPr>
        <w:spacing w:after="60"/>
      </w:pPr>
      <w:r>
        <w:t>Salidas/dimensiones complementarias para soportar el tablero actual y reportes: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16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6336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1440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TIPO_CLIENTE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Prospecto / cliente existente u otra clasificación corporativa.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TEXTO/CATÁLOGO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TIPO_PROPUESTA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Clasificación de la propuesta cuando el negocio lo requiera.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TEXTO/CATÁLOGO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7E8"/>
          <w:left w:val="single" w:sz="0" w:space="0" w:color="FFF7E8"/>
          <w:bottom w:val="single" w:sz="0" w:space="0" w:color="FFF7E8"/>
          <w:right w:val="single" w:sz="0" w:space="0" w:color="FFF7E8"/>
          <w:insideH w:val="single" w:sz="0" w:space="0" w:color="FFF7E8"/>
          <w:insideV w:val="single" w:sz="0" w:space="0" w:color="FFF7E8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E88B1F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FFF7E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Importante</w:t>
            </w:r>
          </w:p>
          <w:p>
            <w:pPr>
              <w:pStyle w:val="Callout"/>
              <w:spacing w:after="0"/>
            </w:pPr>
            <w:r>
              <w:t>TOTAL_PRECIO_OFERTA puede ser el nombre de un campo calculado interno de una calculadora. La salida estándar corporativa continúa siendo TOTAL_PRECIO. Los nombres internos pueden cambiar; las salidas estándar no.</w:t>
            </w:r>
          </w:p>
        </w:tc>
      </w:tr>
    </w:tbl>
    <w:p>
      <w:pPr>
        <w:spacing w:after="40"/>
      </w:pPr>
    </w:p>
    <w:p>
      <w:pPr>
        <w:pStyle w:val="Heading1"/>
      </w:pPr>
      <w:r>
        <w:t>5. Configuración de “Salidas del Cotizador”</w:t>
      </w:r>
    </w:p>
    <w:p>
      <w:r>
        <w:t>La asociación no debe limitarse a “un campo tiene metadata_id”. La documentación previa permite que una salida tome datos de diferentes tipos de fuente. Por ello debe conservarse Mapa_Salidas_Cotizador o una estructura equivalente generada por la pantalla de configuración.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Tipo de fuente</w:t>
            </w:r>
          </w:p>
        </w:tc>
        <w:tc>
          <w:tcPr>
            <w:tcW w:type="dxa" w:w="720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CAMPO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Campo simple del cotizador.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CALCULADO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Campo o resultado calculado.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TOTAL_TABLA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 configurado de una tabla.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LISTA_PRECIO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Precio/costo resuelto desde lista de precios.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ESCENARIO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Resultado de la opción efectiva/recomendada.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SALIDA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Otra salida compatible, para composición controlada.</w:t>
            </w:r>
          </w:p>
        </w:tc>
      </w:tr>
    </w:tbl>
    <w:p>
      <w:pPr>
        <w:spacing w:after="20"/>
      </w:pPr>
    </w:p>
    <w:p>
      <w:r>
        <w:t>Diseño funcional esperado de la sección: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16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Salida estándar</w:t>
            </w:r>
          </w:p>
        </w:tc>
        <w:tc>
          <w:tcPr>
            <w:tcW w:type="dxa" w:w="2016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Tipo de fuente</w:t>
            </w:r>
          </w:p>
        </w:tc>
        <w:tc>
          <w:tcPr>
            <w:tcW w:type="dxa" w:w="4032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Fuente seleccionada</w:t>
            </w:r>
          </w:p>
        </w:tc>
        <w:tc>
          <w:tcPr>
            <w:tcW w:type="dxa" w:w="1584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TOTAL_PRECIO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Calculado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TOTAL_PRECIO_OFERTA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Configurada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TOTAL_COSTO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Calculado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TOTAL_COSTO_INTERNO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Configurada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TOTAL_GANANCIA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Calculado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TOTAL_GANANCIA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Configurada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MARGEN_TOTAL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Calculado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MARGEN_GENERAL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Configurada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MONEDA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Catálogo/Campo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MONEDA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Configurada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El administrador configura conceptos de negocio; no edita JSON ni registros técnicos del mapa.</w:t>
      </w:r>
    </w:p>
    <w:p>
      <w:pPr>
        <w:pStyle w:val="ListBullet"/>
        <w:spacing w:after="40"/>
      </w:pPr>
      <w:r>
        <w:t>El compilador genera automáticamente la configuración técnica correspondiente.</w:t>
      </w:r>
    </w:p>
    <w:p>
      <w:pPr>
        <w:pStyle w:val="ListBullet"/>
        <w:spacing w:after="40"/>
      </w:pPr>
      <w:r>
        <w:t>Una salida requerida sin fuente válida bloquea publicación/liberación según la regla definida.</w:t>
      </w:r>
    </w:p>
    <w:p>
      <w:pPr>
        <w:pStyle w:val="ListBullet"/>
        <w:spacing w:after="40"/>
      </w:pPr>
      <w:r>
        <w:t>La compatibilidad de tipos debe validarse en diseño y compilación.</w:t>
      </w:r>
    </w:p>
    <w:p>
      <w:pPr>
        <w:pStyle w:val="Heading1"/>
      </w:pPr>
      <w:r>
        <w:t>6. Modelo de datos y responsabilidad de las tablas</w:t>
      </w:r>
    </w:p>
    <w:p>
      <w:pPr>
        <w:pStyle w:val="Heading2"/>
      </w:pPr>
      <w:r>
        <w:t>6.1 Mapa_Salidas_Cotizador</w:t>
      </w:r>
    </w:p>
    <w:p>
      <w:r>
        <w:t>Conserva la definición de dónde obtiene cada cotizador sus salidas estándar. Puede reutilizarse la tabla existente; los nombres exactos de columnas pueden adaptarse a la implementación actual.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Campo lógico</w:t>
            </w:r>
          </w:p>
        </w:tc>
        <w:tc>
          <w:tcPr>
            <w:tcW w:type="dxa" w:w="172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04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id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PK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Identificador técnico.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cotizador_id / version_id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FK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Cotizador o versión publicada a la que pertenece el mapeo.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clave_salida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VARCHAR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TOTAL_PRECIO, TOTAL_COSTO, etc.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tipo_fuente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ENUM/VARCHAR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CAMPO, CALCULADO, TOTAL_TABLA, LISTA_PRECIO, ESCENARIO, SALIDA.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fuente_id / fuente_codigo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FK/VARCHAR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Elemento concreto que origina el valor.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propiedad_fuente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VARCHAR NULL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Propiedad específica cuando el componente produce más de un valor.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requerido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BOOLEAN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Indica si la ausencia bloquea liberación/publicación.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activo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BOOLEAN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Permite versionar o desactivar mapeos.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EF8F4"/>
          <w:left w:val="single" w:sz="0" w:space="0" w:color="EEF8F4"/>
          <w:bottom w:val="single" w:sz="0" w:space="0" w:color="EEF8F4"/>
          <w:right w:val="single" w:sz="0" w:space="0" w:color="EEF8F4"/>
          <w:insideH w:val="single" w:sz="0" w:space="0" w:color="EEF8F4"/>
          <w:insideV w:val="single" w:sz="0" w:space="0" w:color="EEF8F4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1B9B64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EEF8F4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Simplificación acordada</w:t>
            </w:r>
          </w:p>
          <w:p>
            <w:pPr>
              <w:pStyle w:val="Callout"/>
              <w:spacing w:after="0"/>
            </w:pPr>
            <w:r>
              <w:t>No se recomienda recuperar la lógica antigua de condiciones complejas para decidir qué campo “parece” el total. El Resumen Financiero y los cálculos deben producir una salida final explícita. Las condiciones de negocio pertenecen a reglas/cálculos del cotizador, no al Dashboard.</w:t>
            </w:r>
          </w:p>
        </w:tc>
      </w:tr>
    </w:tbl>
    <w:p>
      <w:pPr>
        <w:spacing w:after="40"/>
      </w:pPr>
    </w:p>
    <w:p>
      <w:pPr>
        <w:pStyle w:val="Heading2"/>
      </w:pPr>
      <w:r>
        <w:t>6.2 Cotizacion_Versiones</w:t>
      </w:r>
    </w:p>
    <w:p>
      <w:r>
        <w:t>Conserva una versión reproducible de la cotización. Debe mantener snapshot_json y los identificadores necesarios para saber con qué versión del cotizador/plantilla se generó.</w:t>
      </w:r>
    </w:p>
    <w:p>
      <w:pPr>
        <w:pStyle w:val="ListBullet"/>
        <w:spacing w:after="40"/>
      </w:pPr>
      <w:r>
        <w:t>No recalcular versiones históricas por cambios futuros en catálogos, listas de precios o fórmulas.</w:t>
      </w:r>
    </w:p>
    <w:p>
      <w:pPr>
        <w:pStyle w:val="ListBullet"/>
        <w:spacing w:after="40"/>
      </w:pPr>
      <w:r>
        <w:t>Una nueva modificación comercial relevante debe crear o actualizar la versión de acuerdo con el ciclo de vida vigente.</w:t>
      </w:r>
    </w:p>
    <w:p>
      <w:pPr>
        <w:pStyle w:val="Heading2"/>
      </w:pPr>
      <w:r>
        <w:t>6.3 Cotizacion_Valores</w:t>
      </w:r>
    </w:p>
    <w:p>
      <w:r>
        <w:t>Es la persistencia normalizada de las Salidas del Cotizador. Reemplaza la necesidad de abrir el JSON para obtener precio, costo, margen u otras salidas corporativas.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Campo lógico</w:t>
            </w:r>
          </w:p>
        </w:tc>
        <w:tc>
          <w:tcPr>
            <w:tcW w:type="dxa" w:w="194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482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cotizacion_valor_id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PK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Identificador.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cotizacion_id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FK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Cotización propietaria.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cotizacion_version_id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FK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Versión a la que pertenece el valor.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numero_version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INTEGER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Trazabilidad adicional si ya existe.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clave_salida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VARCHAR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Código estándar.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elemento_id / fuente_id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FK NULL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Origen para auditoría.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tipo_dato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VARCHAR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MONEDA, PORCENTAJE, TEXTO, BOOLEANO, FECHA.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valor_numero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NUMERIC NULL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Monedas, números y porcentajes normalizados.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valor_texto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TEXT NULL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Texto/catálogos.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valor_booleano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BOOLEAN NULL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Booleanos.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valor_fecha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DATE/TIMESTAMP NULL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Fechas.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valor_visible / valor_id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Opcional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5"/>
              </w:rPr>
              <w:t>Etiqueta/código visible cuando exista catálogo.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7E8"/>
          <w:left w:val="single" w:sz="0" w:space="0" w:color="FFF7E8"/>
          <w:bottom w:val="single" w:sz="0" w:space="0" w:color="FFF7E8"/>
          <w:right w:val="single" w:sz="0" w:space="0" w:color="FFF7E8"/>
          <w:insideH w:val="single" w:sz="0" w:space="0" w:color="FFF7E8"/>
          <w:insideV w:val="single" w:sz="0" w:space="0" w:color="FFF7E8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E88B1F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FFF7E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Restricción de integridad</w:t>
            </w:r>
          </w:p>
          <w:p>
            <w:pPr>
              <w:pStyle w:val="Callout"/>
              <w:spacing w:after="0"/>
            </w:pPr>
            <w:r>
              <w:t>Debe existir un solo valor vigente por salida dentro de una misma versión: UNIQUE (cotizacion_version_id, clave_salida), salvo que una salida sea explícitamente multivalor, caso que queda fuera del alcance de V1.</w:t>
            </w:r>
          </w:p>
        </w:tc>
      </w:tr>
    </w:tbl>
    <w:p>
      <w:pPr>
        <w:spacing w:after="40"/>
      </w:pPr>
    </w:p>
    <w:p>
      <w:pPr>
        <w:pStyle w:val="Heading2"/>
      </w:pPr>
      <w:r>
        <w:t>6.4 Cotizaciones_V2</w:t>
      </w:r>
    </w:p>
    <w:p>
      <w:r>
        <w:t>Mantiene la cabecera y el estado operativo actual de la cotización. Se conserva la lógica existente de versión actual y versión aceptada.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45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19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estado_actual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Alimenta estados, embudo y clasificación comercial.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version_actual / cotizacion_version_id actual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Determina los valores vigentes para el Gestor y el Dashboard de cotización actual.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cotizacion_version_aceptada_id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Determina qué versión y monto fueron aceptados cuando difiere de la versión actual.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fecha_aceptacion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Permite análisis temporal de aceptación.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vendedor_usuario_id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Filtro y análisis por vendedor.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cotizador_id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Filtro y análisis por calculadora/cotizador.</w:t>
            </w:r>
          </w:p>
        </w:tc>
      </w:tr>
    </w:tbl>
    <w:p>
      <w:pPr>
        <w:spacing w:after="20"/>
      </w:pPr>
    </w:p>
    <w:p>
      <w:pPr>
        <w:pStyle w:val="Heading2"/>
      </w:pPr>
      <w:r>
        <w:t>6.5 Cotizacion_Historial y Cotizacion_Items</w:t>
      </w:r>
    </w:p>
    <w:p>
      <w:r>
        <w:t>Estas tablas cumplen funciones distintas y no deben reemplazarse con Meta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676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Cotizacion_Historial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Registrar transiciones de estado, usuario, fecha y versión. Fuente para tiempos de ciclo y eventos por período.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Cotizacion_Items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Guardar el desglose comercial/financiero: licenciamiento, consultoría, hosting, viáticos, otros costos, cantidades, precios, costos y márgenes.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Flujo transaccional al guardar una cotización</w:t>
      </w:r>
    </w:p>
    <w:p>
      <w:r>
        <w:t>El guardado debe ser determinista y transaccional. No puede quedar un snapshot_json guardado sin sus salidas normalizadas correspondientes cuando estas son obligatorias.</w:t>
      </w:r>
    </w:p>
    <w:p>
      <w:pPr>
        <w:pStyle w:val="ListNumber"/>
        <w:spacing w:after="40"/>
      </w:pPr>
      <w:r>
        <w:t>Validar campos obligatorios, reglas y consistencia del cotizador.</w:t>
      </w:r>
    </w:p>
    <w:p>
      <w:pPr>
        <w:pStyle w:val="ListNumber"/>
        <w:spacing w:after="40"/>
      </w:pPr>
      <w:r>
        <w:t>Resolver grupos de escenarios y determinar la opción efectiva/recomendada.</w:t>
      </w:r>
    </w:p>
    <w:p>
      <w:pPr>
        <w:pStyle w:val="ListNumber"/>
        <w:spacing w:after="40"/>
      </w:pPr>
      <w:r>
        <w:t>Ejecutar fórmulas y cálculos dependientes.</w:t>
      </w:r>
    </w:p>
    <w:p>
      <w:pPr>
        <w:pStyle w:val="ListNumber"/>
        <w:spacing w:after="40"/>
      </w:pPr>
      <w:r>
        <w:t>Resolver el Resumen Financiero.</w:t>
      </w:r>
    </w:p>
    <w:p>
      <w:pPr>
        <w:pStyle w:val="ListNumber"/>
        <w:spacing w:after="40"/>
      </w:pPr>
      <w:r>
        <w:t>Resolver cada Salida del Cotizador según Mapa_Salidas_Cotizador.</w:t>
      </w:r>
    </w:p>
    <w:p>
      <w:pPr>
        <w:pStyle w:val="ListNumber"/>
        <w:spacing w:after="40"/>
      </w:pPr>
      <w:r>
        <w:t>Validar tipos y salidas requeridas.</w:t>
      </w:r>
    </w:p>
    <w:p>
      <w:pPr>
        <w:pStyle w:val="ListNumber"/>
        <w:spacing w:after="40"/>
      </w:pPr>
      <w:r>
        <w:t>Generar snapshot_json de la versión.</w:t>
      </w:r>
    </w:p>
    <w:p>
      <w:pPr>
        <w:pStyle w:val="ListNumber"/>
        <w:spacing w:after="40"/>
      </w:pPr>
      <w:r>
        <w:t>Guardar/actualizar Cotizacion_Versiones.</w:t>
      </w:r>
    </w:p>
    <w:p>
      <w:pPr>
        <w:pStyle w:val="ListNumber"/>
        <w:spacing w:after="40"/>
      </w:pPr>
      <w:r>
        <w:t>Insertar o regenerar Cotizacion_Valores para esa versión.</w:t>
      </w:r>
    </w:p>
    <w:p>
      <w:pPr>
        <w:pStyle w:val="ListNumber"/>
        <w:spacing w:after="40"/>
      </w:pPr>
      <w:r>
        <w:t>Guardar/regenerar Cotizacion_Items cuando aplique.</w:t>
      </w:r>
    </w:p>
    <w:p>
      <w:pPr>
        <w:pStyle w:val="ListNumber"/>
        <w:spacing w:after="40"/>
      </w:pPr>
      <w:r>
        <w:t>Actualizar Cotizaciones_V2 con versión/estado actual según el flujo.</w:t>
      </w:r>
    </w:p>
    <w:p>
      <w:pPr>
        <w:pStyle w:val="ListNumber"/>
        <w:spacing w:after="40"/>
      </w:pPr>
      <w:r>
        <w:t>Registrar evento en Cotizacion_Historial cuando corresponda.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CEEEE"/>
          <w:left w:val="single" w:sz="0" w:space="0" w:color="FCEEEE"/>
          <w:bottom w:val="single" w:sz="0" w:space="0" w:color="FCEEEE"/>
          <w:right w:val="single" w:sz="0" w:space="0" w:color="FCEEEE"/>
          <w:insideH w:val="single" w:sz="0" w:space="0" w:color="FCEEEE"/>
          <w:insideV w:val="single" w:sz="0" w:space="0" w:color="FCEEEE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C94747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FCEEEE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Atomicidad</w:t>
            </w:r>
          </w:p>
          <w:p>
            <w:pPr>
              <w:pStyle w:val="Callout"/>
              <w:spacing w:after="0"/>
            </w:pPr>
            <w:r>
              <w:t>Las operaciones críticas de versión + salidas deben ejecutarse dentro de una transacción de base de datos. Si falla la persistencia de una salida requerida, el guardado/liberación debe fallar completo.</w:t>
            </w:r>
          </w:p>
        </w:tc>
      </w:tr>
    </w:tbl>
    <w:p>
      <w:pPr>
        <w:spacing w:after="40"/>
      </w:pPr>
    </w:p>
    <w:p>
      <w:pPr>
        <w:pStyle w:val="Heading1"/>
      </w:pPr>
      <w:r>
        <w:t>8. Escenarios y opción efectiva</w:t>
      </w:r>
    </w:p>
    <w:p>
      <w:pPr>
        <w:pStyle w:val="ListBullet"/>
        <w:spacing w:after="40"/>
      </w:pPr>
      <w:r>
        <w:t>Con una sola opción, esa opción se considera efectiva automáticamente.</w:t>
      </w:r>
    </w:p>
    <w:p>
      <w:pPr>
        <w:pStyle w:val="ListBullet"/>
        <w:spacing w:after="40"/>
      </w:pPr>
      <w:r>
        <w:t>Con múltiples opciones, debe existir una recomendada/efectiva antes de completar un guardado que requiera salidas finales.</w:t>
      </w:r>
    </w:p>
    <w:p>
      <w:pPr>
        <w:pStyle w:val="ListBullet"/>
        <w:spacing w:after="40"/>
      </w:pPr>
      <w:r>
        <w:t>Las salidas financieras principales deben resolver la opción efectiva; no se generan múltiples TOTAL_PRECIO para la misma versión.</w:t>
      </w:r>
    </w:p>
    <w:p>
      <w:pPr>
        <w:pStyle w:val="ListBullet"/>
        <w:spacing w:after="40"/>
      </w:pPr>
      <w:r>
        <w:t>El resto de escenarios permanece en el JSON y/o estructuras de escenarios para la oferta, pero el Dashboard V1 consume únicamente la alternativa efectiva.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E"/>
          <w:left w:val="single" w:sz="4" w:space="0" w:color="D7E2EE"/>
          <w:bottom w:val="single" w:sz="4" w:space="0" w:color="D7E2EE"/>
          <w:right w:val="single" w:sz="4" w:space="0" w:color="D7E2EE"/>
          <w:insideH w:val="single" w:sz="4" w:space="0" w:color="D7E2EE"/>
          <w:insideV w:val="single" w:sz="4" w:space="0" w:color="D7E2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Text"/>
              <w:spacing w:after="0"/>
            </w:pPr>
            <w:r>
              <w:rPr>
                <w:rFonts w:ascii="Consolas" w:hAnsi="Consolas"/>
                <w:sz w:val="17"/>
              </w:rPr>
              <w:t>Ejemplo</w:t>
              <w:br/>
            </w:r>
            <w:r>
              <w:rPr>
                <w:rFonts w:ascii="Consolas" w:hAnsi="Consolas"/>
                <w:sz w:val="17"/>
              </w:rPr>
              <w:t>Opción A = 10.000</w:t>
              <w:br/>
            </w:r>
            <w:r>
              <w:rPr>
                <w:rFonts w:ascii="Consolas" w:hAnsi="Consolas"/>
                <w:sz w:val="17"/>
              </w:rPr>
              <w:t>Opción B = 12.000  &lt;-- recomendada</w:t>
              <w:br/>
            </w:r>
            <w:r>
              <w:rPr>
                <w:rFonts w:ascii="Consolas" w:hAnsi="Consolas"/>
                <w:sz w:val="17"/>
              </w:rPr>
              <w:t>Opción C = 15.000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Salida normalizada de la versión:</w:t>
              <w:br/>
            </w:r>
            <w:r>
              <w:rPr>
                <w:rFonts w:ascii="Consolas" w:hAnsi="Consolas"/>
                <w:sz w:val="17"/>
              </w:rPr>
              <w:t>TOTAL_PRECIO = 12.000</w:t>
            </w:r>
          </w:p>
        </w:tc>
      </w:tr>
    </w:tbl>
    <w:p>
      <w:pPr>
        <w:spacing w:after="20"/>
      </w:pPr>
    </w:p>
    <w:p>
      <w:pPr>
        <w:pStyle w:val="Heading1"/>
      </w:pPr>
      <w:r>
        <w:t>9. Versionamiento y cambios de estado</w:t>
      </w:r>
    </w:p>
    <w:p>
      <w:pPr>
        <w:pStyle w:val="Heading2"/>
      </w:pPr>
      <w:r>
        <w:t>9.1 Cambio de valor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E"/>
          <w:left w:val="single" w:sz="4" w:space="0" w:color="D7E2EE"/>
          <w:bottom w:val="single" w:sz="4" w:space="0" w:color="D7E2EE"/>
          <w:right w:val="single" w:sz="4" w:space="0" w:color="D7E2EE"/>
          <w:insideH w:val="single" w:sz="4" w:space="0" w:color="D7E2EE"/>
          <w:insideV w:val="single" w:sz="4" w:space="0" w:color="D7E2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Text"/>
              <w:spacing w:after="0"/>
            </w:pPr>
            <w:r>
              <w:rPr>
                <w:rFonts w:ascii="Consolas" w:hAnsi="Consolas"/>
                <w:sz w:val="17"/>
              </w:rPr>
              <w:t>V1  TOTAL_PRECIO = 15.000</w:t>
              <w:br/>
            </w:r>
            <w:r>
              <w:rPr>
                <w:rFonts w:ascii="Consolas" w:hAnsi="Consolas"/>
                <w:sz w:val="17"/>
              </w:rPr>
              <w:t>V2  TOTAL_PRECIO = 13.500</w:t>
            </w:r>
          </w:p>
        </w:tc>
      </w:tr>
    </w:tbl>
    <w:p>
      <w:pPr>
        <w:spacing w:after="20"/>
      </w:pPr>
    </w:p>
    <w:p>
      <w:r>
        <w:t>Los valores de V1 se conservan. V2 crea su propio conjunto de Cotizacion_Valores. El Dashboard vigente usa la versión actual; los análisis de aceptación usan la versión aceptada cuando esté definida.</w:t>
      </w:r>
    </w:p>
    <w:p>
      <w:pPr>
        <w:pStyle w:val="Heading2"/>
      </w:pPr>
      <w:r>
        <w:t>9.2 Cambio de estado</w:t>
      </w:r>
    </w:p>
    <w:p>
      <w:r>
        <w:t>Un cambio de estado no debe recalcular las salidas si los valores de la versión no cambiaron.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E"/>
          <w:left w:val="single" w:sz="4" w:space="0" w:color="D7E2EE"/>
          <w:bottom w:val="single" w:sz="4" w:space="0" w:color="D7E2EE"/>
          <w:right w:val="single" w:sz="4" w:space="0" w:color="D7E2EE"/>
          <w:insideH w:val="single" w:sz="4" w:space="0" w:color="D7E2EE"/>
          <w:insideV w:val="single" w:sz="4" w:space="0" w:color="D7E2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Text"/>
              <w:spacing w:after="0"/>
            </w:pPr>
            <w:r>
              <w:rPr>
                <w:rFonts w:ascii="Consolas" w:hAnsi="Consolas"/>
                <w:sz w:val="17"/>
              </w:rPr>
              <w:t>Cotización COT-100</w:t>
              <w:br/>
            </w:r>
            <w:r>
              <w:rPr>
                <w:rFonts w:ascii="Consolas" w:hAnsi="Consolas"/>
                <w:sz w:val="17"/>
              </w:rPr>
              <w:t>TOTAL_PRECIO = 15.000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Estado 1: Vista por el cliente</w:t>
              <w:br/>
            </w:r>
            <w:r>
              <w:rPr>
                <w:rFonts w:ascii="Consolas" w:hAnsi="Consolas"/>
                <w:sz w:val="17"/>
              </w:rPr>
              <w:t>Estado 2: Aceptada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La salida TOTAL_PRECIO continúa siendo 15.000.</w:t>
              <w:br/>
            </w:r>
            <w:r>
              <w:rPr>
                <w:rFonts w:ascii="Consolas" w:hAnsi="Consolas"/>
                <w:sz w:val="17"/>
              </w:rPr>
              <w:t>Lo que cambia es el estado y el historial.</w:t>
            </w:r>
          </w:p>
        </w:tc>
      </w:tr>
    </w:tbl>
    <w:p>
      <w:pPr>
        <w:spacing w:after="20"/>
      </w:pPr>
    </w:p>
    <w:p>
      <w:pPr>
        <w:pStyle w:val="Heading2"/>
      </w:pPr>
      <w:r>
        <w:t>9.3 Versión aceptada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E"/>
          <w:left w:val="single" w:sz="4" w:space="0" w:color="D7E2EE"/>
          <w:bottom w:val="single" w:sz="4" w:space="0" w:color="D7E2EE"/>
          <w:right w:val="single" w:sz="4" w:space="0" w:color="D7E2EE"/>
          <w:insideH w:val="single" w:sz="4" w:space="0" w:color="D7E2EE"/>
          <w:insideV w:val="single" w:sz="4" w:space="0" w:color="D7E2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Text"/>
              <w:spacing w:after="0"/>
            </w:pPr>
            <w:r>
              <w:rPr>
                <w:rFonts w:ascii="Consolas" w:hAnsi="Consolas"/>
                <w:sz w:val="17"/>
              </w:rPr>
              <w:t>V1 = 10.000</w:t>
              <w:br/>
            </w:r>
            <w:r>
              <w:rPr>
                <w:rFonts w:ascii="Consolas" w:hAnsi="Consolas"/>
                <w:sz w:val="17"/>
              </w:rPr>
              <w:t>V2 =  9.000  &lt;-- aceptada por el cliente</w:t>
              <w:br/>
            </w:r>
            <w:r>
              <w:rPr>
                <w:rFonts w:ascii="Consolas" w:hAnsi="Consolas"/>
                <w:sz w:val="17"/>
              </w:rPr>
              <w:t>V3 = 11.000  &lt;-- versión actual posterior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cotizacion_version_aceptada_id -&gt; V2</w:t>
              <w:br/>
            </w:r>
            <w:r>
              <w:rPr>
                <w:rFonts w:ascii="Consolas" w:hAnsi="Consolas"/>
                <w:sz w:val="17"/>
              </w:rPr>
              <w:t>Monto aceptado -&gt; 9.000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EF5FF"/>
          <w:left w:val="single" w:sz="0" w:space="0" w:color="EEF5FF"/>
          <w:bottom w:val="single" w:sz="0" w:space="0" w:color="EEF5FF"/>
          <w:right w:val="single" w:sz="0" w:space="0" w:color="EEF5FF"/>
          <w:insideH w:val="single" w:sz="0" w:space="0" w:color="EEF5FF"/>
          <w:insideV w:val="single" w:sz="0" w:space="0" w:color="EEF5FF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246BFD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EEF5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Regla</w:t>
            </w:r>
          </w:p>
          <w:p>
            <w:pPr>
              <w:pStyle w:val="Callout"/>
              <w:spacing w:after="0"/>
            </w:pPr>
            <w:r>
              <w:t>El KPI Monto Aceptado debe utilizar TOTAL_PRECIO de la versión aceptada. No debe asumir que la versión actual es siempre la versión aceptada.</w:t>
            </w:r>
          </w:p>
        </w:tc>
      </w:tr>
    </w:tbl>
    <w:p>
      <w:pPr>
        <w:spacing w:after="40"/>
      </w:pPr>
    </w:p>
    <w:p>
      <w:pPr>
        <w:pStyle w:val="Heading1"/>
      </w:pPr>
      <w:r>
        <w:t>10. Contrato de datos del Dashboard</w:t>
      </w:r>
    </w:p>
    <w:p>
      <w:r>
        <w:t>El Dashboard debe trabajar con datos estructurados. No debe consultar snapshot_json, runtime_values ni buscar campos por etiquetas internas de una calculadora.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676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Qué consume el Dashboard/Reportes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Cotizaciones_V2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Estado actual, cotizador/calculadora, vendedor, cliente, versión actual, versión aceptada y fechas clave.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Cotizacion_Valores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TOTAL_PRECIO, TOTAL_COSTO, TOTAL_GANANCIA, MARGEN_TOTAL, MONEDA y demás salidas normalizadas.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Cotizacion_Historial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Cambios de estado y tiempos de ciclo.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Cotizacion_Items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Detalle por categoría cuando un reporte necesite licenciamiento/consultoría/otros.</w:t>
            </w:r>
          </w:p>
        </w:tc>
      </w:tr>
    </w:tbl>
    <w:p>
      <w:pPr>
        <w:spacing w:after="20"/>
      </w:pPr>
    </w:p>
    <w:p>
      <w:pPr>
        <w:pStyle w:val="Heading1"/>
      </w:pPr>
      <w:r>
        <w:t>11. KPIs del Dashboard V1 y fuente</w:t>
      </w:r>
    </w:p>
    <w:p>
      <w:r>
        <w:t>Los KPIs no se almacenan como Meta Datos. Se calculan a partir de salidas normalizadas, estados, fechas y dimensiones.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17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Cálculo</w:t>
            </w:r>
          </w:p>
        </w:tc>
        <w:tc>
          <w:tcPr>
            <w:tcW w:type="dxa" w:w="324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Cotizaciones vigentes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cotizaciones vigentes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Cotizaciones_V2.estado_actual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Monto cotizado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SUM TOTAL_PRECIO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Cotizacion_Valores + versión vigente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Aceptadas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estado/evento Aceptada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Cotizaciones_V2 / Historial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Monto aceptado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SUM TOTAL_PRECIO de versión aceptada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version_aceptada + Cotizacion_Valores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Ganadas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estado/evento Ganada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Cotizaciones_V2 / Historial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Monto ganado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SUM TOTAL_PRECIO de cotizaciones ganadas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Estado + Cotizacion_Valores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Perdidas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estado Perdida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Cotizaciones_V2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Vencidas/Canceladas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estados correspondientes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Cotizaciones_V2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Prospectos / clientes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por TIPO_CLIENTE o dato estructural equivalente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Salida/dimensión + Cotizaciones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Tendencia mensual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+ SUM TOTAL_PRECIO por mes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Fecha + Cotizacion_Valores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Embudo por estado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COUNT agrupado por estado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Cotizaciones_V2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Embudo por monto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SUM TOTAL_PRECIO agrupado por estado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Estado + Cotizacion_Valores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Ticket promedio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SUM TOTAL_PRECIO / COUNT cotizaciones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Cotizacion_Valores + Cotizaciones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Margen promedio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AVG MARGEN_TOTAL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Cotizacion_Valores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Tiempo promedio de ciclo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Promedio entre evento inicial y evento de cierre definido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Cotizacion_Historial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Tasa de aceptación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Fórmula de negocio sobre estados cerrados/aceptados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Estados/Historial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Tasa de ganancia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Fórmula de negocio sobre estados ganados/cerrados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4"/>
              </w:rPr>
              <w:t>Estados/Historial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3F7FB"/>
          <w:left w:val="single" w:sz="0" w:space="0" w:color="F3F7FB"/>
          <w:bottom w:val="single" w:sz="0" w:space="0" w:color="F3F7FB"/>
          <w:right w:val="single" w:sz="0" w:space="0" w:color="F3F7FB"/>
          <w:insideH w:val="single" w:sz="0" w:space="0" w:color="F3F7FB"/>
          <w:insideV w:val="single" w:sz="0" w:space="0" w:color="F3F7FB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1B9AAA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F3F7FB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Filtros del tablero actual</w:t>
            </w:r>
          </w:p>
          <w:p>
            <w:pPr>
              <w:pStyle w:val="Callout"/>
              <w:spacing w:after="0"/>
            </w:pPr>
            <w:r>
              <w:t>Cotizador, Vendedor y Tipo de cliente deben aplicarse de forma uniforme a todas las tarjetas y gráficos. El backend debe respetar los permisos del usuario antes de agregar resultados.</w:t>
            </w:r>
          </w:p>
        </w:tc>
      </w:tr>
    </w:tbl>
    <w:p>
      <w:pPr>
        <w:spacing w:after="40"/>
      </w:pPr>
    </w:p>
    <w:p>
      <w:pPr>
        <w:pStyle w:val="Heading1"/>
      </w:pPr>
      <w:r>
        <w:t>12. API sugerida para Dashboard</w:t>
      </w:r>
    </w:p>
    <w:p>
      <w:r>
        <w:t>El frontend no debe armar consultas directas ni recalcular reglas comerciales. Se recomienda una capa API de agregación.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81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Endpoint sugerido</w:t>
            </w:r>
          </w:p>
        </w:tc>
        <w:tc>
          <w:tcPr>
            <w:tcW w:type="dxa" w:w="583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GET /api/dashboard/resumen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Tarjetas principales: cantidades, montos, ticket, margen, tasas, tiempo de ciclo.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GET /api/dashboard/tendencia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Serie por mes: cantidad y monto cotizado.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GET /api/dashboard/estados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Embudo por cantidad y monto.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GET /api/dashboard/segmentacion-clientes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Prospectos vs. clientes existentes.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GET /api/dashboard/cotizadores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Rendimiento por calculadora/cotizador cuando se incorpore el análisis comparativo.</w:t>
            </w:r>
          </w:p>
        </w:tc>
      </w:tr>
    </w:tbl>
    <w:p>
      <w:pPr>
        <w:spacing w:after="20"/>
      </w:pPr>
    </w:p>
    <w:p>
      <w:r>
        <w:t>Parámetros comunes sugeridos: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E"/>
          <w:left w:val="single" w:sz="4" w:space="0" w:color="D7E2EE"/>
          <w:bottom w:val="single" w:sz="4" w:space="0" w:color="D7E2EE"/>
          <w:right w:val="single" w:sz="4" w:space="0" w:color="D7E2EE"/>
          <w:insideH w:val="single" w:sz="4" w:space="0" w:color="D7E2EE"/>
          <w:insideV w:val="single" w:sz="4" w:space="0" w:color="D7E2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Text"/>
              <w:spacing w:after="0"/>
            </w:pPr>
            <w:r>
              <w:rPr>
                <w:rFonts w:ascii="Consolas" w:hAnsi="Consolas"/>
                <w:sz w:val="17"/>
              </w:rPr>
              <w:t>cotizador_id</w:t>
              <w:br/>
            </w:r>
            <w:r>
              <w:rPr>
                <w:rFonts w:ascii="Consolas" w:hAnsi="Consolas"/>
                <w:sz w:val="17"/>
              </w:rPr>
              <w:t>vendedor_id</w:t>
              <w:br/>
            </w:r>
            <w:r>
              <w:rPr>
                <w:rFonts w:ascii="Consolas" w:hAnsi="Consolas"/>
                <w:sz w:val="17"/>
              </w:rPr>
              <w:t>tipo_cliente</w:t>
              <w:br/>
            </w:r>
            <w:r>
              <w:rPr>
                <w:rFonts w:ascii="Consolas" w:hAnsi="Consolas"/>
                <w:sz w:val="17"/>
              </w:rPr>
              <w:t>fecha_desde / fecha_hasta (cuando el tablero incorpore filtro de período)</w:t>
            </w:r>
          </w:p>
        </w:tc>
      </w:tr>
    </w:tbl>
    <w:p>
      <w:pPr>
        <w:spacing w:after="20"/>
      </w:pPr>
    </w:p>
    <w:p>
      <w:pPr>
        <w:pStyle w:val="Heading1"/>
      </w:pPr>
      <w:r>
        <w:t>13. Moneda y consolidación</w:t>
      </w:r>
    </w:p>
    <w:p>
      <w:pPr>
        <w:pStyle w:val="ListBullet"/>
        <w:spacing w:after="40"/>
      </w:pPr>
      <w:r>
        <w:t>Toda salida monetaria debe conservar la moneda asociada a la cotización.</w:t>
      </w:r>
    </w:p>
    <w:p>
      <w:pPr>
        <w:pStyle w:val="ListBullet"/>
        <w:spacing w:after="40"/>
      </w:pPr>
      <w:r>
        <w:t>No sumar valores de monedas diferentes sin conversión definida.</w:t>
      </w:r>
    </w:p>
    <w:p>
      <w:pPr>
        <w:pStyle w:val="ListBullet"/>
        <w:spacing w:after="40"/>
      </w:pPr>
      <w:r>
        <w:t>Si la estructura existente conserva moneda_base, moneda_oferta y tipo_cambio, el Dashboard consolidado debe usar los valores base o una política única de conversión.</w:t>
      </w:r>
    </w:p>
    <w:p>
      <w:pPr>
        <w:pStyle w:val="ListBullet"/>
        <w:spacing w:after="40"/>
      </w:pPr>
      <w:r>
        <w:t>Si V1 no dispone de conversión consistente, el tablero debe filtrar por moneda o separar agregados por moneda.</w:t>
      </w:r>
    </w:p>
    <w:p>
      <w:r>
        <w:br w:type="page"/>
      </w:r>
    </w:p>
    <w:p>
      <w:pPr>
        <w:pStyle w:val="Heading1"/>
      </w:pPr>
      <w:r>
        <w:t>14. Validaciones de diseño, compilación y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763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Validación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Diseñador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Una salida estándar no puede apuntar a una fuente inexistente o incompatible.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Diseñador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Una salida requerida debe tener fuente antes de publicar el cotizador.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Compilador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Debe incluir el mapa de salidas en el JSON publicado y validar referencias rotas.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Runtime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Debe resolver la salida con los mismos identificadores técnicos compilados.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Guardado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Debe persistir la salida tipada; no solo su etiqueta visible.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Escenarios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Debe existir una opción efectiva para salidas ambiguas.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Versiones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No modificar Cotizacion_Valores de versiones históricas cerradas.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Dashboard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No leer snapshot_json para calcular KPIs.</w:t>
            </w:r>
          </w:p>
        </w:tc>
      </w:tr>
    </w:tbl>
    <w:p>
      <w:pPr>
        <w:spacing w:after="20"/>
      </w:pPr>
    </w:p>
    <w:p>
      <w:pPr>
        <w:pStyle w:val="Heading1"/>
      </w:pPr>
      <w:r>
        <w:t>15. Restricciones e índices mínimos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2EE"/>
          <w:left w:val="single" w:sz="4" w:space="0" w:color="D7E2EE"/>
          <w:bottom w:val="single" w:sz="4" w:space="0" w:color="D7E2EE"/>
          <w:right w:val="single" w:sz="4" w:space="0" w:color="D7E2EE"/>
          <w:insideH w:val="single" w:sz="4" w:space="0" w:color="D7E2EE"/>
          <w:insideV w:val="single" w:sz="4" w:space="0" w:color="D7E2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Text"/>
              <w:spacing w:after="0"/>
            </w:pPr>
            <w:r>
              <w:rPr>
                <w:rFonts w:ascii="Consolas" w:hAnsi="Consolas"/>
                <w:sz w:val="17"/>
              </w:rPr>
              <w:t>UNIQUE (cotizacion_version_id, clave_salida)</w:t>
              <w:br/>
            </w:r>
            <w:r>
              <w:rPr>
                <w:rFonts w:ascii="Consolas" w:hAnsi="Consolas"/>
                <w:sz w:val="17"/>
              </w:rPr>
              <w:t>INDEX  Cotizacion_Valores (clave_salida, cotizacion_version_id)</w:t>
              <w:br/>
            </w:r>
            <w:r>
              <w:rPr>
                <w:rFonts w:ascii="Consolas" w:hAnsi="Consolas"/>
                <w:sz w:val="17"/>
              </w:rPr>
              <w:t>INDEX  Cotizaciones_V2 (estado_actual, fecha_creacion)</w:t>
              <w:br/>
            </w:r>
            <w:r>
              <w:rPr>
                <w:rFonts w:ascii="Consolas" w:hAnsi="Consolas"/>
                <w:sz w:val="17"/>
              </w:rPr>
              <w:t>INDEX  Cotizaciones_V2 (cotizador_id)</w:t>
              <w:br/>
            </w:r>
            <w:r>
              <w:rPr>
                <w:rFonts w:ascii="Consolas" w:hAnsi="Consolas"/>
                <w:sz w:val="17"/>
              </w:rPr>
              <w:t>INDEX  Cotizaciones_V2 (vendedor_usuario_id)</w:t>
              <w:br/>
            </w:r>
            <w:r>
              <w:rPr>
                <w:rFonts w:ascii="Consolas" w:hAnsi="Consolas"/>
                <w:sz w:val="17"/>
              </w:rPr>
              <w:t>INDEX  Cotizacion_Historial (cotizacion_id, estado_nuevo, fecha)</w:t>
            </w:r>
          </w:p>
        </w:tc>
      </w:tr>
    </w:tbl>
    <w:p>
      <w:pPr>
        <w:spacing w:after="20"/>
      </w:pPr>
    </w:p>
    <w:p>
      <w:r>
        <w:t>Los nombres exactos deben adaptarse al esquema actual. El objetivo es garantizar unicidad por salida/versión y consultas eficientes del Dashboard.</w:t>
      </w:r>
    </w:p>
    <w:p>
      <w:pPr>
        <w:pStyle w:val="Heading1"/>
      </w:pPr>
      <w:r>
        <w:t>16. Caso de referencia: ISA Custom</w:t>
      </w:r>
    </w:p>
    <w:p>
      <w:r>
        <w:t>La calculadora ISA Custom se utilizará como caso de prueba porque combina implementación, mensualidad, canales, consumo, costos y margen.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24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Resultado interno ISA</w:t>
            </w:r>
          </w:p>
        </w:tc>
        <w:tc>
          <w:tcPr>
            <w:tcW w:type="dxa" w:w="237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032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Salida estándar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TOTAL_PRECIO_OFERTA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USD 2.350,00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TOTAL_PRECIO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TOTAL_COSTO_INTERNO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USD 1.230,00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TOTAL_COSTO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TOTAL_GANANCIA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USD 1.120,00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TOTAL_GANANCIA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MARGEN_GENERAL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47,66%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MARGEN_TOTAL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MONEDA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USD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MONEDA</w:t>
            </w:r>
          </w:p>
        </w:tc>
      </w:tr>
    </w:tbl>
    <w:p>
      <w:pPr>
        <w:spacing w:after="20"/>
      </w:pPr>
    </w:p>
    <w:p>
      <w:r>
        <w:t>Persistencia esperada en Cotizacion_Valores para COT-000152 / V1: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592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clave_salida</w:t>
            </w:r>
          </w:p>
        </w:tc>
        <w:tc>
          <w:tcPr>
            <w:tcW w:type="dxa" w:w="2016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tipo_dato</w:t>
            </w:r>
          </w:p>
        </w:tc>
        <w:tc>
          <w:tcPr>
            <w:tcW w:type="dxa" w:w="2304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valor_numero</w:t>
            </w:r>
          </w:p>
        </w:tc>
        <w:tc>
          <w:tcPr>
            <w:tcW w:type="dxa" w:w="2736"/>
            <w:shd w:fill="345C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valor_texto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TOTAL_PRECIO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MONEDA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2350.00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TOTAL_COSTO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MONEDA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1230.00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TOTAL_GANANCIA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MONEDA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1120.00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MARGEN_TOTAL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PORCENTAJE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0.4766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MONEDA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TEXTO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7"/>
              </w:rPr>
              <w:t>USD</w:t>
            </w:r>
          </w:p>
        </w:tc>
      </w:tr>
    </w:tbl>
    <w:p>
      <w:pPr>
        <w:spacing w:after="20"/>
      </w:pPr>
    </w:p>
    <w:p>
      <w:r>
        <w:t>Ejemplo de desglose en Cotizacion_Items: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1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460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44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440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Costo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Implementación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Configuración inicial ISA Custom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1.500,00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800,00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Chat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Servicio / consumo chat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500,00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250,00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Voz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Servicio / consumo voz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300,00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160,00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Otros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Servicios adicionales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50,00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20,00</w:t>
            </w:r>
          </w:p>
        </w:tc>
      </w:tr>
    </w:tbl>
    <w:p>
      <w:pPr>
        <w:spacing w:after="20"/>
      </w:pPr>
    </w:p>
    <w:p>
      <w:pPr>
        <w:pStyle w:val="Heading1"/>
      </w:pPr>
      <w:r>
        <w:t>17. Casos de aceptación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08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64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5976"/>
            <w:shd w:fill="173A5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AT-01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Guardar V1 ISA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Se guarda snapshot_json y las cinco salidas del ejemplo sin leer JSON posteriormente para Dashboard.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AT-02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Modificar borrador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Se regeneran los valores de la misma versión sin duplicar clave_salida.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AT-03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Crear V2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V1 conserva sus salidas; V2 tiene sus propios valores.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AT-04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Aceptar V1 teniendo V2 actual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Monto aceptado utiliza TOTAL_PRECIO de V1 por cotizacion_version_aceptada_id.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AT-05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Cambio de estado sin cambio de precio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No se recalculan salidas; se registra estado/historial.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AT-06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Múltiples escenarios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TOTAL_PRECIO utiliza la opción efectiva/recomendada.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AT-07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Salida requerida sin fuente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Compilación/publicación se bloquea con mensaje accionable.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AT-08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Fuente incompatible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No permite mapear texto a TOTAL_PRECIO.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AT-09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Dashboard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Tarjetas y embudos se generan usando tablas normalizadas; snapshot_json no participa.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AT-10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Cambio futuro de lista de precios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B2A3A"/>
                <w:sz w:val="16"/>
              </w:rPr>
              <w:t>Cotizaciones históricas no cambian retroactivamente.</w:t>
            </w:r>
          </w:p>
        </w:tc>
      </w:tr>
    </w:tbl>
    <w:p>
      <w:pPr>
        <w:spacing w:after="20"/>
      </w:pPr>
    </w:p>
    <w:p>
      <w:pPr>
        <w:pStyle w:val="Heading1"/>
      </w:pPr>
      <w:r>
        <w:t>18. Secuencia sugerida de implementación</w:t>
      </w:r>
    </w:p>
    <w:p>
      <w:pPr>
        <w:pStyle w:val="ListNumber"/>
        <w:spacing w:after="40"/>
      </w:pPr>
      <w:r>
        <w:t>Validar/ajustar la estructura actual de Mapa_Salidas_Cotizador y Cotizacion_Valores; no crear duplicados si ya resuelven el requerimiento.</w:t>
      </w:r>
    </w:p>
    <w:p>
      <w:pPr>
        <w:pStyle w:val="ListNumber"/>
        <w:spacing w:after="40"/>
      </w:pPr>
      <w:r>
        <w:t>Implementar la pantalla “Salidas del Cotizador” y sus validaciones.</w:t>
      </w:r>
    </w:p>
    <w:p>
      <w:pPr>
        <w:pStyle w:val="ListNumber"/>
        <w:spacing w:after="40"/>
      </w:pPr>
      <w:r>
        <w:t>Incluir el mapa de salidas en la versión compilada del cotizador.</w:t>
      </w:r>
    </w:p>
    <w:p>
      <w:pPr>
        <w:pStyle w:val="ListNumber"/>
        <w:spacing w:after="40"/>
      </w:pPr>
      <w:r>
        <w:t>Implementar resolución de opción efectiva/recomendada antes de calcular salidas.</w:t>
      </w:r>
    </w:p>
    <w:p>
      <w:pPr>
        <w:pStyle w:val="ListNumber"/>
        <w:spacing w:after="40"/>
      </w:pPr>
      <w:r>
        <w:t>Ajustar guardado/versionamiento para persistir Cotizacion_Valores de forma transaccional.</w:t>
      </w:r>
    </w:p>
    <w:p>
      <w:pPr>
        <w:pStyle w:val="ListNumber"/>
        <w:spacing w:after="40"/>
      </w:pPr>
      <w:r>
        <w:t>Validar Cotizacion_Items, Cotizaciones_V2 y Cotizacion_Historial como fuentes complementarias.</w:t>
      </w:r>
    </w:p>
    <w:p>
      <w:pPr>
        <w:pStyle w:val="ListNumber"/>
        <w:spacing w:after="40"/>
      </w:pPr>
      <w:r>
        <w:t>Implementar/ajustar API del Dashboard sobre datos normalizados.</w:t>
      </w:r>
    </w:p>
    <w:p>
      <w:pPr>
        <w:pStyle w:val="ListNumber"/>
        <w:spacing w:after="40"/>
      </w:pPr>
      <w:r>
        <w:t>Validar Dashboard original completo con ISA Custom y al menos una segunda calculadora distinta.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EF8F4"/>
          <w:left w:val="single" w:sz="0" w:space="0" w:color="EEF8F4"/>
          <w:bottom w:val="single" w:sz="0" w:space="0" w:color="EEF8F4"/>
          <w:right w:val="single" w:sz="0" w:space="0" w:color="EEF8F4"/>
          <w:insideH w:val="single" w:sz="0" w:space="0" w:color="EEF8F4"/>
          <w:insideV w:val="single" w:sz="0" w:space="0" w:color="EEF8F4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1B9B64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EEF8F4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Criterio de cierre</w:t>
            </w:r>
          </w:p>
          <w:p>
            <w:pPr>
              <w:pStyle w:val="Callout"/>
              <w:spacing w:after="0"/>
            </w:pPr>
            <w:r>
              <w:t>La funcionalidad se considera implementada cuando una calculadora nueva puede mapear sus salidas estándar, guardar una cotización versionada y aparecer correctamente en Gestor/Dashboard/Reportes sin que ninguno de esos consumidores conozca la estructura interna del JSON.</w:t>
            </w:r>
          </w:p>
        </w:tc>
      </w:tr>
    </w:tbl>
    <w:p>
      <w:pPr>
        <w:spacing w:after="40"/>
      </w:pPr>
    </w:p>
    <w:p>
      <w:pPr>
        <w:pStyle w:val="Heading1"/>
      </w:pPr>
      <w:r>
        <w:t>19. Decisiones explícitamente fuera de alcance de este anexo</w:t>
      </w:r>
    </w:p>
    <w:p>
      <w:pPr>
        <w:pStyle w:val="ListBullet"/>
        <w:spacing w:after="40"/>
      </w:pPr>
      <w:r>
        <w:t>Constructor dinámico de KPIs por usuario.</w:t>
      </w:r>
    </w:p>
    <w:p>
      <w:pPr>
        <w:pStyle w:val="ListBullet"/>
        <w:spacing w:after="40"/>
      </w:pPr>
      <w:r>
        <w:t>Definición libre de fórmulas de Dashboard desde la UI.</w:t>
      </w:r>
    </w:p>
    <w:p>
      <w:pPr>
        <w:pStyle w:val="ListBullet"/>
        <w:spacing w:after="40"/>
      </w:pPr>
      <w:r>
        <w:t>Extracción genérica de cualquier campo del JSON para BI.</w:t>
      </w:r>
    </w:p>
    <w:p>
      <w:pPr>
        <w:pStyle w:val="ListBullet"/>
        <w:spacing w:after="40"/>
      </w:pPr>
      <w:r>
        <w:t>Persistencia de KPIs calculados como Ticket Promedio o Tasa de Aceptación.</w:t>
      </w:r>
    </w:p>
    <w:p>
      <w:pPr>
        <w:pStyle w:val="ListBullet"/>
        <w:spacing w:after="40"/>
      </w:pPr>
      <w:r>
        <w:t>Analítica detallada de todos los escenarios no recomendados en el Dashboard V1.</w:t>
      </w:r>
    </w:p>
    <w:p>
      <w:pPr>
        <w:pStyle w:val="Heading1"/>
      </w:pPr>
      <w:r>
        <w:t>20. Resumen para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EF5FF"/>
          <w:left w:val="single" w:sz="0" w:space="0" w:color="EEF5FF"/>
          <w:bottom w:val="single" w:sz="0" w:space="0" w:color="EEF5FF"/>
          <w:right w:val="single" w:sz="0" w:space="0" w:color="EEF5FF"/>
          <w:insideH w:val="single" w:sz="0" w:space="0" w:color="EEF5FF"/>
          <w:insideV w:val="single" w:sz="0" w:space="0" w:color="EEF5FF"/>
        </w:tblBorders>
      </w:tblPr>
      <w:tblGrid>
        <w:gridCol w:w="173"/>
        <w:gridCol w:w="9504"/>
      </w:tblGrid>
      <w:tr>
        <w:trPr>
          <w:cantSplit/>
        </w:trPr>
        <w:tc>
          <w:tcPr>
            <w:tcW w:type="dxa" w:w="4997"/>
            <w:shd w:fill="246BFD"/>
            <w:tcMar>
              <w:top w:w="120" w:type="dxa"/>
              <w:start w:w="0" w:type="dxa"/>
              <w:bottom w:w="120" w:type="dxa"/>
              <w:end w:w="0" w:type="dxa"/>
            </w:tcMar>
          </w:tcPr>
          <w:p/>
        </w:tc>
        <w:tc>
          <w:tcPr>
            <w:tcW w:type="dxa" w:w="4997"/>
            <w:shd w:fill="EEF5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A5E"/>
              </w:rPr>
              <w:t>En una frase</w:t>
            </w:r>
          </w:p>
          <w:p>
            <w:pPr>
              <w:pStyle w:val="Callout"/>
              <w:spacing w:after="0"/>
            </w:pPr>
            <w:r>
              <w:t>Calculadora flexible por dentro; salidas estándar por fuera. El JSON reconstruye la cotización, Cotizacion_Valores la hace consultable y el Dashboard calcula KPIs sobre salidas, estados y fechas.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b/>
          <w:color w:val="173A5E"/>
        </w:rPr>
        <w:t>Compatibilidad documental</w:t>
      </w:r>
    </w:p>
    <w:p>
      <w:pPr>
        <w:spacing w:after="0"/>
      </w:pPr>
      <w:r>
        <w:t>Este anexo complementa los requerimientos consolidados y detallados entregados en agosto de 2026. Ante una diferencia de nomenclatura física de tablas/columnas, debe preservarse el comportamiento funcional y la trazabilidad definidos aquí y en los requerimientos previos.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C"/>
        <w:sz w:val="16"/>
      </w:rPr>
      <w:t xml:space="preserve">Exceltec · Cotiza  |  Documento complementario de implementación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A5E"/>
        <w:sz w:val="17"/>
      </w:rPr>
      <w:t>COTIZA  |  ANEXO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B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F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A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B6B7C"/>
      <w:sz w:val="17"/>
    </w:rPr>
  </w:style>
  <w:style w:type="paragraph" w:customStyle="1" w:styleId="Callout">
    <w:name w:val="Callout"/>
    <w:rPr>
      <w:rFonts w:ascii="Aptos" w:hAnsi="Aptos"/>
      <w:color w:val="1B2A3A"/>
      <w:sz w:val="20"/>
    </w:rPr>
  </w:style>
  <w:style w:type="paragraph" w:customStyle="1" w:styleId="CodeText">
    <w:name w:val="CodeText"/>
    <w:rPr>
      <w:rFonts w:ascii="Consolas" w:hAnsi="Consolas"/>
      <w:color w:val="1B2A3A"/>
      <w:sz w:val="18"/>
    </w:rPr>
  </w:style>
  <w:style w:type="paragraph" w:customStyle="1" w:styleId="TableText">
    <w:name w:val="TableText"/>
    <w:rPr>
      <w:rFonts w:ascii="Aptos" w:hAnsi="Aptos"/>
      <w:color w:val="1B2A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2C80A9AA7FFC4EB024E891D565F1D1" ma:contentTypeVersion="15" ma:contentTypeDescription="Crear nuevo documento." ma:contentTypeScope="" ma:versionID="d615b53006eb7baf72ec8601bd275089">
  <xsd:schema xmlns:xsd="http://www.w3.org/2001/XMLSchema" xmlns:xs="http://www.w3.org/2001/XMLSchema" xmlns:p="http://schemas.microsoft.com/office/2006/metadata/properties" xmlns:ns2="09ccf5c6-6596-4a91-80d6-51eab0b41d63" xmlns:ns3="23f1f9d0-289a-47f6-a5b2-803754333765" targetNamespace="http://schemas.microsoft.com/office/2006/metadata/properties" ma:root="true" ma:fieldsID="7e4b342d82679ff6eed1af864995b9a9" ns2:_="" ns3:_="">
    <xsd:import namespace="09ccf5c6-6596-4a91-80d6-51eab0b41d63"/>
    <xsd:import namespace="23f1f9d0-289a-47f6-a5b2-803754333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cf5c6-6596-4a91-80d6-51eab0b41d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6e2e32e-c2ca-4d44-b1fe-878fca66bb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1f9d0-289a-47f6-a5b2-80375433376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8b90bc-bd55-4b4a-8ee7-fea5182640ca}" ma:internalName="TaxCatchAll" ma:showField="CatchAllData" ma:web="23f1f9d0-289a-47f6-a5b2-803754333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f1f9d0-289a-47f6-a5b2-803754333765" xsi:nil="true"/>
    <lcf76f155ced4ddcb4097134ff3c332f xmlns="09ccf5c6-6596-4a91-80d6-51eab0b41d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7D43F0-FE09-46BD-9D18-00E6528311F4}"/>
</file>

<file path=customXml/itemProps3.xml><?xml version="1.0" encoding="utf-8"?>
<ds:datastoreItem xmlns:ds="http://schemas.openxmlformats.org/officeDocument/2006/customXml" ds:itemID="{E23F1FA6-DFB0-4C6B-807E-3F9747735B52}"/>
</file>

<file path=customXml/itemProps4.xml><?xml version="1.0" encoding="utf-8"?>
<ds:datastoreItem xmlns:ds="http://schemas.openxmlformats.org/officeDocument/2006/customXml" ds:itemID="{67BF70E0-CC5A-4D09-A0E5-BA911210F3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 - Anexo Técnico Salidas del Cotizador, Persistencia Normalizada y Dashboard</dc:title>
  <dc:subject>Especificación técnica complementaria para desarrollo</dc:subject>
  <dc:creator>Exceltec</dc:creator>
  <cp:keywords>Cotiza, Salidas del Cotizador, Dashboard, Cotizacion_Valores, Mapa_Salidas_Cotizador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0x010100E52C80A9AA7FFC4EB024E891D565F1D1</vt:lpwstr>
  </property>
</Properties>
</file>