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7D85" w14:textId="77777777" w:rsidR="00734123" w:rsidRDefault="00CA2568">
      <w:r>
        <w:rPr>
          <w:noProof/>
        </w:rPr>
        <w:drawing>
          <wp:inline distT="0" distB="0" distL="0" distR="0" wp14:anchorId="065D0511" wp14:editId="3998123A">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78AE3486" w14:textId="77777777" w:rsidR="00734123" w:rsidRDefault="00734123">
      <w:pPr>
        <w:pStyle w:val="DefaqtoCoverHeading-noTOC"/>
        <w:rPr>
          <w:rFonts w:cs="Poppins SemiBold"/>
          <w:b w:val="0"/>
          <w:bCs w:val="0"/>
          <w:sz w:val="62"/>
          <w:szCs w:val="62"/>
        </w:rPr>
      </w:pPr>
    </w:p>
    <w:p w14:paraId="4E21F762" w14:textId="77777777" w:rsidR="00734123" w:rsidRDefault="00734123">
      <w:pPr>
        <w:pStyle w:val="DefaqtoCoverHeading-noTOC"/>
        <w:rPr>
          <w:rFonts w:cs="Poppins SemiBold"/>
          <w:b w:val="0"/>
          <w:bCs w:val="0"/>
          <w:sz w:val="62"/>
          <w:szCs w:val="62"/>
        </w:rPr>
      </w:pPr>
    </w:p>
    <w:p w14:paraId="081C4A70" w14:textId="77777777" w:rsidR="00734123" w:rsidRDefault="00CA2568">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Summary for </w:t>
      </w:r>
      <w:r>
        <w:rPr>
          <w:rFonts w:cs="Poppins SemiBold"/>
          <w:b w:val="0"/>
          <w:bCs w:val="0"/>
          <w:noProof/>
        </w:rPr>
        <w:t xml:space="preserve">Mr Anthony Barnes </w:t>
      </w:r>
      <w:bookmarkStart w:id="0" w:name="_Hlk74053138"/>
    </w:p>
    <w:p w14:paraId="40606A60" w14:textId="77777777" w:rsidR="00734123" w:rsidRDefault="00CA2568">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bookmarkEnd w:id="0"/>
    </w:p>
    <w:p w14:paraId="4DDDCDD9" w14:textId="77777777" w:rsidR="00734123" w:rsidRDefault="00CA2568">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512EEA07" w14:textId="77777777" w:rsidR="00734123" w:rsidRDefault="00CA2568">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0FD4F37A" w14:textId="77777777" w:rsidR="00734123" w:rsidRDefault="00CA2568">
      <w:pPr>
        <w:rPr>
          <w:rFonts w:ascii="Poppins" w:hAnsi="Poppins" w:cs="Poppins"/>
          <w:sz w:val="36"/>
          <w:szCs w:val="36"/>
        </w:rPr>
        <w:sectPr w:rsidR="00734123">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1A0005A0" wp14:editId="0DE49AB4">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75D50023" w14:textId="77777777" w:rsidR="00734123" w:rsidRDefault="00CA2568">
                            <w:pPr>
                              <w:jc w:val="right"/>
                              <w:rPr>
                                <w:color w:val="392388"/>
                              </w:rPr>
                            </w:pPr>
                            <w:r>
                              <w:rPr>
                                <w:noProof/>
                              </w:rPr>
                              <w:drawing>
                                <wp:inline distT="0" distB="0" distL="0" distR="0" wp14:anchorId="35E2CACE" wp14:editId="588B07F1">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778D3621" w14:textId="77777777" w:rsidR="00734123" w:rsidRDefault="00CA2568">
      <w:pPr>
        <w:pStyle w:val="DefaqtoHeading1-noTOC"/>
      </w:pPr>
      <w:r>
        <w:lastRenderedPageBreak/>
        <w:t>Recommendation</w:t>
      </w:r>
    </w:p>
    <w:p w14:paraId="7F6293A2" w14:textId="77777777" w:rsidR="00734123" w:rsidRDefault="00CA2568">
      <w:pPr>
        <w:pStyle w:val="DefaqtoIntroText"/>
        <w:rPr>
          <w:rFonts w:cs="Poppins"/>
          <w:lang w:val="en-NZ"/>
        </w:rPr>
      </w:pPr>
      <w:r>
        <w:rPr>
          <w:b/>
          <w:bCs/>
        </w:rPr>
        <w:t>Investment:</w:t>
      </w:r>
      <w:r>
        <w:t xml:space="preserve"> £60,000 then £0 monthly</w:t>
      </w:r>
    </w:p>
    <w:p w14:paraId="03C6B39A" w14:textId="77777777" w:rsidR="00734123" w:rsidRDefault="00734123">
      <w:pPr>
        <w:pStyle w:val="DefaqtoBody"/>
      </w:pPr>
    </w:p>
    <w:p w14:paraId="78E4D742" w14:textId="77777777" w:rsidR="00734123" w:rsidRDefault="00CA2568">
      <w:pPr>
        <w:pStyle w:val="DefaqtoBody"/>
      </w:pPr>
      <w:r>
        <w:t xml:space="preserve">The agreed risk level considered your natural attitude to risk, capacity for loss and required return for your goal. </w:t>
      </w:r>
    </w:p>
    <w:tbl>
      <w:tblPr>
        <w:tblW w:w="0" w:type="auto"/>
        <w:tblCellSpacing w:w="22" w:type="dxa"/>
        <w:tblBorders>
          <w:top w:val="nil"/>
          <w:left w:val="nil"/>
          <w:bottom w:val="nil"/>
          <w:right w:val="nil"/>
          <w:insideH w:val="nil"/>
          <w:insideV w:val="nil"/>
        </w:tblBorders>
        <w:tblLayout w:type="fixed"/>
        <w:tblLook w:val="04A0" w:firstRow="1" w:lastRow="0" w:firstColumn="1" w:lastColumn="0" w:noHBand="0" w:noVBand="1"/>
      </w:tblPr>
      <w:tblGrid>
        <w:gridCol w:w="3660"/>
      </w:tblGrid>
      <w:tr w:rsidR="00734123" w14:paraId="20E92AC5" w14:textId="77777777">
        <w:trPr>
          <w:tblCellSpacing w:w="22" w:type="dxa"/>
        </w:trPr>
        <w:tc>
          <w:tcPr>
            <w:tcW w:w="3572" w:type="dxa"/>
            <w:tcBorders>
              <w:top w:val="single" w:sz="4" w:space="0" w:color="B0A7CF"/>
              <w:left w:val="single" w:sz="4" w:space="0" w:color="B0A7CF"/>
              <w:bottom w:val="single" w:sz="4" w:space="0" w:color="B0A7CF"/>
              <w:right w:val="single" w:sz="4" w:space="0" w:color="B0A7CF"/>
            </w:tcBorders>
          </w:tcPr>
          <w:p w14:paraId="7E2307A4" w14:textId="77777777" w:rsidR="00734123" w:rsidRDefault="00CA2568">
            <w:pPr>
              <w:pStyle w:val="DefaqtoBody"/>
              <w:spacing w:before="240" w:after="240"/>
              <w:jc w:val="center"/>
              <w:rPr>
                <w:rFonts w:cs="Poppins"/>
              </w:rPr>
            </w:pPr>
            <w:r>
              <w:rPr>
                <w:rFonts w:cs="Poppins"/>
                <w:b/>
                <w:bCs/>
                <w:sz w:val="48"/>
                <w:szCs w:val="48"/>
              </w:rPr>
              <w:t>4</w:t>
            </w:r>
            <w:r>
              <w:rPr>
                <w:rFonts w:cs="Poppins"/>
                <w:b/>
                <w:bCs/>
                <w:sz w:val="48"/>
                <w:szCs w:val="48"/>
              </w:rPr>
              <w:br/>
            </w:r>
            <w:r>
              <w:rPr>
                <w:rFonts w:cs="Poppins"/>
                <w:sz w:val="20"/>
                <w:szCs w:val="20"/>
              </w:rPr>
              <w:t>Agreed risk level</w:t>
            </w:r>
            <w:r>
              <w:rPr>
                <w:rFonts w:cs="Poppins"/>
                <w:b/>
                <w:bCs/>
                <w:sz w:val="20"/>
                <w:szCs w:val="20"/>
                <w:vertAlign w:val="superscript"/>
                <w:lang w:val="en-NZ"/>
              </w:rPr>
              <w:t>[1]</w:t>
            </w:r>
          </w:p>
        </w:tc>
      </w:tr>
    </w:tbl>
    <w:p w14:paraId="2C1A9BB6" w14:textId="77777777" w:rsidR="00734123" w:rsidRDefault="00CA2568">
      <w:pPr>
        <w:pStyle w:val="Defaqtosmallprint"/>
        <w:rPr>
          <w:rFonts w:ascii="Lucida Sans" w:hAnsi="Lucida Sans"/>
          <w:lang w:val="en-NZ"/>
        </w:rPr>
      </w:pPr>
      <w:r>
        <w:rPr>
          <w:rFonts w:ascii="Calibri" w:hAnsi="Calibri" w:cs="Calibri"/>
          <w:lang w:val="en-NZ"/>
        </w:rPr>
        <w:t>[1] 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w:t>
      </w:r>
      <w:r>
        <w:rPr>
          <w:rFonts w:ascii="Calibri" w:hAnsi="Calibri" w:cs="Calibri"/>
          <w:lang w:val="en-NZ"/>
        </w:rPr>
        <w:t xml:space="preserve">s a Cautious Balanced investor you are inclined to look for safer investments, although you may consider taking some risk in exchange for increased potential returns. </w:t>
      </w:r>
    </w:p>
    <w:p w14:paraId="13D46E49" w14:textId="77777777" w:rsidR="00734123" w:rsidRDefault="00CA2568">
      <w:pPr>
        <w:pStyle w:val="DefaqtoHeading2-noTOC"/>
      </w:pPr>
      <w:r>
        <w:rPr>
          <w:lang w:val="en-NZ"/>
        </w:rPr>
        <w:t>Investments</w:t>
      </w:r>
    </w:p>
    <w:tbl>
      <w:tblPr>
        <w:tblStyle w:val="DefaqtoTable"/>
        <w:tblW w:w="5000" w:type="pct"/>
        <w:tblLayout w:type="fixed"/>
        <w:tblLook w:val="0420" w:firstRow="1" w:lastRow="0" w:firstColumn="0" w:lastColumn="0" w:noHBand="0" w:noVBand="1"/>
      </w:tblPr>
      <w:tblGrid>
        <w:gridCol w:w="4616"/>
        <w:gridCol w:w="4367"/>
        <w:gridCol w:w="1633"/>
      </w:tblGrid>
      <w:tr w:rsidR="00734123" w14:paraId="5EDFE578" w14:textId="77777777" w:rsidTr="00734123">
        <w:trPr>
          <w:cnfStyle w:val="100000000000" w:firstRow="1" w:lastRow="0" w:firstColumn="0" w:lastColumn="0" w:oddVBand="0" w:evenVBand="0" w:oddHBand="0" w:evenHBand="0" w:firstRowFirstColumn="0" w:firstRowLastColumn="0" w:lastRowFirstColumn="0" w:lastRowLastColumn="0"/>
        </w:trPr>
        <w:tc>
          <w:tcPr>
            <w:tcW w:w="2174" w:type="pct"/>
          </w:tcPr>
          <w:p w14:paraId="57979FD7" w14:textId="77777777" w:rsidR="00734123" w:rsidRDefault="00CA2568">
            <w:pPr>
              <w:pStyle w:val="DefaqtoTableBody2"/>
              <w:rPr>
                <w:b w:val="0"/>
                <w:bCs w:val="0"/>
              </w:rPr>
            </w:pPr>
            <w:bookmarkStart w:id="1" w:name="OLE_LINK5"/>
            <w:bookmarkStart w:id="2" w:name="OLE_LINK6"/>
            <w:r>
              <w:t>Investment</w:t>
            </w:r>
          </w:p>
        </w:tc>
        <w:tc>
          <w:tcPr>
            <w:tcW w:w="2057" w:type="pct"/>
          </w:tcPr>
          <w:p w14:paraId="6EDBD338" w14:textId="77777777" w:rsidR="00734123" w:rsidRDefault="00CA2568">
            <w:pPr>
              <w:pStyle w:val="DefaqtoTableBody2"/>
              <w:rPr>
                <w:b w:val="0"/>
                <w:bCs w:val="0"/>
              </w:rPr>
            </w:pPr>
            <w:r>
              <w:t>Provider</w:t>
            </w:r>
            <w:r>
              <w:tab/>
            </w:r>
          </w:p>
        </w:tc>
        <w:tc>
          <w:tcPr>
            <w:tcW w:w="769" w:type="pct"/>
          </w:tcPr>
          <w:p w14:paraId="0242FC91" w14:textId="77777777" w:rsidR="00734123" w:rsidRDefault="00CA2568">
            <w:pPr>
              <w:pStyle w:val="DefaqtoTableBody2"/>
              <w:jc w:val="right"/>
              <w:rPr>
                <w:b w:val="0"/>
                <w:bCs w:val="0"/>
              </w:rPr>
            </w:pPr>
            <w:r>
              <w:t>% Invested</w:t>
            </w:r>
          </w:p>
        </w:tc>
      </w:tr>
      <w:tr w:rsidR="00734123" w14:paraId="4C3E0421" w14:textId="77777777" w:rsidTr="00734123">
        <w:trPr>
          <w:cnfStyle w:val="000000100000" w:firstRow="0" w:lastRow="0" w:firstColumn="0" w:lastColumn="0" w:oddVBand="0" w:evenVBand="0" w:oddHBand="1" w:evenHBand="0" w:firstRowFirstColumn="0" w:firstRowLastColumn="0" w:lastRowFirstColumn="0" w:lastRowLastColumn="0"/>
        </w:trPr>
        <w:tc>
          <w:tcPr>
            <w:tcW w:w="2174" w:type="pct"/>
          </w:tcPr>
          <w:p w14:paraId="4E731F89" w14:textId="77777777" w:rsidR="00734123" w:rsidRDefault="00CA2568">
            <w:pPr>
              <w:pStyle w:val="DefaqtoTableBody2"/>
            </w:pPr>
            <w:r>
              <w:rPr>
                <w:lang w:val="en-NZ"/>
              </w:rPr>
              <w:t>CT Universal MAP Cautious Fund C Acc (GBP)</w:t>
            </w:r>
          </w:p>
        </w:tc>
        <w:tc>
          <w:tcPr>
            <w:tcW w:w="2057" w:type="pct"/>
          </w:tcPr>
          <w:p w14:paraId="318DADAD" w14:textId="77777777" w:rsidR="00734123" w:rsidRDefault="00CA2568">
            <w:pPr>
              <w:pStyle w:val="DefaqtoTableBody2"/>
            </w:pPr>
            <w:r>
              <w:rPr>
                <w:lang w:val="en-NZ"/>
              </w:rPr>
              <w:t>Columbia Threadneedle Fund Management Limited</w:t>
            </w:r>
          </w:p>
        </w:tc>
        <w:tc>
          <w:tcPr>
            <w:tcW w:w="769" w:type="pct"/>
          </w:tcPr>
          <w:p w14:paraId="234C96B3" w14:textId="77777777" w:rsidR="00734123" w:rsidRDefault="00CA2568">
            <w:pPr>
              <w:pStyle w:val="DefaqtoTableBody2"/>
              <w:jc w:val="right"/>
            </w:pPr>
            <w:r>
              <w:rPr>
                <w:lang w:val="en-NZ"/>
              </w:rPr>
              <w:t>100.00</w:t>
            </w:r>
            <w:bookmarkStart w:id="3" w:name="OLE_LINK7"/>
            <w:bookmarkEnd w:id="3"/>
          </w:p>
        </w:tc>
      </w:tr>
      <w:bookmarkEnd w:id="1"/>
      <w:bookmarkEnd w:id="2"/>
    </w:tbl>
    <w:p w14:paraId="02313B30" w14:textId="77777777" w:rsidR="00734123" w:rsidRDefault="00734123">
      <w:pPr>
        <w:pStyle w:val="Tag"/>
        <w:rPr>
          <w:color w:val="392388"/>
        </w:rPr>
      </w:pPr>
    </w:p>
    <w:p w14:paraId="35B841B5" w14:textId="77777777" w:rsidR="00734123" w:rsidRDefault="00CA2568">
      <w:pPr>
        <w:pStyle w:val="DefaqtoHeading3-noTOC"/>
      </w:pPr>
      <w:r>
        <w:t>MiFID II pre-sale cost disclosure (ex-ante/estimated costs)</w:t>
      </w:r>
    </w:p>
    <w:p w14:paraId="78BD891B" w14:textId="77777777" w:rsidR="00734123" w:rsidRDefault="00CA2568">
      <w:pPr>
        <w:pStyle w:val="DefaqtoBody"/>
      </w:pPr>
      <w:r>
        <w:t>The below table illustrates the ex-ante MiFID II pre-sale cost disclosures for funds in scope of MiFID II which excludes Life &amp; Pension funds. One off costs reflect the maximum entry and exit costs that the fund manager has stated they can charge over the period the fund is held. Where costs are on-going, such costs reflect a 12 month period.</w:t>
      </w:r>
    </w:p>
    <w:p w14:paraId="1A41C52D" w14:textId="77777777" w:rsidR="00734123" w:rsidRDefault="00CA2568">
      <w:pPr>
        <w:pStyle w:val="DefaqtoBody"/>
      </w:pPr>
      <w:r>
        <w:rPr>
          <w:b/>
          <w:bCs/>
        </w:rPr>
        <w:t>One-Off Costs</w:t>
      </w:r>
      <w:r>
        <w:t xml:space="preserve"> - Maximum costs incurred when entering or exiting the fund. These costs might be waived by the fund manager or distributor. One-Off Costs include: Initial Charge; Maximum Entry Cost Acquired; Maximum Exit Fee; and Maximum Exit Cost Acquired.</w:t>
      </w:r>
    </w:p>
    <w:p w14:paraId="68360645" w14:textId="77777777" w:rsidR="00734123" w:rsidRDefault="00CA2568">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7B9B645F" w14:textId="77777777" w:rsidR="00734123" w:rsidRDefault="00CA2568">
      <w:pPr>
        <w:pStyle w:val="DefaqtoBody"/>
      </w:pPr>
      <w:r>
        <w:rPr>
          <w:b/>
          <w:bCs/>
        </w:rPr>
        <w:lastRenderedPageBreak/>
        <w:t>Transaction Costs</w:t>
      </w:r>
      <w:r>
        <w:t xml:space="preserve"> - Costs incurred when buying or selling underlying investments. Includes both explicit costs for example dealing commission and can include implicit costs, for example slippage.</w:t>
      </w:r>
    </w:p>
    <w:p w14:paraId="13669284" w14:textId="77777777" w:rsidR="00734123" w:rsidRDefault="00CA2568">
      <w:pPr>
        <w:pStyle w:val="DefaqtoBody"/>
      </w:pPr>
      <w:r>
        <w:rPr>
          <w:b/>
          <w:bCs/>
        </w:rPr>
        <w:t>Incidental Costs</w:t>
      </w:r>
      <w:r>
        <w:t xml:space="preserve"> - The impact of any performance fee.</w:t>
      </w:r>
    </w:p>
    <w:tbl>
      <w:tblPr>
        <w:tblStyle w:val="DefaqtoTable"/>
        <w:tblW w:w="4985" w:type="pct"/>
        <w:tblLayout w:type="fixed"/>
        <w:tblLook w:val="0420" w:firstRow="1" w:lastRow="0" w:firstColumn="0" w:lastColumn="0" w:noHBand="0" w:noVBand="1"/>
      </w:tblPr>
      <w:tblGrid>
        <w:gridCol w:w="1808"/>
        <w:gridCol w:w="1842"/>
        <w:gridCol w:w="1842"/>
        <w:gridCol w:w="1698"/>
        <w:gridCol w:w="1698"/>
        <w:gridCol w:w="1696"/>
      </w:tblGrid>
      <w:tr w:rsidR="00734123" w14:paraId="47125B99" w14:textId="77777777" w:rsidTr="00734123">
        <w:trPr>
          <w:cnfStyle w:val="100000000000" w:firstRow="1" w:lastRow="0" w:firstColumn="0" w:lastColumn="0" w:oddVBand="0" w:evenVBand="0" w:oddHBand="0" w:evenHBand="0" w:firstRowFirstColumn="0" w:firstRowLastColumn="0" w:lastRowFirstColumn="0" w:lastRowLastColumn="0"/>
          <w:trHeight w:val="217"/>
        </w:trPr>
        <w:tc>
          <w:tcPr>
            <w:tcW w:w="854" w:type="pct"/>
          </w:tcPr>
          <w:p w14:paraId="610F8B1F" w14:textId="77777777" w:rsidR="00734123" w:rsidRDefault="00CA2568">
            <w:pPr>
              <w:pStyle w:val="DefaqtoTableBody2"/>
            </w:pPr>
            <w:r>
              <w:t>Fund name</w:t>
            </w:r>
          </w:p>
        </w:tc>
        <w:tc>
          <w:tcPr>
            <w:tcW w:w="870" w:type="pct"/>
          </w:tcPr>
          <w:p w14:paraId="2C5914CE" w14:textId="77777777" w:rsidR="00734123" w:rsidRDefault="00CA2568">
            <w:pPr>
              <w:pStyle w:val="DefaqtoTableBody2"/>
            </w:pPr>
            <w:r>
              <w:t>One-Off Costs*</w:t>
            </w:r>
          </w:p>
        </w:tc>
        <w:tc>
          <w:tcPr>
            <w:tcW w:w="870" w:type="pct"/>
          </w:tcPr>
          <w:p w14:paraId="707FF5EE" w14:textId="77777777" w:rsidR="00734123" w:rsidRDefault="00CA2568">
            <w:pPr>
              <w:pStyle w:val="DefaqtoTableBody2"/>
            </w:pPr>
            <w:r>
              <w:t>Ongoing Costs</w:t>
            </w:r>
          </w:p>
        </w:tc>
        <w:tc>
          <w:tcPr>
            <w:tcW w:w="802" w:type="pct"/>
          </w:tcPr>
          <w:p w14:paraId="780A9628" w14:textId="77777777" w:rsidR="00734123" w:rsidRDefault="00CA2568">
            <w:pPr>
              <w:pStyle w:val="DefaqtoTableBody2"/>
            </w:pPr>
            <w:r>
              <w:t>Transaction Costs</w:t>
            </w:r>
          </w:p>
        </w:tc>
        <w:tc>
          <w:tcPr>
            <w:tcW w:w="802" w:type="pct"/>
          </w:tcPr>
          <w:p w14:paraId="492F6F8C" w14:textId="77777777" w:rsidR="00734123" w:rsidRDefault="00CA2568">
            <w:pPr>
              <w:pStyle w:val="DefaqtoTableBody2"/>
            </w:pPr>
            <w:r>
              <w:t>Incidental Costs</w:t>
            </w:r>
          </w:p>
        </w:tc>
        <w:tc>
          <w:tcPr>
            <w:tcW w:w="801" w:type="pct"/>
          </w:tcPr>
          <w:p w14:paraId="3BD720CE" w14:textId="77777777" w:rsidR="00734123" w:rsidRDefault="00CA2568">
            <w:pPr>
              <w:pStyle w:val="DefaqtoTableBody2"/>
            </w:pPr>
            <w:r>
              <w:t>Total</w:t>
            </w:r>
          </w:p>
        </w:tc>
      </w:tr>
      <w:tr w:rsidR="00734123" w14:paraId="29A59E06" w14:textId="77777777" w:rsidTr="00734123">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2650D17A" w14:textId="77777777" w:rsidR="00734123" w:rsidRDefault="00CA2568">
            <w:pPr>
              <w:pStyle w:val="DefaqtoTableBody2"/>
            </w:pPr>
            <w:r>
              <w:t>CT Universal MAP Cautious Fund C Acc</w:t>
            </w:r>
          </w:p>
        </w:tc>
        <w:tc>
          <w:tcPr>
            <w:tcW w:w="870" w:type="pct"/>
          </w:tcPr>
          <w:p w14:paraId="05810772" w14:textId="77777777" w:rsidR="00734123" w:rsidRDefault="00CA2568">
            <w:pPr>
              <w:pStyle w:val="DefaqtoTableBody2"/>
            </w:pPr>
            <w:r>
              <w:t>-</w:t>
            </w:r>
          </w:p>
          <w:p w14:paraId="420756E3" w14:textId="77777777" w:rsidR="00734123" w:rsidRDefault="00734123">
            <w:pPr>
              <w:pStyle w:val="DefaqtoTableBody2"/>
            </w:pPr>
          </w:p>
        </w:tc>
        <w:tc>
          <w:tcPr>
            <w:tcW w:w="870" w:type="pct"/>
          </w:tcPr>
          <w:p w14:paraId="2E9D1E54" w14:textId="77777777" w:rsidR="00734123" w:rsidRDefault="00CA2568">
            <w:pPr>
              <w:pStyle w:val="DefaqtoTableBody2"/>
            </w:pPr>
            <w:r>
              <w:t>£174.00</w:t>
            </w:r>
          </w:p>
          <w:p w14:paraId="5CA14A84" w14:textId="77777777" w:rsidR="00734123" w:rsidRDefault="00CA2568">
            <w:pPr>
              <w:pStyle w:val="DefaqtoTableBody2"/>
            </w:pPr>
            <w:r>
              <w:t>(0.29%)</w:t>
            </w:r>
          </w:p>
        </w:tc>
        <w:tc>
          <w:tcPr>
            <w:tcW w:w="802" w:type="pct"/>
          </w:tcPr>
          <w:p w14:paraId="32B4872A" w14:textId="77777777" w:rsidR="00734123" w:rsidRDefault="00CA2568">
            <w:pPr>
              <w:pStyle w:val="DefaqtoTableBody2"/>
            </w:pPr>
            <w:r>
              <w:t>£133.26</w:t>
            </w:r>
          </w:p>
          <w:p w14:paraId="52B22E99" w14:textId="77777777" w:rsidR="00734123" w:rsidRDefault="00CA2568">
            <w:pPr>
              <w:pStyle w:val="DefaqtoTableBody2"/>
            </w:pPr>
            <w:r>
              <w:t>(0.22%)</w:t>
            </w:r>
          </w:p>
        </w:tc>
        <w:tc>
          <w:tcPr>
            <w:tcW w:w="802" w:type="pct"/>
          </w:tcPr>
          <w:p w14:paraId="18B28358" w14:textId="77777777" w:rsidR="00734123" w:rsidRDefault="00CA2568">
            <w:pPr>
              <w:pStyle w:val="DefaqtoTableBody2"/>
            </w:pPr>
            <w:r>
              <w:t>-</w:t>
            </w:r>
          </w:p>
          <w:p w14:paraId="13657FB1" w14:textId="77777777" w:rsidR="00734123" w:rsidRDefault="00734123">
            <w:pPr>
              <w:pStyle w:val="DefaqtoTableBody2"/>
            </w:pPr>
          </w:p>
        </w:tc>
        <w:tc>
          <w:tcPr>
            <w:tcW w:w="801" w:type="pct"/>
          </w:tcPr>
          <w:p w14:paraId="37E07009" w14:textId="77777777" w:rsidR="00734123" w:rsidRDefault="00CA2568">
            <w:pPr>
              <w:pStyle w:val="DefaqtoTableBody2"/>
            </w:pPr>
            <w:r>
              <w:t>£307.26</w:t>
            </w:r>
          </w:p>
          <w:p w14:paraId="3836CEBB" w14:textId="77777777" w:rsidR="00734123" w:rsidRDefault="00CA2568">
            <w:pPr>
              <w:pStyle w:val="DefaqtoTableBody2"/>
            </w:pPr>
            <w:r>
              <w:t>(0.51%)</w:t>
            </w:r>
          </w:p>
        </w:tc>
      </w:tr>
      <w:tr w:rsidR="00734123" w14:paraId="662A5427" w14:textId="77777777" w:rsidTr="00734123">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51AC0799" w14:textId="77777777" w:rsidR="00734123" w:rsidRDefault="00CA2568">
            <w:pPr>
              <w:pStyle w:val="DefaqtoTableBody"/>
              <w:rPr>
                <w:b/>
                <w:bCs/>
              </w:rPr>
            </w:pPr>
            <w:r>
              <w:rPr>
                <w:lang w:val="en-NZ"/>
              </w:rPr>
              <w:t>Total aggregated fund costs:</w:t>
            </w:r>
          </w:p>
        </w:tc>
        <w:tc>
          <w:tcPr>
            <w:tcW w:w="870" w:type="pct"/>
          </w:tcPr>
          <w:p w14:paraId="4FAC53FE" w14:textId="77777777" w:rsidR="00734123" w:rsidRDefault="00CA2568">
            <w:pPr>
              <w:pStyle w:val="DefaqtoTableBody"/>
              <w:rPr>
                <w:b/>
                <w:bCs/>
                <w:lang w:val="en-NZ"/>
              </w:rPr>
            </w:pPr>
            <w:r>
              <w:rPr>
                <w:lang w:val="en-NZ"/>
              </w:rPr>
              <w:t>£0.00</w:t>
            </w:r>
          </w:p>
          <w:p w14:paraId="211F2831" w14:textId="77777777" w:rsidR="00734123" w:rsidRDefault="00CA2568">
            <w:pPr>
              <w:pStyle w:val="DefaqtoTableBody"/>
              <w:rPr>
                <w:b/>
                <w:bCs/>
              </w:rPr>
            </w:pPr>
            <w:r>
              <w:rPr>
                <w:lang w:val="en-NZ"/>
              </w:rPr>
              <w:t>(0.00%)</w:t>
            </w:r>
          </w:p>
        </w:tc>
        <w:tc>
          <w:tcPr>
            <w:tcW w:w="870" w:type="pct"/>
          </w:tcPr>
          <w:p w14:paraId="4355AF60" w14:textId="77777777" w:rsidR="00734123" w:rsidRDefault="00CA2568">
            <w:pPr>
              <w:pStyle w:val="DefaqtoTableBody"/>
              <w:rPr>
                <w:b/>
                <w:bCs/>
                <w:lang w:val="en-NZ"/>
              </w:rPr>
            </w:pPr>
            <w:r>
              <w:rPr>
                <w:lang w:val="en-NZ"/>
              </w:rPr>
              <w:t>£174.00</w:t>
            </w:r>
          </w:p>
          <w:p w14:paraId="4935CBF8" w14:textId="77777777" w:rsidR="00734123" w:rsidRDefault="00CA2568">
            <w:pPr>
              <w:pStyle w:val="DefaqtoTableBody"/>
              <w:rPr>
                <w:b/>
                <w:bCs/>
              </w:rPr>
            </w:pPr>
            <w:r>
              <w:rPr>
                <w:lang w:val="en-NZ"/>
              </w:rPr>
              <w:t>(0.29%)</w:t>
            </w:r>
          </w:p>
        </w:tc>
        <w:tc>
          <w:tcPr>
            <w:tcW w:w="802" w:type="pct"/>
          </w:tcPr>
          <w:p w14:paraId="2FDEB79F" w14:textId="77777777" w:rsidR="00734123" w:rsidRDefault="00CA2568">
            <w:pPr>
              <w:pStyle w:val="DefaqtoTableBody"/>
              <w:rPr>
                <w:b/>
                <w:bCs/>
                <w:lang w:val="en-NZ"/>
              </w:rPr>
            </w:pPr>
            <w:r>
              <w:rPr>
                <w:lang w:val="en-NZ"/>
              </w:rPr>
              <w:t>£133.26</w:t>
            </w:r>
          </w:p>
          <w:p w14:paraId="0E371007" w14:textId="77777777" w:rsidR="00734123" w:rsidRDefault="00CA2568">
            <w:pPr>
              <w:pStyle w:val="DefaqtoTableBody"/>
              <w:rPr>
                <w:b/>
                <w:bCs/>
                <w:lang w:val="en-NZ"/>
              </w:rPr>
            </w:pPr>
            <w:r>
              <w:rPr>
                <w:lang w:val="en-NZ"/>
              </w:rPr>
              <w:t>(0.22%)</w:t>
            </w:r>
          </w:p>
        </w:tc>
        <w:tc>
          <w:tcPr>
            <w:tcW w:w="802" w:type="pct"/>
          </w:tcPr>
          <w:p w14:paraId="716E9809" w14:textId="77777777" w:rsidR="00734123" w:rsidRDefault="00CA2568">
            <w:pPr>
              <w:pStyle w:val="DefaqtoTableBody"/>
              <w:rPr>
                <w:b/>
                <w:bCs/>
                <w:lang w:val="en-NZ"/>
              </w:rPr>
            </w:pPr>
            <w:r>
              <w:rPr>
                <w:lang w:val="en-NZ"/>
              </w:rPr>
              <w:t>£0.00</w:t>
            </w:r>
          </w:p>
          <w:p w14:paraId="3ACB73A7" w14:textId="77777777" w:rsidR="00734123" w:rsidRDefault="00CA2568">
            <w:pPr>
              <w:pStyle w:val="DefaqtoTableBody"/>
              <w:rPr>
                <w:b/>
                <w:bCs/>
                <w:lang w:val="en-NZ"/>
              </w:rPr>
            </w:pPr>
            <w:r>
              <w:rPr>
                <w:lang w:val="en-NZ"/>
              </w:rPr>
              <w:t>(0.00%)</w:t>
            </w:r>
          </w:p>
        </w:tc>
        <w:tc>
          <w:tcPr>
            <w:tcW w:w="801" w:type="pct"/>
          </w:tcPr>
          <w:p w14:paraId="2A20942D" w14:textId="77777777" w:rsidR="00734123" w:rsidRDefault="00CA2568">
            <w:pPr>
              <w:pStyle w:val="DefaqtoTableBody"/>
              <w:rPr>
                <w:b/>
                <w:bCs/>
                <w:lang w:val="en-NZ"/>
              </w:rPr>
            </w:pPr>
            <w:r>
              <w:rPr>
                <w:lang w:val="en-NZ"/>
              </w:rPr>
              <w:t>£307.26</w:t>
            </w:r>
          </w:p>
          <w:p w14:paraId="3EE15944" w14:textId="77777777" w:rsidR="00734123" w:rsidRDefault="00CA2568">
            <w:pPr>
              <w:pStyle w:val="DefaqtoTableBody"/>
              <w:rPr>
                <w:b/>
                <w:bCs/>
                <w:lang w:val="en-NZ"/>
              </w:rPr>
            </w:pPr>
            <w:r>
              <w:rPr>
                <w:lang w:val="en-NZ"/>
              </w:rPr>
              <w:t>(0.51%)</w:t>
            </w:r>
          </w:p>
        </w:tc>
      </w:tr>
    </w:tbl>
    <w:p w14:paraId="00EB3CD4" w14:textId="77777777" w:rsidR="00734123" w:rsidRDefault="00CA2568">
      <w:pPr>
        <w:pStyle w:val="Defaqtosmallprint"/>
        <w:rPr>
          <w:b/>
          <w:bCs/>
        </w:rPr>
        <w:sectPr w:rsidR="00734123">
          <w:headerReference w:type="default" r:id="rId12"/>
          <w:footerReference w:type="default" r:id="rId13"/>
          <w:pgSz w:w="11906" w:h="16838"/>
          <w:pgMar w:top="709" w:right="640" w:bottom="376" w:left="640" w:header="200" w:footer="200" w:gutter="0"/>
          <w:cols w:space="708"/>
          <w:docGrid w:linePitch="360"/>
        </w:sectPr>
      </w:pPr>
      <w:r>
        <w:t>* ’One-Off Costs’ represent the maximum costs that can be incurred when entering or exiting the fund and might be waived by the fund manager or distributor.</w:t>
      </w:r>
    </w:p>
    <w:p w14:paraId="5B8950A1" w14:textId="77777777" w:rsidR="00734123" w:rsidRDefault="00CA2568">
      <w:pPr>
        <w:pStyle w:val="DefaqtoHeading2-noTOC"/>
      </w:pPr>
      <w:r>
        <w:lastRenderedPageBreak/>
        <w:t>Asset allocation</w:t>
      </w:r>
    </w:p>
    <w:p w14:paraId="3DE7127F" w14:textId="77777777" w:rsidR="00734123" w:rsidRDefault="00734123">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734123" w14:paraId="1D5FDD49" w14:textId="77777777">
        <w:trPr>
          <w:tblCellSpacing w:w="15" w:type="dxa"/>
        </w:trPr>
        <w:tc>
          <w:tcPr>
            <w:tcW w:w="1000" w:type="pct"/>
          </w:tcPr>
          <w:p w14:paraId="64BD678E" w14:textId="77777777" w:rsidR="00734123" w:rsidRDefault="00CA2568">
            <w:pPr>
              <w:spacing w:after="0"/>
            </w:pPr>
            <w:r>
              <w:pict w14:anchorId="160F9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734123" w14:paraId="6A5F17F8" w14:textId="77777777">
              <w:trPr>
                <w:trHeight w:val="400"/>
                <w:tblCellSpacing w:w="15" w:type="dxa"/>
              </w:trPr>
              <w:tc>
                <w:tcPr>
                  <w:tcW w:w="120" w:type="dxa"/>
                  <w:gridSpan w:val="2"/>
                  <w:tcBorders>
                    <w:bottom w:val="single" w:sz="4" w:space="0" w:color="000000"/>
                  </w:tcBorders>
                </w:tcPr>
                <w:p w14:paraId="513A8F1F" w14:textId="77777777" w:rsidR="00734123" w:rsidRDefault="00CA2568">
                  <w:pPr>
                    <w:spacing w:after="0" w:line="240" w:lineRule="auto"/>
                  </w:pPr>
                  <w:r>
                    <w:rPr>
                      <w:rFonts w:ascii="Poppins" w:eastAsia="Poppins" w:hAnsi="Poppins" w:cs="Poppins"/>
                      <w:b/>
                      <w:bCs/>
                      <w:sz w:val="16"/>
                      <w:szCs w:val="16"/>
                    </w:rPr>
                    <w:t>ASSET ALLOCATION⁽¹⁾</w:t>
                  </w:r>
                </w:p>
              </w:tc>
              <w:tc>
                <w:tcPr>
                  <w:tcW w:w="550" w:type="pct"/>
                  <w:tcBorders>
                    <w:bottom w:val="single" w:sz="4" w:space="0" w:color="000000"/>
                  </w:tcBorders>
                </w:tcPr>
                <w:p w14:paraId="4E917E9D" w14:textId="77777777" w:rsidR="00734123" w:rsidRDefault="00CA2568">
                  <w:pPr>
                    <w:spacing w:after="0" w:line="240" w:lineRule="auto"/>
                    <w:jc w:val="right"/>
                  </w:pPr>
                  <w:r>
                    <w:rPr>
                      <w:rFonts w:ascii="Poppins" w:eastAsia="Poppins" w:hAnsi="Poppins" w:cs="Poppins"/>
                      <w:b/>
                      <w:bCs/>
                      <w:sz w:val="16"/>
                      <w:szCs w:val="16"/>
                    </w:rPr>
                    <w:t xml:space="preserve">NET %⁽²⁾ </w:t>
                  </w:r>
                </w:p>
              </w:tc>
              <w:tc>
                <w:tcPr>
                  <w:tcW w:w="550" w:type="pct"/>
                  <w:tcBorders>
                    <w:bottom w:val="single" w:sz="4" w:space="0" w:color="000000"/>
                  </w:tcBorders>
                </w:tcPr>
                <w:p w14:paraId="3EB32B85" w14:textId="77777777" w:rsidR="00734123" w:rsidRDefault="00CA2568">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7A996906" w14:textId="77777777" w:rsidR="00734123" w:rsidRDefault="00CA2568">
                  <w:pPr>
                    <w:spacing w:after="0" w:line="240" w:lineRule="auto"/>
                    <w:jc w:val="right"/>
                  </w:pPr>
                  <w:r>
                    <w:rPr>
                      <w:rFonts w:ascii="Poppins" w:eastAsia="Poppins" w:hAnsi="Poppins" w:cs="Poppins"/>
                      <w:b/>
                      <w:bCs/>
                      <w:sz w:val="16"/>
                      <w:szCs w:val="16"/>
                    </w:rPr>
                    <w:t>LONG %</w:t>
                  </w:r>
                </w:p>
              </w:tc>
            </w:tr>
            <w:tr w:rsidR="00734123" w14:paraId="584921AC" w14:textId="77777777">
              <w:trPr>
                <w:tblCellSpacing w:w="15" w:type="dxa"/>
              </w:trPr>
              <w:tc>
                <w:tcPr>
                  <w:tcW w:w="0" w:type="auto"/>
                  <w:vAlign w:val="center"/>
                </w:tcPr>
                <w:p w14:paraId="5D276A9F" w14:textId="77777777" w:rsidR="00734123" w:rsidRDefault="00CA2568">
                  <w:pPr>
                    <w:spacing w:after="0" w:line="240" w:lineRule="auto"/>
                  </w:pPr>
                  <w:r>
                    <w:rPr>
                      <w:rFonts w:ascii="Wingdings" w:eastAsia="Wingdings" w:hAnsi="Wingdings" w:cs="Wingdings"/>
                      <w:color w:val="A0A5A9"/>
                      <w:sz w:val="16"/>
                      <w:szCs w:val="16"/>
                    </w:rPr>
                    <w:t>l</w:t>
                  </w:r>
                </w:p>
              </w:tc>
              <w:tc>
                <w:tcPr>
                  <w:tcW w:w="0" w:type="auto"/>
                  <w:vAlign w:val="center"/>
                </w:tcPr>
                <w:p w14:paraId="4C323452" w14:textId="77777777" w:rsidR="00734123" w:rsidRDefault="00CA2568">
                  <w:pPr>
                    <w:spacing w:after="0" w:line="240" w:lineRule="auto"/>
                  </w:pPr>
                  <w:r>
                    <w:rPr>
                      <w:rFonts w:ascii="Poppins" w:eastAsia="Poppins" w:hAnsi="Poppins" w:cs="Poppins"/>
                      <w:sz w:val="16"/>
                      <w:szCs w:val="16"/>
                    </w:rPr>
                    <w:t>Global (ex-UK) Fixed Income</w:t>
                  </w:r>
                </w:p>
              </w:tc>
              <w:tc>
                <w:tcPr>
                  <w:tcW w:w="550" w:type="pct"/>
                  <w:vAlign w:val="center"/>
                </w:tcPr>
                <w:p w14:paraId="3D0E1078" w14:textId="77777777" w:rsidR="00734123" w:rsidRDefault="00CA2568">
                  <w:pPr>
                    <w:spacing w:after="0" w:line="240" w:lineRule="auto"/>
                    <w:jc w:val="right"/>
                  </w:pPr>
                  <w:r>
                    <w:rPr>
                      <w:rFonts w:ascii="Poppins" w:eastAsia="Poppins" w:hAnsi="Poppins" w:cs="Poppins"/>
                      <w:sz w:val="16"/>
                      <w:szCs w:val="16"/>
                    </w:rPr>
                    <w:t>39.94</w:t>
                  </w:r>
                </w:p>
              </w:tc>
              <w:tc>
                <w:tcPr>
                  <w:tcW w:w="550" w:type="pct"/>
                  <w:vAlign w:val="center"/>
                </w:tcPr>
                <w:p w14:paraId="5F9AADE6" w14:textId="77777777" w:rsidR="00734123" w:rsidRDefault="00CA2568">
                  <w:pPr>
                    <w:spacing w:after="0" w:line="240" w:lineRule="auto"/>
                    <w:jc w:val="right"/>
                  </w:pPr>
                  <w:r>
                    <w:rPr>
                      <w:rFonts w:ascii="Poppins" w:eastAsia="Poppins" w:hAnsi="Poppins" w:cs="Poppins"/>
                      <w:sz w:val="16"/>
                      <w:szCs w:val="16"/>
                    </w:rPr>
                    <w:t>-5.57</w:t>
                  </w:r>
                </w:p>
              </w:tc>
              <w:tc>
                <w:tcPr>
                  <w:tcW w:w="550" w:type="pct"/>
                  <w:vAlign w:val="center"/>
                </w:tcPr>
                <w:p w14:paraId="4C0E3662" w14:textId="77777777" w:rsidR="00734123" w:rsidRDefault="00CA2568">
                  <w:pPr>
                    <w:spacing w:after="0" w:line="240" w:lineRule="auto"/>
                    <w:jc w:val="right"/>
                  </w:pPr>
                  <w:r>
                    <w:rPr>
                      <w:rFonts w:ascii="Poppins" w:eastAsia="Poppins" w:hAnsi="Poppins" w:cs="Poppins"/>
                      <w:sz w:val="16"/>
                      <w:szCs w:val="16"/>
                    </w:rPr>
                    <w:t>45.51</w:t>
                  </w:r>
                </w:p>
              </w:tc>
            </w:tr>
            <w:tr w:rsidR="00734123" w14:paraId="3F7AE663" w14:textId="77777777">
              <w:trPr>
                <w:tblCellSpacing w:w="15" w:type="dxa"/>
              </w:trPr>
              <w:tc>
                <w:tcPr>
                  <w:tcW w:w="0" w:type="auto"/>
                  <w:vAlign w:val="center"/>
                </w:tcPr>
                <w:p w14:paraId="089D95AF" w14:textId="77777777" w:rsidR="00734123" w:rsidRDefault="00CA2568">
                  <w:pPr>
                    <w:spacing w:after="0" w:line="240" w:lineRule="auto"/>
                  </w:pPr>
                  <w:r>
                    <w:rPr>
                      <w:rFonts w:ascii="Wingdings" w:eastAsia="Wingdings" w:hAnsi="Wingdings" w:cs="Wingdings"/>
                      <w:color w:val="8E44AD"/>
                      <w:sz w:val="16"/>
                      <w:szCs w:val="16"/>
                    </w:rPr>
                    <w:t>l</w:t>
                  </w:r>
                </w:p>
              </w:tc>
              <w:tc>
                <w:tcPr>
                  <w:tcW w:w="0" w:type="auto"/>
                  <w:vAlign w:val="center"/>
                </w:tcPr>
                <w:p w14:paraId="20841805" w14:textId="77777777" w:rsidR="00734123" w:rsidRDefault="00CA2568">
                  <w:pPr>
                    <w:spacing w:after="0" w:line="240" w:lineRule="auto"/>
                  </w:pPr>
                  <w:r>
                    <w:rPr>
                      <w:rFonts w:ascii="Poppins" w:eastAsia="Poppins" w:hAnsi="Poppins" w:cs="Poppins"/>
                      <w:sz w:val="16"/>
                      <w:szCs w:val="16"/>
                    </w:rPr>
                    <w:t>North America Equity</w:t>
                  </w:r>
                </w:p>
              </w:tc>
              <w:tc>
                <w:tcPr>
                  <w:tcW w:w="550" w:type="pct"/>
                  <w:vAlign w:val="center"/>
                </w:tcPr>
                <w:p w14:paraId="069A2933" w14:textId="77777777" w:rsidR="00734123" w:rsidRDefault="00CA2568">
                  <w:pPr>
                    <w:spacing w:after="0" w:line="240" w:lineRule="auto"/>
                    <w:jc w:val="right"/>
                  </w:pPr>
                  <w:r>
                    <w:rPr>
                      <w:rFonts w:ascii="Poppins" w:eastAsia="Poppins" w:hAnsi="Poppins" w:cs="Poppins"/>
                      <w:sz w:val="16"/>
                      <w:szCs w:val="16"/>
                    </w:rPr>
                    <w:t>22.30</w:t>
                  </w:r>
                </w:p>
              </w:tc>
              <w:tc>
                <w:tcPr>
                  <w:tcW w:w="550" w:type="pct"/>
                  <w:vAlign w:val="center"/>
                </w:tcPr>
                <w:p w14:paraId="632B318A"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0B1854D3" w14:textId="77777777" w:rsidR="00734123" w:rsidRDefault="00CA2568">
                  <w:pPr>
                    <w:spacing w:after="0" w:line="240" w:lineRule="auto"/>
                    <w:jc w:val="right"/>
                  </w:pPr>
                  <w:r>
                    <w:rPr>
                      <w:rFonts w:ascii="Poppins" w:eastAsia="Poppins" w:hAnsi="Poppins" w:cs="Poppins"/>
                      <w:sz w:val="16"/>
                      <w:szCs w:val="16"/>
                    </w:rPr>
                    <w:t>22.30</w:t>
                  </w:r>
                </w:p>
              </w:tc>
            </w:tr>
            <w:tr w:rsidR="00734123" w14:paraId="0C88A2FD" w14:textId="77777777">
              <w:trPr>
                <w:tblCellSpacing w:w="15" w:type="dxa"/>
              </w:trPr>
              <w:tc>
                <w:tcPr>
                  <w:tcW w:w="0" w:type="auto"/>
                  <w:vAlign w:val="center"/>
                </w:tcPr>
                <w:p w14:paraId="68E54598" w14:textId="77777777" w:rsidR="00734123" w:rsidRDefault="00CA2568">
                  <w:pPr>
                    <w:spacing w:after="0" w:line="240" w:lineRule="auto"/>
                  </w:pPr>
                  <w:r>
                    <w:rPr>
                      <w:rFonts w:ascii="Wingdings" w:eastAsia="Wingdings" w:hAnsi="Wingdings" w:cs="Wingdings"/>
                      <w:color w:val="FFE382"/>
                      <w:sz w:val="16"/>
                      <w:szCs w:val="16"/>
                    </w:rPr>
                    <w:t>l</w:t>
                  </w:r>
                </w:p>
              </w:tc>
              <w:tc>
                <w:tcPr>
                  <w:tcW w:w="0" w:type="auto"/>
                  <w:vAlign w:val="center"/>
                </w:tcPr>
                <w:p w14:paraId="3EABCC0F" w14:textId="77777777" w:rsidR="00734123" w:rsidRDefault="00CA2568">
                  <w:pPr>
                    <w:spacing w:after="0" w:line="240" w:lineRule="auto"/>
                  </w:pPr>
                  <w:r>
                    <w:rPr>
                      <w:rFonts w:ascii="Poppins" w:eastAsia="Poppins" w:hAnsi="Poppins" w:cs="Poppins"/>
                      <w:sz w:val="16"/>
                      <w:szCs w:val="16"/>
                    </w:rPr>
                    <w:t>UK Equity</w:t>
                  </w:r>
                </w:p>
              </w:tc>
              <w:tc>
                <w:tcPr>
                  <w:tcW w:w="550" w:type="pct"/>
                  <w:vAlign w:val="center"/>
                </w:tcPr>
                <w:p w14:paraId="5FC02E3E" w14:textId="77777777" w:rsidR="00734123" w:rsidRDefault="00CA2568">
                  <w:pPr>
                    <w:spacing w:after="0" w:line="240" w:lineRule="auto"/>
                    <w:jc w:val="right"/>
                  </w:pPr>
                  <w:r>
                    <w:rPr>
                      <w:rFonts w:ascii="Poppins" w:eastAsia="Poppins" w:hAnsi="Poppins" w:cs="Poppins"/>
                      <w:sz w:val="16"/>
                      <w:szCs w:val="16"/>
                    </w:rPr>
                    <w:t>12.02</w:t>
                  </w:r>
                </w:p>
              </w:tc>
              <w:tc>
                <w:tcPr>
                  <w:tcW w:w="550" w:type="pct"/>
                  <w:vAlign w:val="center"/>
                </w:tcPr>
                <w:p w14:paraId="6ABAF5B6"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21712441" w14:textId="77777777" w:rsidR="00734123" w:rsidRDefault="00CA2568">
                  <w:pPr>
                    <w:spacing w:after="0" w:line="240" w:lineRule="auto"/>
                    <w:jc w:val="right"/>
                  </w:pPr>
                  <w:r>
                    <w:rPr>
                      <w:rFonts w:ascii="Poppins" w:eastAsia="Poppins" w:hAnsi="Poppins" w:cs="Poppins"/>
                      <w:sz w:val="16"/>
                      <w:szCs w:val="16"/>
                    </w:rPr>
                    <w:t>12.02</w:t>
                  </w:r>
                </w:p>
              </w:tc>
            </w:tr>
            <w:tr w:rsidR="00734123" w14:paraId="1F953533" w14:textId="77777777">
              <w:trPr>
                <w:tblCellSpacing w:w="15" w:type="dxa"/>
              </w:trPr>
              <w:tc>
                <w:tcPr>
                  <w:tcW w:w="0" w:type="auto"/>
                  <w:vAlign w:val="center"/>
                </w:tcPr>
                <w:p w14:paraId="70E1816C" w14:textId="77777777" w:rsidR="00734123" w:rsidRDefault="00CA2568">
                  <w:pPr>
                    <w:spacing w:after="0" w:line="240" w:lineRule="auto"/>
                  </w:pPr>
                  <w:r>
                    <w:rPr>
                      <w:rFonts w:ascii="Wingdings" w:eastAsia="Wingdings" w:hAnsi="Wingdings" w:cs="Wingdings"/>
                      <w:color w:val="D35400"/>
                      <w:sz w:val="16"/>
                      <w:szCs w:val="16"/>
                    </w:rPr>
                    <w:t>l</w:t>
                  </w:r>
                </w:p>
              </w:tc>
              <w:tc>
                <w:tcPr>
                  <w:tcW w:w="0" w:type="auto"/>
                  <w:vAlign w:val="center"/>
                </w:tcPr>
                <w:p w14:paraId="162F114F" w14:textId="77777777" w:rsidR="00734123" w:rsidRDefault="00CA2568">
                  <w:pPr>
                    <w:spacing w:after="0" w:line="240" w:lineRule="auto"/>
                  </w:pPr>
                  <w:r>
                    <w:rPr>
                      <w:rFonts w:ascii="Poppins" w:eastAsia="Poppins" w:hAnsi="Poppins" w:cs="Poppins"/>
                      <w:sz w:val="16"/>
                      <w:szCs w:val="16"/>
                    </w:rPr>
                    <w:t>UK Government Bonds</w:t>
                  </w:r>
                </w:p>
              </w:tc>
              <w:tc>
                <w:tcPr>
                  <w:tcW w:w="550" w:type="pct"/>
                  <w:vAlign w:val="center"/>
                </w:tcPr>
                <w:p w14:paraId="26B7CDF4" w14:textId="77777777" w:rsidR="00734123" w:rsidRDefault="00CA2568">
                  <w:pPr>
                    <w:spacing w:after="0" w:line="240" w:lineRule="auto"/>
                    <w:jc w:val="right"/>
                  </w:pPr>
                  <w:r>
                    <w:rPr>
                      <w:rFonts w:ascii="Poppins" w:eastAsia="Poppins" w:hAnsi="Poppins" w:cs="Poppins"/>
                      <w:sz w:val="16"/>
                      <w:szCs w:val="16"/>
                    </w:rPr>
                    <w:t>8.84</w:t>
                  </w:r>
                </w:p>
              </w:tc>
              <w:tc>
                <w:tcPr>
                  <w:tcW w:w="550" w:type="pct"/>
                  <w:vAlign w:val="center"/>
                </w:tcPr>
                <w:p w14:paraId="7464E3B4"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5D8056F7" w14:textId="77777777" w:rsidR="00734123" w:rsidRDefault="00CA2568">
                  <w:pPr>
                    <w:spacing w:after="0" w:line="240" w:lineRule="auto"/>
                    <w:jc w:val="right"/>
                  </w:pPr>
                  <w:r>
                    <w:rPr>
                      <w:rFonts w:ascii="Poppins" w:eastAsia="Poppins" w:hAnsi="Poppins" w:cs="Poppins"/>
                      <w:sz w:val="16"/>
                      <w:szCs w:val="16"/>
                    </w:rPr>
                    <w:t>8.84</w:t>
                  </w:r>
                </w:p>
              </w:tc>
            </w:tr>
            <w:tr w:rsidR="00734123" w14:paraId="5CEBC1FA" w14:textId="77777777">
              <w:trPr>
                <w:tblCellSpacing w:w="15" w:type="dxa"/>
              </w:trPr>
              <w:tc>
                <w:tcPr>
                  <w:tcW w:w="0" w:type="auto"/>
                  <w:vAlign w:val="center"/>
                </w:tcPr>
                <w:p w14:paraId="3A26957B" w14:textId="77777777" w:rsidR="00734123" w:rsidRDefault="00CA2568">
                  <w:pPr>
                    <w:spacing w:after="0" w:line="240" w:lineRule="auto"/>
                  </w:pPr>
                  <w:r>
                    <w:rPr>
                      <w:rFonts w:ascii="Wingdings" w:eastAsia="Wingdings" w:hAnsi="Wingdings" w:cs="Wingdings"/>
                      <w:color w:val="2980B9"/>
                      <w:sz w:val="16"/>
                      <w:szCs w:val="16"/>
                    </w:rPr>
                    <w:t>l</w:t>
                  </w:r>
                </w:p>
              </w:tc>
              <w:tc>
                <w:tcPr>
                  <w:tcW w:w="0" w:type="auto"/>
                  <w:vAlign w:val="center"/>
                </w:tcPr>
                <w:p w14:paraId="7541731C" w14:textId="77777777" w:rsidR="00734123" w:rsidRDefault="00CA2568">
                  <w:pPr>
                    <w:spacing w:after="0" w:line="240" w:lineRule="auto"/>
                  </w:pPr>
                  <w:r>
                    <w:rPr>
                      <w:rFonts w:ascii="Poppins" w:eastAsia="Poppins" w:hAnsi="Poppins" w:cs="Poppins"/>
                      <w:sz w:val="16"/>
                      <w:szCs w:val="16"/>
                    </w:rPr>
                    <w:t>UK Index Linked Bonds</w:t>
                  </w:r>
                </w:p>
              </w:tc>
              <w:tc>
                <w:tcPr>
                  <w:tcW w:w="550" w:type="pct"/>
                  <w:vAlign w:val="center"/>
                </w:tcPr>
                <w:p w14:paraId="6AE9FACC" w14:textId="77777777" w:rsidR="00734123" w:rsidRDefault="00CA2568">
                  <w:pPr>
                    <w:spacing w:after="0" w:line="240" w:lineRule="auto"/>
                    <w:jc w:val="right"/>
                  </w:pPr>
                  <w:r>
                    <w:rPr>
                      <w:rFonts w:ascii="Poppins" w:eastAsia="Poppins" w:hAnsi="Poppins" w:cs="Poppins"/>
                      <w:sz w:val="16"/>
                      <w:szCs w:val="16"/>
                    </w:rPr>
                    <w:t>4.14</w:t>
                  </w:r>
                </w:p>
              </w:tc>
              <w:tc>
                <w:tcPr>
                  <w:tcW w:w="550" w:type="pct"/>
                  <w:vAlign w:val="center"/>
                </w:tcPr>
                <w:p w14:paraId="2D47473E"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2284D4FD" w14:textId="77777777" w:rsidR="00734123" w:rsidRDefault="00CA2568">
                  <w:pPr>
                    <w:spacing w:after="0" w:line="240" w:lineRule="auto"/>
                    <w:jc w:val="right"/>
                  </w:pPr>
                  <w:r>
                    <w:rPr>
                      <w:rFonts w:ascii="Poppins" w:eastAsia="Poppins" w:hAnsi="Poppins" w:cs="Poppins"/>
                      <w:sz w:val="16"/>
                      <w:szCs w:val="16"/>
                    </w:rPr>
                    <w:t>4.14</w:t>
                  </w:r>
                </w:p>
              </w:tc>
            </w:tr>
            <w:tr w:rsidR="00734123" w14:paraId="00EE3662" w14:textId="77777777">
              <w:trPr>
                <w:tblCellSpacing w:w="15" w:type="dxa"/>
              </w:trPr>
              <w:tc>
                <w:tcPr>
                  <w:tcW w:w="0" w:type="auto"/>
                  <w:vAlign w:val="center"/>
                </w:tcPr>
                <w:p w14:paraId="5B7D8C61" w14:textId="77777777" w:rsidR="00734123" w:rsidRDefault="00CA2568">
                  <w:pPr>
                    <w:spacing w:after="0" w:line="240" w:lineRule="auto"/>
                  </w:pPr>
                  <w:r>
                    <w:rPr>
                      <w:rFonts w:ascii="Wingdings" w:eastAsia="Wingdings" w:hAnsi="Wingdings" w:cs="Wingdings"/>
                      <w:color w:val="3FC6D4"/>
                      <w:sz w:val="16"/>
                      <w:szCs w:val="16"/>
                    </w:rPr>
                    <w:t>l</w:t>
                  </w:r>
                </w:p>
              </w:tc>
              <w:tc>
                <w:tcPr>
                  <w:tcW w:w="0" w:type="auto"/>
                  <w:vAlign w:val="center"/>
                </w:tcPr>
                <w:p w14:paraId="7A7F490A" w14:textId="77777777" w:rsidR="00734123" w:rsidRDefault="00CA2568">
                  <w:pPr>
                    <w:spacing w:after="0" w:line="240" w:lineRule="auto"/>
                  </w:pPr>
                  <w:r>
                    <w:rPr>
                      <w:rFonts w:ascii="Poppins" w:eastAsia="Poppins" w:hAnsi="Poppins" w:cs="Poppins"/>
                      <w:sz w:val="16"/>
                      <w:szCs w:val="16"/>
                    </w:rPr>
                    <w:t>Europe (ex-UK) Equity</w:t>
                  </w:r>
                </w:p>
              </w:tc>
              <w:tc>
                <w:tcPr>
                  <w:tcW w:w="550" w:type="pct"/>
                  <w:vAlign w:val="center"/>
                </w:tcPr>
                <w:p w14:paraId="002202BE" w14:textId="77777777" w:rsidR="00734123" w:rsidRDefault="00CA2568">
                  <w:pPr>
                    <w:spacing w:after="0" w:line="240" w:lineRule="auto"/>
                    <w:jc w:val="right"/>
                  </w:pPr>
                  <w:r>
                    <w:rPr>
                      <w:rFonts w:ascii="Poppins" w:eastAsia="Poppins" w:hAnsi="Poppins" w:cs="Poppins"/>
                      <w:sz w:val="16"/>
                      <w:szCs w:val="16"/>
                    </w:rPr>
                    <w:t>4.04</w:t>
                  </w:r>
                </w:p>
              </w:tc>
              <w:tc>
                <w:tcPr>
                  <w:tcW w:w="550" w:type="pct"/>
                  <w:vAlign w:val="center"/>
                </w:tcPr>
                <w:p w14:paraId="33CFDB1C"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4815A1D5" w14:textId="77777777" w:rsidR="00734123" w:rsidRDefault="00CA2568">
                  <w:pPr>
                    <w:spacing w:after="0" w:line="240" w:lineRule="auto"/>
                    <w:jc w:val="right"/>
                  </w:pPr>
                  <w:r>
                    <w:rPr>
                      <w:rFonts w:ascii="Poppins" w:eastAsia="Poppins" w:hAnsi="Poppins" w:cs="Poppins"/>
                      <w:sz w:val="16"/>
                      <w:szCs w:val="16"/>
                    </w:rPr>
                    <w:t>4.04</w:t>
                  </w:r>
                </w:p>
              </w:tc>
            </w:tr>
            <w:tr w:rsidR="00734123" w14:paraId="61CA5655" w14:textId="77777777">
              <w:trPr>
                <w:tblCellSpacing w:w="15" w:type="dxa"/>
              </w:trPr>
              <w:tc>
                <w:tcPr>
                  <w:tcW w:w="0" w:type="auto"/>
                  <w:vAlign w:val="center"/>
                </w:tcPr>
                <w:p w14:paraId="4DA90473" w14:textId="77777777" w:rsidR="00734123" w:rsidRDefault="00CA2568">
                  <w:pPr>
                    <w:spacing w:after="0" w:line="240" w:lineRule="auto"/>
                  </w:pPr>
                  <w:r>
                    <w:rPr>
                      <w:rFonts w:ascii="Wingdings" w:eastAsia="Wingdings" w:hAnsi="Wingdings" w:cs="Wingdings"/>
                      <w:color w:val="C0392B"/>
                      <w:sz w:val="16"/>
                      <w:szCs w:val="16"/>
                    </w:rPr>
                    <w:t>l</w:t>
                  </w:r>
                </w:p>
              </w:tc>
              <w:tc>
                <w:tcPr>
                  <w:tcW w:w="0" w:type="auto"/>
                  <w:vAlign w:val="center"/>
                </w:tcPr>
                <w:p w14:paraId="681C881E" w14:textId="77777777" w:rsidR="00734123" w:rsidRDefault="00CA2568">
                  <w:pPr>
                    <w:spacing w:after="0" w:line="240" w:lineRule="auto"/>
                  </w:pPr>
                  <w:r>
                    <w:rPr>
                      <w:rFonts w:ascii="Poppins" w:eastAsia="Poppins" w:hAnsi="Poppins" w:cs="Poppins"/>
                      <w:sz w:val="16"/>
                      <w:szCs w:val="16"/>
                    </w:rPr>
                    <w:t>UK Corporate Bonds</w:t>
                  </w:r>
                </w:p>
              </w:tc>
              <w:tc>
                <w:tcPr>
                  <w:tcW w:w="550" w:type="pct"/>
                  <w:vAlign w:val="center"/>
                </w:tcPr>
                <w:p w14:paraId="299ED21F" w14:textId="77777777" w:rsidR="00734123" w:rsidRDefault="00CA2568">
                  <w:pPr>
                    <w:spacing w:after="0" w:line="240" w:lineRule="auto"/>
                    <w:jc w:val="right"/>
                  </w:pPr>
                  <w:r>
                    <w:rPr>
                      <w:rFonts w:ascii="Poppins" w:eastAsia="Poppins" w:hAnsi="Poppins" w:cs="Poppins"/>
                      <w:sz w:val="16"/>
                      <w:szCs w:val="16"/>
                    </w:rPr>
                    <w:t>2.90</w:t>
                  </w:r>
                </w:p>
              </w:tc>
              <w:tc>
                <w:tcPr>
                  <w:tcW w:w="550" w:type="pct"/>
                  <w:vAlign w:val="center"/>
                </w:tcPr>
                <w:p w14:paraId="4CEFC654"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259860E7" w14:textId="77777777" w:rsidR="00734123" w:rsidRDefault="00CA2568">
                  <w:pPr>
                    <w:spacing w:after="0" w:line="240" w:lineRule="auto"/>
                    <w:jc w:val="right"/>
                  </w:pPr>
                  <w:r>
                    <w:rPr>
                      <w:rFonts w:ascii="Poppins" w:eastAsia="Poppins" w:hAnsi="Poppins" w:cs="Poppins"/>
                      <w:sz w:val="16"/>
                      <w:szCs w:val="16"/>
                    </w:rPr>
                    <w:t>2.90</w:t>
                  </w:r>
                </w:p>
              </w:tc>
            </w:tr>
            <w:tr w:rsidR="00734123" w14:paraId="2D230E43" w14:textId="77777777">
              <w:trPr>
                <w:tblCellSpacing w:w="15" w:type="dxa"/>
              </w:trPr>
              <w:tc>
                <w:tcPr>
                  <w:tcW w:w="0" w:type="auto"/>
                  <w:vAlign w:val="center"/>
                </w:tcPr>
                <w:p w14:paraId="2A5EE19B" w14:textId="77777777" w:rsidR="00734123" w:rsidRDefault="00CA2568">
                  <w:pPr>
                    <w:spacing w:after="0" w:line="240" w:lineRule="auto"/>
                  </w:pPr>
                  <w:r>
                    <w:rPr>
                      <w:rFonts w:ascii="Wingdings" w:eastAsia="Wingdings" w:hAnsi="Wingdings" w:cs="Wingdings"/>
                      <w:color w:val="727E7E"/>
                      <w:sz w:val="16"/>
                      <w:szCs w:val="16"/>
                    </w:rPr>
                    <w:t>l</w:t>
                  </w:r>
                </w:p>
              </w:tc>
              <w:tc>
                <w:tcPr>
                  <w:tcW w:w="0" w:type="auto"/>
                  <w:vAlign w:val="center"/>
                </w:tcPr>
                <w:p w14:paraId="1501D246" w14:textId="77777777" w:rsidR="00734123" w:rsidRDefault="00CA2568">
                  <w:pPr>
                    <w:spacing w:after="0" w:line="240" w:lineRule="auto"/>
                  </w:pPr>
                  <w:r>
                    <w:rPr>
                      <w:rFonts w:ascii="Poppins" w:eastAsia="Poppins" w:hAnsi="Poppins" w:cs="Poppins"/>
                      <w:sz w:val="16"/>
                      <w:szCs w:val="16"/>
                    </w:rPr>
                    <w:t>Emerging Markets Equity</w:t>
                  </w:r>
                </w:p>
              </w:tc>
              <w:tc>
                <w:tcPr>
                  <w:tcW w:w="550" w:type="pct"/>
                  <w:vAlign w:val="center"/>
                </w:tcPr>
                <w:p w14:paraId="01EC8E8A" w14:textId="77777777" w:rsidR="00734123" w:rsidRDefault="00CA2568">
                  <w:pPr>
                    <w:spacing w:after="0" w:line="240" w:lineRule="auto"/>
                    <w:jc w:val="right"/>
                  </w:pPr>
                  <w:r>
                    <w:rPr>
                      <w:rFonts w:ascii="Poppins" w:eastAsia="Poppins" w:hAnsi="Poppins" w:cs="Poppins"/>
                      <w:sz w:val="16"/>
                      <w:szCs w:val="16"/>
                    </w:rPr>
                    <w:t>2.69</w:t>
                  </w:r>
                </w:p>
              </w:tc>
              <w:tc>
                <w:tcPr>
                  <w:tcW w:w="550" w:type="pct"/>
                  <w:vAlign w:val="center"/>
                </w:tcPr>
                <w:p w14:paraId="6B250611"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0666B464" w14:textId="77777777" w:rsidR="00734123" w:rsidRDefault="00CA2568">
                  <w:pPr>
                    <w:spacing w:after="0" w:line="240" w:lineRule="auto"/>
                    <w:jc w:val="right"/>
                  </w:pPr>
                  <w:r>
                    <w:rPr>
                      <w:rFonts w:ascii="Poppins" w:eastAsia="Poppins" w:hAnsi="Poppins" w:cs="Poppins"/>
                      <w:sz w:val="16"/>
                      <w:szCs w:val="16"/>
                    </w:rPr>
                    <w:t>2.69</w:t>
                  </w:r>
                </w:p>
              </w:tc>
            </w:tr>
            <w:tr w:rsidR="00734123" w14:paraId="725DCBEE" w14:textId="77777777">
              <w:trPr>
                <w:tblCellSpacing w:w="15" w:type="dxa"/>
              </w:trPr>
              <w:tc>
                <w:tcPr>
                  <w:tcW w:w="0" w:type="auto"/>
                  <w:vAlign w:val="center"/>
                </w:tcPr>
                <w:p w14:paraId="34E6E114" w14:textId="77777777" w:rsidR="00734123" w:rsidRDefault="00CA2568">
                  <w:pPr>
                    <w:spacing w:after="0" w:line="240" w:lineRule="auto"/>
                  </w:pPr>
                  <w:r>
                    <w:rPr>
                      <w:rFonts w:ascii="Wingdings" w:eastAsia="Wingdings" w:hAnsi="Wingdings" w:cs="Wingdings"/>
                      <w:color w:val="F39C12"/>
                      <w:sz w:val="16"/>
                      <w:szCs w:val="16"/>
                    </w:rPr>
                    <w:t>l</w:t>
                  </w:r>
                </w:p>
              </w:tc>
              <w:tc>
                <w:tcPr>
                  <w:tcW w:w="0" w:type="auto"/>
                  <w:vAlign w:val="center"/>
                </w:tcPr>
                <w:p w14:paraId="185593B6" w14:textId="77777777" w:rsidR="00734123" w:rsidRDefault="00CA2568">
                  <w:pPr>
                    <w:spacing w:after="0" w:line="240" w:lineRule="auto"/>
                  </w:pPr>
                  <w:r>
                    <w:rPr>
                      <w:rFonts w:ascii="Poppins" w:eastAsia="Poppins" w:hAnsi="Poppins" w:cs="Poppins"/>
                      <w:sz w:val="16"/>
                      <w:szCs w:val="16"/>
                    </w:rPr>
                    <w:t>Developed Pacific (ex-Japan) Equity</w:t>
                  </w:r>
                </w:p>
              </w:tc>
              <w:tc>
                <w:tcPr>
                  <w:tcW w:w="550" w:type="pct"/>
                  <w:vAlign w:val="center"/>
                </w:tcPr>
                <w:p w14:paraId="26105F9F" w14:textId="77777777" w:rsidR="00734123" w:rsidRDefault="00CA2568">
                  <w:pPr>
                    <w:spacing w:after="0" w:line="240" w:lineRule="auto"/>
                    <w:jc w:val="right"/>
                  </w:pPr>
                  <w:r>
                    <w:rPr>
                      <w:rFonts w:ascii="Poppins" w:eastAsia="Poppins" w:hAnsi="Poppins" w:cs="Poppins"/>
                      <w:sz w:val="16"/>
                      <w:szCs w:val="16"/>
                    </w:rPr>
                    <w:t>1.66</w:t>
                  </w:r>
                </w:p>
              </w:tc>
              <w:tc>
                <w:tcPr>
                  <w:tcW w:w="550" w:type="pct"/>
                  <w:vAlign w:val="center"/>
                </w:tcPr>
                <w:p w14:paraId="5D311A92"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3FD53BA4" w14:textId="77777777" w:rsidR="00734123" w:rsidRDefault="00CA2568">
                  <w:pPr>
                    <w:spacing w:after="0" w:line="240" w:lineRule="auto"/>
                    <w:jc w:val="right"/>
                  </w:pPr>
                  <w:r>
                    <w:rPr>
                      <w:rFonts w:ascii="Poppins" w:eastAsia="Poppins" w:hAnsi="Poppins" w:cs="Poppins"/>
                      <w:sz w:val="16"/>
                      <w:szCs w:val="16"/>
                    </w:rPr>
                    <w:t>1.66</w:t>
                  </w:r>
                </w:p>
              </w:tc>
            </w:tr>
            <w:tr w:rsidR="00734123" w14:paraId="29180B74" w14:textId="77777777">
              <w:trPr>
                <w:tblCellSpacing w:w="15" w:type="dxa"/>
              </w:trPr>
              <w:tc>
                <w:tcPr>
                  <w:tcW w:w="0" w:type="auto"/>
                  <w:vAlign w:val="center"/>
                </w:tcPr>
                <w:p w14:paraId="136562FF" w14:textId="77777777" w:rsidR="00734123" w:rsidRDefault="00CA2568">
                  <w:pPr>
                    <w:spacing w:after="0" w:line="240" w:lineRule="auto"/>
                  </w:pPr>
                  <w:r>
                    <w:rPr>
                      <w:rFonts w:ascii="Wingdings" w:eastAsia="Wingdings" w:hAnsi="Wingdings" w:cs="Wingdings"/>
                      <w:color w:val="16A085"/>
                      <w:sz w:val="16"/>
                      <w:szCs w:val="16"/>
                    </w:rPr>
                    <w:t>l</w:t>
                  </w:r>
                </w:p>
              </w:tc>
              <w:tc>
                <w:tcPr>
                  <w:tcW w:w="0" w:type="auto"/>
                  <w:vAlign w:val="center"/>
                </w:tcPr>
                <w:p w14:paraId="33939C17" w14:textId="77777777" w:rsidR="00734123" w:rsidRDefault="00CA2568">
                  <w:pPr>
                    <w:spacing w:after="0" w:line="240" w:lineRule="auto"/>
                  </w:pPr>
                  <w:r>
                    <w:rPr>
                      <w:rFonts w:ascii="Poppins" w:eastAsia="Poppins" w:hAnsi="Poppins" w:cs="Poppins"/>
                      <w:sz w:val="16"/>
                      <w:szCs w:val="16"/>
                    </w:rPr>
                    <w:t>Japan Equity</w:t>
                  </w:r>
                </w:p>
              </w:tc>
              <w:tc>
                <w:tcPr>
                  <w:tcW w:w="550" w:type="pct"/>
                  <w:vAlign w:val="center"/>
                </w:tcPr>
                <w:p w14:paraId="40D7F4D3" w14:textId="77777777" w:rsidR="00734123" w:rsidRDefault="00CA2568">
                  <w:pPr>
                    <w:spacing w:after="0" w:line="240" w:lineRule="auto"/>
                    <w:jc w:val="right"/>
                  </w:pPr>
                  <w:r>
                    <w:rPr>
                      <w:rFonts w:ascii="Poppins" w:eastAsia="Poppins" w:hAnsi="Poppins" w:cs="Poppins"/>
                      <w:sz w:val="16"/>
                      <w:szCs w:val="16"/>
                    </w:rPr>
                    <w:t>1.31</w:t>
                  </w:r>
                </w:p>
              </w:tc>
              <w:tc>
                <w:tcPr>
                  <w:tcW w:w="550" w:type="pct"/>
                  <w:vAlign w:val="center"/>
                </w:tcPr>
                <w:p w14:paraId="37D80DA8"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7690B90C" w14:textId="77777777" w:rsidR="00734123" w:rsidRDefault="00CA2568">
                  <w:pPr>
                    <w:spacing w:after="0" w:line="240" w:lineRule="auto"/>
                    <w:jc w:val="right"/>
                  </w:pPr>
                  <w:r>
                    <w:rPr>
                      <w:rFonts w:ascii="Poppins" w:eastAsia="Poppins" w:hAnsi="Poppins" w:cs="Poppins"/>
                      <w:sz w:val="16"/>
                      <w:szCs w:val="16"/>
                    </w:rPr>
                    <w:t>1.31</w:t>
                  </w:r>
                </w:p>
              </w:tc>
            </w:tr>
            <w:tr w:rsidR="00734123" w14:paraId="7F598699" w14:textId="77777777">
              <w:trPr>
                <w:tblCellSpacing w:w="15" w:type="dxa"/>
              </w:trPr>
              <w:tc>
                <w:tcPr>
                  <w:tcW w:w="0" w:type="auto"/>
                  <w:vAlign w:val="center"/>
                </w:tcPr>
                <w:p w14:paraId="1A7C31FE" w14:textId="77777777" w:rsidR="00734123" w:rsidRDefault="00CA2568">
                  <w:pPr>
                    <w:spacing w:after="0" w:line="240" w:lineRule="auto"/>
                  </w:pPr>
                  <w:r>
                    <w:rPr>
                      <w:rFonts w:ascii="Wingdings" w:eastAsia="Wingdings" w:hAnsi="Wingdings" w:cs="Wingdings"/>
                      <w:color w:val="2CABFF"/>
                      <w:sz w:val="16"/>
                      <w:szCs w:val="16"/>
                    </w:rPr>
                    <w:t>l</w:t>
                  </w:r>
                </w:p>
              </w:tc>
              <w:tc>
                <w:tcPr>
                  <w:tcW w:w="0" w:type="auto"/>
                  <w:vAlign w:val="center"/>
                </w:tcPr>
                <w:p w14:paraId="29969060" w14:textId="77777777" w:rsidR="00734123" w:rsidRDefault="00CA2568">
                  <w:pPr>
                    <w:spacing w:after="0" w:line="240" w:lineRule="auto"/>
                  </w:pPr>
                  <w:r>
                    <w:rPr>
                      <w:rFonts w:ascii="Poppins" w:eastAsia="Poppins" w:hAnsi="Poppins" w:cs="Poppins"/>
                      <w:sz w:val="16"/>
                      <w:szCs w:val="16"/>
                    </w:rPr>
                    <w:t>Cash - Short Term Money Market</w:t>
                  </w:r>
                </w:p>
              </w:tc>
              <w:tc>
                <w:tcPr>
                  <w:tcW w:w="550" w:type="pct"/>
                  <w:vAlign w:val="center"/>
                </w:tcPr>
                <w:p w14:paraId="102D8812" w14:textId="77777777" w:rsidR="00734123" w:rsidRDefault="00CA2568">
                  <w:pPr>
                    <w:spacing w:after="0" w:line="240" w:lineRule="auto"/>
                    <w:jc w:val="right"/>
                  </w:pPr>
                  <w:r>
                    <w:rPr>
                      <w:rFonts w:ascii="Poppins" w:eastAsia="Poppins" w:hAnsi="Poppins" w:cs="Poppins"/>
                      <w:sz w:val="16"/>
                      <w:szCs w:val="16"/>
                    </w:rPr>
                    <w:t>0.21</w:t>
                  </w:r>
                </w:p>
              </w:tc>
              <w:tc>
                <w:tcPr>
                  <w:tcW w:w="550" w:type="pct"/>
                  <w:vAlign w:val="center"/>
                </w:tcPr>
                <w:p w14:paraId="3DC9E22C" w14:textId="77777777" w:rsidR="00734123" w:rsidRDefault="00CA2568">
                  <w:pPr>
                    <w:spacing w:after="0" w:line="240" w:lineRule="auto"/>
                    <w:jc w:val="right"/>
                  </w:pPr>
                  <w:r>
                    <w:rPr>
                      <w:rFonts w:ascii="Poppins" w:eastAsia="Poppins" w:hAnsi="Poppins" w:cs="Poppins"/>
                      <w:sz w:val="16"/>
                      <w:szCs w:val="16"/>
                    </w:rPr>
                    <w:t>-0.01</w:t>
                  </w:r>
                </w:p>
              </w:tc>
              <w:tc>
                <w:tcPr>
                  <w:tcW w:w="550" w:type="pct"/>
                  <w:vAlign w:val="center"/>
                </w:tcPr>
                <w:p w14:paraId="04F67E57" w14:textId="77777777" w:rsidR="00734123" w:rsidRDefault="00CA2568">
                  <w:pPr>
                    <w:spacing w:after="0" w:line="240" w:lineRule="auto"/>
                    <w:jc w:val="right"/>
                  </w:pPr>
                  <w:r>
                    <w:rPr>
                      <w:rFonts w:ascii="Poppins" w:eastAsia="Poppins" w:hAnsi="Poppins" w:cs="Poppins"/>
                      <w:sz w:val="16"/>
                      <w:szCs w:val="16"/>
                    </w:rPr>
                    <w:t>0.22</w:t>
                  </w:r>
                </w:p>
              </w:tc>
            </w:tr>
            <w:tr w:rsidR="00734123" w14:paraId="4B6B03ED" w14:textId="77777777">
              <w:trPr>
                <w:tblCellSpacing w:w="15" w:type="dxa"/>
              </w:trPr>
              <w:tc>
                <w:tcPr>
                  <w:tcW w:w="0" w:type="auto"/>
                  <w:vAlign w:val="center"/>
                </w:tcPr>
                <w:p w14:paraId="288DA839" w14:textId="77777777" w:rsidR="00734123" w:rsidRDefault="00CA2568">
                  <w:pPr>
                    <w:spacing w:after="0" w:line="240" w:lineRule="auto"/>
                  </w:pPr>
                  <w:r>
                    <w:rPr>
                      <w:rFonts w:ascii="Wingdings" w:eastAsia="Wingdings" w:hAnsi="Wingdings" w:cs="Wingdings"/>
                      <w:color w:val="A1D6B5"/>
                      <w:sz w:val="16"/>
                      <w:szCs w:val="16"/>
                    </w:rPr>
                    <w:t>l</w:t>
                  </w:r>
                </w:p>
              </w:tc>
              <w:tc>
                <w:tcPr>
                  <w:tcW w:w="0" w:type="auto"/>
                  <w:vAlign w:val="center"/>
                </w:tcPr>
                <w:p w14:paraId="5D7B6A4C" w14:textId="77777777" w:rsidR="00734123" w:rsidRDefault="00CA2568">
                  <w:pPr>
                    <w:spacing w:after="0" w:line="240" w:lineRule="auto"/>
                  </w:pPr>
                  <w:r>
                    <w:rPr>
                      <w:rFonts w:ascii="Poppins" w:eastAsia="Poppins" w:hAnsi="Poppins" w:cs="Poppins"/>
                      <w:sz w:val="16"/>
                      <w:szCs w:val="16"/>
                    </w:rPr>
                    <w:t>Other</w:t>
                  </w:r>
                </w:p>
              </w:tc>
              <w:tc>
                <w:tcPr>
                  <w:tcW w:w="550" w:type="pct"/>
                  <w:vAlign w:val="center"/>
                </w:tcPr>
                <w:p w14:paraId="62A9CC69" w14:textId="77777777" w:rsidR="00734123" w:rsidRDefault="00CA2568">
                  <w:pPr>
                    <w:spacing w:after="0" w:line="240" w:lineRule="auto"/>
                    <w:jc w:val="right"/>
                  </w:pPr>
                  <w:r>
                    <w:rPr>
                      <w:rFonts w:ascii="Poppins" w:eastAsia="Poppins" w:hAnsi="Poppins" w:cs="Poppins"/>
                      <w:sz w:val="16"/>
                      <w:szCs w:val="16"/>
                    </w:rPr>
                    <w:t>-0.04</w:t>
                  </w:r>
                </w:p>
              </w:tc>
              <w:tc>
                <w:tcPr>
                  <w:tcW w:w="550" w:type="pct"/>
                  <w:vAlign w:val="center"/>
                </w:tcPr>
                <w:p w14:paraId="2713BA14" w14:textId="77777777" w:rsidR="00734123" w:rsidRDefault="00CA2568">
                  <w:pPr>
                    <w:spacing w:after="0" w:line="240" w:lineRule="auto"/>
                    <w:jc w:val="right"/>
                  </w:pPr>
                  <w:r>
                    <w:rPr>
                      <w:rFonts w:ascii="Poppins" w:eastAsia="Poppins" w:hAnsi="Poppins" w:cs="Poppins"/>
                      <w:sz w:val="16"/>
                      <w:szCs w:val="16"/>
                    </w:rPr>
                    <w:t>-40.12</w:t>
                  </w:r>
                </w:p>
              </w:tc>
              <w:tc>
                <w:tcPr>
                  <w:tcW w:w="550" w:type="pct"/>
                  <w:vAlign w:val="center"/>
                </w:tcPr>
                <w:p w14:paraId="3AD65441" w14:textId="77777777" w:rsidR="00734123" w:rsidRDefault="00CA2568">
                  <w:pPr>
                    <w:spacing w:after="0" w:line="240" w:lineRule="auto"/>
                    <w:jc w:val="right"/>
                  </w:pPr>
                  <w:r>
                    <w:rPr>
                      <w:rFonts w:ascii="Poppins" w:eastAsia="Poppins" w:hAnsi="Poppins" w:cs="Poppins"/>
                      <w:sz w:val="16"/>
                      <w:szCs w:val="16"/>
                    </w:rPr>
                    <w:t>40.08</w:t>
                  </w:r>
                </w:p>
              </w:tc>
            </w:tr>
          </w:tbl>
          <w:p w14:paraId="63826B6B" w14:textId="77777777" w:rsidR="00734123" w:rsidRDefault="00734123">
            <w:pPr>
              <w:spacing w:after="0"/>
            </w:pPr>
          </w:p>
        </w:tc>
      </w:tr>
      <w:tr w:rsidR="00734123" w14:paraId="32093A8A" w14:textId="77777777">
        <w:trPr>
          <w:tblCellSpacing w:w="15" w:type="dxa"/>
        </w:trPr>
        <w:tc>
          <w:tcPr>
            <w:tcW w:w="0" w:type="auto"/>
            <w:gridSpan w:val="2"/>
          </w:tcPr>
          <w:p w14:paraId="01B90534" w14:textId="77777777" w:rsidR="00734123" w:rsidRDefault="00CA2568">
            <w:pPr>
              <w:spacing w:after="0"/>
            </w:pPr>
            <w:r>
              <w:rPr>
                <w:rFonts w:ascii="Poppins" w:eastAsia="Poppins" w:hAnsi="Poppins" w:cs="Poppins"/>
                <w:sz w:val="16"/>
                <w:szCs w:val="16"/>
              </w:rPr>
              <w:t>⁽</w:t>
            </w:r>
            <w:r>
              <w:rPr>
                <w:rFonts w:ascii="Poppins" w:eastAsia="Poppins" w:hAnsi="Poppins" w:cs="Poppins"/>
                <w:sz w:val="16"/>
                <w:szCs w:val="16"/>
              </w:rPr>
              <w:t>¹⁾ Due to the negative asset allocation within the selected portfolio the investment allocation chart is unavailable.</w:t>
            </w:r>
            <w:r>
              <w:rPr>
                <w:rFonts w:ascii="Poppins" w:eastAsia="Poppins" w:hAnsi="Poppins" w:cs="Poppins"/>
                <w:sz w:val="16"/>
                <w:szCs w:val="16"/>
              </w:rPr>
              <w:br/>
              <w:t>⁽²⁾ Due to rounding there may be a discrepancy between the Long/Short % and the Net %.</w:t>
            </w:r>
          </w:p>
        </w:tc>
      </w:tr>
    </w:tbl>
    <w:p w14:paraId="27177EC7" w14:textId="77777777" w:rsidR="00734123" w:rsidRDefault="00734123">
      <w:pPr>
        <w:spacing w:after="280" w:afterAutospacing="1"/>
      </w:pPr>
    </w:p>
    <w:p w14:paraId="4B675D14" w14:textId="77777777" w:rsidR="00734123" w:rsidRDefault="00CA2568">
      <w:pPr>
        <w:rPr>
          <w:color w:val="392388"/>
          <w:lang w:val="en-NZ"/>
        </w:rPr>
      </w:pPr>
      <w:r>
        <w:rPr>
          <w:color w:val="392388"/>
          <w:lang w:val="en-NZ"/>
        </w:rPr>
        <w:br w:type="page"/>
      </w:r>
    </w:p>
    <w:p w14:paraId="576A985D" w14:textId="77777777" w:rsidR="00734123" w:rsidRDefault="00CA2568">
      <w:pPr>
        <w:pStyle w:val="DefaqtoHeading2-noTOC"/>
      </w:pPr>
      <w:r>
        <w:rPr>
          <w:lang w:val="en-NZ"/>
        </w:rPr>
        <w:lastRenderedPageBreak/>
        <w:t xml:space="preserve">Investment </w:t>
      </w:r>
      <w:r>
        <w:t>performance</w:t>
      </w:r>
    </w:p>
    <w:p w14:paraId="2F64084B" w14:textId="77777777" w:rsidR="00734123" w:rsidRDefault="00CA2568">
      <w:pPr>
        <w:pStyle w:val="DefaqtoHeading3-noTOC"/>
      </w:pPr>
      <w:r>
        <w:t>Individual cumulative investment performance graph</w:t>
      </w:r>
    </w:p>
    <w:p w14:paraId="2B9EFD4A" w14:textId="77777777" w:rsidR="00734123" w:rsidRDefault="00CA2568">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0D67C3C5" w14:textId="77777777" w:rsidR="00734123" w:rsidRDefault="00CA2568">
      <w:r>
        <w:rPr>
          <w:noProof/>
        </w:rPr>
        <w:drawing>
          <wp:inline distT="0" distB="0" distL="0" distR="0" wp14:anchorId="6FBEC2C9" wp14:editId="044380A6">
            <wp:extent cx="6731000" cy="4533900"/>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734123" w14:paraId="2217CDB0"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60CE25C5" w14:textId="77777777" w:rsidR="00734123" w:rsidRDefault="00CA2568">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5F8BE229"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CT Universal MAP Cautious Fund C Acc (GBP)</w:t>
            </w:r>
          </w:p>
        </w:tc>
        <w:tc>
          <w:tcPr>
            <w:tcW w:w="250" w:type="pct"/>
            <w:tcBorders>
              <w:bottom w:val="single" w:sz="4" w:space="0" w:color="B0A7CF"/>
            </w:tcBorders>
          </w:tcPr>
          <w:p w14:paraId="147038CE" w14:textId="77777777" w:rsidR="00734123" w:rsidRDefault="00734123">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303FFE9E" w14:textId="77777777" w:rsidR="00734123" w:rsidRDefault="00734123">
            <w:pPr>
              <w:pStyle w:val="DefaqtoTableBody2"/>
              <w:cnfStyle w:val="100000000000" w:firstRow="1" w:lastRow="0" w:firstColumn="0" w:lastColumn="0" w:oddVBand="0" w:evenVBand="0" w:oddHBand="0" w:evenHBand="0" w:firstRowFirstColumn="0" w:firstRowLastColumn="0" w:lastRowFirstColumn="0" w:lastRowLastColumn="0"/>
            </w:pPr>
          </w:p>
        </w:tc>
      </w:tr>
    </w:tbl>
    <w:p w14:paraId="063AAE0F" w14:textId="77777777" w:rsidR="00734123" w:rsidRDefault="00CA2568">
      <w:pPr>
        <w:pStyle w:val="DefaqtoBody"/>
      </w:pPr>
      <w:r>
        <w:rPr>
          <w:u w:color="000000"/>
        </w:rPr>
        <w:t xml:space="preserve"> </w:t>
      </w:r>
    </w:p>
    <w:p w14:paraId="1434361E" w14:textId="77777777" w:rsidR="00734123" w:rsidRDefault="00CA2568">
      <w:pPr>
        <w:pStyle w:val="DefaqtoHeading3-noTOC"/>
      </w:pPr>
      <w:r>
        <w:t>Individual cumulative investment performance table</w:t>
      </w:r>
    </w:p>
    <w:p w14:paraId="320CC702" w14:textId="77777777" w:rsidR="00734123" w:rsidRDefault="00CA2568">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734123" w14:paraId="6A873C79"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2F3B74B7" w14:textId="77777777" w:rsidR="00734123" w:rsidRDefault="00CA2568">
            <w:pPr>
              <w:pStyle w:val="DefaqtoTableBody2"/>
            </w:pPr>
            <w:r>
              <w:t>FUND</w:t>
            </w:r>
          </w:p>
        </w:tc>
        <w:tc>
          <w:tcPr>
            <w:tcW w:w="400" w:type="pct"/>
          </w:tcPr>
          <w:p w14:paraId="16F953EB"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76152420"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2417E3F3"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4390B2B9"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21254E0F"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2F3049AD"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734123" w14:paraId="6383A5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27EADC" w14:textId="77777777" w:rsidR="00734123" w:rsidRDefault="00CA2568">
            <w:pPr>
              <w:pStyle w:val="DefaqtoTableBody2"/>
            </w:pPr>
            <w:r>
              <w:t>CT Universal MAP Cautious Fund C Acc (GBP)</w:t>
            </w:r>
          </w:p>
        </w:tc>
        <w:tc>
          <w:tcPr>
            <w:tcW w:w="0" w:type="auto"/>
          </w:tcPr>
          <w:p w14:paraId="5369F241"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4.29</w:t>
            </w:r>
          </w:p>
        </w:tc>
        <w:tc>
          <w:tcPr>
            <w:tcW w:w="0" w:type="auto"/>
          </w:tcPr>
          <w:p w14:paraId="227F9CE1"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10.07</w:t>
            </w:r>
          </w:p>
        </w:tc>
        <w:tc>
          <w:tcPr>
            <w:tcW w:w="0" w:type="auto"/>
          </w:tcPr>
          <w:p w14:paraId="14B2217B"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11.21</w:t>
            </w:r>
          </w:p>
        </w:tc>
        <w:tc>
          <w:tcPr>
            <w:tcW w:w="0" w:type="auto"/>
          </w:tcPr>
          <w:p w14:paraId="10BB38F0"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30.34</w:t>
            </w:r>
          </w:p>
        </w:tc>
        <w:tc>
          <w:tcPr>
            <w:tcW w:w="0" w:type="auto"/>
          </w:tcPr>
          <w:p w14:paraId="79840D13"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31.28</w:t>
            </w:r>
          </w:p>
        </w:tc>
        <w:tc>
          <w:tcPr>
            <w:tcW w:w="0" w:type="auto"/>
          </w:tcPr>
          <w:p w14:paraId="59F69374" w14:textId="77777777" w:rsidR="00734123" w:rsidRDefault="00734123">
            <w:pPr>
              <w:pStyle w:val="DefaqtoTableBody2"/>
              <w:jc w:val="right"/>
              <w:cnfStyle w:val="000000100000" w:firstRow="0" w:lastRow="0" w:firstColumn="0" w:lastColumn="0" w:oddVBand="0" w:evenVBand="0" w:oddHBand="1" w:evenHBand="0" w:firstRowFirstColumn="0" w:firstRowLastColumn="0" w:lastRowFirstColumn="0" w:lastRowLastColumn="0"/>
            </w:pPr>
          </w:p>
        </w:tc>
      </w:tr>
    </w:tbl>
    <w:p w14:paraId="4C6684FA" w14:textId="77777777" w:rsidR="00734123" w:rsidRDefault="00734123">
      <w:pPr>
        <w:spacing w:line="240" w:lineRule="auto"/>
        <w:rPr>
          <w:color w:val="392388"/>
          <w:lang w:val="en-NZ"/>
        </w:rPr>
      </w:pPr>
    </w:p>
    <w:p w14:paraId="14083BAC" w14:textId="77777777" w:rsidR="00734123" w:rsidRDefault="00734123">
      <w:pPr>
        <w:spacing w:line="240" w:lineRule="auto"/>
        <w:rPr>
          <w:color w:val="392388"/>
          <w:lang w:val="en-NZ"/>
        </w:rPr>
      </w:pPr>
    </w:p>
    <w:p w14:paraId="1AE5E897" w14:textId="77777777" w:rsidR="00734123" w:rsidRDefault="00734123">
      <w:pPr>
        <w:spacing w:line="240" w:lineRule="auto"/>
        <w:rPr>
          <w:color w:val="392388"/>
          <w:lang w:val="en-NZ"/>
        </w:rPr>
      </w:pPr>
    </w:p>
    <w:p w14:paraId="011897B1" w14:textId="77777777" w:rsidR="00734123" w:rsidRDefault="00CA2568">
      <w:pPr>
        <w:pStyle w:val="DefaqtoHeading3-noTOC"/>
      </w:pPr>
      <w:r>
        <w:t>Individual discrete investment performance table</w:t>
      </w:r>
    </w:p>
    <w:p w14:paraId="27800292" w14:textId="77777777" w:rsidR="00734123" w:rsidRDefault="00CA2568">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734123" w14:paraId="0F439769"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4EF6764" w14:textId="77777777" w:rsidR="00734123" w:rsidRDefault="00CA2568">
            <w:pPr>
              <w:pStyle w:val="DefaqtoTableBody2"/>
            </w:pPr>
            <w:r>
              <w:t>Fund</w:t>
            </w:r>
          </w:p>
        </w:tc>
        <w:tc>
          <w:tcPr>
            <w:tcW w:w="500" w:type="pct"/>
          </w:tcPr>
          <w:p w14:paraId="1F5E5031"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00373668"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612ED5A6"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5CC71F0A"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5DFEB3C6"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734123" w14:paraId="7363D9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460E0" w14:textId="77777777" w:rsidR="00734123" w:rsidRDefault="00CA2568">
            <w:pPr>
              <w:pStyle w:val="DefaqtoTableBody2"/>
            </w:pPr>
            <w:r>
              <w:t>CT Universal MAP Cautious Fund C Acc</w:t>
            </w:r>
          </w:p>
        </w:tc>
        <w:tc>
          <w:tcPr>
            <w:tcW w:w="0" w:type="auto"/>
          </w:tcPr>
          <w:p w14:paraId="3BD54106"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7.1</w:t>
            </w:r>
          </w:p>
        </w:tc>
        <w:tc>
          <w:tcPr>
            <w:tcW w:w="0" w:type="auto"/>
          </w:tcPr>
          <w:p w14:paraId="7F2C603D"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-11.32</w:t>
            </w:r>
          </w:p>
        </w:tc>
        <w:tc>
          <w:tcPr>
            <w:tcW w:w="0" w:type="auto"/>
          </w:tcPr>
          <w:p w14:paraId="6474F4ED"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9.06</w:t>
            </w:r>
          </w:p>
        </w:tc>
        <w:tc>
          <w:tcPr>
            <w:tcW w:w="0" w:type="auto"/>
          </w:tcPr>
          <w:p w14:paraId="75E5102C"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8.34</w:t>
            </w:r>
          </w:p>
        </w:tc>
        <w:tc>
          <w:tcPr>
            <w:tcW w:w="0" w:type="auto"/>
          </w:tcPr>
          <w:p w14:paraId="6FAA4D49"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8.78</w:t>
            </w:r>
          </w:p>
        </w:tc>
      </w:tr>
    </w:tbl>
    <w:p w14:paraId="589D4BE3" w14:textId="77777777" w:rsidR="00734123" w:rsidRDefault="00734123">
      <w:pPr>
        <w:rPr>
          <w:noProof/>
          <w:color w:val="392388"/>
        </w:rPr>
      </w:pPr>
    </w:p>
    <w:p w14:paraId="25752BB1" w14:textId="77777777" w:rsidR="00734123" w:rsidRDefault="00734123">
      <w:pPr>
        <w:spacing w:line="240" w:lineRule="auto"/>
        <w:rPr>
          <w:color w:val="392388"/>
          <w:lang w:val="en-NZ"/>
        </w:rPr>
        <w:sectPr w:rsidR="00734123">
          <w:headerReference w:type="default" r:id="rId16"/>
          <w:footerReference w:type="default" r:id="rId17"/>
          <w:pgSz w:w="11906" w:h="16838"/>
          <w:pgMar w:top="709" w:right="640" w:bottom="376" w:left="640" w:header="200" w:footer="200" w:gutter="0"/>
          <w:cols w:space="708"/>
          <w:docGrid w:linePitch="360"/>
        </w:sectPr>
      </w:pPr>
    </w:p>
    <w:p w14:paraId="1B19F22E" w14:textId="77777777" w:rsidR="00734123" w:rsidRDefault="00CA2568">
      <w:pPr>
        <w:pStyle w:val="DefaqtoHeading2-noTOC"/>
      </w:pPr>
      <w:r>
        <w:lastRenderedPageBreak/>
        <w:t>Platform</w:t>
      </w:r>
    </w:p>
    <w:tbl>
      <w:tblPr>
        <w:tblStyle w:val="DefaqtoTable"/>
        <w:tblW w:w="5000" w:type="pct"/>
        <w:tblLayout w:type="fixed"/>
        <w:tblLook w:val="0420" w:firstRow="1" w:lastRow="0" w:firstColumn="0" w:lastColumn="0" w:noHBand="0" w:noVBand="1"/>
      </w:tblPr>
      <w:tblGrid>
        <w:gridCol w:w="5119"/>
        <w:gridCol w:w="5497"/>
      </w:tblGrid>
      <w:tr w:rsidR="00734123" w14:paraId="6D1D2439" w14:textId="77777777" w:rsidTr="00734123">
        <w:trPr>
          <w:cnfStyle w:val="100000000000" w:firstRow="1" w:lastRow="0" w:firstColumn="0" w:lastColumn="0" w:oddVBand="0" w:evenVBand="0" w:oddHBand="0" w:evenHBand="0" w:firstRowFirstColumn="0" w:firstRowLastColumn="0" w:lastRowFirstColumn="0" w:lastRowLastColumn="0"/>
        </w:trPr>
        <w:tc>
          <w:tcPr>
            <w:tcW w:w="2411" w:type="pct"/>
          </w:tcPr>
          <w:p w14:paraId="4D6C901F" w14:textId="77777777" w:rsidR="00734123" w:rsidRDefault="00CA2568">
            <w:pPr>
              <w:pStyle w:val="DefaqtoTableBody2"/>
            </w:pPr>
            <w:r>
              <w:t>Name</w:t>
            </w:r>
          </w:p>
        </w:tc>
        <w:tc>
          <w:tcPr>
            <w:tcW w:w="2589" w:type="pct"/>
          </w:tcPr>
          <w:p w14:paraId="58E1E50E" w14:textId="77777777" w:rsidR="00734123" w:rsidRDefault="00CA2568">
            <w:pPr>
              <w:pStyle w:val="DefaqtoTableBody2"/>
            </w:pPr>
            <w:r>
              <w:t>Provider</w:t>
            </w:r>
          </w:p>
        </w:tc>
      </w:tr>
      <w:tr w:rsidR="00734123" w14:paraId="015E17C9" w14:textId="77777777" w:rsidTr="00734123">
        <w:trPr>
          <w:cnfStyle w:val="000000100000" w:firstRow="0" w:lastRow="0" w:firstColumn="0" w:lastColumn="0" w:oddVBand="0" w:evenVBand="0" w:oddHBand="1" w:evenHBand="0" w:firstRowFirstColumn="0" w:firstRowLastColumn="0" w:lastRowFirstColumn="0" w:lastRowLastColumn="0"/>
        </w:trPr>
        <w:tc>
          <w:tcPr>
            <w:tcW w:w="2411" w:type="pct"/>
          </w:tcPr>
          <w:p w14:paraId="12038C41" w14:textId="77777777" w:rsidR="00734123" w:rsidRDefault="00CA2568">
            <w:pPr>
              <w:pStyle w:val="DefaqtoTableBody2"/>
            </w:pPr>
            <w:r>
              <w:t>Aviva Platform</w:t>
            </w:r>
          </w:p>
        </w:tc>
        <w:tc>
          <w:tcPr>
            <w:tcW w:w="2589" w:type="pct"/>
          </w:tcPr>
          <w:p w14:paraId="2D2862AB" w14:textId="77777777" w:rsidR="00734123" w:rsidRDefault="00CA2568">
            <w:pPr>
              <w:pStyle w:val="DefaqtoTableBody2"/>
            </w:pPr>
            <w:r>
              <w:t>Aviva</w:t>
            </w:r>
          </w:p>
        </w:tc>
      </w:tr>
    </w:tbl>
    <w:p w14:paraId="11C32F72" w14:textId="77777777" w:rsidR="00734123" w:rsidRDefault="00CA2568">
      <w:pPr>
        <w:rPr>
          <w:rFonts w:ascii="Arial" w:eastAsia="Arial" w:hAnsi="Arial" w:cs="Times New Roman"/>
          <w:b/>
          <w:bCs/>
          <w:color w:val="392388"/>
          <w:sz w:val="28"/>
          <w:szCs w:val="28"/>
          <w:lang w:eastAsia="en-US"/>
        </w:rPr>
      </w:pPr>
      <w:r>
        <w:rPr>
          <w:color w:val="392388"/>
        </w:rPr>
        <w:br w:type="page"/>
      </w:r>
    </w:p>
    <w:p w14:paraId="07FFEF73" w14:textId="77777777" w:rsidR="00734123" w:rsidRDefault="00734123">
      <w:pPr>
        <w:rPr>
          <w:color w:val="392388"/>
        </w:rPr>
        <w:sectPr w:rsidR="00734123">
          <w:headerReference w:type="default" r:id="rId18"/>
          <w:footerReference w:type="default" r:id="rId19"/>
          <w:pgSz w:w="11906" w:h="16838"/>
          <w:pgMar w:top="709" w:right="640" w:bottom="376" w:left="640" w:header="200" w:footer="200" w:gutter="0"/>
          <w:cols w:space="720"/>
          <w:docGrid w:linePitch="360"/>
        </w:sectPr>
      </w:pPr>
    </w:p>
    <w:p w14:paraId="0091D540" w14:textId="77777777" w:rsidR="00734123" w:rsidRDefault="00CA2568">
      <w:r>
        <w:rPr>
          <w:noProof/>
        </w:rPr>
        <w:lastRenderedPageBreak/>
        <w:drawing>
          <wp:inline distT="0" distB="0" distL="0" distR="0" wp14:anchorId="2CAB1BE0" wp14:editId="3B59235D">
            <wp:extent cx="1353426" cy="340290"/>
            <wp:effectExtent l="0" t="0" r="0" b="3175"/>
            <wp:docPr id="10"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stretch>
                      <a:fillRect/>
                    </a:stretch>
                  </pic:blipFill>
                  <pic:spPr>
                    <a:xfrm>
                      <a:off x="0" y="0"/>
                      <a:ext cx="1353426" cy="340290"/>
                    </a:xfrm>
                    <a:prstGeom prst="rect">
                      <a:avLst/>
                    </a:prstGeom>
                    <a:noFill/>
                    <a:ln>
                      <a:noFill/>
                    </a:ln>
                  </pic:spPr>
                </pic:pic>
              </a:graphicData>
            </a:graphic>
          </wp:inline>
        </w:drawing>
      </w:r>
    </w:p>
    <w:p w14:paraId="75AEB880" w14:textId="77777777" w:rsidR="00734123" w:rsidRDefault="00734123">
      <w:pPr>
        <w:pStyle w:val="DefaqtoCoverHeading-noTOC"/>
        <w:rPr>
          <w:rFonts w:cs="Poppins SemiBold"/>
          <w:b w:val="0"/>
          <w:bCs w:val="0"/>
          <w:sz w:val="62"/>
          <w:szCs w:val="62"/>
        </w:rPr>
      </w:pPr>
    </w:p>
    <w:p w14:paraId="4AE8EA31" w14:textId="77777777" w:rsidR="00734123" w:rsidRDefault="00734123">
      <w:pPr>
        <w:pStyle w:val="DefaqtoCoverHeading-noTOC"/>
        <w:rPr>
          <w:rFonts w:cs="Poppins SemiBold"/>
          <w:b w:val="0"/>
          <w:bCs w:val="0"/>
          <w:sz w:val="62"/>
          <w:szCs w:val="62"/>
        </w:rPr>
      </w:pPr>
    </w:p>
    <w:p w14:paraId="646D45C5" w14:textId="77777777" w:rsidR="00734123" w:rsidRDefault="00CA2568">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Research Report for </w:t>
      </w:r>
      <w:r>
        <w:rPr>
          <w:rFonts w:cs="Poppins SemiBold"/>
          <w:b w:val="0"/>
          <w:bCs w:val="0"/>
          <w:noProof/>
        </w:rPr>
        <w:t xml:space="preserve">Mr Anthony Barnes </w:t>
      </w:r>
    </w:p>
    <w:p w14:paraId="4F1A8CF4" w14:textId="77777777" w:rsidR="00734123" w:rsidRDefault="00CA2568">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p>
    <w:p w14:paraId="489E462E" w14:textId="77777777" w:rsidR="00734123" w:rsidRDefault="00CA2568">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7AF72EDF" w14:textId="77777777" w:rsidR="00734123" w:rsidRDefault="00CA2568">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77CE0AE2" w14:textId="77777777" w:rsidR="00734123" w:rsidRDefault="00CA2568">
      <w:pPr>
        <w:rPr>
          <w:rFonts w:ascii="Poppins" w:hAnsi="Poppins" w:cs="Poppins"/>
          <w:sz w:val="36"/>
          <w:szCs w:val="36"/>
        </w:rPr>
        <w:sectPr w:rsidR="00734123">
          <w:headerReference w:type="default" r:id="rId20"/>
          <w:footerReference w:type="default" r:id="rId21"/>
          <w:headerReference w:type="first" r:id="rId22"/>
          <w:footerReference w:type="first" r:id="rId23"/>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65AE6918" wp14:editId="6F02B467">
                <wp:simplePos x="0" y="0"/>
                <wp:positionH relativeFrom="margin">
                  <wp:posOffset>10973</wp:posOffset>
                </wp:positionH>
                <wp:positionV relativeFrom="topMargin">
                  <wp:posOffset>6488582</wp:posOffset>
                </wp:positionV>
                <wp:extent cx="6851460" cy="3096083"/>
                <wp:effectExtent l="0" t="0" r="6985" b="9525"/>
                <wp:wrapNone/>
                <wp:docPr id="12"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6C3BA3F0" w14:textId="77777777" w:rsidR="00734123" w:rsidRDefault="00CA2568">
                            <w:pPr>
                              <w:jc w:val="right"/>
                              <w:rPr>
                                <w:color w:val="392388"/>
                              </w:rPr>
                            </w:pPr>
                            <w:r>
                              <w:rPr>
                                <w:noProof/>
                              </w:rPr>
                              <w:drawing>
                                <wp:inline distT="0" distB="0" distL="0" distR="0" wp14:anchorId="68BC90D9" wp14:editId="250DCF0B">
                                  <wp:extent cx="2667000" cy="11811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5" name="Picture 15"/>
                            <a:graphic xmlns:a="http://schemas.openxmlformats.org/drawingml/2006/main">
                              <a:graphicData uri="http://schemas.openxmlformats.org/drawingml/2006/picture">
                                <pic:pic xmlns:pic="http://schemas.openxmlformats.org/drawingml/2006/picture">
                                  <pic:nvPicPr>
                                    <pic:cNvPr id="16" name="Picture 16"/>
                                    <pic:cNvPicPr/>
                                  </pic:nvPicPr>
                                  <pic:blipFill>
                                    <a:blip cstate="print" r:embed="PictureId6"/>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36847344" w14:textId="77777777" w:rsidR="00734123" w:rsidRDefault="00CA2568">
      <w:pPr>
        <w:pStyle w:val="DefaqtoHeading1"/>
      </w:pPr>
      <w:bookmarkStart w:id="4" w:name="_Toc1"/>
      <w:r>
        <w:lastRenderedPageBreak/>
        <w:t>Contents</w:t>
      </w:r>
      <w:bookmarkEnd w:id="4"/>
    </w:p>
    <w:p w14:paraId="1246D897" w14:textId="77777777" w:rsidR="00734123" w:rsidRDefault="00CA2568">
      <w:r>
        <w:t xml:space="preserve"> </w:t>
      </w:r>
    </w:p>
    <w:p w14:paraId="42EFC703" w14:textId="77777777" w:rsidR="00734123" w:rsidRDefault="00CA2568">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03B293BD" w14:textId="77777777" w:rsidR="00734123" w:rsidRDefault="00CA2568">
      <w:pPr>
        <w:pStyle w:val="TOC1"/>
      </w:pPr>
      <w:hyperlink w:anchor="_Toc2">
        <w:r>
          <w:t>Risk profile</w:t>
        </w:r>
        <w:r>
          <w:tab/>
        </w:r>
        <w:r>
          <w:fldChar w:fldCharType="begin"/>
        </w:r>
        <w:r>
          <w:instrText>PAGEREF _Toc2 \h</w:instrText>
        </w:r>
        <w:r>
          <w:fldChar w:fldCharType="separate"/>
        </w:r>
        <w:r>
          <w:t>3</w:t>
        </w:r>
        <w:r>
          <w:fldChar w:fldCharType="end"/>
        </w:r>
      </w:hyperlink>
    </w:p>
    <w:p w14:paraId="74DA5E5F" w14:textId="77777777" w:rsidR="00734123" w:rsidRDefault="00CA2568">
      <w:pPr>
        <w:pStyle w:val="TOC2"/>
        <w:tabs>
          <w:tab w:val="right" w:leader="dot" w:pos="10627"/>
        </w:tabs>
      </w:pPr>
      <w:hyperlink w:anchor="_Toc3">
        <w:r>
          <w:rPr>
            <w:b/>
            <w:bCs/>
          </w:rPr>
          <w:t>How are risk levels used to create suitable investment portfolios?</w:t>
        </w:r>
        <w:r>
          <w:tab/>
        </w:r>
        <w:r>
          <w:fldChar w:fldCharType="begin"/>
        </w:r>
        <w:r>
          <w:instrText>PAGEREF _Toc3 \h</w:instrText>
        </w:r>
        <w:r>
          <w:fldChar w:fldCharType="separate"/>
        </w:r>
        <w:r>
          <w:t>3</w:t>
        </w:r>
        <w:r>
          <w:fldChar w:fldCharType="end"/>
        </w:r>
      </w:hyperlink>
    </w:p>
    <w:p w14:paraId="786362DC" w14:textId="77777777" w:rsidR="00734123" w:rsidRDefault="00CA2568">
      <w:pPr>
        <w:pStyle w:val="TOC2"/>
        <w:tabs>
          <w:tab w:val="right" w:leader="dot" w:pos="10627"/>
        </w:tabs>
      </w:pPr>
      <w:hyperlink w:anchor="_Toc4">
        <w:r>
          <w:t>Agreed risk level</w:t>
        </w:r>
        <w:r>
          <w:tab/>
        </w:r>
        <w:r>
          <w:fldChar w:fldCharType="begin"/>
        </w:r>
        <w:r>
          <w:instrText>PAGEREF _Toc4 \h</w:instrText>
        </w:r>
        <w:r>
          <w:fldChar w:fldCharType="separate"/>
        </w:r>
        <w:r>
          <w:t>4</w:t>
        </w:r>
        <w:r>
          <w:fldChar w:fldCharType="end"/>
        </w:r>
      </w:hyperlink>
    </w:p>
    <w:p w14:paraId="17D497F9" w14:textId="77777777" w:rsidR="00734123" w:rsidRDefault="00CA2568">
      <w:pPr>
        <w:pStyle w:val="TOC1"/>
      </w:pPr>
      <w:hyperlink w:anchor="_Toc5">
        <w:r>
          <w:rPr>
            <w:lang w:val="en-NZ"/>
          </w:rPr>
          <w:t>Investments</w:t>
        </w:r>
        <w:r>
          <w:rPr>
            <w:lang w:val="en-NZ"/>
          </w:rPr>
          <w:t xml:space="preserve"> </w:t>
        </w:r>
        <w:r>
          <w:t>selection</w:t>
        </w:r>
        <w:r>
          <w:tab/>
        </w:r>
        <w:r>
          <w:fldChar w:fldCharType="begin"/>
        </w:r>
        <w:r>
          <w:instrText>PAGEREF _Toc5 \h</w:instrText>
        </w:r>
        <w:r>
          <w:fldChar w:fldCharType="separate"/>
        </w:r>
        <w:r>
          <w:t>5</w:t>
        </w:r>
        <w:r>
          <w:fldChar w:fldCharType="end"/>
        </w:r>
      </w:hyperlink>
    </w:p>
    <w:p w14:paraId="51D6DD49" w14:textId="77777777" w:rsidR="00734123" w:rsidRDefault="00CA2568">
      <w:pPr>
        <w:pStyle w:val="TOC2"/>
        <w:tabs>
          <w:tab w:val="right" w:leader="dot" w:pos="10627"/>
        </w:tabs>
      </w:pPr>
      <w:hyperlink w:anchor="_Toc6">
        <w:r>
          <w:t xml:space="preserve">Risk </w:t>
        </w:r>
        <w:r>
          <w:rPr>
            <w:lang w:val="en-NZ"/>
          </w:rPr>
          <w:t>Rated investments</w:t>
        </w:r>
        <w:r>
          <w:tab/>
        </w:r>
        <w:r>
          <w:fldChar w:fldCharType="begin"/>
        </w:r>
        <w:r>
          <w:instrText>PAGEREF _Toc6 \h</w:instrText>
        </w:r>
        <w:r>
          <w:fldChar w:fldCharType="separate"/>
        </w:r>
        <w:r>
          <w:t>5</w:t>
        </w:r>
        <w:r>
          <w:fldChar w:fldCharType="end"/>
        </w:r>
      </w:hyperlink>
    </w:p>
    <w:p w14:paraId="3AF40B58" w14:textId="77777777" w:rsidR="00734123" w:rsidRDefault="00CA2568">
      <w:pPr>
        <w:pStyle w:val="TOC2"/>
        <w:tabs>
          <w:tab w:val="right" w:leader="dot" w:pos="10627"/>
        </w:tabs>
      </w:pPr>
      <w:hyperlink w:anchor="_Toc7">
        <w:r>
          <w:t>Portfolio details</w:t>
        </w:r>
        <w:r>
          <w:tab/>
        </w:r>
        <w:r>
          <w:fldChar w:fldCharType="begin"/>
        </w:r>
        <w:r>
          <w:instrText>PAGEREF _Toc7 \h</w:instrText>
        </w:r>
        <w:r>
          <w:fldChar w:fldCharType="separate"/>
        </w:r>
        <w:r>
          <w:t>5</w:t>
        </w:r>
        <w:r>
          <w:fldChar w:fldCharType="end"/>
        </w:r>
      </w:hyperlink>
    </w:p>
    <w:p w14:paraId="3F63EFEF" w14:textId="77777777" w:rsidR="00734123" w:rsidRDefault="00CA2568">
      <w:pPr>
        <w:pStyle w:val="TOC3"/>
        <w:tabs>
          <w:tab w:val="right" w:leader="dot" w:pos="10627"/>
        </w:tabs>
      </w:pPr>
      <w:hyperlink w:anchor="_Toc8">
        <w:r>
          <w:t>Investments</w:t>
        </w:r>
        <w:r>
          <w:tab/>
        </w:r>
        <w:r>
          <w:fldChar w:fldCharType="begin"/>
        </w:r>
        <w:r>
          <w:instrText>PAGEREF _Toc8 \h</w:instrText>
        </w:r>
        <w:r>
          <w:fldChar w:fldCharType="separate"/>
        </w:r>
        <w:r>
          <w:t>5</w:t>
        </w:r>
        <w:r>
          <w:fldChar w:fldCharType="end"/>
        </w:r>
      </w:hyperlink>
    </w:p>
    <w:p w14:paraId="77F869CE" w14:textId="77777777" w:rsidR="00734123" w:rsidRDefault="00CA2568">
      <w:pPr>
        <w:pStyle w:val="TOC3"/>
        <w:tabs>
          <w:tab w:val="right" w:leader="dot" w:pos="10627"/>
        </w:tabs>
      </w:pPr>
      <w:hyperlink w:anchor="_Toc9">
        <w:r>
          <w:t>MiFID II pre-sale cost disclosure (ex-ante/estimated costs)</w:t>
        </w:r>
        <w:r>
          <w:tab/>
        </w:r>
        <w:r>
          <w:fldChar w:fldCharType="begin"/>
        </w:r>
        <w:r>
          <w:instrText>PAGEREF _Toc9 \h</w:instrText>
        </w:r>
        <w:r>
          <w:fldChar w:fldCharType="separate"/>
        </w:r>
        <w:r>
          <w:t>7</w:t>
        </w:r>
        <w:r>
          <w:fldChar w:fldCharType="end"/>
        </w:r>
      </w:hyperlink>
    </w:p>
    <w:p w14:paraId="0FFFF6B4" w14:textId="77777777" w:rsidR="00734123" w:rsidRDefault="00CA2568">
      <w:pPr>
        <w:pStyle w:val="TOC3"/>
        <w:tabs>
          <w:tab w:val="right" w:leader="dot" w:pos="10627"/>
        </w:tabs>
      </w:pPr>
      <w:hyperlink w:anchor="_Toc10">
        <w:r>
          <w:t>Risk level</w:t>
        </w:r>
        <w:r>
          <w:tab/>
        </w:r>
        <w:r>
          <w:fldChar w:fldCharType="begin"/>
        </w:r>
        <w:r>
          <w:instrText xml:space="preserve">PAGEREF </w:instrText>
        </w:r>
        <w:r>
          <w:instrText>_Toc10 \h</w:instrText>
        </w:r>
        <w:r>
          <w:fldChar w:fldCharType="separate"/>
        </w:r>
        <w:r>
          <w:t>7</w:t>
        </w:r>
        <w:r>
          <w:fldChar w:fldCharType="end"/>
        </w:r>
      </w:hyperlink>
    </w:p>
    <w:p w14:paraId="69A81C66" w14:textId="77777777" w:rsidR="00734123" w:rsidRDefault="00CA2568">
      <w:pPr>
        <w:pStyle w:val="TOC3"/>
        <w:tabs>
          <w:tab w:val="right" w:leader="dot" w:pos="10627"/>
        </w:tabs>
      </w:pPr>
      <w:hyperlink w:anchor="_Toc11">
        <w:r>
          <w:t>Combined cumulative investment performance graph</w:t>
        </w:r>
        <w:r>
          <w:tab/>
        </w:r>
        <w:r>
          <w:fldChar w:fldCharType="begin"/>
        </w:r>
        <w:r>
          <w:instrText>PAGEREF _Toc11 \h</w:instrText>
        </w:r>
        <w:r>
          <w:fldChar w:fldCharType="separate"/>
        </w:r>
        <w:r>
          <w:t>8</w:t>
        </w:r>
        <w:r>
          <w:fldChar w:fldCharType="end"/>
        </w:r>
      </w:hyperlink>
    </w:p>
    <w:p w14:paraId="71565A0E" w14:textId="77777777" w:rsidR="00734123" w:rsidRDefault="00CA2568">
      <w:pPr>
        <w:pStyle w:val="TOC3"/>
        <w:tabs>
          <w:tab w:val="right" w:leader="dot" w:pos="10627"/>
        </w:tabs>
      </w:pPr>
      <w:hyperlink w:anchor="_Toc12">
        <w:r>
          <w:t>Combined cumulative investment performance table</w:t>
        </w:r>
        <w:r>
          <w:tab/>
        </w:r>
        <w:r>
          <w:fldChar w:fldCharType="begin"/>
        </w:r>
        <w:r>
          <w:instrText>PAGEREF _Toc12 \h</w:instrText>
        </w:r>
        <w:r>
          <w:fldChar w:fldCharType="separate"/>
        </w:r>
        <w:r>
          <w:t>8</w:t>
        </w:r>
        <w:r>
          <w:fldChar w:fldCharType="end"/>
        </w:r>
      </w:hyperlink>
    </w:p>
    <w:p w14:paraId="18C9C599" w14:textId="77777777" w:rsidR="00734123" w:rsidRDefault="00CA2568">
      <w:pPr>
        <w:pStyle w:val="TOC3"/>
        <w:tabs>
          <w:tab w:val="right" w:leader="dot" w:pos="10627"/>
        </w:tabs>
      </w:pPr>
      <w:hyperlink w:anchor="_Toc13">
        <w:r>
          <w:t>Individual cumulative investment performance graph</w:t>
        </w:r>
        <w:r>
          <w:tab/>
        </w:r>
        <w:r>
          <w:fldChar w:fldCharType="begin"/>
        </w:r>
        <w:r>
          <w:instrText>PAGEREF _Toc13 \h</w:instrText>
        </w:r>
        <w:r>
          <w:fldChar w:fldCharType="separate"/>
        </w:r>
        <w:r>
          <w:t>9</w:t>
        </w:r>
        <w:r>
          <w:fldChar w:fldCharType="end"/>
        </w:r>
      </w:hyperlink>
    </w:p>
    <w:p w14:paraId="0FAE3176" w14:textId="77777777" w:rsidR="00734123" w:rsidRDefault="00CA2568">
      <w:pPr>
        <w:pStyle w:val="TOC3"/>
        <w:tabs>
          <w:tab w:val="right" w:leader="dot" w:pos="10627"/>
        </w:tabs>
      </w:pPr>
      <w:hyperlink w:anchor="_Toc14">
        <w:r>
          <w:t>Individual cumulative investment performance table</w:t>
        </w:r>
        <w:r>
          <w:tab/>
        </w:r>
        <w:r>
          <w:fldChar w:fldCharType="begin"/>
        </w:r>
        <w:r>
          <w:instrText>PAGEREF _Toc14 \h</w:instrText>
        </w:r>
        <w:r>
          <w:fldChar w:fldCharType="separate"/>
        </w:r>
        <w:r>
          <w:t>9</w:t>
        </w:r>
        <w:r>
          <w:fldChar w:fldCharType="end"/>
        </w:r>
      </w:hyperlink>
    </w:p>
    <w:p w14:paraId="28AC3C28" w14:textId="77777777" w:rsidR="00734123" w:rsidRDefault="00CA2568">
      <w:pPr>
        <w:pStyle w:val="TOC3"/>
        <w:tabs>
          <w:tab w:val="right" w:leader="dot" w:pos="10627"/>
        </w:tabs>
      </w:pPr>
      <w:hyperlink w:anchor="_Toc15">
        <w:r>
          <w:t>Combined discrete investment performance graph</w:t>
        </w:r>
        <w:r>
          <w:tab/>
        </w:r>
        <w:r>
          <w:fldChar w:fldCharType="begin"/>
        </w:r>
        <w:r>
          <w:instrText>PAGEREF _Toc15 \h</w:instrText>
        </w:r>
        <w:r>
          <w:fldChar w:fldCharType="separate"/>
        </w:r>
        <w:r>
          <w:t>10</w:t>
        </w:r>
        <w:r>
          <w:fldChar w:fldCharType="end"/>
        </w:r>
      </w:hyperlink>
    </w:p>
    <w:p w14:paraId="728C9E86" w14:textId="77777777" w:rsidR="00734123" w:rsidRDefault="00CA2568">
      <w:pPr>
        <w:pStyle w:val="TOC3"/>
        <w:tabs>
          <w:tab w:val="right" w:leader="dot" w:pos="10627"/>
        </w:tabs>
      </w:pPr>
      <w:hyperlink w:anchor="_Toc16">
        <w:r>
          <w:t>Combined discrete investment performance table</w:t>
        </w:r>
        <w:r>
          <w:tab/>
        </w:r>
        <w:r>
          <w:fldChar w:fldCharType="begin"/>
        </w:r>
        <w:r>
          <w:instrText>PAGEREF _Toc16 \h</w:instrText>
        </w:r>
        <w:r>
          <w:fldChar w:fldCharType="separate"/>
        </w:r>
        <w:r>
          <w:t>10</w:t>
        </w:r>
        <w:r>
          <w:fldChar w:fldCharType="end"/>
        </w:r>
      </w:hyperlink>
    </w:p>
    <w:p w14:paraId="17AA6C46" w14:textId="77777777" w:rsidR="00734123" w:rsidRDefault="00CA2568">
      <w:pPr>
        <w:pStyle w:val="TOC3"/>
        <w:tabs>
          <w:tab w:val="right" w:leader="dot" w:pos="10627"/>
        </w:tabs>
      </w:pPr>
      <w:hyperlink w:anchor="_Toc17">
        <w:r>
          <w:t>Individual discrete investment performance table</w:t>
        </w:r>
        <w:r>
          <w:tab/>
        </w:r>
        <w:r>
          <w:fldChar w:fldCharType="begin"/>
        </w:r>
        <w:r>
          <w:instrText>PAGEREF _Toc17 \h</w:instrText>
        </w:r>
        <w:r>
          <w:fldChar w:fldCharType="separate"/>
        </w:r>
        <w:r>
          <w:t>10</w:t>
        </w:r>
        <w:r>
          <w:fldChar w:fldCharType="end"/>
        </w:r>
      </w:hyperlink>
    </w:p>
    <w:p w14:paraId="00087AFF" w14:textId="77777777" w:rsidR="00734123" w:rsidRDefault="00CA2568">
      <w:pPr>
        <w:pStyle w:val="TOC3"/>
        <w:tabs>
          <w:tab w:val="right" w:leader="dot" w:pos="10627"/>
        </w:tabs>
      </w:pPr>
      <w:hyperlink w:anchor="_Toc18">
        <w:r>
          <w:t>Combined top ten holdings</w:t>
        </w:r>
        <w:r>
          <w:tab/>
        </w:r>
        <w:r>
          <w:fldChar w:fldCharType="begin"/>
        </w:r>
        <w:r>
          <w:instrText>PAGEREF _Toc18 \h</w:instrText>
        </w:r>
        <w:r>
          <w:fldChar w:fldCharType="separate"/>
        </w:r>
        <w:r>
          <w:t>12</w:t>
        </w:r>
        <w:r>
          <w:fldChar w:fldCharType="end"/>
        </w:r>
      </w:hyperlink>
    </w:p>
    <w:p w14:paraId="606339A3" w14:textId="77777777" w:rsidR="00734123" w:rsidRDefault="00CA2568">
      <w:pPr>
        <w:pStyle w:val="TOC3"/>
        <w:tabs>
          <w:tab w:val="right" w:leader="dot" w:pos="10627"/>
        </w:tabs>
      </w:pPr>
      <w:hyperlink w:anchor="_Toc19">
        <w:r>
          <w:t>Asset allocation</w:t>
        </w:r>
        <w:r>
          <w:tab/>
        </w:r>
        <w:r>
          <w:fldChar w:fldCharType="begin"/>
        </w:r>
        <w:r>
          <w:instrText>PAGEREF _Toc19 \h</w:instrText>
        </w:r>
        <w:r>
          <w:fldChar w:fldCharType="separate"/>
        </w:r>
        <w:r>
          <w:t>13</w:t>
        </w:r>
        <w:r>
          <w:fldChar w:fldCharType="end"/>
        </w:r>
      </w:hyperlink>
    </w:p>
    <w:p w14:paraId="59A71A7A" w14:textId="77777777" w:rsidR="00734123" w:rsidRDefault="00CA2568">
      <w:pPr>
        <w:pStyle w:val="TOC2"/>
        <w:tabs>
          <w:tab w:val="right" w:leader="dot" w:pos="10627"/>
        </w:tabs>
      </w:pPr>
      <w:hyperlink w:anchor="_Toc3558338">
        <w:r>
          <w:t>Filters</w:t>
        </w:r>
        <w:r>
          <w:tab/>
        </w:r>
        <w:r>
          <w:fldChar w:fldCharType="begin"/>
        </w:r>
        <w:r>
          <w:instrText>PAGEREF _Toc3558338 \h</w:instrText>
        </w:r>
        <w:r>
          <w:fldChar w:fldCharType="separate"/>
        </w:r>
        <w:r>
          <w:t>14</w:t>
        </w:r>
        <w:r>
          <w:fldChar w:fldCharType="end"/>
        </w:r>
      </w:hyperlink>
    </w:p>
    <w:p w14:paraId="7AAF8FE3" w14:textId="77777777" w:rsidR="00734123" w:rsidRDefault="00CA2568">
      <w:pPr>
        <w:pStyle w:val="TOC2"/>
        <w:tabs>
          <w:tab w:val="right" w:leader="dot" w:pos="10627"/>
        </w:tabs>
      </w:pPr>
      <w:hyperlink w:anchor="_Toc3558339">
        <w:r>
          <w:t>Shortlist</w:t>
        </w:r>
        <w:r>
          <w:tab/>
        </w:r>
        <w:r>
          <w:fldChar w:fldCharType="begin"/>
        </w:r>
        <w:r>
          <w:instrText>PAGEREF _Toc3558339 \h</w:instrText>
        </w:r>
        <w:r>
          <w:fldChar w:fldCharType="separate"/>
        </w:r>
        <w:r>
          <w:t>14</w:t>
        </w:r>
        <w:r>
          <w:fldChar w:fldCharType="end"/>
        </w:r>
      </w:hyperlink>
    </w:p>
    <w:p w14:paraId="3C2FE1F0" w14:textId="77777777" w:rsidR="00734123" w:rsidRDefault="00CA2568">
      <w:pPr>
        <w:pStyle w:val="TOC2"/>
        <w:tabs>
          <w:tab w:val="right" w:leader="dot" w:pos="10627"/>
        </w:tabs>
      </w:pPr>
      <w:hyperlink w:anchor="_Toc3558340">
        <w:r>
          <w:t>Supplementary research</w:t>
        </w:r>
        <w:r>
          <w:tab/>
        </w:r>
        <w:r>
          <w:fldChar w:fldCharType="begin"/>
        </w:r>
        <w:r>
          <w:instrText>PAGEREF _Toc3558340 \h</w:instrText>
        </w:r>
        <w:r>
          <w:fldChar w:fldCharType="separate"/>
        </w:r>
        <w:r>
          <w:t>15</w:t>
        </w:r>
        <w:r>
          <w:fldChar w:fldCharType="end"/>
        </w:r>
      </w:hyperlink>
    </w:p>
    <w:p w14:paraId="13FB9260" w14:textId="77777777" w:rsidR="00734123" w:rsidRDefault="00CA2568">
      <w:pPr>
        <w:pStyle w:val="TOC3"/>
        <w:tabs>
          <w:tab w:val="right" w:leader="dot" w:pos="10627"/>
        </w:tabs>
      </w:pPr>
      <w:hyperlink w:anchor="_Toc3558344">
        <w:r>
          <w:t>Data comparisons</w:t>
        </w:r>
        <w:r>
          <w:tab/>
        </w:r>
        <w:r>
          <w:fldChar w:fldCharType="begin"/>
        </w:r>
        <w:r>
          <w:instrText>PAGEREF _Toc3558344 \h</w:instrText>
        </w:r>
        <w:r>
          <w:fldChar w:fldCharType="separate"/>
        </w:r>
        <w:r>
          <w:t>16</w:t>
        </w:r>
        <w:r>
          <w:fldChar w:fldCharType="end"/>
        </w:r>
      </w:hyperlink>
    </w:p>
    <w:p w14:paraId="352B2CB7" w14:textId="77777777" w:rsidR="00734123" w:rsidRDefault="00CA2568">
      <w:pPr>
        <w:pStyle w:val="TOC1"/>
      </w:pPr>
      <w:hyperlink w:anchor="_Toc20">
        <w:r>
          <w:t>Platform selection</w:t>
        </w:r>
        <w:r>
          <w:tab/>
        </w:r>
        <w:r>
          <w:fldChar w:fldCharType="begin"/>
        </w:r>
        <w:r>
          <w:instrText>PAGEREF _Toc20 \h</w:instrText>
        </w:r>
        <w:r>
          <w:fldChar w:fldCharType="separate"/>
        </w:r>
        <w:r>
          <w:t>18</w:t>
        </w:r>
        <w:r>
          <w:fldChar w:fldCharType="end"/>
        </w:r>
      </w:hyperlink>
    </w:p>
    <w:p w14:paraId="545F3907" w14:textId="77777777" w:rsidR="00734123" w:rsidRDefault="00CA2568">
      <w:pPr>
        <w:pStyle w:val="TOC2"/>
        <w:tabs>
          <w:tab w:val="right" w:leader="dot" w:pos="10627"/>
        </w:tabs>
      </w:pPr>
      <w:hyperlink w:anchor="_Toc21">
        <w:r>
          <w:t>Recommended Platform</w:t>
        </w:r>
        <w:r>
          <w:tab/>
        </w:r>
        <w:r>
          <w:fldChar w:fldCharType="begin"/>
        </w:r>
        <w:r>
          <w:instrText>PAGEREF _Toc21 \h</w:instrText>
        </w:r>
        <w:r>
          <w:fldChar w:fldCharType="separate"/>
        </w:r>
        <w:r>
          <w:t>18</w:t>
        </w:r>
        <w:r>
          <w:fldChar w:fldCharType="end"/>
        </w:r>
      </w:hyperlink>
    </w:p>
    <w:p w14:paraId="641BA57F" w14:textId="77777777" w:rsidR="00734123" w:rsidRDefault="00CA2568">
      <w:pPr>
        <w:pStyle w:val="TOC2"/>
        <w:tabs>
          <w:tab w:val="right" w:leader="dot" w:pos="10627"/>
        </w:tabs>
      </w:pPr>
      <w:hyperlink w:anchor="_Toc22">
        <w:r>
          <w:t>Panel</w:t>
        </w:r>
        <w:r>
          <w:tab/>
        </w:r>
        <w:r>
          <w:fldChar w:fldCharType="begin"/>
        </w:r>
        <w:r>
          <w:instrText>PAGEREF _Toc22 \h</w:instrText>
        </w:r>
        <w:r>
          <w:fldChar w:fldCharType="separate"/>
        </w:r>
        <w:r>
          <w:t>19</w:t>
        </w:r>
        <w:r>
          <w:fldChar w:fldCharType="end"/>
        </w:r>
      </w:hyperlink>
    </w:p>
    <w:p w14:paraId="13A8DED1" w14:textId="77777777" w:rsidR="00734123" w:rsidRDefault="00CA2568">
      <w:pPr>
        <w:pStyle w:val="TOC2"/>
        <w:tabs>
          <w:tab w:val="right" w:leader="dot" w:pos="10627"/>
        </w:tabs>
      </w:pPr>
      <w:hyperlink w:anchor="_Toc23">
        <w:r>
          <w:t>Template</w:t>
        </w:r>
        <w:r>
          <w:tab/>
        </w:r>
        <w:r>
          <w:fldChar w:fldCharType="begin"/>
        </w:r>
        <w:r>
          <w:instrText>PAGEREF _Toc23 \h</w:instrText>
        </w:r>
        <w:r>
          <w:fldChar w:fldCharType="separate"/>
        </w:r>
        <w:r>
          <w:t>19</w:t>
        </w:r>
        <w:r>
          <w:fldChar w:fldCharType="end"/>
        </w:r>
      </w:hyperlink>
    </w:p>
    <w:p w14:paraId="5078BE0F" w14:textId="77777777" w:rsidR="00734123" w:rsidRDefault="00CA2568">
      <w:pPr>
        <w:pStyle w:val="TOC2"/>
        <w:tabs>
          <w:tab w:val="right" w:leader="dot" w:pos="10627"/>
        </w:tabs>
      </w:pPr>
      <w:hyperlink w:anchor="_Toc24">
        <w:r>
          <w:t>Filters</w:t>
        </w:r>
        <w:r>
          <w:tab/>
        </w:r>
        <w:r>
          <w:fldChar w:fldCharType="begin"/>
        </w:r>
        <w:r>
          <w:instrText>PAGEREF _Toc24 \h</w:instrText>
        </w:r>
        <w:r>
          <w:fldChar w:fldCharType="separate"/>
        </w:r>
        <w:r>
          <w:t>19</w:t>
        </w:r>
        <w:r>
          <w:fldChar w:fldCharType="end"/>
        </w:r>
      </w:hyperlink>
    </w:p>
    <w:p w14:paraId="43201FE3" w14:textId="77777777" w:rsidR="00734123" w:rsidRDefault="00CA2568">
      <w:pPr>
        <w:pStyle w:val="TOC2"/>
        <w:tabs>
          <w:tab w:val="right" w:leader="dot" w:pos="10627"/>
        </w:tabs>
      </w:pPr>
      <w:hyperlink w:anchor="_Toc25">
        <w:r>
          <w:t>Shortlist</w:t>
        </w:r>
        <w:r>
          <w:tab/>
        </w:r>
        <w:r>
          <w:fldChar w:fldCharType="begin"/>
        </w:r>
        <w:r>
          <w:instrText>PAGEREF _Toc25 \h</w:instrText>
        </w:r>
        <w:r>
          <w:fldChar w:fldCharType="separate"/>
        </w:r>
        <w:r>
          <w:t>20</w:t>
        </w:r>
        <w:r>
          <w:fldChar w:fldCharType="end"/>
        </w:r>
      </w:hyperlink>
    </w:p>
    <w:p w14:paraId="42742A85" w14:textId="77777777" w:rsidR="00734123" w:rsidRDefault="00CA2568">
      <w:pPr>
        <w:pStyle w:val="TOC2"/>
        <w:tabs>
          <w:tab w:val="right" w:leader="dot" w:pos="10627"/>
        </w:tabs>
      </w:pPr>
      <w:hyperlink w:anchor="_Toc26">
        <w:r>
          <w:t>DNA features</w:t>
        </w:r>
        <w:r>
          <w:tab/>
        </w:r>
        <w:r>
          <w:fldChar w:fldCharType="begin"/>
        </w:r>
        <w:r>
          <w:instrText>PAGEREF _Toc26 \h</w:instrText>
        </w:r>
        <w:r>
          <w:fldChar w:fldCharType="separate"/>
        </w:r>
        <w:r>
          <w:t>21</w:t>
        </w:r>
        <w:r>
          <w:fldChar w:fldCharType="end"/>
        </w:r>
      </w:hyperlink>
    </w:p>
    <w:p w14:paraId="7D900F19" w14:textId="77777777" w:rsidR="00734123" w:rsidRDefault="00CA2568">
      <w:pPr>
        <w:pStyle w:val="TOC2"/>
        <w:tabs>
          <w:tab w:val="right" w:leader="dot" w:pos="10627"/>
        </w:tabs>
      </w:pPr>
      <w:hyperlink w:anchor="_Toc27">
        <w:r>
          <w:t>Brochure comparisons</w:t>
        </w:r>
        <w:r>
          <w:tab/>
        </w:r>
        <w:r>
          <w:fldChar w:fldCharType="begin"/>
        </w:r>
        <w:r>
          <w:instrText>PAGEREF _Toc27 \h</w:instrText>
        </w:r>
        <w:r>
          <w:fldChar w:fldCharType="separate"/>
        </w:r>
        <w:r>
          <w:t>22</w:t>
        </w:r>
        <w:r>
          <w:fldChar w:fldCharType="end"/>
        </w:r>
      </w:hyperlink>
    </w:p>
    <w:p w14:paraId="1AA029AC" w14:textId="77777777" w:rsidR="00734123" w:rsidRDefault="00CA2568">
      <w:pPr>
        <w:pStyle w:val="TOC1"/>
      </w:pPr>
      <w:hyperlink w:anchor="_Toc28">
        <w:r>
          <w:t>Notes</w:t>
        </w:r>
        <w:r>
          <w:tab/>
        </w:r>
        <w:r>
          <w:fldChar w:fldCharType="begin"/>
        </w:r>
        <w:r>
          <w:instrText>PAGEREF _Toc28 \h</w:instrText>
        </w:r>
        <w:r>
          <w:fldChar w:fldCharType="separate"/>
        </w:r>
        <w:r>
          <w:t>25</w:t>
        </w:r>
        <w:r>
          <w:fldChar w:fldCharType="end"/>
        </w:r>
      </w:hyperlink>
    </w:p>
    <w:p w14:paraId="0D6B5B11" w14:textId="77777777" w:rsidR="00734123" w:rsidRDefault="00CA2568">
      <w:r>
        <w:fldChar w:fldCharType="end"/>
      </w:r>
      <w:r>
        <w:t xml:space="preserve"> </w:t>
      </w:r>
    </w:p>
    <w:p w14:paraId="6A915BC3" w14:textId="77777777" w:rsidR="00734123" w:rsidRDefault="00CA2568">
      <w:pPr>
        <w:pStyle w:val="DefaqtoBody"/>
        <w:sectPr w:rsidR="00734123">
          <w:headerReference w:type="default" r:id="rId24"/>
          <w:footerReference w:type="default" r:id="rId25"/>
          <w:pgSz w:w="11907" w:h="16839" w:code="9"/>
          <w:pgMar w:top="709" w:right="640" w:bottom="376" w:left="640" w:header="200" w:footer="200" w:gutter="0"/>
          <w:cols w:space="708"/>
          <w:docGrid w:linePitch="360"/>
        </w:sectPr>
      </w:pPr>
      <w:r>
        <w:rPr>
          <w:u w:color="000000"/>
        </w:rPr>
        <w:t xml:space="preserve">In using this report you acknowledge that nothing in this report is, or shall be deemed to constitute, financial, investment or other advice or a recommendation or endorsement by </w:t>
      </w:r>
      <w:r>
        <w:rPr>
          <w:u w:color="000000"/>
        </w:rPr>
        <w:lastRenderedPageBreak/>
        <w:t>Defaqto in respect of any product or service referred to herein. Your financial adviser, rather than Defaqto, will provide any such advice, recommendation or endorsement.</w:t>
      </w:r>
    </w:p>
    <w:p w14:paraId="657A37B5" w14:textId="77777777" w:rsidR="00734123" w:rsidRDefault="00CA2568">
      <w:pPr>
        <w:pStyle w:val="DefaqtoHeading1"/>
      </w:pPr>
      <w:bookmarkStart w:id="5" w:name="_Toc2"/>
      <w:r>
        <w:lastRenderedPageBreak/>
        <w:t>Risk profile</w:t>
      </w:r>
      <w:bookmarkEnd w:id="5"/>
    </w:p>
    <w:p w14:paraId="1CB7FBDD" w14:textId="77777777" w:rsidR="00734123" w:rsidRDefault="00CA2568">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59461058" w14:textId="77777777" w:rsidR="00734123" w:rsidRDefault="00CA2568">
      <w:pPr>
        <w:pStyle w:val="DefaqtoHeading2"/>
      </w:pPr>
      <w:bookmarkStart w:id="6" w:name="_Toc3"/>
      <w:r>
        <w:rPr>
          <w:b/>
          <w:bCs/>
          <w:u w:color="000000"/>
        </w:rPr>
        <w:t>How are risk levels used to create suitable investment portfolios?</w:t>
      </w:r>
      <w:bookmarkEnd w:id="6"/>
    </w:p>
    <w:p w14:paraId="6FEDEF9C" w14:textId="77777777" w:rsidR="00734123" w:rsidRDefault="00CA2568">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160E263D" w14:textId="77777777" w:rsidR="00734123" w:rsidRDefault="00CA2568">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37DDC1A9" w14:textId="77777777" w:rsidR="00734123" w:rsidRDefault="00CA2568">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515B3F85" w14:textId="77777777" w:rsidR="00734123" w:rsidRDefault="00CA2568">
      <w:pPr>
        <w:pStyle w:val="DefaqtoBody"/>
      </w:pPr>
      <w:r>
        <w:rPr>
          <w:u w:color="000000"/>
        </w:rPr>
        <w:t>By using these projections and discussions, we came to an agreed risk level for your specific investment objective. A portfolio will be built to meet your agreed risk level.</w:t>
      </w:r>
    </w:p>
    <w:p w14:paraId="34A0A3F7" w14:textId="77777777" w:rsidR="00734123" w:rsidRDefault="00CA2568">
      <w:pPr>
        <w:pStyle w:val="DefaqtoBody"/>
      </w:pPr>
      <w:r>
        <w:rPr>
          <w:u w:color="000000"/>
        </w:rPr>
        <w:t>A summary of the results of this process is documented below.</w:t>
      </w:r>
    </w:p>
    <w:p w14:paraId="11BEFB9F" w14:textId="77777777" w:rsidR="00734123" w:rsidRDefault="00CA2568">
      <w:r>
        <w:br w:type="page"/>
      </w:r>
    </w:p>
    <w:p w14:paraId="66C7C1C6" w14:textId="77777777" w:rsidR="00734123" w:rsidRDefault="00CA2568">
      <w:pPr>
        <w:pStyle w:val="DefaqtoHeading2"/>
      </w:pPr>
      <w:bookmarkStart w:id="7" w:name="_Toc4"/>
      <w:r>
        <w:rPr>
          <w:u w:color="000000"/>
        </w:rPr>
        <w:lastRenderedPageBreak/>
        <w:t>Agreed risk level</w:t>
      </w:r>
      <w:bookmarkEnd w:id="7"/>
    </w:p>
    <w:p w14:paraId="1861BFEB" w14:textId="77777777" w:rsidR="00734123" w:rsidRDefault="00CA2568">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734123" w14:paraId="161476D0"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790C5EED" w14:textId="77777777" w:rsidR="00734123" w:rsidRDefault="00CA2568">
            <w:pPr>
              <w:pStyle w:val="DefaqtoTableBody2"/>
              <w:jc w:val="center"/>
            </w:pPr>
            <w:r>
              <w:rPr>
                <w:b/>
                <w:bCs/>
                <w:sz w:val="36"/>
                <w:szCs w:val="36"/>
              </w:rPr>
              <w:t>4</w:t>
            </w:r>
            <w:r>
              <w:br/>
            </w:r>
            <w:r>
              <w:br/>
            </w:r>
            <w:r>
              <w:rPr>
                <w:b/>
                <w:bCs/>
                <w:sz w:val="24"/>
                <w:szCs w:val="24"/>
              </w:rPr>
              <w:t>Cautious Balanced</w:t>
            </w:r>
          </w:p>
        </w:tc>
        <w:tc>
          <w:tcPr>
            <w:tcW w:w="50" w:type="pct"/>
            <w:tcBorders>
              <w:bottom w:val="nil"/>
            </w:tcBorders>
          </w:tcPr>
          <w:p w14:paraId="6AA2B204" w14:textId="77777777" w:rsidR="00734123" w:rsidRDefault="00CA2568">
            <w:pPr>
              <w:pStyle w:val="DefaqtoTableBody2"/>
            </w:pPr>
            <w:r>
              <w:t xml:space="preserve"> </w:t>
            </w:r>
          </w:p>
        </w:tc>
        <w:tc>
          <w:tcPr>
            <w:tcW w:w="3700" w:type="pct"/>
            <w:tcBorders>
              <w:bottom w:val="nil"/>
            </w:tcBorders>
          </w:tcPr>
          <w:p w14:paraId="7E943078" w14:textId="77777777" w:rsidR="00734123" w:rsidRDefault="00CA2568">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2A1ECFEC" w14:textId="77777777" w:rsidR="00734123" w:rsidRDefault="00CA2568">
      <w:r>
        <w:t xml:space="preserve"> </w:t>
      </w:r>
    </w:p>
    <w:p w14:paraId="7B1B59B6" w14:textId="77777777" w:rsidR="00734123" w:rsidRDefault="00CA2568">
      <w:pPr>
        <w:pStyle w:val="DefaqtoBody"/>
        <w:sectPr w:rsidR="00734123">
          <w:headerReference w:type="default" r:id="rId26"/>
          <w:footerReference w:type="default" r:id="rId27"/>
          <w:pgSz w:w="11907" w:h="16839" w:code="9"/>
          <w:pgMar w:top="709" w:right="640" w:bottom="376" w:left="640" w:header="200" w:footer="200" w:gutter="0"/>
          <w:cols w:space="708"/>
          <w:docGrid w:linePitch="360"/>
        </w:sectPr>
      </w:pPr>
      <w:r>
        <w:rPr>
          <w:u w:color="000000"/>
        </w:rPr>
        <w:t>client atr</w:t>
      </w:r>
    </w:p>
    <w:p w14:paraId="634D982C" w14:textId="77777777" w:rsidR="00734123" w:rsidRDefault="00CA2568">
      <w:pPr>
        <w:pStyle w:val="DefaqtoHeading1"/>
      </w:pPr>
      <w:bookmarkStart w:id="8" w:name="_Toc5"/>
      <w:r>
        <w:rPr>
          <w:lang w:val="en-NZ"/>
        </w:rPr>
        <w:lastRenderedPageBreak/>
        <w:t>Investments</w:t>
      </w:r>
      <w:r>
        <w:rPr>
          <w:b/>
          <w:bCs/>
          <w:lang w:val="en-NZ"/>
        </w:rPr>
        <w:t xml:space="preserve"> </w:t>
      </w:r>
      <w:r>
        <w:t>selection</w:t>
      </w:r>
      <w:bookmarkEnd w:id="8"/>
    </w:p>
    <w:p w14:paraId="32D3AFF8" w14:textId="77777777" w:rsidR="00734123" w:rsidRDefault="00CA2568">
      <w:pPr>
        <w:pStyle w:val="DefaqtoIntroText"/>
      </w:pPr>
      <w:r>
        <w:rPr>
          <w:b/>
          <w:bCs/>
        </w:rPr>
        <w:t>Investment:</w:t>
      </w:r>
      <w:r>
        <w:t xml:space="preserve"> £60,000 then £0 monthly</w:t>
      </w:r>
    </w:p>
    <w:p w14:paraId="7E128AB7" w14:textId="77777777" w:rsidR="00734123" w:rsidRDefault="00CA2568">
      <w:pPr>
        <w:pStyle w:val="DefaqtoIntroText"/>
      </w:pPr>
      <w:r>
        <w:t xml:space="preserve">This section of the report details the issues identified as being important to the selection of </w:t>
      </w:r>
      <w:r>
        <w:rPr>
          <w:lang w:val="en-NZ"/>
        </w:rPr>
        <w:t xml:space="preserve">investments </w:t>
      </w:r>
      <w:r>
        <w:t xml:space="preserve">and the other criteria used in selecting the most suitable </w:t>
      </w:r>
      <w:r>
        <w:rPr>
          <w:lang w:val="en-NZ"/>
        </w:rPr>
        <w:t>investment</w:t>
      </w:r>
      <w:r>
        <w:t>.</w:t>
      </w:r>
    </w:p>
    <w:p w14:paraId="28609594" w14:textId="77777777" w:rsidR="00734123" w:rsidRDefault="00CA2568">
      <w:pPr>
        <w:pStyle w:val="DefaqtoHeading2"/>
        <w:rPr>
          <w:lang w:val="en-NZ"/>
        </w:rPr>
      </w:pPr>
      <w:bookmarkStart w:id="9" w:name="_Toc6"/>
      <w:r>
        <w:t xml:space="preserve">Risk </w:t>
      </w:r>
      <w:r>
        <w:rPr>
          <w:lang w:val="en-NZ"/>
        </w:rPr>
        <w:t>Rated investments</w:t>
      </w:r>
      <w:bookmarkEnd w:id="9"/>
    </w:p>
    <w:p w14:paraId="1C57156D" w14:textId="77777777" w:rsidR="00734123" w:rsidRDefault="00734123">
      <w:pPr>
        <w:pStyle w:val="Header"/>
        <w:tabs>
          <w:tab w:val="left" w:pos="4277"/>
          <w:tab w:val="right" w:pos="11186"/>
        </w:tabs>
      </w:pPr>
    </w:p>
    <w:p w14:paraId="53DDB516" w14:textId="77777777" w:rsidR="00734123" w:rsidRDefault="00CA2568">
      <w:pPr>
        <w:pStyle w:val="DefaqtoBody"/>
      </w:pPr>
      <w:r>
        <w:t xml:space="preserve">The risk </w:t>
      </w:r>
      <w:r>
        <w:rPr>
          <w:lang w:val="en-NZ"/>
        </w:rPr>
        <w:t xml:space="preserve">rated funds </w:t>
      </w:r>
      <w:r>
        <w:t>selected were for the following mappings:</w:t>
      </w:r>
    </w:p>
    <w:tbl>
      <w:tblPr>
        <w:tblStyle w:val="DefaqtoTable-Plain"/>
        <w:tblW w:w="5000" w:type="pct"/>
        <w:tblLayout w:type="fixed"/>
        <w:tblLook w:val="01E0" w:firstRow="1" w:lastRow="1" w:firstColumn="1" w:lastColumn="1" w:noHBand="0" w:noVBand="0"/>
      </w:tblPr>
      <w:tblGrid>
        <w:gridCol w:w="2656"/>
        <w:gridCol w:w="240"/>
        <w:gridCol w:w="7726"/>
      </w:tblGrid>
      <w:tr w:rsidR="00734123" w14:paraId="491DA7B6" w14:textId="77777777">
        <w:trPr>
          <w:trHeight w:val="1247"/>
        </w:trPr>
        <w:tc>
          <w:tcPr>
            <w:tcW w:w="1250" w:type="pct"/>
            <w:tcBorders>
              <w:top w:val="single" w:sz="4" w:space="0" w:color="B0A7CF"/>
              <w:left w:val="single" w:sz="4" w:space="0" w:color="B0A7CF"/>
              <w:bottom w:val="single" w:sz="4" w:space="0" w:color="B0A7CF"/>
              <w:right w:val="single" w:sz="4" w:space="0" w:color="B0A7CF"/>
            </w:tcBorders>
            <w:shd w:val="clear" w:color="auto" w:fill="FFFFFF"/>
            <w:tcMar>
              <w:top w:w="57" w:type="dxa"/>
              <w:bottom w:w="57" w:type="dxa"/>
            </w:tcMar>
            <w:vAlign w:val="center"/>
          </w:tcPr>
          <w:p w14:paraId="7B78F98F" w14:textId="77777777" w:rsidR="00734123" w:rsidRDefault="00CA2568">
            <w:pPr>
              <w:spacing w:before="60" w:after="60"/>
              <w:jc w:val="center"/>
              <w:rPr>
                <w:rFonts w:eastAsia="Cambria"/>
                <w:sz w:val="24"/>
                <w:szCs w:val="24"/>
                <w:lang w:eastAsia="en-US"/>
              </w:rPr>
            </w:pPr>
            <w:r>
              <w:rPr>
                <w:rFonts w:ascii="Poppins" w:hAnsi="Poppins" w:cs="Poppins"/>
                <w:b/>
                <w:bCs/>
                <w:sz w:val="48"/>
                <w:szCs w:val="48"/>
              </w:rPr>
              <w:t>4</w:t>
            </w:r>
          </w:p>
          <w:p w14:paraId="6B0AEAB8" w14:textId="77777777" w:rsidR="00734123" w:rsidRDefault="00CA2568">
            <w:pPr>
              <w:spacing w:before="60" w:after="60"/>
              <w:jc w:val="center"/>
              <w:rPr>
                <w:rStyle w:val="DefaqtoBodyChar"/>
                <w:rFonts w:cs="Poppins"/>
              </w:rPr>
            </w:pPr>
            <w:r>
              <w:rPr>
                <w:rStyle w:val="DefaqtoBodyChar"/>
                <w:rFonts w:cs="Poppins"/>
                <w:sz w:val="22"/>
                <w:szCs w:val="22"/>
              </w:rPr>
              <w:t>Cautious Balanced</w:t>
            </w:r>
          </w:p>
        </w:tc>
        <w:tc>
          <w:tcPr>
            <w:tcW w:w="113" w:type="pct"/>
            <w:tcBorders>
              <w:left w:val="single" w:sz="4" w:space="0" w:color="B0A7CF"/>
            </w:tcBorders>
          </w:tcPr>
          <w:p w14:paraId="1CDB73C8" w14:textId="77777777" w:rsidR="00734123" w:rsidRDefault="00CA2568">
            <w:r>
              <w:t xml:space="preserve"> </w:t>
            </w:r>
          </w:p>
        </w:tc>
        <w:tc>
          <w:tcPr>
            <w:tcW w:w="3750" w:type="pct"/>
          </w:tcPr>
          <w:p w14:paraId="29F57887" w14:textId="77777777" w:rsidR="00734123" w:rsidRDefault="00CA2568">
            <w:pPr>
              <w:pStyle w:val="DefaqtoTableBody2"/>
              <w:rPr>
                <w:sz w:val="20"/>
                <w:szCs w:val="20"/>
              </w:rPr>
            </w:pPr>
            <w:r>
              <w:rPr>
                <w:sz w:val="20"/>
                <w:szCs w:val="20"/>
              </w:rPr>
              <w:t>A risk rated multi asset investment of level 4 targets a moderate level of capital appreciation by investing in a multi-asset portfolio. Investment will be mainly in UK fixed interest securities, equities, in particular UK equities, and property. A moderate amount of volatility should be expected.</w:t>
            </w:r>
          </w:p>
        </w:tc>
      </w:tr>
    </w:tbl>
    <w:p w14:paraId="11B7D4B3" w14:textId="77777777" w:rsidR="00734123" w:rsidRDefault="00734123"/>
    <w:p w14:paraId="546799DD" w14:textId="77777777" w:rsidR="00734123" w:rsidRDefault="00734123">
      <w:pPr>
        <w:pStyle w:val="DefaqtoBody"/>
        <w:rPr>
          <w:lang w:val="en-NZ"/>
        </w:rPr>
      </w:pPr>
    </w:p>
    <w:p w14:paraId="25868E06" w14:textId="77777777" w:rsidR="00734123" w:rsidRDefault="00CA2568">
      <w:pPr>
        <w:pStyle w:val="DefaqtoHeading2"/>
      </w:pPr>
      <w:bookmarkStart w:id="10" w:name="_Toc7"/>
      <w:r>
        <w:t>Portfolio details</w:t>
      </w:r>
      <w:bookmarkEnd w:id="10"/>
    </w:p>
    <w:p w14:paraId="360354BF" w14:textId="77777777" w:rsidR="00734123" w:rsidRDefault="00734123">
      <w:pPr>
        <w:pStyle w:val="DefaqtoBody"/>
      </w:pPr>
    </w:p>
    <w:p w14:paraId="38D6F1B0" w14:textId="77777777" w:rsidR="00734123" w:rsidRDefault="00CA2568">
      <w:pPr>
        <w:pStyle w:val="DefaqtoHeading3"/>
      </w:pPr>
      <w:bookmarkStart w:id="11" w:name="_Toc8"/>
      <w:r>
        <w:t>Investments</w:t>
      </w:r>
      <w:bookmarkEnd w:id="11"/>
    </w:p>
    <w:p w14:paraId="2902BFA9" w14:textId="77777777" w:rsidR="00734123" w:rsidRDefault="00CA2568">
      <w:pPr>
        <w:pStyle w:val="DefaqtoBody"/>
      </w:pPr>
      <w:r>
        <w:t xml:space="preserve">The client’s portfolio contains the following </w:t>
      </w:r>
      <w:r>
        <w:rPr>
          <w:lang w:val="en-NZ"/>
        </w:rPr>
        <w:t>investments</w:t>
      </w:r>
      <w:r>
        <w:t xml:space="preserve">: </w:t>
      </w:r>
    </w:p>
    <w:p w14:paraId="697F7E40" w14:textId="77777777" w:rsidR="00734123" w:rsidRDefault="00734123"/>
    <w:tbl>
      <w:tblPr>
        <w:tblStyle w:val="DefaqtoTable"/>
        <w:tblW w:w="5000" w:type="pct"/>
        <w:tblLayout w:type="fixed"/>
        <w:tblLook w:val="0420" w:firstRow="1" w:lastRow="0" w:firstColumn="0" w:lastColumn="0" w:noHBand="0" w:noVBand="1"/>
      </w:tblPr>
      <w:tblGrid>
        <w:gridCol w:w="1649"/>
        <w:gridCol w:w="1680"/>
        <w:gridCol w:w="1680"/>
        <w:gridCol w:w="1548"/>
        <w:gridCol w:w="1548"/>
        <w:gridCol w:w="1546"/>
        <w:gridCol w:w="966"/>
      </w:tblGrid>
      <w:tr w:rsidR="00734123" w14:paraId="0C8FAFE1" w14:textId="77777777" w:rsidTr="00734123">
        <w:trPr>
          <w:cnfStyle w:val="100000000000" w:firstRow="1" w:lastRow="0" w:firstColumn="0" w:lastColumn="0" w:oddVBand="0" w:evenVBand="0" w:oddHBand="0" w:evenHBand="0" w:firstRowFirstColumn="0" w:firstRowLastColumn="0" w:lastRowFirstColumn="0" w:lastRowLastColumn="0"/>
          <w:trHeight w:val="432"/>
        </w:trPr>
        <w:tc>
          <w:tcPr>
            <w:tcW w:w="777" w:type="pct"/>
          </w:tcPr>
          <w:p w14:paraId="5B1B3E81" w14:textId="77777777" w:rsidR="00734123" w:rsidRDefault="00CA2568">
            <w:pPr>
              <w:pStyle w:val="DefaqtoTableBody2"/>
              <w:rPr>
                <w:b w:val="0"/>
                <w:bCs w:val="0"/>
              </w:rPr>
            </w:pPr>
            <w:r>
              <w:t>Investment</w:t>
            </w:r>
          </w:p>
        </w:tc>
        <w:tc>
          <w:tcPr>
            <w:tcW w:w="791" w:type="pct"/>
          </w:tcPr>
          <w:p w14:paraId="3F39D239" w14:textId="77777777" w:rsidR="00734123" w:rsidRDefault="00CA2568">
            <w:pPr>
              <w:pStyle w:val="DefaqtoTableBody2"/>
              <w:rPr>
                <w:b w:val="0"/>
                <w:bCs w:val="0"/>
              </w:rPr>
            </w:pPr>
            <w:r>
              <w:t>Provider</w:t>
            </w:r>
          </w:p>
        </w:tc>
        <w:tc>
          <w:tcPr>
            <w:tcW w:w="791" w:type="pct"/>
          </w:tcPr>
          <w:p w14:paraId="2842BC1C" w14:textId="77777777" w:rsidR="00734123" w:rsidRDefault="00CA2568">
            <w:pPr>
              <w:pStyle w:val="DefaqtoTableBody2"/>
              <w:rPr>
                <w:b w:val="0"/>
                <w:bCs w:val="0"/>
              </w:rPr>
            </w:pPr>
            <w:r>
              <w:t>ISIN</w:t>
            </w:r>
          </w:p>
        </w:tc>
        <w:tc>
          <w:tcPr>
            <w:tcW w:w="729" w:type="pct"/>
          </w:tcPr>
          <w:p w14:paraId="23374B20" w14:textId="77777777" w:rsidR="00734123" w:rsidRDefault="00CA2568">
            <w:pPr>
              <w:pStyle w:val="DefaqtoTableBody2"/>
              <w:rPr>
                <w:b w:val="0"/>
                <w:bCs w:val="0"/>
              </w:rPr>
            </w:pPr>
            <w:r>
              <w:t>Risk controlled</w:t>
            </w:r>
          </w:p>
          <w:p w14:paraId="1B49D302" w14:textId="77777777" w:rsidR="00734123" w:rsidRDefault="00CA2568">
            <w:pPr>
              <w:pStyle w:val="DefaqtoTableBody2"/>
            </w:pPr>
            <w:r>
              <w:rPr>
                <w:vertAlign w:val="superscript"/>
              </w:rPr>
              <w:t>[2]</w:t>
            </w:r>
          </w:p>
        </w:tc>
        <w:tc>
          <w:tcPr>
            <w:tcW w:w="729" w:type="pct"/>
          </w:tcPr>
          <w:p w14:paraId="7A30B908" w14:textId="77777777" w:rsidR="00734123" w:rsidRDefault="00CA2568">
            <w:pPr>
              <w:pStyle w:val="DefaqtoTableBody2"/>
              <w:jc w:val="center"/>
              <w:rPr>
                <w:b w:val="0"/>
                <w:bCs w:val="0"/>
              </w:rPr>
            </w:pPr>
            <w:r>
              <w:t>Diamond rating</w:t>
            </w:r>
            <w:r>
              <w:rPr>
                <w:vertAlign w:val="superscript"/>
              </w:rPr>
              <w:t xml:space="preserve"> [1]</w:t>
            </w:r>
          </w:p>
        </w:tc>
        <w:tc>
          <w:tcPr>
            <w:tcW w:w="728" w:type="pct"/>
          </w:tcPr>
          <w:p w14:paraId="3A3768C9" w14:textId="77777777" w:rsidR="00734123" w:rsidRDefault="00CA2568">
            <w:pPr>
              <w:pStyle w:val="DefaqtoTableBody2"/>
              <w:jc w:val="center"/>
              <w:rPr>
                <w:b w:val="0"/>
                <w:bCs w:val="0"/>
                <w:vertAlign w:val="superscript"/>
              </w:rPr>
            </w:pPr>
            <w:r>
              <w:t>Family diamond rating</w:t>
            </w:r>
            <w:r>
              <w:rPr>
                <w:vertAlign w:val="superscript"/>
              </w:rPr>
              <w:t xml:space="preserve"> [1]</w:t>
            </w:r>
          </w:p>
        </w:tc>
        <w:tc>
          <w:tcPr>
            <w:tcW w:w="456" w:type="pct"/>
          </w:tcPr>
          <w:p w14:paraId="7ABBAAAD" w14:textId="77777777" w:rsidR="00734123" w:rsidRDefault="00CA2568">
            <w:pPr>
              <w:pStyle w:val="DefaqtoTableBody2"/>
              <w:jc w:val="right"/>
              <w:rPr>
                <w:b w:val="0"/>
                <w:bCs w:val="0"/>
              </w:rPr>
            </w:pPr>
            <w:r>
              <w:t>% Invested</w:t>
            </w:r>
          </w:p>
        </w:tc>
      </w:tr>
      <w:tr w:rsidR="00734123" w14:paraId="31899309" w14:textId="77777777" w:rsidTr="00734123">
        <w:trPr>
          <w:cnfStyle w:val="000000100000" w:firstRow="0" w:lastRow="0" w:firstColumn="0" w:lastColumn="0" w:oddVBand="0" w:evenVBand="0" w:oddHBand="1" w:evenHBand="0" w:firstRowFirstColumn="0" w:firstRowLastColumn="0" w:lastRowFirstColumn="0" w:lastRowLastColumn="0"/>
          <w:trHeight w:val="432"/>
        </w:trPr>
        <w:tc>
          <w:tcPr>
            <w:tcW w:w="777" w:type="pct"/>
          </w:tcPr>
          <w:p w14:paraId="7F5AF61E" w14:textId="77777777" w:rsidR="00734123" w:rsidRDefault="00CA2568">
            <w:pPr>
              <w:pStyle w:val="DefaqtoTableBody2"/>
            </w:pPr>
            <w:r>
              <w:t>CT Universal MAP Cautious Fund C Acc (GBP)</w:t>
            </w:r>
          </w:p>
        </w:tc>
        <w:tc>
          <w:tcPr>
            <w:tcW w:w="791" w:type="pct"/>
          </w:tcPr>
          <w:p w14:paraId="5FA0E39E" w14:textId="77777777" w:rsidR="00734123" w:rsidRDefault="00CA2568">
            <w:pPr>
              <w:pStyle w:val="DefaqtoTableBody2"/>
            </w:pPr>
            <w:r>
              <w:t>Columbia Threadneedle Fund Management Limited</w:t>
            </w:r>
          </w:p>
        </w:tc>
        <w:tc>
          <w:tcPr>
            <w:tcW w:w="791" w:type="pct"/>
          </w:tcPr>
          <w:p w14:paraId="3A491504" w14:textId="77777777" w:rsidR="00734123" w:rsidRDefault="00CA2568">
            <w:pPr>
              <w:pStyle w:val="DefaqtoTableBody2"/>
            </w:pPr>
            <w:r>
              <w:t>GB00BF99VY38</w:t>
            </w:r>
          </w:p>
        </w:tc>
        <w:tc>
          <w:tcPr>
            <w:tcW w:w="729" w:type="pct"/>
          </w:tcPr>
          <w:p w14:paraId="20B81485" w14:textId="77777777" w:rsidR="00734123" w:rsidRDefault="00CA2568">
            <w:pPr>
              <w:pStyle w:val="DefaqtoTableBody2"/>
            </w:pPr>
            <w:r>
              <w:pict w14:anchorId="55CFC8D4">
                <v:shape id="_x0000_i1029" type="#_x0000_t75" style="width:33pt;height:30pt;visibility:visible">
                  <v:imagedata r:id="rId28" o:title=""/>
                </v:shape>
              </w:pict>
            </w:r>
          </w:p>
        </w:tc>
        <w:tc>
          <w:tcPr>
            <w:tcW w:w="729" w:type="pct"/>
          </w:tcPr>
          <w:p w14:paraId="50F7F287" w14:textId="77777777" w:rsidR="00734123" w:rsidRDefault="00CA2568">
            <w:pPr>
              <w:pStyle w:val="DefaqtoTableBody2"/>
              <w:jc w:val="center"/>
            </w:pPr>
            <w:r>
              <w:pict w14:anchorId="1F585F22">
                <v:shape id="_x0000_i1030" type="#_x0000_t75" style="width:.6pt;height:.6pt;visibility:visible">
                  <v:imagedata r:id="rId29" o:title=""/>
                </v:shape>
              </w:pict>
            </w:r>
            <w:r>
              <w:t>N/A</w:t>
            </w:r>
          </w:p>
        </w:tc>
        <w:tc>
          <w:tcPr>
            <w:tcW w:w="728" w:type="pct"/>
          </w:tcPr>
          <w:p w14:paraId="5320186F" w14:textId="77777777" w:rsidR="00734123" w:rsidRDefault="00CA2568">
            <w:pPr>
              <w:pStyle w:val="DefaqtoTableBody2"/>
              <w:jc w:val="center"/>
            </w:pPr>
            <w:r>
              <w:pict w14:anchorId="1C466755">
                <v:shape id="_x0000_i1031" type="#_x0000_t75" style="width:31.8pt;height:13.2pt;visibility:visible">
                  <v:imagedata r:id="rId30" o:title=""/>
                </v:shape>
              </w:pict>
            </w:r>
          </w:p>
        </w:tc>
        <w:tc>
          <w:tcPr>
            <w:tcW w:w="456" w:type="pct"/>
          </w:tcPr>
          <w:p w14:paraId="115629AD" w14:textId="77777777" w:rsidR="00734123" w:rsidRDefault="00CA2568">
            <w:pPr>
              <w:pStyle w:val="DefaqtoTableBody2"/>
              <w:jc w:val="right"/>
            </w:pPr>
            <w:r>
              <w:t>100.00</w:t>
            </w:r>
          </w:p>
        </w:tc>
      </w:tr>
    </w:tbl>
    <w:p w14:paraId="05DA9B29" w14:textId="77777777" w:rsidR="00734123" w:rsidRDefault="00CA2568">
      <w:pPr>
        <w:pStyle w:val="Defaqtosmallprint"/>
      </w:pPr>
      <w:r>
        <w:rPr>
          <w:b/>
          <w:bCs/>
        </w:rPr>
        <w:lastRenderedPageBreak/>
        <w:t>[1] Defaqto Diamond Rating</w:t>
      </w:r>
      <w:r>
        <w:rPr>
          <w:b/>
          <w:bCs/>
        </w:rPr>
        <w:br/>
      </w:r>
      <w: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2E7F3409" w14:textId="77777777" w:rsidR="00734123" w:rsidRDefault="00CA2568">
      <w:pPr>
        <w:pStyle w:val="Defaqtosmallprint"/>
      </w:pPr>
      <w:r>
        <w:t>Fund Diamond Ratings cover Multi Manager Funds across the 4 relevant IA sectors (Mixed 0-35%, Mixed 20-60%, Mixed 40-85% and Flexible), Directly invested funds across the 4 relevant IA sectors (Mixed 0-35%, Mixed 20-60%, Mixed 40-85% and Flexible) and Index Trackers.</w:t>
      </w:r>
    </w:p>
    <w:p w14:paraId="60FC0353" w14:textId="77777777" w:rsidR="00734123" w:rsidRDefault="00CA2568">
      <w:pPr>
        <w:pStyle w:val="Defaqtosmallprint"/>
      </w:pPr>
      <w:r>
        <w:rPr>
          <w:rFonts w:cs="Arial"/>
        </w:rPr>
        <w:t>Fund Family Diamond Ratings are split into Risk Targeted and Risk Focused ‘universes’, with the individual funds coming from the following IA sectors: Mixed 0-35%, Mixed 20-60%, Mixed 40-85%, Flexible, Specialist and Unclassified.</w:t>
      </w:r>
      <w:r>
        <w:t xml:space="preserve"> </w:t>
      </w:r>
      <w:r>
        <w:br/>
      </w:r>
      <w:r>
        <w:br/>
      </w:r>
      <w:r>
        <w:t>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pee</w:t>
      </w:r>
      <w:r>
        <w:t>r group.</w:t>
      </w:r>
    </w:p>
    <w:p w14:paraId="3F1880FC" w14:textId="77777777" w:rsidR="00734123" w:rsidRDefault="00CA2568">
      <w:pPr>
        <w:pStyle w:val="Defaqtosmallprint"/>
        <w:rPr>
          <w:rFonts w:eastAsia="Cambria"/>
        </w:rPr>
      </w:pPr>
      <w:r>
        <w:rPr>
          <w:b/>
          <w:bCs/>
        </w:rPr>
        <w:t>[2] Risk Controlled</w:t>
      </w:r>
      <w:r>
        <w:rPr>
          <w:b/>
          <w:bCs/>
        </w:rPr>
        <w:br/>
      </w:r>
      <w:r>
        <w:t>Risk controlled funds have been mandated to adhere to the Defaqto risk score it has been mapped against.</w:t>
      </w:r>
    </w:p>
    <w:p w14:paraId="2A192ABA" w14:textId="77777777" w:rsidR="00734123" w:rsidRDefault="00734123">
      <w:pPr>
        <w:pStyle w:val="Defaqtosmallprint"/>
        <w:rPr>
          <w:lang w:val="en-NZ"/>
        </w:rPr>
      </w:pPr>
    </w:p>
    <w:p w14:paraId="2288D99E" w14:textId="77777777" w:rsidR="00734123" w:rsidRDefault="00CA2568">
      <w:pPr>
        <w:spacing w:line="240" w:lineRule="auto"/>
        <w:rPr>
          <w:rFonts w:ascii="Calibri Light" w:hAnsi="Calibri Light"/>
          <w:b/>
          <w:bCs/>
          <w:color w:val="252758"/>
          <w:sz w:val="24"/>
          <w:szCs w:val="24"/>
          <w:lang w:val="en-NZ"/>
        </w:rPr>
      </w:pPr>
      <w:r>
        <w:br w:type="page"/>
      </w:r>
    </w:p>
    <w:p w14:paraId="77115724" w14:textId="77777777" w:rsidR="00734123" w:rsidRDefault="00CA2568">
      <w:pPr>
        <w:pStyle w:val="DefaqtoHeading3"/>
      </w:pPr>
      <w:bookmarkStart w:id="12" w:name="_Toc9"/>
      <w:r>
        <w:lastRenderedPageBreak/>
        <w:t>MiFID II pre-sale cost disclosure (ex-ante/estimated costs)</w:t>
      </w:r>
      <w:bookmarkEnd w:id="12"/>
    </w:p>
    <w:p w14:paraId="6F48EAA0" w14:textId="77777777" w:rsidR="00734123" w:rsidRDefault="00CA2568">
      <w:pPr>
        <w:pStyle w:val="DefaqtoBody"/>
      </w:pPr>
      <w:r>
        <w:t>The below table illustrates the ex-ante MiFID II pre-sale cost disclosures for funds in scope of MiFID II which excludes Life &amp; Pension funds. One off costs reflect the maximum entry and exit costs that the fund manager has stated they can charge over the period the fund is held. Where costs are on-going, such costs reflect a 12 month period.</w:t>
      </w:r>
    </w:p>
    <w:p w14:paraId="5B5DE15A" w14:textId="77777777" w:rsidR="00734123" w:rsidRDefault="00CA2568">
      <w:pPr>
        <w:pStyle w:val="DefaqtoBody"/>
      </w:pPr>
      <w:r>
        <w:rPr>
          <w:b/>
          <w:bCs/>
        </w:rPr>
        <w:t>One-Off Costs</w:t>
      </w:r>
      <w:r>
        <w:t xml:space="preserve"> - Maximum costs incurred when entering or exiting the fund. These costs might be waived by the fund manager or distributor. One-Off Costs include: Initial Charge; Maximum Entry Cost Acquired; Maximum Exit Fee; and Maximum Exit Cost Acquired.</w:t>
      </w:r>
    </w:p>
    <w:p w14:paraId="3B9B22D2" w14:textId="77777777" w:rsidR="00734123" w:rsidRDefault="00CA2568">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4993A60F" w14:textId="77777777" w:rsidR="00734123" w:rsidRDefault="00CA2568">
      <w:pPr>
        <w:pStyle w:val="DefaqtoBody"/>
      </w:pPr>
      <w:r>
        <w:rPr>
          <w:b/>
          <w:bCs/>
        </w:rPr>
        <w:t>Transaction Costs</w:t>
      </w:r>
      <w:r>
        <w:t xml:space="preserve"> - Costs incurred when buying or selling underlying investments. Includes both explicit costs for example dealing commission and can include implicit costs, for example slippage.</w:t>
      </w:r>
    </w:p>
    <w:p w14:paraId="40566A23" w14:textId="77777777" w:rsidR="00734123" w:rsidRDefault="00CA2568">
      <w:pPr>
        <w:pStyle w:val="DefaqtoBody"/>
      </w:pPr>
      <w:bookmarkStart w:id="13" w:name="_Toc13825990"/>
      <w:r>
        <w:rPr>
          <w:b/>
          <w:bCs/>
        </w:rPr>
        <w:t>Incidental Costs</w:t>
      </w:r>
      <w:r>
        <w:t xml:space="preserve"> - The impact of any</w:t>
      </w:r>
      <w:bookmarkEnd w:id="13"/>
      <w:r>
        <w:t xml:space="preserve"> performance fee.</w:t>
      </w:r>
    </w:p>
    <w:p w14:paraId="4E328EA4" w14:textId="77777777" w:rsidR="00734123" w:rsidRDefault="00734123">
      <w:pPr>
        <w:pStyle w:val="NoSpacing"/>
        <w:rPr>
          <w:rFonts w:ascii="Calibri Light" w:hAnsi="Calibri Light" w:cs="Calibri Light"/>
          <w:color w:val="002060"/>
          <w:sz w:val="24"/>
          <w:szCs w:val="24"/>
        </w:rPr>
      </w:pPr>
    </w:p>
    <w:tbl>
      <w:tblPr>
        <w:tblStyle w:val="DefaqtoTable"/>
        <w:tblW w:w="4985" w:type="pct"/>
        <w:tblLayout w:type="fixed"/>
        <w:tblLook w:val="0420" w:firstRow="1" w:lastRow="0" w:firstColumn="0" w:lastColumn="0" w:noHBand="0" w:noVBand="1"/>
      </w:tblPr>
      <w:tblGrid>
        <w:gridCol w:w="1809"/>
        <w:gridCol w:w="1842"/>
        <w:gridCol w:w="1842"/>
        <w:gridCol w:w="1698"/>
        <w:gridCol w:w="1698"/>
        <w:gridCol w:w="1696"/>
      </w:tblGrid>
      <w:tr w:rsidR="00734123" w14:paraId="480C4648" w14:textId="77777777" w:rsidTr="00734123">
        <w:trPr>
          <w:cnfStyle w:val="100000000000" w:firstRow="1" w:lastRow="0" w:firstColumn="0" w:lastColumn="0" w:oddVBand="0" w:evenVBand="0" w:oddHBand="0" w:evenHBand="0" w:firstRowFirstColumn="0" w:firstRowLastColumn="0" w:lastRowFirstColumn="0" w:lastRowLastColumn="0"/>
          <w:trHeight w:val="441"/>
        </w:trPr>
        <w:tc>
          <w:tcPr>
            <w:tcW w:w="854" w:type="pct"/>
          </w:tcPr>
          <w:p w14:paraId="0496FFD3" w14:textId="77777777" w:rsidR="00734123" w:rsidRDefault="00CA2568">
            <w:pPr>
              <w:pStyle w:val="DefaqtoTableBody2"/>
              <w:rPr>
                <w:b w:val="0"/>
                <w:bCs w:val="0"/>
              </w:rPr>
            </w:pPr>
            <w:r>
              <w:t>Fund name</w:t>
            </w:r>
          </w:p>
        </w:tc>
        <w:tc>
          <w:tcPr>
            <w:tcW w:w="870" w:type="pct"/>
          </w:tcPr>
          <w:p w14:paraId="2FE0F7C0" w14:textId="77777777" w:rsidR="00734123" w:rsidRDefault="00CA2568">
            <w:pPr>
              <w:pStyle w:val="DefaqtoTableBody2"/>
              <w:rPr>
                <w:b w:val="0"/>
                <w:bCs w:val="0"/>
              </w:rPr>
            </w:pPr>
            <w:r>
              <w:t>One-off costs*</w:t>
            </w:r>
          </w:p>
        </w:tc>
        <w:tc>
          <w:tcPr>
            <w:tcW w:w="870" w:type="pct"/>
          </w:tcPr>
          <w:p w14:paraId="648D6022" w14:textId="77777777" w:rsidR="00734123" w:rsidRDefault="00CA2568">
            <w:pPr>
              <w:pStyle w:val="DefaqtoTableBody2"/>
              <w:rPr>
                <w:b w:val="0"/>
                <w:bCs w:val="0"/>
              </w:rPr>
            </w:pPr>
            <w:r>
              <w:t>Ongoing costs</w:t>
            </w:r>
          </w:p>
        </w:tc>
        <w:tc>
          <w:tcPr>
            <w:tcW w:w="802" w:type="pct"/>
          </w:tcPr>
          <w:p w14:paraId="1EADDAF6" w14:textId="77777777" w:rsidR="00734123" w:rsidRDefault="00CA2568">
            <w:pPr>
              <w:pStyle w:val="DefaqtoTableBody2"/>
              <w:rPr>
                <w:b w:val="0"/>
                <w:bCs w:val="0"/>
              </w:rPr>
            </w:pPr>
            <w:r>
              <w:t>Transaction costs</w:t>
            </w:r>
          </w:p>
        </w:tc>
        <w:tc>
          <w:tcPr>
            <w:tcW w:w="802" w:type="pct"/>
          </w:tcPr>
          <w:p w14:paraId="0EB5C458" w14:textId="77777777" w:rsidR="00734123" w:rsidRDefault="00CA2568">
            <w:pPr>
              <w:pStyle w:val="DefaqtoTableBody2"/>
              <w:rPr>
                <w:b w:val="0"/>
                <w:bCs w:val="0"/>
              </w:rPr>
            </w:pPr>
            <w:r>
              <w:t>Incidental costs</w:t>
            </w:r>
          </w:p>
        </w:tc>
        <w:tc>
          <w:tcPr>
            <w:tcW w:w="801" w:type="pct"/>
          </w:tcPr>
          <w:p w14:paraId="6E3A278D" w14:textId="77777777" w:rsidR="00734123" w:rsidRDefault="00CA2568">
            <w:pPr>
              <w:pStyle w:val="DefaqtoTableBody2"/>
              <w:rPr>
                <w:b w:val="0"/>
                <w:bCs w:val="0"/>
                <w:vertAlign w:val="superscript"/>
              </w:rPr>
            </w:pPr>
            <w:r>
              <w:t>Total</w:t>
            </w:r>
          </w:p>
        </w:tc>
      </w:tr>
      <w:tr w:rsidR="00734123" w14:paraId="1919C327" w14:textId="77777777" w:rsidTr="00734123">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19F10DF4" w14:textId="77777777" w:rsidR="00734123" w:rsidRDefault="00CA2568">
            <w:pPr>
              <w:pStyle w:val="DefaqtoTableBody2"/>
            </w:pPr>
            <w:r>
              <w:t>CT Universal MAP Cautious Fund C Acc</w:t>
            </w:r>
          </w:p>
        </w:tc>
        <w:tc>
          <w:tcPr>
            <w:tcW w:w="870" w:type="pct"/>
          </w:tcPr>
          <w:p w14:paraId="4FB0FC4B" w14:textId="77777777" w:rsidR="00734123" w:rsidRDefault="00CA2568">
            <w:pPr>
              <w:pStyle w:val="DefaqtoTableBody2"/>
            </w:pPr>
            <w:r>
              <w:t>-</w:t>
            </w:r>
          </w:p>
          <w:p w14:paraId="53CB9AFE" w14:textId="77777777" w:rsidR="00734123" w:rsidRDefault="00734123">
            <w:pPr>
              <w:pStyle w:val="DefaqtoTableBody2"/>
            </w:pPr>
          </w:p>
        </w:tc>
        <w:tc>
          <w:tcPr>
            <w:tcW w:w="870" w:type="pct"/>
          </w:tcPr>
          <w:p w14:paraId="4505E2A2" w14:textId="77777777" w:rsidR="00734123" w:rsidRDefault="00CA2568">
            <w:pPr>
              <w:pStyle w:val="DefaqtoTableBody2"/>
            </w:pPr>
            <w:r>
              <w:t>£174.00</w:t>
            </w:r>
          </w:p>
          <w:p w14:paraId="0DD42AF6" w14:textId="77777777" w:rsidR="00734123" w:rsidRDefault="00CA2568">
            <w:pPr>
              <w:pStyle w:val="DefaqtoTableBody2"/>
            </w:pPr>
            <w:r>
              <w:t>(0.29%)</w:t>
            </w:r>
          </w:p>
        </w:tc>
        <w:tc>
          <w:tcPr>
            <w:tcW w:w="802" w:type="pct"/>
          </w:tcPr>
          <w:p w14:paraId="1F80C522" w14:textId="77777777" w:rsidR="00734123" w:rsidRDefault="00CA2568">
            <w:pPr>
              <w:pStyle w:val="DefaqtoTableBody2"/>
            </w:pPr>
            <w:r>
              <w:t>£133.26</w:t>
            </w:r>
          </w:p>
          <w:p w14:paraId="2A1771CF" w14:textId="77777777" w:rsidR="00734123" w:rsidRDefault="00CA2568">
            <w:pPr>
              <w:pStyle w:val="DefaqtoTableBody2"/>
            </w:pPr>
            <w:r>
              <w:t>(0.22%)</w:t>
            </w:r>
          </w:p>
        </w:tc>
        <w:tc>
          <w:tcPr>
            <w:tcW w:w="802" w:type="pct"/>
          </w:tcPr>
          <w:p w14:paraId="6075DE79" w14:textId="77777777" w:rsidR="00734123" w:rsidRDefault="00CA2568">
            <w:pPr>
              <w:pStyle w:val="DefaqtoTableBody2"/>
            </w:pPr>
            <w:r>
              <w:t>-</w:t>
            </w:r>
          </w:p>
          <w:p w14:paraId="24E4C4B7" w14:textId="77777777" w:rsidR="00734123" w:rsidRDefault="00734123">
            <w:pPr>
              <w:pStyle w:val="DefaqtoTableBody2"/>
            </w:pPr>
          </w:p>
        </w:tc>
        <w:tc>
          <w:tcPr>
            <w:tcW w:w="801" w:type="pct"/>
          </w:tcPr>
          <w:p w14:paraId="775B6483" w14:textId="77777777" w:rsidR="00734123" w:rsidRDefault="00CA2568">
            <w:pPr>
              <w:pStyle w:val="DefaqtoTableBody2"/>
            </w:pPr>
            <w:r>
              <w:t>£307.26</w:t>
            </w:r>
          </w:p>
          <w:p w14:paraId="082BF319" w14:textId="77777777" w:rsidR="00734123" w:rsidRDefault="00CA2568">
            <w:pPr>
              <w:pStyle w:val="DefaqtoTableBody2"/>
            </w:pPr>
            <w:r>
              <w:t>(0.51%)</w:t>
            </w:r>
          </w:p>
        </w:tc>
      </w:tr>
      <w:tr w:rsidR="00734123" w14:paraId="0049A103" w14:textId="77777777" w:rsidTr="00734123">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0C606412" w14:textId="77777777" w:rsidR="00734123" w:rsidRDefault="00CA2568">
            <w:pPr>
              <w:pStyle w:val="DefaqtoTableBody"/>
              <w:rPr>
                <w:b/>
                <w:bCs/>
              </w:rPr>
            </w:pPr>
            <w:r>
              <w:rPr>
                <w:lang w:val="en-NZ"/>
              </w:rPr>
              <w:t>Total aggregated fund costs:</w:t>
            </w:r>
          </w:p>
        </w:tc>
        <w:tc>
          <w:tcPr>
            <w:tcW w:w="870" w:type="pct"/>
          </w:tcPr>
          <w:p w14:paraId="68EBC327" w14:textId="77777777" w:rsidR="00734123" w:rsidRDefault="00CA2568">
            <w:pPr>
              <w:pStyle w:val="DefaqtoTableBody"/>
              <w:rPr>
                <w:b/>
                <w:bCs/>
                <w:lang w:val="en-NZ"/>
              </w:rPr>
            </w:pPr>
            <w:r>
              <w:rPr>
                <w:lang w:val="en-NZ"/>
              </w:rPr>
              <w:t>£0.00</w:t>
            </w:r>
          </w:p>
          <w:p w14:paraId="37AAAD59" w14:textId="77777777" w:rsidR="00734123" w:rsidRDefault="00CA2568">
            <w:pPr>
              <w:pStyle w:val="DefaqtoTableBody"/>
              <w:rPr>
                <w:b/>
                <w:bCs/>
              </w:rPr>
            </w:pPr>
            <w:r>
              <w:rPr>
                <w:lang w:val="en-NZ"/>
              </w:rPr>
              <w:t>(0.00%)</w:t>
            </w:r>
          </w:p>
        </w:tc>
        <w:tc>
          <w:tcPr>
            <w:tcW w:w="870" w:type="pct"/>
          </w:tcPr>
          <w:p w14:paraId="29C904AD" w14:textId="77777777" w:rsidR="00734123" w:rsidRDefault="00CA2568">
            <w:pPr>
              <w:pStyle w:val="DefaqtoTableBody"/>
              <w:rPr>
                <w:b/>
                <w:bCs/>
                <w:lang w:val="en-NZ"/>
              </w:rPr>
            </w:pPr>
            <w:r>
              <w:rPr>
                <w:lang w:val="en-NZ"/>
              </w:rPr>
              <w:t>£174.00</w:t>
            </w:r>
          </w:p>
          <w:p w14:paraId="1FC5366B" w14:textId="77777777" w:rsidR="00734123" w:rsidRDefault="00CA2568">
            <w:pPr>
              <w:pStyle w:val="DefaqtoTableBody"/>
              <w:rPr>
                <w:b/>
                <w:bCs/>
              </w:rPr>
            </w:pPr>
            <w:r>
              <w:rPr>
                <w:lang w:val="en-NZ"/>
              </w:rPr>
              <w:t>(0.29%)</w:t>
            </w:r>
          </w:p>
        </w:tc>
        <w:tc>
          <w:tcPr>
            <w:tcW w:w="802" w:type="pct"/>
          </w:tcPr>
          <w:p w14:paraId="6BC56AFB" w14:textId="77777777" w:rsidR="00734123" w:rsidRDefault="00CA2568">
            <w:pPr>
              <w:pStyle w:val="DefaqtoTableBody"/>
              <w:rPr>
                <w:b/>
                <w:bCs/>
                <w:lang w:val="en-NZ"/>
              </w:rPr>
            </w:pPr>
            <w:r>
              <w:rPr>
                <w:lang w:val="en-NZ"/>
              </w:rPr>
              <w:t>£133.26</w:t>
            </w:r>
          </w:p>
          <w:p w14:paraId="0FA5FD4C" w14:textId="77777777" w:rsidR="00734123" w:rsidRDefault="00CA2568">
            <w:pPr>
              <w:pStyle w:val="DefaqtoTableBody"/>
              <w:rPr>
                <w:b/>
                <w:bCs/>
                <w:lang w:val="en-NZ"/>
              </w:rPr>
            </w:pPr>
            <w:r>
              <w:rPr>
                <w:lang w:val="en-NZ"/>
              </w:rPr>
              <w:t>(0.22%)</w:t>
            </w:r>
          </w:p>
        </w:tc>
        <w:tc>
          <w:tcPr>
            <w:tcW w:w="802" w:type="pct"/>
          </w:tcPr>
          <w:p w14:paraId="6DF3057A" w14:textId="77777777" w:rsidR="00734123" w:rsidRDefault="00CA2568">
            <w:pPr>
              <w:pStyle w:val="DefaqtoTableBody"/>
              <w:rPr>
                <w:b/>
                <w:bCs/>
                <w:lang w:val="en-NZ"/>
              </w:rPr>
            </w:pPr>
            <w:r>
              <w:rPr>
                <w:lang w:val="en-NZ"/>
              </w:rPr>
              <w:t>£0.00</w:t>
            </w:r>
          </w:p>
          <w:p w14:paraId="1F26145B" w14:textId="77777777" w:rsidR="00734123" w:rsidRDefault="00CA2568">
            <w:pPr>
              <w:pStyle w:val="DefaqtoTableBody"/>
              <w:rPr>
                <w:b/>
                <w:bCs/>
                <w:lang w:val="en-NZ"/>
              </w:rPr>
            </w:pPr>
            <w:r>
              <w:rPr>
                <w:lang w:val="en-NZ"/>
              </w:rPr>
              <w:t>(0.00%)</w:t>
            </w:r>
          </w:p>
        </w:tc>
        <w:tc>
          <w:tcPr>
            <w:tcW w:w="801" w:type="pct"/>
          </w:tcPr>
          <w:p w14:paraId="12E7A46E" w14:textId="77777777" w:rsidR="00734123" w:rsidRDefault="00CA2568">
            <w:pPr>
              <w:pStyle w:val="DefaqtoTableBody"/>
              <w:rPr>
                <w:b/>
                <w:bCs/>
                <w:lang w:val="en-NZ"/>
              </w:rPr>
            </w:pPr>
            <w:r>
              <w:rPr>
                <w:lang w:val="en-NZ"/>
              </w:rPr>
              <w:t>£307.26</w:t>
            </w:r>
          </w:p>
          <w:p w14:paraId="5B9BBA5E" w14:textId="77777777" w:rsidR="00734123" w:rsidRDefault="00CA2568">
            <w:pPr>
              <w:pStyle w:val="DefaqtoTableBody"/>
              <w:rPr>
                <w:b/>
                <w:bCs/>
                <w:lang w:val="en-NZ"/>
              </w:rPr>
            </w:pPr>
            <w:r>
              <w:rPr>
                <w:lang w:val="en-NZ"/>
              </w:rPr>
              <w:t>(0.51%)</w:t>
            </w:r>
          </w:p>
        </w:tc>
      </w:tr>
    </w:tbl>
    <w:p w14:paraId="23B2A30B" w14:textId="77777777" w:rsidR="00734123" w:rsidRDefault="00CA2568">
      <w:pPr>
        <w:pStyle w:val="Defaqtosmallprint"/>
        <w:rPr>
          <w:b/>
          <w:bCs/>
        </w:rPr>
      </w:pPr>
      <w:r>
        <w:t>* ’One-Off Costs’ represent the maximum costs that can be incurred when entering or exiting the fund and might be waived by the fund manager or distributor.</w:t>
      </w:r>
    </w:p>
    <w:p w14:paraId="1725A442" w14:textId="77777777" w:rsidR="00734123" w:rsidRDefault="00CA2568">
      <w:pPr>
        <w:pStyle w:val="DefaqtoHeading3"/>
      </w:pPr>
      <w:bookmarkStart w:id="14" w:name="_Toc10"/>
      <w:r>
        <w:t>Risk level</w:t>
      </w:r>
      <w:bookmarkEnd w:id="14"/>
    </w:p>
    <w:p w14:paraId="1A1B2FE0" w14:textId="77777777" w:rsidR="00734123" w:rsidRDefault="00CA2568">
      <w:pPr>
        <w:pStyle w:val="DefaqtoBody"/>
      </w:pPr>
      <w:r>
        <w:rPr>
          <w:lang w:val="en-NZ"/>
        </w:rPr>
        <w:t>The client’s agreed risk level is 4. The risk mapping of the new portfolio is 4 which matches the client’s agreed risk level.</w:t>
      </w:r>
    </w:p>
    <w:p w14:paraId="20086B2F" w14:textId="77777777" w:rsidR="00734123" w:rsidRDefault="00734123">
      <w:pPr>
        <w:pStyle w:val="Tag"/>
        <w:sectPr w:rsidR="00734123">
          <w:headerReference w:type="default" r:id="rId31"/>
          <w:footerReference w:type="default" r:id="rId32"/>
          <w:pgSz w:w="11907" w:h="16839" w:code="9"/>
          <w:pgMar w:top="709" w:right="640" w:bottom="376" w:left="640" w:header="200" w:footer="200" w:gutter="0"/>
          <w:cols w:space="708"/>
          <w:docGrid w:linePitch="360"/>
        </w:sectPr>
      </w:pPr>
    </w:p>
    <w:p w14:paraId="7E04B67F" w14:textId="77777777" w:rsidR="00734123" w:rsidRDefault="00CA2568">
      <w:pPr>
        <w:pStyle w:val="DefaqtoHeading3"/>
      </w:pPr>
      <w:bookmarkStart w:id="15" w:name="_Toc11"/>
      <w:r>
        <w:lastRenderedPageBreak/>
        <w:t>Combined cumulative investment performance graph</w:t>
      </w:r>
      <w:bookmarkEnd w:id="15"/>
    </w:p>
    <w:p w14:paraId="15DA30D5" w14:textId="77777777" w:rsidR="00734123" w:rsidRDefault="00CA2568">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to the performance date 02 December 2025.</w:t>
      </w:r>
    </w:p>
    <w:p w14:paraId="6E90173E" w14:textId="77777777" w:rsidR="00734123" w:rsidRDefault="00CA2568">
      <w:r>
        <w:rPr>
          <w:noProof/>
        </w:rPr>
        <w:drawing>
          <wp:inline distT="0" distB="0" distL="0" distR="0" wp14:anchorId="53F6E266" wp14:editId="41583793">
            <wp:extent cx="6731000" cy="4533900"/>
            <wp:effectExtent l="0" t="0" r="0" b="0"/>
            <wp:docPr id="17" name="Picture 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734123" w14:paraId="6AD26FC0"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28D8AABF" w14:textId="77777777" w:rsidR="00734123" w:rsidRDefault="00CA2568">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1B1B39BB"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Combined</w:t>
            </w:r>
          </w:p>
        </w:tc>
        <w:tc>
          <w:tcPr>
            <w:tcW w:w="250" w:type="pct"/>
            <w:tcBorders>
              <w:bottom w:val="single" w:sz="4" w:space="0" w:color="B0A7CF"/>
            </w:tcBorders>
          </w:tcPr>
          <w:p w14:paraId="7E827453" w14:textId="77777777" w:rsidR="00734123" w:rsidRDefault="00CA2568">
            <w:pPr>
              <w:cnfStyle w:val="100000000000" w:firstRow="1" w:lastRow="0" w:firstColumn="0" w:lastColumn="0" w:oddVBand="0" w:evenVBand="0" w:oddHBand="0" w:evenHBand="0" w:firstRowFirstColumn="0" w:firstRowLastColumn="0" w:lastRowFirstColumn="0" w:lastRowLastColumn="0"/>
              <w:rPr>
                <w:lang w:eastAsia="en-GB"/>
              </w:rPr>
            </w:pPr>
            <w:r>
              <w:rPr>
                <w:b w:val="0"/>
                <w:bCs w:val="0"/>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6DB59999"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Benchmark : Risk Level 4 Benchmark (GBP)</w:t>
            </w:r>
          </w:p>
        </w:tc>
      </w:tr>
    </w:tbl>
    <w:p w14:paraId="26160B9E" w14:textId="77777777" w:rsidR="00734123" w:rsidRDefault="00CA2568">
      <w:pPr>
        <w:pStyle w:val="DefaqtoBody"/>
      </w:pPr>
      <w:r>
        <w:rPr>
          <w:u w:color="000000"/>
        </w:rPr>
        <w:t xml:space="preserve"> </w:t>
      </w:r>
    </w:p>
    <w:p w14:paraId="36C87169" w14:textId="77777777" w:rsidR="00734123" w:rsidRDefault="00CA2568">
      <w:pPr>
        <w:pStyle w:val="DefaqtoHeading3"/>
      </w:pPr>
      <w:bookmarkStart w:id="16" w:name="_Toc12"/>
      <w:r>
        <w:t>Combined cumulative investment performance table</w:t>
      </w:r>
      <w:bookmarkEnd w:id="16"/>
    </w:p>
    <w:p w14:paraId="42B387C9" w14:textId="77777777" w:rsidR="00734123" w:rsidRDefault="00CA2568">
      <w:pPr>
        <w:pStyle w:val="DefaqtoBody"/>
      </w:pPr>
      <w:r>
        <w:rPr>
          <w:u w:color="000000"/>
        </w:rPr>
        <w:t>The table shows the combined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734123" w14:paraId="1D6B31F1"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7C6CFE29" w14:textId="77777777" w:rsidR="00734123" w:rsidRDefault="00CA2568">
            <w:pPr>
              <w:pStyle w:val="DefaqtoTableBody2"/>
            </w:pPr>
            <w:r>
              <w:t>FUND</w:t>
            </w:r>
          </w:p>
        </w:tc>
        <w:tc>
          <w:tcPr>
            <w:tcW w:w="400" w:type="pct"/>
          </w:tcPr>
          <w:p w14:paraId="7C5F6A6B"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73829111"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73041F4D"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0031BCFF"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0F2C2508"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2B9565B2"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734123" w14:paraId="789169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67B328" w14:textId="77777777" w:rsidR="00734123" w:rsidRDefault="00CA2568">
            <w:pPr>
              <w:pStyle w:val="DefaqtoTableBody2"/>
            </w:pPr>
            <w:r>
              <w:t>Combined Performance (GBP)</w:t>
            </w:r>
          </w:p>
        </w:tc>
        <w:tc>
          <w:tcPr>
            <w:tcW w:w="0" w:type="auto"/>
          </w:tcPr>
          <w:p w14:paraId="0950DFC0"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4.29</w:t>
            </w:r>
          </w:p>
        </w:tc>
        <w:tc>
          <w:tcPr>
            <w:tcW w:w="0" w:type="auto"/>
          </w:tcPr>
          <w:p w14:paraId="7EA47089"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10.07</w:t>
            </w:r>
          </w:p>
        </w:tc>
        <w:tc>
          <w:tcPr>
            <w:tcW w:w="0" w:type="auto"/>
          </w:tcPr>
          <w:p w14:paraId="057E22EC"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11.21</w:t>
            </w:r>
          </w:p>
        </w:tc>
        <w:tc>
          <w:tcPr>
            <w:tcW w:w="0" w:type="auto"/>
          </w:tcPr>
          <w:p w14:paraId="530E619E"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30.34</w:t>
            </w:r>
          </w:p>
        </w:tc>
        <w:tc>
          <w:tcPr>
            <w:tcW w:w="0" w:type="auto"/>
          </w:tcPr>
          <w:p w14:paraId="69C3D8D7"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31.28</w:t>
            </w:r>
          </w:p>
        </w:tc>
        <w:tc>
          <w:tcPr>
            <w:tcW w:w="0" w:type="auto"/>
          </w:tcPr>
          <w:p w14:paraId="1962A645"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w:t>
            </w:r>
          </w:p>
        </w:tc>
      </w:tr>
    </w:tbl>
    <w:p w14:paraId="7D90E08D" w14:textId="77777777" w:rsidR="00734123" w:rsidRDefault="00734123">
      <w:pPr>
        <w:pStyle w:val="DefaqtoBody"/>
        <w:rPr>
          <w:noProof/>
          <w:lang w:val="en-NZ"/>
        </w:rPr>
      </w:pPr>
    </w:p>
    <w:p w14:paraId="3A036A0C" w14:textId="77777777" w:rsidR="00734123" w:rsidRDefault="00734123">
      <w:pPr>
        <w:pStyle w:val="DefaqtoBody"/>
        <w:rPr>
          <w:noProof/>
          <w:lang w:val="en-NZ"/>
        </w:rPr>
      </w:pPr>
    </w:p>
    <w:p w14:paraId="30082CB2" w14:textId="77777777" w:rsidR="00734123" w:rsidRDefault="00734123">
      <w:pPr>
        <w:pStyle w:val="DefaqtoBody"/>
        <w:rPr>
          <w:noProof/>
          <w:lang w:val="en-NZ"/>
        </w:rPr>
        <w:sectPr w:rsidR="00734123">
          <w:headerReference w:type="default" r:id="rId34"/>
          <w:footerReference w:type="default" r:id="rId35"/>
          <w:pgSz w:w="11906" w:h="16838"/>
          <w:pgMar w:top="709" w:right="640" w:bottom="376" w:left="640" w:header="200" w:footer="200" w:gutter="0"/>
          <w:cols w:space="708"/>
          <w:docGrid w:linePitch="360"/>
        </w:sectPr>
      </w:pPr>
    </w:p>
    <w:p w14:paraId="44A77671" w14:textId="77777777" w:rsidR="00734123" w:rsidRDefault="00CA2568">
      <w:pPr>
        <w:pStyle w:val="DefaqtoHeading3"/>
      </w:pPr>
      <w:bookmarkStart w:id="17" w:name="_Toc13"/>
      <w:r>
        <w:lastRenderedPageBreak/>
        <w:t>Individual cumulative investment performance graph</w:t>
      </w:r>
      <w:bookmarkEnd w:id="17"/>
    </w:p>
    <w:p w14:paraId="6777955B" w14:textId="77777777" w:rsidR="00734123" w:rsidRDefault="00CA2568">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71A9A8C2" w14:textId="77777777" w:rsidR="00734123" w:rsidRDefault="00CA2568">
      <w:r>
        <w:rPr>
          <w:noProof/>
        </w:rPr>
        <w:drawing>
          <wp:inline distT="0" distB="0" distL="0" distR="0" wp14:anchorId="7058D80B" wp14:editId="1B650F71">
            <wp:extent cx="6731000" cy="4533900"/>
            <wp:effectExtent l="0" t="0" r="0" b="0"/>
            <wp:docPr id="19"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734123" w14:paraId="64E44092"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14BC1F7A" w14:textId="77777777" w:rsidR="00734123" w:rsidRDefault="00CA2568">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10104EAF"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CT Universal MAP Cautious Fund C Acc (GBP)</w:t>
            </w:r>
          </w:p>
        </w:tc>
        <w:tc>
          <w:tcPr>
            <w:tcW w:w="250" w:type="pct"/>
            <w:tcBorders>
              <w:bottom w:val="single" w:sz="4" w:space="0" w:color="B0A7CF"/>
            </w:tcBorders>
          </w:tcPr>
          <w:p w14:paraId="5CA74E5D" w14:textId="77777777" w:rsidR="00734123" w:rsidRDefault="00734123">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197627DE" w14:textId="77777777" w:rsidR="00734123" w:rsidRDefault="00734123">
            <w:pPr>
              <w:pStyle w:val="DefaqtoTableBody2"/>
              <w:cnfStyle w:val="100000000000" w:firstRow="1" w:lastRow="0" w:firstColumn="0" w:lastColumn="0" w:oddVBand="0" w:evenVBand="0" w:oddHBand="0" w:evenHBand="0" w:firstRowFirstColumn="0" w:firstRowLastColumn="0" w:lastRowFirstColumn="0" w:lastRowLastColumn="0"/>
            </w:pPr>
          </w:p>
        </w:tc>
      </w:tr>
    </w:tbl>
    <w:p w14:paraId="238E0179" w14:textId="77777777" w:rsidR="00734123" w:rsidRDefault="00CA2568">
      <w:pPr>
        <w:pStyle w:val="DefaqtoBody"/>
      </w:pPr>
      <w:r>
        <w:rPr>
          <w:u w:color="000000"/>
        </w:rPr>
        <w:t xml:space="preserve"> </w:t>
      </w:r>
    </w:p>
    <w:p w14:paraId="19DB5008" w14:textId="77777777" w:rsidR="00734123" w:rsidRDefault="00CA2568">
      <w:pPr>
        <w:pStyle w:val="DefaqtoHeading3"/>
      </w:pPr>
      <w:bookmarkStart w:id="18" w:name="_Toc14"/>
      <w:r>
        <w:t>Individual cumulative investment performance table</w:t>
      </w:r>
      <w:bookmarkEnd w:id="18"/>
    </w:p>
    <w:p w14:paraId="0D9A0AEA" w14:textId="77777777" w:rsidR="00734123" w:rsidRDefault="00CA2568">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734123" w14:paraId="670FDF2E"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69A17BD6" w14:textId="77777777" w:rsidR="00734123" w:rsidRDefault="00CA2568">
            <w:pPr>
              <w:pStyle w:val="DefaqtoTableBody2"/>
            </w:pPr>
            <w:r>
              <w:t>FUND</w:t>
            </w:r>
          </w:p>
        </w:tc>
        <w:tc>
          <w:tcPr>
            <w:tcW w:w="400" w:type="pct"/>
          </w:tcPr>
          <w:p w14:paraId="7318AFDC"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151F7313"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728E65F5"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5BEA61D6"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49B83611"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3AFF1686" w14:textId="77777777" w:rsidR="00734123" w:rsidRDefault="00CA2568">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734123" w14:paraId="1343F4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F1D302" w14:textId="77777777" w:rsidR="00734123" w:rsidRDefault="00CA2568">
            <w:pPr>
              <w:pStyle w:val="DefaqtoTableBody2"/>
            </w:pPr>
            <w:r>
              <w:t>CT Universal MAP Cautious Fund C Acc (GBP)</w:t>
            </w:r>
          </w:p>
        </w:tc>
        <w:tc>
          <w:tcPr>
            <w:tcW w:w="0" w:type="auto"/>
          </w:tcPr>
          <w:p w14:paraId="6638D1C2"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4.29</w:t>
            </w:r>
          </w:p>
        </w:tc>
        <w:tc>
          <w:tcPr>
            <w:tcW w:w="0" w:type="auto"/>
          </w:tcPr>
          <w:p w14:paraId="2CD3FE1B"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10.07</w:t>
            </w:r>
          </w:p>
        </w:tc>
        <w:tc>
          <w:tcPr>
            <w:tcW w:w="0" w:type="auto"/>
          </w:tcPr>
          <w:p w14:paraId="5BC82A99"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11.21</w:t>
            </w:r>
          </w:p>
        </w:tc>
        <w:tc>
          <w:tcPr>
            <w:tcW w:w="0" w:type="auto"/>
          </w:tcPr>
          <w:p w14:paraId="291712CA"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30.34</w:t>
            </w:r>
          </w:p>
        </w:tc>
        <w:tc>
          <w:tcPr>
            <w:tcW w:w="0" w:type="auto"/>
          </w:tcPr>
          <w:p w14:paraId="753895BD" w14:textId="77777777" w:rsidR="00734123" w:rsidRDefault="00CA2568">
            <w:pPr>
              <w:pStyle w:val="DefaqtoTableBody2"/>
              <w:jc w:val="right"/>
              <w:cnfStyle w:val="000000100000" w:firstRow="0" w:lastRow="0" w:firstColumn="0" w:lastColumn="0" w:oddVBand="0" w:evenVBand="0" w:oddHBand="1" w:evenHBand="0" w:firstRowFirstColumn="0" w:firstRowLastColumn="0" w:lastRowFirstColumn="0" w:lastRowLastColumn="0"/>
            </w:pPr>
            <w:r>
              <w:t>31.28</w:t>
            </w:r>
          </w:p>
        </w:tc>
        <w:tc>
          <w:tcPr>
            <w:tcW w:w="0" w:type="auto"/>
          </w:tcPr>
          <w:p w14:paraId="16D56302" w14:textId="77777777" w:rsidR="00734123" w:rsidRDefault="00734123">
            <w:pPr>
              <w:pStyle w:val="DefaqtoTableBody2"/>
              <w:jc w:val="right"/>
              <w:cnfStyle w:val="000000100000" w:firstRow="0" w:lastRow="0" w:firstColumn="0" w:lastColumn="0" w:oddVBand="0" w:evenVBand="0" w:oddHBand="1" w:evenHBand="0" w:firstRowFirstColumn="0" w:firstRowLastColumn="0" w:lastRowFirstColumn="0" w:lastRowLastColumn="0"/>
            </w:pPr>
          </w:p>
        </w:tc>
      </w:tr>
    </w:tbl>
    <w:p w14:paraId="30FC5CBD" w14:textId="77777777" w:rsidR="00734123" w:rsidRDefault="00734123">
      <w:pPr>
        <w:pStyle w:val="DefaqtoBody"/>
        <w:rPr>
          <w:noProof/>
          <w:lang w:val="en-NZ"/>
        </w:rPr>
      </w:pPr>
    </w:p>
    <w:p w14:paraId="5C7E7D13" w14:textId="77777777" w:rsidR="00734123" w:rsidRDefault="00734123">
      <w:pPr>
        <w:pStyle w:val="DefaqtoBody"/>
        <w:rPr>
          <w:noProof/>
          <w:lang w:val="en-NZ"/>
        </w:rPr>
        <w:sectPr w:rsidR="00734123">
          <w:headerReference w:type="default" r:id="rId36"/>
          <w:footerReference w:type="default" r:id="rId37"/>
          <w:pgSz w:w="11906" w:h="16838"/>
          <w:pgMar w:top="709" w:right="640" w:bottom="376" w:left="640" w:header="200" w:footer="200" w:gutter="0"/>
          <w:cols w:space="708"/>
          <w:docGrid w:linePitch="360"/>
        </w:sectPr>
      </w:pPr>
    </w:p>
    <w:p w14:paraId="7B912780" w14:textId="77777777" w:rsidR="00734123" w:rsidRDefault="00CA2568">
      <w:pPr>
        <w:pStyle w:val="DefaqtoHeading3"/>
      </w:pPr>
      <w:bookmarkStart w:id="19" w:name="_Toc15"/>
      <w:bookmarkStart w:id="20" w:name="_Hlk137725032"/>
      <w:r>
        <w:lastRenderedPageBreak/>
        <w:t>Combined discrete investment performance graph</w:t>
      </w:r>
      <w:bookmarkEnd w:id="19"/>
    </w:p>
    <w:p w14:paraId="0AA56565" w14:textId="77777777" w:rsidR="00734123" w:rsidRDefault="00CA2568">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for calendar years and/or the period within the current year specified.</w:t>
      </w:r>
    </w:p>
    <w:p w14:paraId="062F8BF7" w14:textId="77777777" w:rsidR="00734123" w:rsidRDefault="00CA2568">
      <w:r>
        <w:rPr>
          <w:noProof/>
        </w:rPr>
        <w:drawing>
          <wp:inline distT="0" distB="0" distL="0" distR="0" wp14:anchorId="0F0E15D4" wp14:editId="2A682D33">
            <wp:extent cx="6731000" cy="4533900"/>
            <wp:effectExtent l="0" t="0" r="0" b="0"/>
            <wp:docPr id="21" name="Picture 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stretch>
                      <a:fillRect/>
                    </a:stretch>
                  </pic:blipFill>
                  <pic:spPr>
                    <a:xfrm>
                      <a:off x="0" y="0"/>
                      <a:ext cx="6731000" cy="4533900"/>
                    </a:xfrm>
                    <a:prstGeom prst="rect">
                      <a:avLst/>
                    </a:prstGeom>
                  </pic:spPr>
                </pic:pic>
              </a:graphicData>
            </a:graphic>
          </wp:inline>
        </w:drawing>
      </w:r>
    </w:p>
    <w:bookmarkEnd w:id="20"/>
    <w:p w14:paraId="69194604" w14:textId="77777777" w:rsidR="00734123" w:rsidRDefault="00734123">
      <w:pPr>
        <w:pStyle w:val="DefaqtoBody"/>
        <w:rPr>
          <w:noProof/>
          <w:lang w:val="en-NZ"/>
        </w:rPr>
      </w:pPr>
    </w:p>
    <w:p w14:paraId="099FE5A4" w14:textId="77777777" w:rsidR="00734123" w:rsidRDefault="00CA2568">
      <w:pPr>
        <w:pStyle w:val="DefaqtoHeading3"/>
      </w:pPr>
      <w:bookmarkStart w:id="21" w:name="_Toc16"/>
      <w:r>
        <w:t>Combined discrete investment performance table</w:t>
      </w:r>
      <w:bookmarkEnd w:id="21"/>
    </w:p>
    <w:p w14:paraId="5639846A" w14:textId="77777777" w:rsidR="00734123" w:rsidRDefault="00734123">
      <w:pPr>
        <w:pStyle w:val="DefaqtoBody"/>
      </w:pP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734123" w14:paraId="5C0F7B9A"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799CD6A" w14:textId="77777777" w:rsidR="00734123" w:rsidRDefault="00CA2568">
            <w:pPr>
              <w:pStyle w:val="DefaqtoTableBody2"/>
            </w:pPr>
            <w:r>
              <w:t>Fund</w:t>
            </w:r>
          </w:p>
        </w:tc>
        <w:tc>
          <w:tcPr>
            <w:tcW w:w="500" w:type="pct"/>
          </w:tcPr>
          <w:p w14:paraId="626A65D3"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26D1357B"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42FD83C1"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12B45550"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2B399B81"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734123" w14:paraId="158F89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05B7AF" w14:textId="77777777" w:rsidR="00734123" w:rsidRDefault="00CA2568">
            <w:pPr>
              <w:pStyle w:val="DefaqtoTableBody2"/>
            </w:pPr>
            <w:r>
              <w:t>Combined Discrete Performance (GBP)</w:t>
            </w:r>
          </w:p>
        </w:tc>
        <w:tc>
          <w:tcPr>
            <w:tcW w:w="0" w:type="auto"/>
          </w:tcPr>
          <w:p w14:paraId="4B648E43"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7.1</w:t>
            </w:r>
          </w:p>
        </w:tc>
        <w:tc>
          <w:tcPr>
            <w:tcW w:w="0" w:type="auto"/>
          </w:tcPr>
          <w:p w14:paraId="6BB28A70"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-11.32</w:t>
            </w:r>
          </w:p>
        </w:tc>
        <w:tc>
          <w:tcPr>
            <w:tcW w:w="0" w:type="auto"/>
          </w:tcPr>
          <w:p w14:paraId="3B75CC52"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9.06</w:t>
            </w:r>
          </w:p>
        </w:tc>
        <w:tc>
          <w:tcPr>
            <w:tcW w:w="0" w:type="auto"/>
          </w:tcPr>
          <w:p w14:paraId="312C3357"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8.34</w:t>
            </w:r>
          </w:p>
        </w:tc>
        <w:tc>
          <w:tcPr>
            <w:tcW w:w="0" w:type="auto"/>
          </w:tcPr>
          <w:p w14:paraId="07BA6A60"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8.78</w:t>
            </w:r>
          </w:p>
        </w:tc>
      </w:tr>
    </w:tbl>
    <w:p w14:paraId="3E8FE07E" w14:textId="77777777" w:rsidR="00734123" w:rsidRDefault="00734123">
      <w:pPr>
        <w:pStyle w:val="DefaqtoBody"/>
        <w:rPr>
          <w:noProof/>
          <w:lang w:val="en-NZ"/>
        </w:rPr>
      </w:pPr>
    </w:p>
    <w:p w14:paraId="30A40FA0" w14:textId="77777777" w:rsidR="00734123" w:rsidRDefault="00CA2568">
      <w:pPr>
        <w:pStyle w:val="DefaqtoHeading3"/>
      </w:pPr>
      <w:bookmarkStart w:id="22" w:name="_Toc17"/>
      <w:r>
        <w:lastRenderedPageBreak/>
        <w:t>Individual discrete investment performance table</w:t>
      </w:r>
      <w:bookmarkEnd w:id="22"/>
    </w:p>
    <w:p w14:paraId="20F83C67" w14:textId="77777777" w:rsidR="00734123" w:rsidRDefault="00CA2568">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734123" w14:paraId="5F11FA82"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E31F5A2" w14:textId="77777777" w:rsidR="00734123" w:rsidRDefault="00CA2568">
            <w:pPr>
              <w:pStyle w:val="DefaqtoTableBody2"/>
            </w:pPr>
            <w:r>
              <w:t>Fund</w:t>
            </w:r>
          </w:p>
        </w:tc>
        <w:tc>
          <w:tcPr>
            <w:tcW w:w="500" w:type="pct"/>
          </w:tcPr>
          <w:p w14:paraId="0DA94D3A"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330469D6"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4B5D0052"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49E231DD"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059FD098"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734123" w14:paraId="3D7E14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C43C45" w14:textId="77777777" w:rsidR="00734123" w:rsidRDefault="00CA2568">
            <w:pPr>
              <w:pStyle w:val="DefaqtoTableBody2"/>
            </w:pPr>
            <w:r>
              <w:t>CT Universal MAP Cautious Fund C Acc</w:t>
            </w:r>
          </w:p>
        </w:tc>
        <w:tc>
          <w:tcPr>
            <w:tcW w:w="0" w:type="auto"/>
          </w:tcPr>
          <w:p w14:paraId="36490440"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7.1</w:t>
            </w:r>
          </w:p>
        </w:tc>
        <w:tc>
          <w:tcPr>
            <w:tcW w:w="0" w:type="auto"/>
          </w:tcPr>
          <w:p w14:paraId="2A34D548"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-11.32</w:t>
            </w:r>
          </w:p>
        </w:tc>
        <w:tc>
          <w:tcPr>
            <w:tcW w:w="0" w:type="auto"/>
          </w:tcPr>
          <w:p w14:paraId="47E6F051"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9.06</w:t>
            </w:r>
          </w:p>
        </w:tc>
        <w:tc>
          <w:tcPr>
            <w:tcW w:w="0" w:type="auto"/>
          </w:tcPr>
          <w:p w14:paraId="019E2002"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8.34</w:t>
            </w:r>
          </w:p>
        </w:tc>
        <w:tc>
          <w:tcPr>
            <w:tcW w:w="0" w:type="auto"/>
          </w:tcPr>
          <w:p w14:paraId="2A3E9244"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8.78</w:t>
            </w:r>
          </w:p>
        </w:tc>
      </w:tr>
    </w:tbl>
    <w:p w14:paraId="28E9D58B" w14:textId="77777777" w:rsidR="00734123" w:rsidRDefault="00734123">
      <w:pPr>
        <w:pStyle w:val="DefaqtoBody"/>
        <w:rPr>
          <w:noProof/>
          <w:lang w:val="en-NZ"/>
        </w:rPr>
      </w:pPr>
    </w:p>
    <w:p w14:paraId="2DB1F317" w14:textId="77777777" w:rsidR="00734123" w:rsidRDefault="00734123">
      <w:pPr>
        <w:rPr>
          <w:noProof/>
        </w:rPr>
        <w:sectPr w:rsidR="00734123">
          <w:headerReference w:type="default" r:id="rId39"/>
          <w:footerReference w:type="default" r:id="rId40"/>
          <w:pgSz w:w="11906" w:h="16838"/>
          <w:pgMar w:top="709" w:right="640" w:bottom="376" w:left="640" w:header="200" w:footer="200" w:gutter="0"/>
          <w:cols w:space="708"/>
          <w:docGrid w:linePitch="360"/>
        </w:sectPr>
      </w:pPr>
    </w:p>
    <w:p w14:paraId="1EC778AC" w14:textId="77777777" w:rsidR="00734123" w:rsidRDefault="00CA2568">
      <w:pPr>
        <w:pStyle w:val="DefaqtoHeading3"/>
      </w:pPr>
      <w:bookmarkStart w:id="23" w:name="_Toc18"/>
      <w:r>
        <w:lastRenderedPageBreak/>
        <w:t>Combined top ten holdings</w:t>
      </w:r>
      <w:bookmarkEnd w:id="23"/>
    </w:p>
    <w:p w14:paraId="656D249E" w14:textId="77777777" w:rsidR="00734123" w:rsidRDefault="00CA2568">
      <w:pPr>
        <w:pStyle w:val="DefaqtoBody"/>
        <w:rPr>
          <w:noProof/>
          <w:lang w:val="en-NZ"/>
        </w:rPr>
      </w:pPr>
      <w:r>
        <w:rPr>
          <w:rFonts w:eastAsia="Poppins" w:cs="Poppins"/>
        </w:rPr>
        <w:t>The table shows the combined investments top ten holdings for the portfolio.</w:t>
      </w:r>
      <w:r>
        <w:br/>
      </w:r>
    </w:p>
    <w:tbl>
      <w:tblPr>
        <w:tblStyle w:val="DefaqtoTable"/>
        <w:tblW w:w="5000" w:type="pct"/>
        <w:tblCellSpacing w:w="-20" w:type="dxa"/>
        <w:tblCellMar>
          <w:top w:w="15" w:type="dxa"/>
          <w:left w:w="15" w:type="dxa"/>
          <w:bottom w:w="15" w:type="dxa"/>
          <w:right w:w="15" w:type="dxa"/>
        </w:tblCellMar>
        <w:tblLook w:val="04A0" w:firstRow="1" w:lastRow="0" w:firstColumn="1" w:lastColumn="0" w:noHBand="0" w:noVBand="1"/>
      </w:tblPr>
      <w:tblGrid>
        <w:gridCol w:w="8755"/>
        <w:gridCol w:w="1861"/>
      </w:tblGrid>
      <w:tr w:rsidR="00734123" w14:paraId="1252C7E6" w14:textId="77777777" w:rsidTr="00734123">
        <w:trPr>
          <w:cnfStyle w:val="100000000000" w:firstRow="1" w:lastRow="0" w:firstColumn="0" w:lastColumn="0" w:oddVBand="0" w:evenVBand="0" w:oddHBand="0"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7229BD7" w14:textId="77777777" w:rsidR="00734123" w:rsidRDefault="00CA2568">
            <w:pPr>
              <w:spacing w:before="60" w:after="20"/>
            </w:pPr>
            <w:r>
              <w:rPr>
                <w:rFonts w:ascii="Poppins" w:eastAsia="Poppins" w:hAnsi="Poppins" w:cs="Poppins"/>
                <w:sz w:val="16"/>
                <w:szCs w:val="16"/>
              </w:rPr>
              <w:t>Name</w:t>
            </w:r>
          </w:p>
        </w:tc>
        <w:tc>
          <w:tcPr>
            <w:tcW w:w="0" w:type="auto"/>
            <w:tcMar>
              <w:left w:w="110" w:type="dxa"/>
              <w:right w:w="110" w:type="dxa"/>
            </w:tcMar>
          </w:tcPr>
          <w:p w14:paraId="75C143CB" w14:textId="77777777" w:rsidR="00734123" w:rsidRDefault="00CA2568">
            <w:pPr>
              <w:spacing w:before="60" w:after="20"/>
              <w:jc w:val="right"/>
              <w:cnfStyle w:val="100000000000" w:firstRow="1" w:lastRow="0" w:firstColumn="0" w:lastColumn="0" w:oddVBand="0" w:evenVBand="0" w:oddHBand="0" w:evenHBand="0" w:firstRowFirstColumn="0" w:firstRowLastColumn="0" w:lastRowFirstColumn="0" w:lastRowLastColumn="0"/>
            </w:pPr>
            <w:r>
              <w:rPr>
                <w:rFonts w:ascii="Poppins" w:eastAsia="Poppins" w:hAnsi="Poppins" w:cs="Poppins"/>
                <w:sz w:val="16"/>
                <w:szCs w:val="16"/>
              </w:rPr>
              <w:t>Portfolio %</w:t>
            </w:r>
          </w:p>
        </w:tc>
      </w:tr>
      <w:tr w:rsidR="00734123" w14:paraId="3454F99F" w14:textId="77777777" w:rsidTr="00734123">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CCB6D7E" w14:textId="77777777" w:rsidR="00734123" w:rsidRDefault="00CA2568">
            <w:pPr>
              <w:spacing w:before="60" w:after="20"/>
            </w:pPr>
            <w:r>
              <w:rPr>
                <w:rFonts w:ascii="Poppins" w:eastAsia="Poppins" w:hAnsi="Poppins" w:cs="Poppins"/>
                <w:sz w:val="16"/>
                <w:szCs w:val="16"/>
              </w:rPr>
              <w:t>NVIDIA Corp</w:t>
            </w:r>
          </w:p>
        </w:tc>
        <w:tc>
          <w:tcPr>
            <w:tcW w:w="0" w:type="auto"/>
            <w:tcMar>
              <w:left w:w="110" w:type="dxa"/>
              <w:right w:w="110" w:type="dxa"/>
            </w:tcMar>
          </w:tcPr>
          <w:p w14:paraId="73343152" w14:textId="77777777" w:rsidR="00734123" w:rsidRDefault="00CA2568">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2.08</w:t>
            </w:r>
          </w:p>
        </w:tc>
      </w:tr>
      <w:tr w:rsidR="00734123" w14:paraId="1292B8F8" w14:textId="77777777" w:rsidTr="00734123">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AF912B7" w14:textId="77777777" w:rsidR="00734123" w:rsidRDefault="00CA2568">
            <w:pPr>
              <w:spacing w:before="60" w:after="20"/>
            </w:pPr>
            <w:r>
              <w:rPr>
                <w:rFonts w:ascii="Poppins" w:eastAsia="Poppins" w:hAnsi="Poppins" w:cs="Poppins"/>
                <w:sz w:val="16"/>
                <w:szCs w:val="16"/>
              </w:rPr>
              <w:t>CT Sterling Corporate Bond Ins X GrsAcc</w:t>
            </w:r>
          </w:p>
        </w:tc>
        <w:tc>
          <w:tcPr>
            <w:tcW w:w="0" w:type="auto"/>
            <w:tcMar>
              <w:left w:w="110" w:type="dxa"/>
              <w:right w:w="110" w:type="dxa"/>
            </w:tcMar>
          </w:tcPr>
          <w:p w14:paraId="004FDB0A" w14:textId="77777777" w:rsidR="00734123" w:rsidRDefault="00CA2568">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1.97</w:t>
            </w:r>
          </w:p>
        </w:tc>
      </w:tr>
      <w:tr w:rsidR="00734123" w14:paraId="178DDCA2" w14:textId="77777777" w:rsidTr="00734123">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1CECDA0" w14:textId="77777777" w:rsidR="00734123" w:rsidRDefault="00CA2568">
            <w:pPr>
              <w:spacing w:before="60" w:after="20"/>
            </w:pPr>
            <w:r>
              <w:rPr>
                <w:rFonts w:ascii="Poppins" w:eastAsia="Poppins" w:hAnsi="Poppins" w:cs="Poppins"/>
                <w:sz w:val="16"/>
                <w:szCs w:val="16"/>
              </w:rPr>
              <w:t>Apple Inc</w:t>
            </w:r>
          </w:p>
        </w:tc>
        <w:tc>
          <w:tcPr>
            <w:tcW w:w="0" w:type="auto"/>
            <w:tcMar>
              <w:left w:w="110" w:type="dxa"/>
              <w:right w:w="110" w:type="dxa"/>
            </w:tcMar>
          </w:tcPr>
          <w:p w14:paraId="15B33891" w14:textId="77777777" w:rsidR="00734123" w:rsidRDefault="00CA2568">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1.58</w:t>
            </w:r>
          </w:p>
        </w:tc>
      </w:tr>
      <w:tr w:rsidR="00734123" w14:paraId="12538F32" w14:textId="77777777" w:rsidTr="00734123">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855F10B" w14:textId="77777777" w:rsidR="00734123" w:rsidRDefault="00CA2568">
            <w:pPr>
              <w:spacing w:before="60" w:after="20"/>
            </w:pPr>
            <w:r>
              <w:rPr>
                <w:rFonts w:ascii="Poppins" w:eastAsia="Poppins" w:hAnsi="Poppins" w:cs="Poppins"/>
                <w:sz w:val="16"/>
                <w:szCs w:val="16"/>
              </w:rPr>
              <w:t>United Kingdom of Great Britain and Northern Ireland</w:t>
            </w:r>
          </w:p>
        </w:tc>
        <w:tc>
          <w:tcPr>
            <w:tcW w:w="0" w:type="auto"/>
            <w:tcMar>
              <w:left w:w="110" w:type="dxa"/>
              <w:right w:w="110" w:type="dxa"/>
            </w:tcMar>
          </w:tcPr>
          <w:p w14:paraId="540D03B1" w14:textId="77777777" w:rsidR="00734123" w:rsidRDefault="00CA2568">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1.02</w:t>
            </w:r>
          </w:p>
        </w:tc>
      </w:tr>
      <w:tr w:rsidR="00734123" w14:paraId="6C3F4064" w14:textId="77777777" w:rsidTr="00734123">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AA9283D" w14:textId="77777777" w:rsidR="00734123" w:rsidRDefault="00CA2568">
            <w:pPr>
              <w:spacing w:before="60" w:after="20"/>
            </w:pPr>
            <w:r>
              <w:rPr>
                <w:rFonts w:ascii="Poppins" w:eastAsia="Poppins" w:hAnsi="Poppins" w:cs="Poppins"/>
                <w:sz w:val="16"/>
                <w:szCs w:val="16"/>
              </w:rPr>
              <w:t>Microsoft Corp</w:t>
            </w:r>
          </w:p>
        </w:tc>
        <w:tc>
          <w:tcPr>
            <w:tcW w:w="0" w:type="auto"/>
            <w:tcMar>
              <w:left w:w="110" w:type="dxa"/>
              <w:right w:w="110" w:type="dxa"/>
            </w:tcMar>
          </w:tcPr>
          <w:p w14:paraId="3679730B" w14:textId="77777777" w:rsidR="00734123" w:rsidRDefault="00CA2568">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1.01</w:t>
            </w:r>
          </w:p>
        </w:tc>
      </w:tr>
      <w:tr w:rsidR="00734123" w14:paraId="317FDC58" w14:textId="77777777" w:rsidTr="00734123">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1961C89" w14:textId="77777777" w:rsidR="00734123" w:rsidRDefault="00CA2568">
            <w:pPr>
              <w:spacing w:before="60" w:after="20"/>
            </w:pPr>
            <w:r>
              <w:rPr>
                <w:rFonts w:ascii="Poppins" w:eastAsia="Poppins" w:hAnsi="Poppins" w:cs="Poppins"/>
                <w:sz w:val="16"/>
                <w:szCs w:val="16"/>
              </w:rPr>
              <w:t>Amazon.com Inc</w:t>
            </w:r>
          </w:p>
        </w:tc>
        <w:tc>
          <w:tcPr>
            <w:tcW w:w="0" w:type="auto"/>
            <w:tcMar>
              <w:left w:w="110" w:type="dxa"/>
              <w:right w:w="110" w:type="dxa"/>
            </w:tcMar>
          </w:tcPr>
          <w:p w14:paraId="06D1964E" w14:textId="77777777" w:rsidR="00734123" w:rsidRDefault="00CA2568">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0.99</w:t>
            </w:r>
          </w:p>
        </w:tc>
      </w:tr>
      <w:tr w:rsidR="00734123" w14:paraId="23C445DD" w14:textId="77777777" w:rsidTr="00734123">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1134E3AE" w14:textId="77777777" w:rsidR="00734123" w:rsidRDefault="00CA2568">
            <w:pPr>
              <w:spacing w:before="60" w:after="20"/>
            </w:pPr>
            <w:r>
              <w:rPr>
                <w:rFonts w:ascii="Poppins" w:eastAsia="Poppins" w:hAnsi="Poppins" w:cs="Poppins"/>
                <w:sz w:val="16"/>
                <w:szCs w:val="16"/>
              </w:rPr>
              <w:t>United States Treasury Notes</w:t>
            </w:r>
          </w:p>
        </w:tc>
        <w:tc>
          <w:tcPr>
            <w:tcW w:w="0" w:type="auto"/>
            <w:tcMar>
              <w:left w:w="110" w:type="dxa"/>
              <w:right w:w="110" w:type="dxa"/>
            </w:tcMar>
          </w:tcPr>
          <w:p w14:paraId="350F372B" w14:textId="77777777" w:rsidR="00734123" w:rsidRDefault="00CA2568">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0.93</w:t>
            </w:r>
          </w:p>
        </w:tc>
      </w:tr>
      <w:tr w:rsidR="00734123" w14:paraId="60EE4A48" w14:textId="77777777" w:rsidTr="00734123">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BB8EF93" w14:textId="77777777" w:rsidR="00734123" w:rsidRDefault="00CA2568">
            <w:pPr>
              <w:spacing w:before="60" w:after="20"/>
            </w:pPr>
            <w:r>
              <w:rPr>
                <w:rFonts w:ascii="Poppins" w:eastAsia="Poppins" w:hAnsi="Poppins" w:cs="Poppins"/>
                <w:sz w:val="16"/>
                <w:szCs w:val="16"/>
              </w:rPr>
              <w:t>United Kingdom of Great Britain and Northern Ireland</w:t>
            </w:r>
          </w:p>
        </w:tc>
        <w:tc>
          <w:tcPr>
            <w:tcW w:w="0" w:type="auto"/>
            <w:tcMar>
              <w:left w:w="110" w:type="dxa"/>
              <w:right w:w="110" w:type="dxa"/>
            </w:tcMar>
          </w:tcPr>
          <w:p w14:paraId="40CBAE66" w14:textId="77777777" w:rsidR="00734123" w:rsidRDefault="00CA2568">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0.92</w:t>
            </w:r>
          </w:p>
        </w:tc>
      </w:tr>
      <w:tr w:rsidR="00734123" w14:paraId="6DE5C888" w14:textId="77777777" w:rsidTr="00734123">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0A49415" w14:textId="77777777" w:rsidR="00734123" w:rsidRDefault="00CA2568">
            <w:pPr>
              <w:spacing w:before="60" w:after="20"/>
            </w:pPr>
            <w:r>
              <w:rPr>
                <w:rFonts w:ascii="Poppins" w:eastAsia="Poppins" w:hAnsi="Poppins" w:cs="Poppins"/>
                <w:sz w:val="16"/>
                <w:szCs w:val="16"/>
              </w:rPr>
              <w:t>iShares Global HY Corp Bd ETF GBP H Dist</w:t>
            </w:r>
          </w:p>
        </w:tc>
        <w:tc>
          <w:tcPr>
            <w:tcW w:w="0" w:type="auto"/>
            <w:tcMar>
              <w:left w:w="110" w:type="dxa"/>
              <w:right w:w="110" w:type="dxa"/>
            </w:tcMar>
          </w:tcPr>
          <w:p w14:paraId="34D1C0FF" w14:textId="77777777" w:rsidR="00734123" w:rsidRDefault="00CA2568">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0.89</w:t>
            </w:r>
          </w:p>
        </w:tc>
      </w:tr>
      <w:tr w:rsidR="00734123" w14:paraId="357E687E" w14:textId="77777777" w:rsidTr="00734123">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34AF7B4" w14:textId="77777777" w:rsidR="00734123" w:rsidRDefault="00CA2568">
            <w:pPr>
              <w:spacing w:before="60" w:after="20"/>
            </w:pPr>
            <w:r>
              <w:rPr>
                <w:rFonts w:ascii="Poppins" w:eastAsia="Poppins" w:hAnsi="Poppins" w:cs="Poppins"/>
                <w:sz w:val="16"/>
                <w:szCs w:val="16"/>
              </w:rPr>
              <w:t>United Kingdom of Great Britain and Northern Ireland 4.125%</w:t>
            </w:r>
          </w:p>
        </w:tc>
        <w:tc>
          <w:tcPr>
            <w:tcW w:w="0" w:type="auto"/>
            <w:tcMar>
              <w:left w:w="110" w:type="dxa"/>
              <w:right w:w="110" w:type="dxa"/>
            </w:tcMar>
          </w:tcPr>
          <w:p w14:paraId="0E0D7642" w14:textId="77777777" w:rsidR="00734123" w:rsidRDefault="00CA2568">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0.84</w:t>
            </w:r>
          </w:p>
        </w:tc>
      </w:tr>
    </w:tbl>
    <w:p w14:paraId="4D7B6B2F" w14:textId="77777777" w:rsidR="00734123" w:rsidRDefault="00CA2568">
      <w:pPr>
        <w:spacing w:after="280" w:afterAutospacing="1"/>
        <w:sectPr w:rsidR="00734123">
          <w:headerReference w:type="default" r:id="rId41"/>
          <w:footerReference w:type="default" r:id="rId42"/>
          <w:pgSz w:w="11906" w:h="16838"/>
          <w:pgMar w:top="709" w:right="640" w:bottom="376" w:left="640" w:header="200" w:footer="200" w:gutter="0"/>
          <w:cols w:space="708"/>
          <w:docGrid w:linePitch="360"/>
        </w:sectPr>
      </w:pPr>
      <w:r>
        <w:rPr>
          <w:noProof/>
          <w:lang w:val="en-NZ"/>
        </w:rPr>
        <w:br/>
      </w:r>
    </w:p>
    <w:p w14:paraId="12CBD9DF" w14:textId="77777777" w:rsidR="00734123" w:rsidRDefault="00CA2568">
      <w:pPr>
        <w:pStyle w:val="DefaqtoHeading3"/>
        <w:rPr>
          <w:lang w:val="en-GB"/>
        </w:rPr>
      </w:pPr>
      <w:bookmarkStart w:id="24" w:name="_Toc19"/>
      <w:r>
        <w:lastRenderedPageBreak/>
        <w:t>Asset allocation</w:t>
      </w:r>
      <w:bookmarkEnd w:id="24"/>
    </w:p>
    <w:p w14:paraId="3171F3CA" w14:textId="77777777" w:rsidR="00734123" w:rsidRDefault="00734123">
      <w:pPr>
        <w:pStyle w:val="DefaqtoBody"/>
        <w:rPr>
          <w:noProof/>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734123" w14:paraId="38FF10E8" w14:textId="77777777">
        <w:trPr>
          <w:tblCellSpacing w:w="15" w:type="dxa"/>
        </w:trPr>
        <w:tc>
          <w:tcPr>
            <w:tcW w:w="1000" w:type="pct"/>
          </w:tcPr>
          <w:p w14:paraId="7BA25390" w14:textId="77777777" w:rsidR="00734123" w:rsidRDefault="00CA2568">
            <w:pPr>
              <w:spacing w:after="0"/>
            </w:pPr>
            <w:r>
              <w:pict w14:anchorId="799AC66E">
                <v:shape id="_x0000_i103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734123" w14:paraId="2159B046" w14:textId="77777777">
              <w:trPr>
                <w:trHeight w:val="400"/>
                <w:tblCellSpacing w:w="15" w:type="dxa"/>
              </w:trPr>
              <w:tc>
                <w:tcPr>
                  <w:tcW w:w="120" w:type="dxa"/>
                  <w:gridSpan w:val="2"/>
                  <w:tcBorders>
                    <w:bottom w:val="single" w:sz="4" w:space="0" w:color="000000"/>
                  </w:tcBorders>
                </w:tcPr>
                <w:p w14:paraId="1D6CAA95" w14:textId="77777777" w:rsidR="00734123" w:rsidRDefault="00CA2568">
                  <w:pPr>
                    <w:spacing w:after="0" w:line="240" w:lineRule="auto"/>
                  </w:pPr>
                  <w:r>
                    <w:rPr>
                      <w:rFonts w:ascii="Poppins" w:eastAsia="Poppins" w:hAnsi="Poppins" w:cs="Poppins"/>
                      <w:b/>
                      <w:bCs/>
                      <w:sz w:val="16"/>
                      <w:szCs w:val="16"/>
                    </w:rPr>
                    <w:t>ASSET ALLOCATION⁽¹⁾</w:t>
                  </w:r>
                </w:p>
              </w:tc>
              <w:tc>
                <w:tcPr>
                  <w:tcW w:w="550" w:type="pct"/>
                  <w:tcBorders>
                    <w:bottom w:val="single" w:sz="4" w:space="0" w:color="000000"/>
                  </w:tcBorders>
                </w:tcPr>
                <w:p w14:paraId="6CD8E5ED" w14:textId="77777777" w:rsidR="00734123" w:rsidRDefault="00CA2568">
                  <w:pPr>
                    <w:spacing w:after="0" w:line="240" w:lineRule="auto"/>
                    <w:jc w:val="right"/>
                  </w:pPr>
                  <w:r>
                    <w:rPr>
                      <w:rFonts w:ascii="Poppins" w:eastAsia="Poppins" w:hAnsi="Poppins" w:cs="Poppins"/>
                      <w:b/>
                      <w:bCs/>
                      <w:sz w:val="16"/>
                      <w:szCs w:val="16"/>
                    </w:rPr>
                    <w:t xml:space="preserve">NET %⁽²⁾ </w:t>
                  </w:r>
                </w:p>
              </w:tc>
              <w:tc>
                <w:tcPr>
                  <w:tcW w:w="550" w:type="pct"/>
                  <w:tcBorders>
                    <w:bottom w:val="single" w:sz="4" w:space="0" w:color="000000"/>
                  </w:tcBorders>
                </w:tcPr>
                <w:p w14:paraId="57F9A018" w14:textId="77777777" w:rsidR="00734123" w:rsidRDefault="00CA2568">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1E7FA13F" w14:textId="77777777" w:rsidR="00734123" w:rsidRDefault="00CA2568">
                  <w:pPr>
                    <w:spacing w:after="0" w:line="240" w:lineRule="auto"/>
                    <w:jc w:val="right"/>
                  </w:pPr>
                  <w:r>
                    <w:rPr>
                      <w:rFonts w:ascii="Poppins" w:eastAsia="Poppins" w:hAnsi="Poppins" w:cs="Poppins"/>
                      <w:b/>
                      <w:bCs/>
                      <w:sz w:val="16"/>
                      <w:szCs w:val="16"/>
                    </w:rPr>
                    <w:t>LONG %</w:t>
                  </w:r>
                </w:p>
              </w:tc>
            </w:tr>
            <w:tr w:rsidR="00734123" w14:paraId="5F2778CE" w14:textId="77777777">
              <w:trPr>
                <w:tblCellSpacing w:w="15" w:type="dxa"/>
              </w:trPr>
              <w:tc>
                <w:tcPr>
                  <w:tcW w:w="0" w:type="auto"/>
                  <w:vAlign w:val="center"/>
                </w:tcPr>
                <w:p w14:paraId="08CC44BA" w14:textId="77777777" w:rsidR="00734123" w:rsidRDefault="00CA2568">
                  <w:pPr>
                    <w:spacing w:after="0" w:line="240" w:lineRule="auto"/>
                  </w:pPr>
                  <w:r>
                    <w:rPr>
                      <w:rFonts w:ascii="Wingdings" w:eastAsia="Wingdings" w:hAnsi="Wingdings" w:cs="Wingdings"/>
                      <w:color w:val="A0A5A9"/>
                      <w:sz w:val="16"/>
                      <w:szCs w:val="16"/>
                    </w:rPr>
                    <w:t>l</w:t>
                  </w:r>
                </w:p>
              </w:tc>
              <w:tc>
                <w:tcPr>
                  <w:tcW w:w="0" w:type="auto"/>
                  <w:vAlign w:val="center"/>
                </w:tcPr>
                <w:p w14:paraId="1F753823" w14:textId="77777777" w:rsidR="00734123" w:rsidRDefault="00CA2568">
                  <w:pPr>
                    <w:spacing w:after="0" w:line="240" w:lineRule="auto"/>
                  </w:pPr>
                  <w:r>
                    <w:rPr>
                      <w:rFonts w:ascii="Poppins" w:eastAsia="Poppins" w:hAnsi="Poppins" w:cs="Poppins"/>
                      <w:sz w:val="16"/>
                      <w:szCs w:val="16"/>
                    </w:rPr>
                    <w:t>Global (ex-UK) Fixed Income</w:t>
                  </w:r>
                </w:p>
              </w:tc>
              <w:tc>
                <w:tcPr>
                  <w:tcW w:w="550" w:type="pct"/>
                  <w:vAlign w:val="center"/>
                </w:tcPr>
                <w:p w14:paraId="6EF762C4" w14:textId="77777777" w:rsidR="00734123" w:rsidRDefault="00CA2568">
                  <w:pPr>
                    <w:spacing w:after="0" w:line="240" w:lineRule="auto"/>
                    <w:jc w:val="right"/>
                  </w:pPr>
                  <w:r>
                    <w:rPr>
                      <w:rFonts w:ascii="Poppins" w:eastAsia="Poppins" w:hAnsi="Poppins" w:cs="Poppins"/>
                      <w:sz w:val="16"/>
                      <w:szCs w:val="16"/>
                    </w:rPr>
                    <w:t>39.94</w:t>
                  </w:r>
                </w:p>
              </w:tc>
              <w:tc>
                <w:tcPr>
                  <w:tcW w:w="550" w:type="pct"/>
                  <w:vAlign w:val="center"/>
                </w:tcPr>
                <w:p w14:paraId="2394E10E" w14:textId="77777777" w:rsidR="00734123" w:rsidRDefault="00CA2568">
                  <w:pPr>
                    <w:spacing w:after="0" w:line="240" w:lineRule="auto"/>
                    <w:jc w:val="right"/>
                  </w:pPr>
                  <w:r>
                    <w:rPr>
                      <w:rFonts w:ascii="Poppins" w:eastAsia="Poppins" w:hAnsi="Poppins" w:cs="Poppins"/>
                      <w:sz w:val="16"/>
                      <w:szCs w:val="16"/>
                    </w:rPr>
                    <w:t>-5.57</w:t>
                  </w:r>
                </w:p>
              </w:tc>
              <w:tc>
                <w:tcPr>
                  <w:tcW w:w="550" w:type="pct"/>
                  <w:vAlign w:val="center"/>
                </w:tcPr>
                <w:p w14:paraId="218AA6A3" w14:textId="77777777" w:rsidR="00734123" w:rsidRDefault="00CA2568">
                  <w:pPr>
                    <w:spacing w:after="0" w:line="240" w:lineRule="auto"/>
                    <w:jc w:val="right"/>
                  </w:pPr>
                  <w:r>
                    <w:rPr>
                      <w:rFonts w:ascii="Poppins" w:eastAsia="Poppins" w:hAnsi="Poppins" w:cs="Poppins"/>
                      <w:sz w:val="16"/>
                      <w:szCs w:val="16"/>
                    </w:rPr>
                    <w:t>45.51</w:t>
                  </w:r>
                </w:p>
              </w:tc>
            </w:tr>
            <w:tr w:rsidR="00734123" w14:paraId="7682FC74" w14:textId="77777777">
              <w:trPr>
                <w:tblCellSpacing w:w="15" w:type="dxa"/>
              </w:trPr>
              <w:tc>
                <w:tcPr>
                  <w:tcW w:w="0" w:type="auto"/>
                  <w:vAlign w:val="center"/>
                </w:tcPr>
                <w:p w14:paraId="08525C84" w14:textId="77777777" w:rsidR="00734123" w:rsidRDefault="00CA2568">
                  <w:pPr>
                    <w:spacing w:after="0" w:line="240" w:lineRule="auto"/>
                  </w:pPr>
                  <w:r>
                    <w:rPr>
                      <w:rFonts w:ascii="Wingdings" w:eastAsia="Wingdings" w:hAnsi="Wingdings" w:cs="Wingdings"/>
                      <w:color w:val="8E44AD"/>
                      <w:sz w:val="16"/>
                      <w:szCs w:val="16"/>
                    </w:rPr>
                    <w:t>l</w:t>
                  </w:r>
                </w:p>
              </w:tc>
              <w:tc>
                <w:tcPr>
                  <w:tcW w:w="0" w:type="auto"/>
                  <w:vAlign w:val="center"/>
                </w:tcPr>
                <w:p w14:paraId="5AB3FA16" w14:textId="77777777" w:rsidR="00734123" w:rsidRDefault="00CA2568">
                  <w:pPr>
                    <w:spacing w:after="0" w:line="240" w:lineRule="auto"/>
                  </w:pPr>
                  <w:r>
                    <w:rPr>
                      <w:rFonts w:ascii="Poppins" w:eastAsia="Poppins" w:hAnsi="Poppins" w:cs="Poppins"/>
                      <w:sz w:val="16"/>
                      <w:szCs w:val="16"/>
                    </w:rPr>
                    <w:t>North America Equity</w:t>
                  </w:r>
                </w:p>
              </w:tc>
              <w:tc>
                <w:tcPr>
                  <w:tcW w:w="550" w:type="pct"/>
                  <w:vAlign w:val="center"/>
                </w:tcPr>
                <w:p w14:paraId="458DF86E" w14:textId="77777777" w:rsidR="00734123" w:rsidRDefault="00CA2568">
                  <w:pPr>
                    <w:spacing w:after="0" w:line="240" w:lineRule="auto"/>
                    <w:jc w:val="right"/>
                  </w:pPr>
                  <w:r>
                    <w:rPr>
                      <w:rFonts w:ascii="Poppins" w:eastAsia="Poppins" w:hAnsi="Poppins" w:cs="Poppins"/>
                      <w:sz w:val="16"/>
                      <w:szCs w:val="16"/>
                    </w:rPr>
                    <w:t>22.30</w:t>
                  </w:r>
                </w:p>
              </w:tc>
              <w:tc>
                <w:tcPr>
                  <w:tcW w:w="550" w:type="pct"/>
                  <w:vAlign w:val="center"/>
                </w:tcPr>
                <w:p w14:paraId="72807703"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4562B33D" w14:textId="77777777" w:rsidR="00734123" w:rsidRDefault="00CA2568">
                  <w:pPr>
                    <w:spacing w:after="0" w:line="240" w:lineRule="auto"/>
                    <w:jc w:val="right"/>
                  </w:pPr>
                  <w:r>
                    <w:rPr>
                      <w:rFonts w:ascii="Poppins" w:eastAsia="Poppins" w:hAnsi="Poppins" w:cs="Poppins"/>
                      <w:sz w:val="16"/>
                      <w:szCs w:val="16"/>
                    </w:rPr>
                    <w:t>22.30</w:t>
                  </w:r>
                </w:p>
              </w:tc>
            </w:tr>
            <w:tr w:rsidR="00734123" w14:paraId="7C70F3A2" w14:textId="77777777">
              <w:trPr>
                <w:tblCellSpacing w:w="15" w:type="dxa"/>
              </w:trPr>
              <w:tc>
                <w:tcPr>
                  <w:tcW w:w="0" w:type="auto"/>
                  <w:vAlign w:val="center"/>
                </w:tcPr>
                <w:p w14:paraId="1A1BF16B" w14:textId="77777777" w:rsidR="00734123" w:rsidRDefault="00CA2568">
                  <w:pPr>
                    <w:spacing w:after="0" w:line="240" w:lineRule="auto"/>
                  </w:pPr>
                  <w:r>
                    <w:rPr>
                      <w:rFonts w:ascii="Wingdings" w:eastAsia="Wingdings" w:hAnsi="Wingdings" w:cs="Wingdings"/>
                      <w:color w:val="FFE382"/>
                      <w:sz w:val="16"/>
                      <w:szCs w:val="16"/>
                    </w:rPr>
                    <w:t>l</w:t>
                  </w:r>
                </w:p>
              </w:tc>
              <w:tc>
                <w:tcPr>
                  <w:tcW w:w="0" w:type="auto"/>
                  <w:vAlign w:val="center"/>
                </w:tcPr>
                <w:p w14:paraId="3D095257" w14:textId="77777777" w:rsidR="00734123" w:rsidRDefault="00CA2568">
                  <w:pPr>
                    <w:spacing w:after="0" w:line="240" w:lineRule="auto"/>
                  </w:pPr>
                  <w:r>
                    <w:rPr>
                      <w:rFonts w:ascii="Poppins" w:eastAsia="Poppins" w:hAnsi="Poppins" w:cs="Poppins"/>
                      <w:sz w:val="16"/>
                      <w:szCs w:val="16"/>
                    </w:rPr>
                    <w:t>UK Equity</w:t>
                  </w:r>
                </w:p>
              </w:tc>
              <w:tc>
                <w:tcPr>
                  <w:tcW w:w="550" w:type="pct"/>
                  <w:vAlign w:val="center"/>
                </w:tcPr>
                <w:p w14:paraId="29A89D7D" w14:textId="77777777" w:rsidR="00734123" w:rsidRDefault="00CA2568">
                  <w:pPr>
                    <w:spacing w:after="0" w:line="240" w:lineRule="auto"/>
                    <w:jc w:val="right"/>
                  </w:pPr>
                  <w:r>
                    <w:rPr>
                      <w:rFonts w:ascii="Poppins" w:eastAsia="Poppins" w:hAnsi="Poppins" w:cs="Poppins"/>
                      <w:sz w:val="16"/>
                      <w:szCs w:val="16"/>
                    </w:rPr>
                    <w:t>12.02</w:t>
                  </w:r>
                </w:p>
              </w:tc>
              <w:tc>
                <w:tcPr>
                  <w:tcW w:w="550" w:type="pct"/>
                  <w:vAlign w:val="center"/>
                </w:tcPr>
                <w:p w14:paraId="44AE7BA2"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74C9CAAB" w14:textId="77777777" w:rsidR="00734123" w:rsidRDefault="00CA2568">
                  <w:pPr>
                    <w:spacing w:after="0" w:line="240" w:lineRule="auto"/>
                    <w:jc w:val="right"/>
                  </w:pPr>
                  <w:r>
                    <w:rPr>
                      <w:rFonts w:ascii="Poppins" w:eastAsia="Poppins" w:hAnsi="Poppins" w:cs="Poppins"/>
                      <w:sz w:val="16"/>
                      <w:szCs w:val="16"/>
                    </w:rPr>
                    <w:t>12.02</w:t>
                  </w:r>
                </w:p>
              </w:tc>
            </w:tr>
            <w:tr w:rsidR="00734123" w14:paraId="1102AE5B" w14:textId="77777777">
              <w:trPr>
                <w:tblCellSpacing w:w="15" w:type="dxa"/>
              </w:trPr>
              <w:tc>
                <w:tcPr>
                  <w:tcW w:w="0" w:type="auto"/>
                  <w:vAlign w:val="center"/>
                </w:tcPr>
                <w:p w14:paraId="143F9540" w14:textId="77777777" w:rsidR="00734123" w:rsidRDefault="00CA2568">
                  <w:pPr>
                    <w:spacing w:after="0" w:line="240" w:lineRule="auto"/>
                  </w:pPr>
                  <w:r>
                    <w:rPr>
                      <w:rFonts w:ascii="Wingdings" w:eastAsia="Wingdings" w:hAnsi="Wingdings" w:cs="Wingdings"/>
                      <w:color w:val="D35400"/>
                      <w:sz w:val="16"/>
                      <w:szCs w:val="16"/>
                    </w:rPr>
                    <w:t>l</w:t>
                  </w:r>
                </w:p>
              </w:tc>
              <w:tc>
                <w:tcPr>
                  <w:tcW w:w="0" w:type="auto"/>
                  <w:vAlign w:val="center"/>
                </w:tcPr>
                <w:p w14:paraId="664D746A" w14:textId="77777777" w:rsidR="00734123" w:rsidRDefault="00CA2568">
                  <w:pPr>
                    <w:spacing w:after="0" w:line="240" w:lineRule="auto"/>
                  </w:pPr>
                  <w:r>
                    <w:rPr>
                      <w:rFonts w:ascii="Poppins" w:eastAsia="Poppins" w:hAnsi="Poppins" w:cs="Poppins"/>
                      <w:sz w:val="16"/>
                      <w:szCs w:val="16"/>
                    </w:rPr>
                    <w:t>UK Government Bonds</w:t>
                  </w:r>
                </w:p>
              </w:tc>
              <w:tc>
                <w:tcPr>
                  <w:tcW w:w="550" w:type="pct"/>
                  <w:vAlign w:val="center"/>
                </w:tcPr>
                <w:p w14:paraId="4478013E" w14:textId="77777777" w:rsidR="00734123" w:rsidRDefault="00CA2568">
                  <w:pPr>
                    <w:spacing w:after="0" w:line="240" w:lineRule="auto"/>
                    <w:jc w:val="right"/>
                  </w:pPr>
                  <w:r>
                    <w:rPr>
                      <w:rFonts w:ascii="Poppins" w:eastAsia="Poppins" w:hAnsi="Poppins" w:cs="Poppins"/>
                      <w:sz w:val="16"/>
                      <w:szCs w:val="16"/>
                    </w:rPr>
                    <w:t>8.84</w:t>
                  </w:r>
                </w:p>
              </w:tc>
              <w:tc>
                <w:tcPr>
                  <w:tcW w:w="550" w:type="pct"/>
                  <w:vAlign w:val="center"/>
                </w:tcPr>
                <w:p w14:paraId="4AD46F3B"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52BBFDC1" w14:textId="77777777" w:rsidR="00734123" w:rsidRDefault="00CA2568">
                  <w:pPr>
                    <w:spacing w:after="0" w:line="240" w:lineRule="auto"/>
                    <w:jc w:val="right"/>
                  </w:pPr>
                  <w:r>
                    <w:rPr>
                      <w:rFonts w:ascii="Poppins" w:eastAsia="Poppins" w:hAnsi="Poppins" w:cs="Poppins"/>
                      <w:sz w:val="16"/>
                      <w:szCs w:val="16"/>
                    </w:rPr>
                    <w:t>8.84</w:t>
                  </w:r>
                </w:p>
              </w:tc>
            </w:tr>
            <w:tr w:rsidR="00734123" w14:paraId="7F5A5CD6" w14:textId="77777777">
              <w:trPr>
                <w:tblCellSpacing w:w="15" w:type="dxa"/>
              </w:trPr>
              <w:tc>
                <w:tcPr>
                  <w:tcW w:w="0" w:type="auto"/>
                  <w:vAlign w:val="center"/>
                </w:tcPr>
                <w:p w14:paraId="2EE79959" w14:textId="77777777" w:rsidR="00734123" w:rsidRDefault="00CA2568">
                  <w:pPr>
                    <w:spacing w:after="0" w:line="240" w:lineRule="auto"/>
                  </w:pPr>
                  <w:r>
                    <w:rPr>
                      <w:rFonts w:ascii="Wingdings" w:eastAsia="Wingdings" w:hAnsi="Wingdings" w:cs="Wingdings"/>
                      <w:color w:val="2980B9"/>
                      <w:sz w:val="16"/>
                      <w:szCs w:val="16"/>
                    </w:rPr>
                    <w:t>l</w:t>
                  </w:r>
                </w:p>
              </w:tc>
              <w:tc>
                <w:tcPr>
                  <w:tcW w:w="0" w:type="auto"/>
                  <w:vAlign w:val="center"/>
                </w:tcPr>
                <w:p w14:paraId="05F2BF55" w14:textId="77777777" w:rsidR="00734123" w:rsidRDefault="00CA2568">
                  <w:pPr>
                    <w:spacing w:after="0" w:line="240" w:lineRule="auto"/>
                  </w:pPr>
                  <w:r>
                    <w:rPr>
                      <w:rFonts w:ascii="Poppins" w:eastAsia="Poppins" w:hAnsi="Poppins" w:cs="Poppins"/>
                      <w:sz w:val="16"/>
                      <w:szCs w:val="16"/>
                    </w:rPr>
                    <w:t>UK Index Linked Bonds</w:t>
                  </w:r>
                </w:p>
              </w:tc>
              <w:tc>
                <w:tcPr>
                  <w:tcW w:w="550" w:type="pct"/>
                  <w:vAlign w:val="center"/>
                </w:tcPr>
                <w:p w14:paraId="4CA2C4BE" w14:textId="77777777" w:rsidR="00734123" w:rsidRDefault="00CA2568">
                  <w:pPr>
                    <w:spacing w:after="0" w:line="240" w:lineRule="auto"/>
                    <w:jc w:val="right"/>
                  </w:pPr>
                  <w:r>
                    <w:rPr>
                      <w:rFonts w:ascii="Poppins" w:eastAsia="Poppins" w:hAnsi="Poppins" w:cs="Poppins"/>
                      <w:sz w:val="16"/>
                      <w:szCs w:val="16"/>
                    </w:rPr>
                    <w:t>4.14</w:t>
                  </w:r>
                </w:p>
              </w:tc>
              <w:tc>
                <w:tcPr>
                  <w:tcW w:w="550" w:type="pct"/>
                  <w:vAlign w:val="center"/>
                </w:tcPr>
                <w:p w14:paraId="1B6294F4"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2FF905A5" w14:textId="77777777" w:rsidR="00734123" w:rsidRDefault="00CA2568">
                  <w:pPr>
                    <w:spacing w:after="0" w:line="240" w:lineRule="auto"/>
                    <w:jc w:val="right"/>
                  </w:pPr>
                  <w:r>
                    <w:rPr>
                      <w:rFonts w:ascii="Poppins" w:eastAsia="Poppins" w:hAnsi="Poppins" w:cs="Poppins"/>
                      <w:sz w:val="16"/>
                      <w:szCs w:val="16"/>
                    </w:rPr>
                    <w:t>4.14</w:t>
                  </w:r>
                </w:p>
              </w:tc>
            </w:tr>
            <w:tr w:rsidR="00734123" w14:paraId="55012CB4" w14:textId="77777777">
              <w:trPr>
                <w:tblCellSpacing w:w="15" w:type="dxa"/>
              </w:trPr>
              <w:tc>
                <w:tcPr>
                  <w:tcW w:w="0" w:type="auto"/>
                  <w:vAlign w:val="center"/>
                </w:tcPr>
                <w:p w14:paraId="48A86C09" w14:textId="77777777" w:rsidR="00734123" w:rsidRDefault="00CA2568">
                  <w:pPr>
                    <w:spacing w:after="0" w:line="240" w:lineRule="auto"/>
                  </w:pPr>
                  <w:r>
                    <w:rPr>
                      <w:rFonts w:ascii="Wingdings" w:eastAsia="Wingdings" w:hAnsi="Wingdings" w:cs="Wingdings"/>
                      <w:color w:val="3FC6D4"/>
                      <w:sz w:val="16"/>
                      <w:szCs w:val="16"/>
                    </w:rPr>
                    <w:t>l</w:t>
                  </w:r>
                </w:p>
              </w:tc>
              <w:tc>
                <w:tcPr>
                  <w:tcW w:w="0" w:type="auto"/>
                  <w:vAlign w:val="center"/>
                </w:tcPr>
                <w:p w14:paraId="00457D80" w14:textId="77777777" w:rsidR="00734123" w:rsidRDefault="00CA2568">
                  <w:pPr>
                    <w:spacing w:after="0" w:line="240" w:lineRule="auto"/>
                  </w:pPr>
                  <w:r>
                    <w:rPr>
                      <w:rFonts w:ascii="Poppins" w:eastAsia="Poppins" w:hAnsi="Poppins" w:cs="Poppins"/>
                      <w:sz w:val="16"/>
                      <w:szCs w:val="16"/>
                    </w:rPr>
                    <w:t>Europe (ex-UK) Equity</w:t>
                  </w:r>
                </w:p>
              </w:tc>
              <w:tc>
                <w:tcPr>
                  <w:tcW w:w="550" w:type="pct"/>
                  <w:vAlign w:val="center"/>
                </w:tcPr>
                <w:p w14:paraId="04EC3E04" w14:textId="77777777" w:rsidR="00734123" w:rsidRDefault="00CA2568">
                  <w:pPr>
                    <w:spacing w:after="0" w:line="240" w:lineRule="auto"/>
                    <w:jc w:val="right"/>
                  </w:pPr>
                  <w:r>
                    <w:rPr>
                      <w:rFonts w:ascii="Poppins" w:eastAsia="Poppins" w:hAnsi="Poppins" w:cs="Poppins"/>
                      <w:sz w:val="16"/>
                      <w:szCs w:val="16"/>
                    </w:rPr>
                    <w:t>4.04</w:t>
                  </w:r>
                </w:p>
              </w:tc>
              <w:tc>
                <w:tcPr>
                  <w:tcW w:w="550" w:type="pct"/>
                  <w:vAlign w:val="center"/>
                </w:tcPr>
                <w:p w14:paraId="7613E0DD"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73A67C73" w14:textId="77777777" w:rsidR="00734123" w:rsidRDefault="00CA2568">
                  <w:pPr>
                    <w:spacing w:after="0" w:line="240" w:lineRule="auto"/>
                    <w:jc w:val="right"/>
                  </w:pPr>
                  <w:r>
                    <w:rPr>
                      <w:rFonts w:ascii="Poppins" w:eastAsia="Poppins" w:hAnsi="Poppins" w:cs="Poppins"/>
                      <w:sz w:val="16"/>
                      <w:szCs w:val="16"/>
                    </w:rPr>
                    <w:t>4.04</w:t>
                  </w:r>
                </w:p>
              </w:tc>
            </w:tr>
            <w:tr w:rsidR="00734123" w14:paraId="33BB0A71" w14:textId="77777777">
              <w:trPr>
                <w:tblCellSpacing w:w="15" w:type="dxa"/>
              </w:trPr>
              <w:tc>
                <w:tcPr>
                  <w:tcW w:w="0" w:type="auto"/>
                  <w:vAlign w:val="center"/>
                </w:tcPr>
                <w:p w14:paraId="291CE902" w14:textId="77777777" w:rsidR="00734123" w:rsidRDefault="00CA2568">
                  <w:pPr>
                    <w:spacing w:after="0" w:line="240" w:lineRule="auto"/>
                  </w:pPr>
                  <w:r>
                    <w:rPr>
                      <w:rFonts w:ascii="Wingdings" w:eastAsia="Wingdings" w:hAnsi="Wingdings" w:cs="Wingdings"/>
                      <w:color w:val="C0392B"/>
                      <w:sz w:val="16"/>
                      <w:szCs w:val="16"/>
                    </w:rPr>
                    <w:t>l</w:t>
                  </w:r>
                </w:p>
              </w:tc>
              <w:tc>
                <w:tcPr>
                  <w:tcW w:w="0" w:type="auto"/>
                  <w:vAlign w:val="center"/>
                </w:tcPr>
                <w:p w14:paraId="5523AF9E" w14:textId="77777777" w:rsidR="00734123" w:rsidRDefault="00CA2568">
                  <w:pPr>
                    <w:spacing w:after="0" w:line="240" w:lineRule="auto"/>
                  </w:pPr>
                  <w:r>
                    <w:rPr>
                      <w:rFonts w:ascii="Poppins" w:eastAsia="Poppins" w:hAnsi="Poppins" w:cs="Poppins"/>
                      <w:sz w:val="16"/>
                      <w:szCs w:val="16"/>
                    </w:rPr>
                    <w:t>UK Corporate Bonds</w:t>
                  </w:r>
                </w:p>
              </w:tc>
              <w:tc>
                <w:tcPr>
                  <w:tcW w:w="550" w:type="pct"/>
                  <w:vAlign w:val="center"/>
                </w:tcPr>
                <w:p w14:paraId="55151B96" w14:textId="77777777" w:rsidR="00734123" w:rsidRDefault="00CA2568">
                  <w:pPr>
                    <w:spacing w:after="0" w:line="240" w:lineRule="auto"/>
                    <w:jc w:val="right"/>
                  </w:pPr>
                  <w:r>
                    <w:rPr>
                      <w:rFonts w:ascii="Poppins" w:eastAsia="Poppins" w:hAnsi="Poppins" w:cs="Poppins"/>
                      <w:sz w:val="16"/>
                      <w:szCs w:val="16"/>
                    </w:rPr>
                    <w:t>2.90</w:t>
                  </w:r>
                </w:p>
              </w:tc>
              <w:tc>
                <w:tcPr>
                  <w:tcW w:w="550" w:type="pct"/>
                  <w:vAlign w:val="center"/>
                </w:tcPr>
                <w:p w14:paraId="25D02582"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3D3BA1CD" w14:textId="77777777" w:rsidR="00734123" w:rsidRDefault="00CA2568">
                  <w:pPr>
                    <w:spacing w:after="0" w:line="240" w:lineRule="auto"/>
                    <w:jc w:val="right"/>
                  </w:pPr>
                  <w:r>
                    <w:rPr>
                      <w:rFonts w:ascii="Poppins" w:eastAsia="Poppins" w:hAnsi="Poppins" w:cs="Poppins"/>
                      <w:sz w:val="16"/>
                      <w:szCs w:val="16"/>
                    </w:rPr>
                    <w:t>2.90</w:t>
                  </w:r>
                </w:p>
              </w:tc>
            </w:tr>
            <w:tr w:rsidR="00734123" w14:paraId="29D3BD06" w14:textId="77777777">
              <w:trPr>
                <w:tblCellSpacing w:w="15" w:type="dxa"/>
              </w:trPr>
              <w:tc>
                <w:tcPr>
                  <w:tcW w:w="0" w:type="auto"/>
                  <w:vAlign w:val="center"/>
                </w:tcPr>
                <w:p w14:paraId="298C6A24" w14:textId="77777777" w:rsidR="00734123" w:rsidRDefault="00CA2568">
                  <w:pPr>
                    <w:spacing w:after="0" w:line="240" w:lineRule="auto"/>
                  </w:pPr>
                  <w:r>
                    <w:rPr>
                      <w:rFonts w:ascii="Wingdings" w:eastAsia="Wingdings" w:hAnsi="Wingdings" w:cs="Wingdings"/>
                      <w:color w:val="727E7E"/>
                      <w:sz w:val="16"/>
                      <w:szCs w:val="16"/>
                    </w:rPr>
                    <w:t>l</w:t>
                  </w:r>
                </w:p>
              </w:tc>
              <w:tc>
                <w:tcPr>
                  <w:tcW w:w="0" w:type="auto"/>
                  <w:vAlign w:val="center"/>
                </w:tcPr>
                <w:p w14:paraId="0AD0BFCC" w14:textId="77777777" w:rsidR="00734123" w:rsidRDefault="00CA2568">
                  <w:pPr>
                    <w:spacing w:after="0" w:line="240" w:lineRule="auto"/>
                  </w:pPr>
                  <w:r>
                    <w:rPr>
                      <w:rFonts w:ascii="Poppins" w:eastAsia="Poppins" w:hAnsi="Poppins" w:cs="Poppins"/>
                      <w:sz w:val="16"/>
                      <w:szCs w:val="16"/>
                    </w:rPr>
                    <w:t>Emerging Markets Equity</w:t>
                  </w:r>
                </w:p>
              </w:tc>
              <w:tc>
                <w:tcPr>
                  <w:tcW w:w="550" w:type="pct"/>
                  <w:vAlign w:val="center"/>
                </w:tcPr>
                <w:p w14:paraId="055AAAFD" w14:textId="77777777" w:rsidR="00734123" w:rsidRDefault="00CA2568">
                  <w:pPr>
                    <w:spacing w:after="0" w:line="240" w:lineRule="auto"/>
                    <w:jc w:val="right"/>
                  </w:pPr>
                  <w:r>
                    <w:rPr>
                      <w:rFonts w:ascii="Poppins" w:eastAsia="Poppins" w:hAnsi="Poppins" w:cs="Poppins"/>
                      <w:sz w:val="16"/>
                      <w:szCs w:val="16"/>
                    </w:rPr>
                    <w:t>2.69</w:t>
                  </w:r>
                </w:p>
              </w:tc>
              <w:tc>
                <w:tcPr>
                  <w:tcW w:w="550" w:type="pct"/>
                  <w:vAlign w:val="center"/>
                </w:tcPr>
                <w:p w14:paraId="025E5008"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7730E525" w14:textId="77777777" w:rsidR="00734123" w:rsidRDefault="00CA2568">
                  <w:pPr>
                    <w:spacing w:after="0" w:line="240" w:lineRule="auto"/>
                    <w:jc w:val="right"/>
                  </w:pPr>
                  <w:r>
                    <w:rPr>
                      <w:rFonts w:ascii="Poppins" w:eastAsia="Poppins" w:hAnsi="Poppins" w:cs="Poppins"/>
                      <w:sz w:val="16"/>
                      <w:szCs w:val="16"/>
                    </w:rPr>
                    <w:t>2.69</w:t>
                  </w:r>
                </w:p>
              </w:tc>
            </w:tr>
            <w:tr w:rsidR="00734123" w14:paraId="4AEFC464" w14:textId="77777777">
              <w:trPr>
                <w:tblCellSpacing w:w="15" w:type="dxa"/>
              </w:trPr>
              <w:tc>
                <w:tcPr>
                  <w:tcW w:w="0" w:type="auto"/>
                  <w:vAlign w:val="center"/>
                </w:tcPr>
                <w:p w14:paraId="3B074E0C" w14:textId="77777777" w:rsidR="00734123" w:rsidRDefault="00CA2568">
                  <w:pPr>
                    <w:spacing w:after="0" w:line="240" w:lineRule="auto"/>
                  </w:pPr>
                  <w:r>
                    <w:rPr>
                      <w:rFonts w:ascii="Wingdings" w:eastAsia="Wingdings" w:hAnsi="Wingdings" w:cs="Wingdings"/>
                      <w:color w:val="F39C12"/>
                      <w:sz w:val="16"/>
                      <w:szCs w:val="16"/>
                    </w:rPr>
                    <w:t>l</w:t>
                  </w:r>
                </w:p>
              </w:tc>
              <w:tc>
                <w:tcPr>
                  <w:tcW w:w="0" w:type="auto"/>
                  <w:vAlign w:val="center"/>
                </w:tcPr>
                <w:p w14:paraId="2249E50C" w14:textId="77777777" w:rsidR="00734123" w:rsidRDefault="00CA2568">
                  <w:pPr>
                    <w:spacing w:after="0" w:line="240" w:lineRule="auto"/>
                  </w:pPr>
                  <w:r>
                    <w:rPr>
                      <w:rFonts w:ascii="Poppins" w:eastAsia="Poppins" w:hAnsi="Poppins" w:cs="Poppins"/>
                      <w:sz w:val="16"/>
                      <w:szCs w:val="16"/>
                    </w:rPr>
                    <w:t>Developed Pacific (ex-Japan) Equity</w:t>
                  </w:r>
                </w:p>
              </w:tc>
              <w:tc>
                <w:tcPr>
                  <w:tcW w:w="550" w:type="pct"/>
                  <w:vAlign w:val="center"/>
                </w:tcPr>
                <w:p w14:paraId="07E4CA2A" w14:textId="77777777" w:rsidR="00734123" w:rsidRDefault="00CA2568">
                  <w:pPr>
                    <w:spacing w:after="0" w:line="240" w:lineRule="auto"/>
                    <w:jc w:val="right"/>
                  </w:pPr>
                  <w:r>
                    <w:rPr>
                      <w:rFonts w:ascii="Poppins" w:eastAsia="Poppins" w:hAnsi="Poppins" w:cs="Poppins"/>
                      <w:sz w:val="16"/>
                      <w:szCs w:val="16"/>
                    </w:rPr>
                    <w:t>1.66</w:t>
                  </w:r>
                </w:p>
              </w:tc>
              <w:tc>
                <w:tcPr>
                  <w:tcW w:w="550" w:type="pct"/>
                  <w:vAlign w:val="center"/>
                </w:tcPr>
                <w:p w14:paraId="6F2C67B3"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159331F2" w14:textId="77777777" w:rsidR="00734123" w:rsidRDefault="00CA2568">
                  <w:pPr>
                    <w:spacing w:after="0" w:line="240" w:lineRule="auto"/>
                    <w:jc w:val="right"/>
                  </w:pPr>
                  <w:r>
                    <w:rPr>
                      <w:rFonts w:ascii="Poppins" w:eastAsia="Poppins" w:hAnsi="Poppins" w:cs="Poppins"/>
                      <w:sz w:val="16"/>
                      <w:szCs w:val="16"/>
                    </w:rPr>
                    <w:t>1.66</w:t>
                  </w:r>
                </w:p>
              </w:tc>
            </w:tr>
            <w:tr w:rsidR="00734123" w14:paraId="080EC638" w14:textId="77777777">
              <w:trPr>
                <w:tblCellSpacing w:w="15" w:type="dxa"/>
              </w:trPr>
              <w:tc>
                <w:tcPr>
                  <w:tcW w:w="0" w:type="auto"/>
                  <w:vAlign w:val="center"/>
                </w:tcPr>
                <w:p w14:paraId="6B4E01FF" w14:textId="77777777" w:rsidR="00734123" w:rsidRDefault="00CA2568">
                  <w:pPr>
                    <w:spacing w:after="0" w:line="240" w:lineRule="auto"/>
                  </w:pPr>
                  <w:r>
                    <w:rPr>
                      <w:rFonts w:ascii="Wingdings" w:eastAsia="Wingdings" w:hAnsi="Wingdings" w:cs="Wingdings"/>
                      <w:color w:val="16A085"/>
                      <w:sz w:val="16"/>
                      <w:szCs w:val="16"/>
                    </w:rPr>
                    <w:t>l</w:t>
                  </w:r>
                </w:p>
              </w:tc>
              <w:tc>
                <w:tcPr>
                  <w:tcW w:w="0" w:type="auto"/>
                  <w:vAlign w:val="center"/>
                </w:tcPr>
                <w:p w14:paraId="2AAF9364" w14:textId="77777777" w:rsidR="00734123" w:rsidRDefault="00CA2568">
                  <w:pPr>
                    <w:spacing w:after="0" w:line="240" w:lineRule="auto"/>
                  </w:pPr>
                  <w:r>
                    <w:rPr>
                      <w:rFonts w:ascii="Poppins" w:eastAsia="Poppins" w:hAnsi="Poppins" w:cs="Poppins"/>
                      <w:sz w:val="16"/>
                      <w:szCs w:val="16"/>
                    </w:rPr>
                    <w:t>Japan Equity</w:t>
                  </w:r>
                </w:p>
              </w:tc>
              <w:tc>
                <w:tcPr>
                  <w:tcW w:w="550" w:type="pct"/>
                  <w:vAlign w:val="center"/>
                </w:tcPr>
                <w:p w14:paraId="2CB631A1" w14:textId="77777777" w:rsidR="00734123" w:rsidRDefault="00CA2568">
                  <w:pPr>
                    <w:spacing w:after="0" w:line="240" w:lineRule="auto"/>
                    <w:jc w:val="right"/>
                  </w:pPr>
                  <w:r>
                    <w:rPr>
                      <w:rFonts w:ascii="Poppins" w:eastAsia="Poppins" w:hAnsi="Poppins" w:cs="Poppins"/>
                      <w:sz w:val="16"/>
                      <w:szCs w:val="16"/>
                    </w:rPr>
                    <w:t>1.31</w:t>
                  </w:r>
                </w:p>
              </w:tc>
              <w:tc>
                <w:tcPr>
                  <w:tcW w:w="550" w:type="pct"/>
                  <w:vAlign w:val="center"/>
                </w:tcPr>
                <w:p w14:paraId="649AC035" w14:textId="77777777" w:rsidR="00734123" w:rsidRDefault="00CA2568">
                  <w:pPr>
                    <w:spacing w:after="0" w:line="240" w:lineRule="auto"/>
                    <w:jc w:val="right"/>
                  </w:pPr>
                  <w:r>
                    <w:rPr>
                      <w:rFonts w:ascii="Poppins" w:eastAsia="Poppins" w:hAnsi="Poppins" w:cs="Poppins"/>
                      <w:sz w:val="16"/>
                      <w:szCs w:val="16"/>
                    </w:rPr>
                    <w:t>0.00</w:t>
                  </w:r>
                </w:p>
              </w:tc>
              <w:tc>
                <w:tcPr>
                  <w:tcW w:w="550" w:type="pct"/>
                  <w:vAlign w:val="center"/>
                </w:tcPr>
                <w:p w14:paraId="1FCC9F7A" w14:textId="77777777" w:rsidR="00734123" w:rsidRDefault="00CA2568">
                  <w:pPr>
                    <w:spacing w:after="0" w:line="240" w:lineRule="auto"/>
                    <w:jc w:val="right"/>
                  </w:pPr>
                  <w:r>
                    <w:rPr>
                      <w:rFonts w:ascii="Poppins" w:eastAsia="Poppins" w:hAnsi="Poppins" w:cs="Poppins"/>
                      <w:sz w:val="16"/>
                      <w:szCs w:val="16"/>
                    </w:rPr>
                    <w:t>1.31</w:t>
                  </w:r>
                </w:p>
              </w:tc>
            </w:tr>
            <w:tr w:rsidR="00734123" w14:paraId="394BB976" w14:textId="77777777">
              <w:trPr>
                <w:tblCellSpacing w:w="15" w:type="dxa"/>
              </w:trPr>
              <w:tc>
                <w:tcPr>
                  <w:tcW w:w="0" w:type="auto"/>
                  <w:vAlign w:val="center"/>
                </w:tcPr>
                <w:p w14:paraId="39D6FCFB" w14:textId="77777777" w:rsidR="00734123" w:rsidRDefault="00CA2568">
                  <w:pPr>
                    <w:spacing w:after="0" w:line="240" w:lineRule="auto"/>
                  </w:pPr>
                  <w:r>
                    <w:rPr>
                      <w:rFonts w:ascii="Wingdings" w:eastAsia="Wingdings" w:hAnsi="Wingdings" w:cs="Wingdings"/>
                      <w:color w:val="2CABFF"/>
                      <w:sz w:val="16"/>
                      <w:szCs w:val="16"/>
                    </w:rPr>
                    <w:t>l</w:t>
                  </w:r>
                </w:p>
              </w:tc>
              <w:tc>
                <w:tcPr>
                  <w:tcW w:w="0" w:type="auto"/>
                  <w:vAlign w:val="center"/>
                </w:tcPr>
                <w:p w14:paraId="07B3EA3A" w14:textId="77777777" w:rsidR="00734123" w:rsidRDefault="00CA2568">
                  <w:pPr>
                    <w:spacing w:after="0" w:line="240" w:lineRule="auto"/>
                  </w:pPr>
                  <w:r>
                    <w:rPr>
                      <w:rFonts w:ascii="Poppins" w:eastAsia="Poppins" w:hAnsi="Poppins" w:cs="Poppins"/>
                      <w:sz w:val="16"/>
                      <w:szCs w:val="16"/>
                    </w:rPr>
                    <w:t>Cash - Short Term Money Market</w:t>
                  </w:r>
                </w:p>
              </w:tc>
              <w:tc>
                <w:tcPr>
                  <w:tcW w:w="550" w:type="pct"/>
                  <w:vAlign w:val="center"/>
                </w:tcPr>
                <w:p w14:paraId="1C2D59A9" w14:textId="77777777" w:rsidR="00734123" w:rsidRDefault="00CA2568">
                  <w:pPr>
                    <w:spacing w:after="0" w:line="240" w:lineRule="auto"/>
                    <w:jc w:val="right"/>
                  </w:pPr>
                  <w:r>
                    <w:rPr>
                      <w:rFonts w:ascii="Poppins" w:eastAsia="Poppins" w:hAnsi="Poppins" w:cs="Poppins"/>
                      <w:sz w:val="16"/>
                      <w:szCs w:val="16"/>
                    </w:rPr>
                    <w:t>0.21</w:t>
                  </w:r>
                </w:p>
              </w:tc>
              <w:tc>
                <w:tcPr>
                  <w:tcW w:w="550" w:type="pct"/>
                  <w:vAlign w:val="center"/>
                </w:tcPr>
                <w:p w14:paraId="12D570C7" w14:textId="77777777" w:rsidR="00734123" w:rsidRDefault="00CA2568">
                  <w:pPr>
                    <w:spacing w:after="0" w:line="240" w:lineRule="auto"/>
                    <w:jc w:val="right"/>
                  </w:pPr>
                  <w:r>
                    <w:rPr>
                      <w:rFonts w:ascii="Poppins" w:eastAsia="Poppins" w:hAnsi="Poppins" w:cs="Poppins"/>
                      <w:sz w:val="16"/>
                      <w:szCs w:val="16"/>
                    </w:rPr>
                    <w:t>-0.01</w:t>
                  </w:r>
                </w:p>
              </w:tc>
              <w:tc>
                <w:tcPr>
                  <w:tcW w:w="550" w:type="pct"/>
                  <w:vAlign w:val="center"/>
                </w:tcPr>
                <w:p w14:paraId="2154479B" w14:textId="77777777" w:rsidR="00734123" w:rsidRDefault="00CA2568">
                  <w:pPr>
                    <w:spacing w:after="0" w:line="240" w:lineRule="auto"/>
                    <w:jc w:val="right"/>
                  </w:pPr>
                  <w:r>
                    <w:rPr>
                      <w:rFonts w:ascii="Poppins" w:eastAsia="Poppins" w:hAnsi="Poppins" w:cs="Poppins"/>
                      <w:sz w:val="16"/>
                      <w:szCs w:val="16"/>
                    </w:rPr>
                    <w:t>0.22</w:t>
                  </w:r>
                </w:p>
              </w:tc>
            </w:tr>
            <w:tr w:rsidR="00734123" w14:paraId="4A832557" w14:textId="77777777">
              <w:trPr>
                <w:tblCellSpacing w:w="15" w:type="dxa"/>
              </w:trPr>
              <w:tc>
                <w:tcPr>
                  <w:tcW w:w="0" w:type="auto"/>
                  <w:vAlign w:val="center"/>
                </w:tcPr>
                <w:p w14:paraId="2916A787" w14:textId="77777777" w:rsidR="00734123" w:rsidRDefault="00CA2568">
                  <w:pPr>
                    <w:spacing w:after="0" w:line="240" w:lineRule="auto"/>
                  </w:pPr>
                  <w:r>
                    <w:rPr>
                      <w:rFonts w:ascii="Wingdings" w:eastAsia="Wingdings" w:hAnsi="Wingdings" w:cs="Wingdings"/>
                      <w:color w:val="A1D6B5"/>
                      <w:sz w:val="16"/>
                      <w:szCs w:val="16"/>
                    </w:rPr>
                    <w:t>l</w:t>
                  </w:r>
                </w:p>
              </w:tc>
              <w:tc>
                <w:tcPr>
                  <w:tcW w:w="0" w:type="auto"/>
                  <w:vAlign w:val="center"/>
                </w:tcPr>
                <w:p w14:paraId="6525C0B4" w14:textId="77777777" w:rsidR="00734123" w:rsidRDefault="00CA2568">
                  <w:pPr>
                    <w:spacing w:after="0" w:line="240" w:lineRule="auto"/>
                  </w:pPr>
                  <w:r>
                    <w:rPr>
                      <w:rFonts w:ascii="Poppins" w:eastAsia="Poppins" w:hAnsi="Poppins" w:cs="Poppins"/>
                      <w:sz w:val="16"/>
                      <w:szCs w:val="16"/>
                    </w:rPr>
                    <w:t>Other</w:t>
                  </w:r>
                </w:p>
              </w:tc>
              <w:tc>
                <w:tcPr>
                  <w:tcW w:w="550" w:type="pct"/>
                  <w:vAlign w:val="center"/>
                </w:tcPr>
                <w:p w14:paraId="745EB159" w14:textId="77777777" w:rsidR="00734123" w:rsidRDefault="00CA2568">
                  <w:pPr>
                    <w:spacing w:after="0" w:line="240" w:lineRule="auto"/>
                    <w:jc w:val="right"/>
                  </w:pPr>
                  <w:r>
                    <w:rPr>
                      <w:rFonts w:ascii="Poppins" w:eastAsia="Poppins" w:hAnsi="Poppins" w:cs="Poppins"/>
                      <w:sz w:val="16"/>
                      <w:szCs w:val="16"/>
                    </w:rPr>
                    <w:t>-0.04</w:t>
                  </w:r>
                </w:p>
              </w:tc>
              <w:tc>
                <w:tcPr>
                  <w:tcW w:w="550" w:type="pct"/>
                  <w:vAlign w:val="center"/>
                </w:tcPr>
                <w:p w14:paraId="6FC69C1D" w14:textId="77777777" w:rsidR="00734123" w:rsidRDefault="00CA2568">
                  <w:pPr>
                    <w:spacing w:after="0" w:line="240" w:lineRule="auto"/>
                    <w:jc w:val="right"/>
                  </w:pPr>
                  <w:r>
                    <w:rPr>
                      <w:rFonts w:ascii="Poppins" w:eastAsia="Poppins" w:hAnsi="Poppins" w:cs="Poppins"/>
                      <w:sz w:val="16"/>
                      <w:szCs w:val="16"/>
                    </w:rPr>
                    <w:t>-40.12</w:t>
                  </w:r>
                </w:p>
              </w:tc>
              <w:tc>
                <w:tcPr>
                  <w:tcW w:w="550" w:type="pct"/>
                  <w:vAlign w:val="center"/>
                </w:tcPr>
                <w:p w14:paraId="315FFD3F" w14:textId="77777777" w:rsidR="00734123" w:rsidRDefault="00CA2568">
                  <w:pPr>
                    <w:spacing w:after="0" w:line="240" w:lineRule="auto"/>
                    <w:jc w:val="right"/>
                  </w:pPr>
                  <w:r>
                    <w:rPr>
                      <w:rFonts w:ascii="Poppins" w:eastAsia="Poppins" w:hAnsi="Poppins" w:cs="Poppins"/>
                      <w:sz w:val="16"/>
                      <w:szCs w:val="16"/>
                    </w:rPr>
                    <w:t>40.08</w:t>
                  </w:r>
                </w:p>
              </w:tc>
            </w:tr>
          </w:tbl>
          <w:p w14:paraId="243C5113" w14:textId="77777777" w:rsidR="00734123" w:rsidRDefault="00734123">
            <w:pPr>
              <w:spacing w:after="0"/>
            </w:pPr>
          </w:p>
        </w:tc>
      </w:tr>
      <w:tr w:rsidR="00734123" w14:paraId="0ADFD8B5" w14:textId="77777777">
        <w:trPr>
          <w:tblCellSpacing w:w="15" w:type="dxa"/>
        </w:trPr>
        <w:tc>
          <w:tcPr>
            <w:tcW w:w="0" w:type="auto"/>
            <w:gridSpan w:val="2"/>
          </w:tcPr>
          <w:p w14:paraId="2C38674E" w14:textId="77777777" w:rsidR="00734123" w:rsidRDefault="00CA2568">
            <w:pPr>
              <w:spacing w:after="0"/>
            </w:pPr>
            <w:r>
              <w:rPr>
                <w:rFonts w:ascii="Poppins" w:eastAsia="Poppins" w:hAnsi="Poppins" w:cs="Poppins"/>
                <w:sz w:val="16"/>
                <w:szCs w:val="16"/>
              </w:rPr>
              <w:t>⁽</w:t>
            </w:r>
            <w:r>
              <w:rPr>
                <w:rFonts w:ascii="Poppins" w:eastAsia="Poppins" w:hAnsi="Poppins" w:cs="Poppins"/>
                <w:sz w:val="16"/>
                <w:szCs w:val="16"/>
              </w:rPr>
              <w:t>¹⁾ Due to the negative asset allocation within the selected portfolio the investment allocation chart is unavailable.</w:t>
            </w:r>
            <w:r>
              <w:rPr>
                <w:rFonts w:ascii="Poppins" w:eastAsia="Poppins" w:hAnsi="Poppins" w:cs="Poppins"/>
                <w:sz w:val="16"/>
                <w:szCs w:val="16"/>
              </w:rPr>
              <w:br/>
              <w:t>⁽²⁾ Due to rounding there may be a discrepancy between the Long/Short % and the Net %.</w:t>
            </w:r>
          </w:p>
        </w:tc>
      </w:tr>
    </w:tbl>
    <w:p w14:paraId="4889422A" w14:textId="77777777" w:rsidR="00734123" w:rsidRDefault="00734123">
      <w:pPr>
        <w:spacing w:after="280" w:afterAutospacing="1"/>
        <w:sectPr w:rsidR="00734123">
          <w:headerReference w:type="default" r:id="rId43"/>
          <w:footerReference w:type="default" r:id="rId44"/>
          <w:pgSz w:w="11906" w:h="16838"/>
          <w:pgMar w:top="709" w:right="640" w:bottom="376" w:left="640" w:header="200" w:footer="200" w:gutter="0"/>
          <w:cols w:space="708"/>
          <w:docGrid w:linePitch="360"/>
        </w:sectPr>
      </w:pPr>
    </w:p>
    <w:p w14:paraId="54BC17C1" w14:textId="77777777" w:rsidR="00734123" w:rsidRDefault="00CA2568">
      <w:pPr>
        <w:pStyle w:val="DefaqtoHeading2"/>
      </w:pPr>
      <w:bookmarkStart w:id="25" w:name="_Toc3558338"/>
      <w:r>
        <w:lastRenderedPageBreak/>
        <w:t>Filters</w:t>
      </w:r>
      <w:bookmarkEnd w:id="25"/>
    </w:p>
    <w:p w14:paraId="4EE8206D" w14:textId="77777777" w:rsidR="00734123" w:rsidRDefault="00CA2568">
      <w:pPr>
        <w:pStyle w:val="DefaqtoBody"/>
      </w:pPr>
      <w:r>
        <w:t xml:space="preserve">The following are the criteria applied to select the most suitable investments. </w:t>
      </w:r>
    </w:p>
    <w:p w14:paraId="3A30E338" w14:textId="77777777" w:rsidR="00734123" w:rsidRDefault="00734123">
      <w:pPr>
        <w:spacing w:line="240" w:lineRule="auto"/>
      </w:pPr>
    </w:p>
    <w:tbl>
      <w:tblPr>
        <w:tblStyle w:val="Custom1"/>
        <w:tblW w:w="0" w:type="auto"/>
        <w:tblLook w:val="04A0" w:firstRow="1" w:lastRow="0" w:firstColumn="1" w:lastColumn="0" w:noHBand="0" w:noVBand="1"/>
      </w:tblPr>
      <w:tblGrid>
        <w:gridCol w:w="2117"/>
        <w:gridCol w:w="8329"/>
      </w:tblGrid>
      <w:tr w:rsidR="00734123" w14:paraId="3B337E52"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0089AB39" w14:textId="77777777" w:rsidR="00734123" w:rsidRDefault="00CA2568">
            <w:pPr>
              <w:pStyle w:val="DefaqtoTableBody2"/>
            </w:pPr>
            <w:r>
              <w:t>Investment(s)</w:t>
            </w:r>
          </w:p>
        </w:tc>
        <w:tc>
          <w:tcPr>
            <w:tcW w:w="8329" w:type="dxa"/>
          </w:tcPr>
          <w:p w14:paraId="3C7A4EF2"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CT Universal MAP Cautious Fund C Acc (GBP)</w:t>
            </w:r>
          </w:p>
        </w:tc>
      </w:tr>
      <w:tr w:rsidR="00734123" w14:paraId="5DCDBC3B" w14:textId="77777777" w:rsidTr="007341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4181DE04" w14:textId="77777777" w:rsidR="00734123" w:rsidRDefault="00CA2568">
            <w:pPr>
              <w:pStyle w:val="DefaqtoTableBody2"/>
            </w:pPr>
            <w:r>
              <w:t>Panel</w:t>
            </w:r>
          </w:p>
        </w:tc>
        <w:tc>
          <w:tcPr>
            <w:tcW w:w="8329" w:type="dxa"/>
          </w:tcPr>
          <w:p w14:paraId="2E2F0B35"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TFAS</w:t>
            </w:r>
          </w:p>
        </w:tc>
      </w:tr>
      <w:tr w:rsidR="00734123" w14:paraId="40B6F88F"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38BB0451" w14:textId="77777777" w:rsidR="00734123" w:rsidRDefault="00CA2568">
            <w:pPr>
              <w:pStyle w:val="DefaqtoTableBody2"/>
            </w:pPr>
            <w:r>
              <w:t>Filter settings</w:t>
            </w:r>
          </w:p>
        </w:tc>
        <w:tc>
          <w:tcPr>
            <w:tcW w:w="8329" w:type="dxa"/>
          </w:tcPr>
          <w:p w14:paraId="79A16BF1"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Currency is GBP</w:t>
            </w:r>
          </w:p>
        </w:tc>
      </w:tr>
      <w:tr w:rsidR="00734123" w14:paraId="23DED1E8" w14:textId="77777777" w:rsidTr="007341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466A511A" w14:textId="77777777" w:rsidR="00734123" w:rsidRDefault="00CA2568">
            <w:pPr>
              <w:pStyle w:val="DefaqtoTableBody2"/>
            </w:pPr>
            <w:r>
              <w:t>Sort settings</w:t>
            </w:r>
          </w:p>
        </w:tc>
        <w:tc>
          <w:tcPr>
            <w:tcW w:w="8329" w:type="dxa"/>
          </w:tcPr>
          <w:p w14:paraId="77B63366"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None Applied</w:t>
            </w:r>
          </w:p>
        </w:tc>
      </w:tr>
    </w:tbl>
    <w:p w14:paraId="362782E1" w14:textId="77777777" w:rsidR="00734123" w:rsidRDefault="00CA2568">
      <w:pPr>
        <w:spacing w:line="240" w:lineRule="auto"/>
        <w:rPr>
          <w:color w:val="808080"/>
          <w:lang w:val="en-NZ"/>
        </w:rPr>
      </w:pPr>
      <w:r>
        <w:rPr>
          <w:color w:val="808080"/>
          <w:lang w:val="en-NZ"/>
        </w:rPr>
        <w:br/>
      </w:r>
    </w:p>
    <w:p w14:paraId="24D4C429" w14:textId="77777777" w:rsidR="00734123" w:rsidRDefault="00734123">
      <w:pPr>
        <w:pStyle w:val="Defaqtosmallprint"/>
      </w:pPr>
    </w:p>
    <w:p w14:paraId="11762B3E" w14:textId="77777777" w:rsidR="00734123" w:rsidRDefault="00CA2568">
      <w:pPr>
        <w:pStyle w:val="DefaqtoHeading2"/>
      </w:pPr>
      <w:bookmarkStart w:id="26" w:name="_Toc3558339"/>
      <w:r>
        <w:t>Shortlist</w:t>
      </w:r>
      <w:bookmarkEnd w:id="26"/>
    </w:p>
    <w:p w14:paraId="7D65B4E6" w14:textId="77777777" w:rsidR="00734123" w:rsidRDefault="00CA2568">
      <w:pPr>
        <w:pStyle w:val="DefaqtoBody"/>
      </w:pPr>
      <w:r>
        <w:rPr>
          <w:lang w:val="en-NZ"/>
        </w:rPr>
        <w:t>6</w:t>
      </w:r>
      <w:r>
        <w:t xml:space="preserve"> </w:t>
      </w:r>
      <w:r>
        <w:rPr>
          <w:noProof/>
        </w:rPr>
        <w:t>investments</w:t>
      </w:r>
      <w:r>
        <w:t xml:space="preserve"> from a total of </w:t>
      </w:r>
      <w:r>
        <w:rPr>
          <w:lang w:val="en-NZ"/>
        </w:rPr>
        <w:t>6</w:t>
      </w:r>
      <w:r>
        <w:t xml:space="preserve"> risk level  </w:t>
      </w:r>
      <w:r>
        <w:rPr>
          <w:noProof/>
        </w:rPr>
        <w:t>investments</w:t>
      </w:r>
      <w:r>
        <w:t>, as rated by Defaqto, matched the filters applied.</w:t>
      </w:r>
    </w:p>
    <w:tbl>
      <w:tblPr>
        <w:tblStyle w:val="DefaqtoTable"/>
        <w:tblW w:w="5000" w:type="pct"/>
        <w:tblLayout w:type="fixed"/>
        <w:tblLook w:val="0420" w:firstRow="1" w:lastRow="0" w:firstColumn="0" w:lastColumn="0" w:noHBand="0" w:noVBand="1"/>
      </w:tblPr>
      <w:tblGrid>
        <w:gridCol w:w="3739"/>
        <w:gridCol w:w="2773"/>
        <w:gridCol w:w="1827"/>
        <w:gridCol w:w="1175"/>
        <w:gridCol w:w="1102"/>
      </w:tblGrid>
      <w:tr w:rsidR="00734123" w14:paraId="70CBA5E2" w14:textId="77777777" w:rsidTr="00734123">
        <w:trPr>
          <w:cnfStyle w:val="100000000000" w:firstRow="1" w:lastRow="0" w:firstColumn="0" w:lastColumn="0" w:oddVBand="0" w:evenVBand="0" w:oddHBand="0" w:evenHBand="0" w:firstRowFirstColumn="0" w:firstRowLastColumn="0" w:lastRowFirstColumn="0" w:lastRowLastColumn="0"/>
          <w:trHeight w:val="432"/>
        </w:trPr>
        <w:tc>
          <w:tcPr>
            <w:tcW w:w="3684" w:type="dxa"/>
            <w:hideMark/>
          </w:tcPr>
          <w:p w14:paraId="41D9D16B" w14:textId="77777777" w:rsidR="00734123" w:rsidRDefault="00CA2568">
            <w:pPr>
              <w:pStyle w:val="DefaqtoTableBody2"/>
              <w:rPr>
                <w:b w:val="0"/>
                <w:bCs w:val="0"/>
              </w:rPr>
            </w:pPr>
            <w:r>
              <w:t>Investment</w:t>
            </w:r>
          </w:p>
        </w:tc>
        <w:tc>
          <w:tcPr>
            <w:tcW w:w="2731" w:type="dxa"/>
            <w:hideMark/>
          </w:tcPr>
          <w:p w14:paraId="5C43C512" w14:textId="77777777" w:rsidR="00734123" w:rsidRDefault="00CA2568">
            <w:pPr>
              <w:pStyle w:val="DefaqtoTableBody2"/>
              <w:rPr>
                <w:b w:val="0"/>
                <w:bCs w:val="0"/>
              </w:rPr>
            </w:pPr>
            <w:r>
              <w:t>Provider</w:t>
            </w:r>
          </w:p>
        </w:tc>
        <w:tc>
          <w:tcPr>
            <w:tcW w:w="1799" w:type="dxa"/>
            <w:hideMark/>
          </w:tcPr>
          <w:p w14:paraId="2EEC1D28" w14:textId="77777777" w:rsidR="00734123" w:rsidRDefault="00CA2568">
            <w:pPr>
              <w:pStyle w:val="DefaqtoTableBody2"/>
              <w:rPr>
                <w:b w:val="0"/>
                <w:bCs w:val="0"/>
              </w:rPr>
            </w:pPr>
            <w:r>
              <w:t>ISIN</w:t>
            </w:r>
          </w:p>
        </w:tc>
        <w:tc>
          <w:tcPr>
            <w:tcW w:w="1157" w:type="dxa"/>
          </w:tcPr>
          <w:p w14:paraId="3327444D" w14:textId="77777777" w:rsidR="00734123" w:rsidRDefault="00CA2568">
            <w:pPr>
              <w:pStyle w:val="DefaqtoTableBody2"/>
              <w:rPr>
                <w:b w:val="0"/>
                <w:bCs w:val="0"/>
              </w:rPr>
            </w:pPr>
            <w:r>
              <w:t>Risk controlled</w:t>
            </w:r>
          </w:p>
        </w:tc>
        <w:tc>
          <w:tcPr>
            <w:tcW w:w="1085" w:type="dxa"/>
            <w:hideMark/>
          </w:tcPr>
          <w:p w14:paraId="0473FD5E" w14:textId="77777777" w:rsidR="00734123" w:rsidRDefault="00CA2568">
            <w:pPr>
              <w:pStyle w:val="DefaqtoTableBody2"/>
              <w:jc w:val="center"/>
              <w:rPr>
                <w:b w:val="0"/>
                <w:bCs w:val="0"/>
              </w:rPr>
            </w:pPr>
            <w:r>
              <w:t>Diamond rating</w:t>
            </w:r>
          </w:p>
        </w:tc>
      </w:tr>
      <w:tr w:rsidR="00734123" w14:paraId="1EBEB366" w14:textId="77777777" w:rsidTr="00734123">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4FA7CBC8" w14:textId="77777777" w:rsidR="00734123" w:rsidRDefault="00CA2568">
            <w:pPr>
              <w:pStyle w:val="DefaqtoTableBody2"/>
            </w:pPr>
            <w:r>
              <w:t>Aviva Investors Multi-asset Plus Fund II Class 2 GBP Acc</w:t>
            </w:r>
          </w:p>
        </w:tc>
        <w:tc>
          <w:tcPr>
            <w:tcW w:w="2731" w:type="dxa"/>
          </w:tcPr>
          <w:p w14:paraId="73419B15" w14:textId="77777777" w:rsidR="00734123" w:rsidRDefault="00CA2568">
            <w:pPr>
              <w:pStyle w:val="DefaqtoTableBody2"/>
            </w:pPr>
            <w:r>
              <w:t>Aviva Investors UK Fund Services Limited</w:t>
            </w:r>
          </w:p>
        </w:tc>
        <w:tc>
          <w:tcPr>
            <w:tcW w:w="1799" w:type="dxa"/>
          </w:tcPr>
          <w:p w14:paraId="36E77641" w14:textId="77777777" w:rsidR="00734123" w:rsidRDefault="00CA2568">
            <w:pPr>
              <w:pStyle w:val="DefaqtoTableBody2"/>
            </w:pPr>
            <w:r>
              <w:t>GB00B7JRQQ84</w:t>
            </w:r>
          </w:p>
        </w:tc>
        <w:tc>
          <w:tcPr>
            <w:tcW w:w="1157" w:type="dxa"/>
          </w:tcPr>
          <w:p w14:paraId="68B07EBE" w14:textId="77777777" w:rsidR="00734123" w:rsidRDefault="00CA2568">
            <w:pPr>
              <w:pStyle w:val="DefaqtoTableBody2"/>
            </w:pPr>
            <w:r>
              <w:pict w14:anchorId="41BB600C">
                <v:shape id="_x0000_i1038" type="#_x0000_t75" style="width:33pt;height:30pt;visibility:visible">
                  <v:imagedata r:id="rId28" o:title=""/>
                </v:shape>
              </w:pict>
            </w:r>
          </w:p>
        </w:tc>
        <w:tc>
          <w:tcPr>
            <w:tcW w:w="1085" w:type="dxa"/>
          </w:tcPr>
          <w:p w14:paraId="55FB24C6" w14:textId="77777777" w:rsidR="00734123" w:rsidRDefault="00CA2568">
            <w:pPr>
              <w:pStyle w:val="DefaqtoTableBody2"/>
              <w:jc w:val="center"/>
            </w:pPr>
            <w:r>
              <w:pict w14:anchorId="4C609063">
                <v:shape id="_x0000_i1039" type="#_x0000_t75" style="width:.6pt;height:.6pt;visibility:visible">
                  <v:imagedata r:id="rId29" o:title=""/>
                </v:shape>
              </w:pict>
            </w:r>
            <w:r>
              <w:t>N/A</w:t>
            </w:r>
          </w:p>
        </w:tc>
      </w:tr>
      <w:tr w:rsidR="00734123" w14:paraId="5671D14F" w14:textId="77777777" w:rsidTr="00734123">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14F50003" w14:textId="77777777" w:rsidR="00734123" w:rsidRDefault="00CA2568">
            <w:pPr>
              <w:pStyle w:val="DefaqtoTableBody2"/>
            </w:pPr>
            <w:r>
              <w:t>CT Sustainable Universal MAP Cautious C Acc</w:t>
            </w:r>
          </w:p>
        </w:tc>
        <w:tc>
          <w:tcPr>
            <w:tcW w:w="2731" w:type="dxa"/>
          </w:tcPr>
          <w:p w14:paraId="160E3029" w14:textId="77777777" w:rsidR="00734123" w:rsidRDefault="00CA2568">
            <w:pPr>
              <w:pStyle w:val="DefaqtoTableBody2"/>
            </w:pPr>
            <w:r>
              <w:t>Columbia Threadneedle Fund Management Limited</w:t>
            </w:r>
          </w:p>
        </w:tc>
        <w:tc>
          <w:tcPr>
            <w:tcW w:w="1799" w:type="dxa"/>
          </w:tcPr>
          <w:p w14:paraId="395A49CB" w14:textId="77777777" w:rsidR="00734123" w:rsidRDefault="00CA2568">
            <w:pPr>
              <w:pStyle w:val="DefaqtoTableBody2"/>
            </w:pPr>
            <w:r>
              <w:t>GB00BKV44647</w:t>
            </w:r>
          </w:p>
        </w:tc>
        <w:tc>
          <w:tcPr>
            <w:tcW w:w="1157" w:type="dxa"/>
          </w:tcPr>
          <w:p w14:paraId="57CDD3BA" w14:textId="77777777" w:rsidR="00734123" w:rsidRDefault="00CA2568">
            <w:pPr>
              <w:pStyle w:val="DefaqtoTableBody2"/>
            </w:pPr>
            <w:r>
              <w:pict w14:anchorId="2F90129D">
                <v:shape id="_x0000_i1040" type="#_x0000_t75" style="width:33pt;height:30pt;visibility:visible">
                  <v:imagedata r:id="rId28" o:title=""/>
                </v:shape>
              </w:pict>
            </w:r>
          </w:p>
        </w:tc>
        <w:tc>
          <w:tcPr>
            <w:tcW w:w="1085" w:type="dxa"/>
          </w:tcPr>
          <w:p w14:paraId="0E405E64" w14:textId="77777777" w:rsidR="00734123" w:rsidRDefault="00CA2568">
            <w:pPr>
              <w:pStyle w:val="DefaqtoTableBody2"/>
              <w:jc w:val="center"/>
            </w:pPr>
            <w:r>
              <w:pict w14:anchorId="4526D30C">
                <v:shape id="_x0000_i1041" type="#_x0000_t75" style="width:.6pt;height:.6pt;visibility:visible">
                  <v:imagedata r:id="rId29" o:title=""/>
                </v:shape>
              </w:pict>
            </w:r>
            <w:r>
              <w:t>N/A</w:t>
            </w:r>
          </w:p>
        </w:tc>
      </w:tr>
      <w:tr w:rsidR="00734123" w14:paraId="7DD14018" w14:textId="77777777" w:rsidTr="00734123">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67779944" w14:textId="77777777" w:rsidR="00734123" w:rsidRDefault="00CA2568">
            <w:pPr>
              <w:pStyle w:val="DefaqtoTableBody2"/>
            </w:pPr>
            <w:r>
              <w:t>CT Universal MAP Cautious Fund C Acc</w:t>
            </w:r>
          </w:p>
        </w:tc>
        <w:tc>
          <w:tcPr>
            <w:tcW w:w="2731" w:type="dxa"/>
          </w:tcPr>
          <w:p w14:paraId="723FB02C" w14:textId="77777777" w:rsidR="00734123" w:rsidRDefault="00CA2568">
            <w:pPr>
              <w:pStyle w:val="DefaqtoTableBody2"/>
            </w:pPr>
            <w:r>
              <w:t>Columbia Threadneedle Fund Management Limited</w:t>
            </w:r>
          </w:p>
        </w:tc>
        <w:tc>
          <w:tcPr>
            <w:tcW w:w="1799" w:type="dxa"/>
          </w:tcPr>
          <w:p w14:paraId="10568C76" w14:textId="77777777" w:rsidR="00734123" w:rsidRDefault="00CA2568">
            <w:pPr>
              <w:pStyle w:val="DefaqtoTableBody2"/>
            </w:pPr>
            <w:r>
              <w:t>GB00BF99VY38</w:t>
            </w:r>
          </w:p>
        </w:tc>
        <w:tc>
          <w:tcPr>
            <w:tcW w:w="1157" w:type="dxa"/>
          </w:tcPr>
          <w:p w14:paraId="635743BC" w14:textId="77777777" w:rsidR="00734123" w:rsidRDefault="00CA2568">
            <w:pPr>
              <w:pStyle w:val="DefaqtoTableBody2"/>
            </w:pPr>
            <w:r>
              <w:pict w14:anchorId="7D7B4E2B">
                <v:shape id="_x0000_i1042" type="#_x0000_t75" style="width:33pt;height:30pt;visibility:visible">
                  <v:imagedata r:id="rId28" o:title=""/>
                </v:shape>
              </w:pict>
            </w:r>
          </w:p>
        </w:tc>
        <w:tc>
          <w:tcPr>
            <w:tcW w:w="1085" w:type="dxa"/>
          </w:tcPr>
          <w:p w14:paraId="25CE7E55" w14:textId="77777777" w:rsidR="00734123" w:rsidRDefault="00CA2568">
            <w:pPr>
              <w:pStyle w:val="DefaqtoTableBody2"/>
              <w:jc w:val="center"/>
            </w:pPr>
            <w:r>
              <w:pict w14:anchorId="7E72CD84">
                <v:shape id="_x0000_i1043" type="#_x0000_t75" style="width:.6pt;height:.6pt;visibility:visible">
                  <v:imagedata r:id="rId29" o:title=""/>
                </v:shape>
              </w:pict>
            </w:r>
            <w:r>
              <w:t>N/A</w:t>
            </w:r>
          </w:p>
        </w:tc>
      </w:tr>
      <w:tr w:rsidR="00734123" w14:paraId="333EBB15" w14:textId="77777777" w:rsidTr="00734123">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5F94C1EB" w14:textId="77777777" w:rsidR="00734123" w:rsidRDefault="00CA2568">
            <w:pPr>
              <w:pStyle w:val="DefaqtoTableBody2"/>
            </w:pPr>
            <w:r>
              <w:t>HSBC Global Strategy Conservative Portfolio AC</w:t>
            </w:r>
          </w:p>
        </w:tc>
        <w:tc>
          <w:tcPr>
            <w:tcW w:w="2731" w:type="dxa"/>
          </w:tcPr>
          <w:p w14:paraId="68E02F1B" w14:textId="77777777" w:rsidR="00734123" w:rsidRDefault="00CA2568">
            <w:pPr>
              <w:pStyle w:val="DefaqtoTableBody2"/>
            </w:pPr>
            <w:r>
              <w:t>HSBC Asset Management (Fund Services UK) Limited</w:t>
            </w:r>
          </w:p>
        </w:tc>
        <w:tc>
          <w:tcPr>
            <w:tcW w:w="1799" w:type="dxa"/>
          </w:tcPr>
          <w:p w14:paraId="7B7C1DBC" w14:textId="77777777" w:rsidR="00734123" w:rsidRDefault="00CA2568">
            <w:pPr>
              <w:pStyle w:val="DefaqtoTableBody2"/>
            </w:pPr>
            <w:r>
              <w:t>GB00BYVXBK29</w:t>
            </w:r>
          </w:p>
        </w:tc>
        <w:tc>
          <w:tcPr>
            <w:tcW w:w="1157" w:type="dxa"/>
          </w:tcPr>
          <w:p w14:paraId="638DA9F5" w14:textId="77777777" w:rsidR="00734123" w:rsidRDefault="00CA2568">
            <w:pPr>
              <w:pStyle w:val="DefaqtoTableBody2"/>
            </w:pPr>
            <w:r>
              <w:pict w14:anchorId="15433193">
                <v:shape id="_x0000_i1044" type="#_x0000_t75" style="width:.6pt;height:.6pt;visibility:visible">
                  <v:imagedata r:id="rId29" o:title=""/>
                </v:shape>
              </w:pict>
            </w:r>
          </w:p>
        </w:tc>
        <w:tc>
          <w:tcPr>
            <w:tcW w:w="1085" w:type="dxa"/>
          </w:tcPr>
          <w:p w14:paraId="4CBE152A" w14:textId="77777777" w:rsidR="00734123" w:rsidRDefault="00CA2568">
            <w:pPr>
              <w:pStyle w:val="DefaqtoTableBody2"/>
              <w:jc w:val="center"/>
            </w:pPr>
            <w:r>
              <w:pict w14:anchorId="4DD1882D">
                <v:shape id="_x0000_i1045" type="#_x0000_t75" style="width:.6pt;height:.6pt;visibility:visible">
                  <v:imagedata r:id="rId29" o:title=""/>
                </v:shape>
              </w:pict>
            </w:r>
            <w:r>
              <w:t>N/A</w:t>
            </w:r>
          </w:p>
        </w:tc>
      </w:tr>
      <w:tr w:rsidR="00734123" w14:paraId="57FB59FB" w14:textId="77777777" w:rsidTr="00734123">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089BF1C5" w14:textId="77777777" w:rsidR="00734123" w:rsidRDefault="00CA2568">
            <w:pPr>
              <w:pStyle w:val="DefaqtoTableBody2"/>
            </w:pPr>
            <w:r>
              <w:t>Liontrust Sustainable Future Cautious Managed Fund Class 2 Net Income</w:t>
            </w:r>
          </w:p>
        </w:tc>
        <w:tc>
          <w:tcPr>
            <w:tcW w:w="2731" w:type="dxa"/>
          </w:tcPr>
          <w:p w14:paraId="6196BD93" w14:textId="77777777" w:rsidR="00734123" w:rsidRDefault="00CA2568">
            <w:pPr>
              <w:pStyle w:val="DefaqtoTableBody2"/>
            </w:pPr>
            <w:r>
              <w:t>Liontrust Fund Partners LLP</w:t>
            </w:r>
          </w:p>
        </w:tc>
        <w:tc>
          <w:tcPr>
            <w:tcW w:w="1799" w:type="dxa"/>
          </w:tcPr>
          <w:p w14:paraId="6EF39447" w14:textId="77777777" w:rsidR="00734123" w:rsidRDefault="00CA2568">
            <w:pPr>
              <w:pStyle w:val="DefaqtoTableBody2"/>
            </w:pPr>
            <w:r>
              <w:t>GB00BMN90304</w:t>
            </w:r>
          </w:p>
        </w:tc>
        <w:tc>
          <w:tcPr>
            <w:tcW w:w="1157" w:type="dxa"/>
          </w:tcPr>
          <w:p w14:paraId="118C6CDE" w14:textId="77777777" w:rsidR="00734123" w:rsidRDefault="00CA2568">
            <w:pPr>
              <w:pStyle w:val="DefaqtoTableBody2"/>
            </w:pPr>
            <w:r>
              <w:pict w14:anchorId="7A6213E4">
                <v:shape id="_x0000_i1046" type="#_x0000_t75" style="width:.6pt;height:.6pt;visibility:visible">
                  <v:imagedata r:id="rId29" o:title=""/>
                </v:shape>
              </w:pict>
            </w:r>
          </w:p>
        </w:tc>
        <w:tc>
          <w:tcPr>
            <w:tcW w:w="1085" w:type="dxa"/>
          </w:tcPr>
          <w:p w14:paraId="53394AE7" w14:textId="77777777" w:rsidR="00734123" w:rsidRDefault="00CA2568">
            <w:pPr>
              <w:pStyle w:val="DefaqtoTableBody2"/>
              <w:jc w:val="center"/>
            </w:pPr>
            <w:r>
              <w:pict w14:anchorId="1FA20119">
                <v:shape id="_x0000_i1047" type="#_x0000_t75" style="width:31.8pt;height:13.2pt;visibility:visible">
                  <v:imagedata r:id="rId45" o:title=""/>
                </v:shape>
              </w:pict>
            </w:r>
          </w:p>
        </w:tc>
      </w:tr>
      <w:tr w:rsidR="00734123" w14:paraId="2754ACBB" w14:textId="77777777" w:rsidTr="00734123">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60B7D8C2" w14:textId="77777777" w:rsidR="00734123" w:rsidRDefault="00CA2568">
            <w:pPr>
              <w:pStyle w:val="DefaqtoTableBody2"/>
            </w:pPr>
            <w:r>
              <w:t>Vanguard LifeStrategy 40% Equity Fund A Acc</w:t>
            </w:r>
          </w:p>
        </w:tc>
        <w:tc>
          <w:tcPr>
            <w:tcW w:w="2731" w:type="dxa"/>
          </w:tcPr>
          <w:p w14:paraId="08037DDF" w14:textId="77777777" w:rsidR="00734123" w:rsidRDefault="00CA2568">
            <w:pPr>
              <w:pStyle w:val="DefaqtoTableBody2"/>
            </w:pPr>
            <w:r>
              <w:t>Vanguard Investments UK, Limited</w:t>
            </w:r>
          </w:p>
        </w:tc>
        <w:tc>
          <w:tcPr>
            <w:tcW w:w="1799" w:type="dxa"/>
          </w:tcPr>
          <w:p w14:paraId="09007D00" w14:textId="77777777" w:rsidR="00734123" w:rsidRDefault="00CA2568">
            <w:pPr>
              <w:pStyle w:val="DefaqtoTableBody2"/>
            </w:pPr>
            <w:r>
              <w:t>GB00B3ZHN960</w:t>
            </w:r>
          </w:p>
        </w:tc>
        <w:tc>
          <w:tcPr>
            <w:tcW w:w="1157" w:type="dxa"/>
          </w:tcPr>
          <w:p w14:paraId="72C82A2F" w14:textId="77777777" w:rsidR="00734123" w:rsidRDefault="00CA2568">
            <w:pPr>
              <w:pStyle w:val="DefaqtoTableBody2"/>
            </w:pPr>
            <w:r>
              <w:pict w14:anchorId="2510EBE2">
                <v:shape id="_x0000_i1048" type="#_x0000_t75" style="width:.6pt;height:.6pt;visibility:visible">
                  <v:imagedata r:id="rId29" o:title=""/>
                </v:shape>
              </w:pict>
            </w:r>
          </w:p>
        </w:tc>
        <w:tc>
          <w:tcPr>
            <w:tcW w:w="1085" w:type="dxa"/>
          </w:tcPr>
          <w:p w14:paraId="04074E54" w14:textId="77777777" w:rsidR="00734123" w:rsidRDefault="00CA2568">
            <w:pPr>
              <w:pStyle w:val="DefaqtoTableBody2"/>
              <w:jc w:val="center"/>
            </w:pPr>
            <w:r>
              <w:pict w14:anchorId="153601BD">
                <v:shape id="_x0000_i1049" type="#_x0000_t75" style="width:31.8pt;height:13.2pt;visibility:visible">
                  <v:imagedata r:id="rId45" o:title=""/>
                </v:shape>
              </w:pict>
            </w:r>
          </w:p>
        </w:tc>
      </w:tr>
    </w:tbl>
    <w:p w14:paraId="76734EF5" w14:textId="77777777" w:rsidR="00734123" w:rsidRDefault="00734123">
      <w:pPr>
        <w:sectPr w:rsidR="00734123">
          <w:headerReference w:type="default" r:id="rId46"/>
          <w:footerReference w:type="default" r:id="rId47"/>
          <w:pgSz w:w="11906" w:h="16838"/>
          <w:pgMar w:top="709" w:right="640" w:bottom="376" w:left="640" w:header="200" w:footer="200" w:gutter="0"/>
          <w:cols w:space="708"/>
          <w:docGrid w:linePitch="360"/>
        </w:sectPr>
      </w:pPr>
    </w:p>
    <w:p w14:paraId="40A902B7" w14:textId="77777777" w:rsidR="00734123" w:rsidRDefault="00CA2568">
      <w:pPr>
        <w:pStyle w:val="DefaqtoHeading2"/>
      </w:pPr>
      <w:bookmarkStart w:id="27" w:name="_Toc3558340"/>
      <w:r>
        <w:lastRenderedPageBreak/>
        <w:t>Supplementary research</w:t>
      </w:r>
      <w:bookmarkEnd w:id="27"/>
    </w:p>
    <w:p w14:paraId="2EDA0E1C" w14:textId="77777777" w:rsidR="00734123" w:rsidRDefault="00734123">
      <w:pPr>
        <w:pStyle w:val="Tag"/>
        <w:rPr>
          <w:sz w:val="24"/>
          <w:szCs w:val="24"/>
        </w:rPr>
        <w:sectPr w:rsidR="00734123">
          <w:headerReference w:type="default" r:id="rId48"/>
          <w:footerReference w:type="default" r:id="rId49"/>
          <w:pgSz w:w="11906" w:h="16838"/>
          <w:pgMar w:top="709" w:right="640" w:bottom="376" w:left="640" w:header="200" w:footer="200" w:gutter="0"/>
          <w:cols w:space="708"/>
          <w:docGrid w:linePitch="360"/>
        </w:sectPr>
      </w:pPr>
    </w:p>
    <w:p w14:paraId="7E5C03A9" w14:textId="77777777" w:rsidR="00734123" w:rsidRDefault="00CA2568">
      <w:pPr>
        <w:pStyle w:val="DefaqtoHeading3"/>
      </w:pPr>
      <w:bookmarkStart w:id="28" w:name="_Toc3558344"/>
      <w:r>
        <w:t>Data comparisons</w:t>
      </w:r>
      <w:bookmarkEnd w:id="28"/>
    </w:p>
    <w:p w14:paraId="2B057324" w14:textId="77777777" w:rsidR="00734123" w:rsidRDefault="00CA2568">
      <w:pPr>
        <w:pStyle w:val="DefaqtoHeading4"/>
        <w:rPr>
          <w:noProof/>
        </w:rPr>
      </w:pPr>
      <w:r>
        <w:rPr>
          <w:noProof/>
        </w:rPr>
        <w:t>Data Compare 03/12/2025 15:33</w:t>
      </w:r>
    </w:p>
    <w:tbl>
      <w:tblPr>
        <w:tblStyle w:val="DefaqtoTable"/>
        <w:tblW w:w="5000" w:type="pct"/>
        <w:tblLook w:val="04A0" w:firstRow="1" w:lastRow="0" w:firstColumn="1" w:lastColumn="0" w:noHBand="0" w:noVBand="1"/>
      </w:tblPr>
      <w:tblGrid>
        <w:gridCol w:w="3110"/>
        <w:gridCol w:w="3110"/>
        <w:gridCol w:w="3111"/>
        <w:gridCol w:w="3111"/>
        <w:gridCol w:w="3111"/>
      </w:tblGrid>
      <w:tr w:rsidR="00734123" w14:paraId="2B1795B4" w14:textId="77777777" w:rsidTr="00734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nil"/>
              <w:left w:val="nil"/>
              <w:right w:val="single" w:sz="18" w:space="0" w:color="614FA0"/>
            </w:tcBorders>
          </w:tcPr>
          <w:p w14:paraId="0B1EF297" w14:textId="77777777" w:rsidR="00734123" w:rsidRDefault="00CA2568">
            <w:pPr>
              <w:pStyle w:val="DefaqtoTableBody2"/>
              <w:rPr>
                <w:rFonts w:eastAsia="Poppins" w:cs="Poppins"/>
              </w:rPr>
            </w:pPr>
            <w:r>
              <w:rPr>
                <w:rFonts w:eastAsia="Poppins" w:cs="Poppins"/>
              </w:rPr>
              <w:t xml:space="preserve"> </w:t>
            </w:r>
          </w:p>
        </w:tc>
        <w:tc>
          <w:tcPr>
            <w:tcW w:w="1000" w:type="pct"/>
          </w:tcPr>
          <w:p w14:paraId="3D4D3B69" w14:textId="77777777" w:rsidR="00734123" w:rsidRDefault="00CA2568">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Aviva Investors Multi-asset Plus Fund II Class 2 GBP Acc</w:t>
            </w:r>
          </w:p>
        </w:tc>
        <w:tc>
          <w:tcPr>
            <w:tcW w:w="1000" w:type="pct"/>
          </w:tcPr>
          <w:p w14:paraId="56ECF998" w14:textId="77777777" w:rsidR="00734123" w:rsidRDefault="00CA2568">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CT Universal MAP Cautious Fund C Acc</w:t>
            </w:r>
          </w:p>
        </w:tc>
        <w:tc>
          <w:tcPr>
            <w:tcW w:w="1000" w:type="pct"/>
          </w:tcPr>
          <w:p w14:paraId="5C301CE0" w14:textId="77777777" w:rsidR="00734123" w:rsidRDefault="00CA2568">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HSBC Global Strategy Conservative Portfolio AC</w:t>
            </w:r>
          </w:p>
        </w:tc>
        <w:tc>
          <w:tcPr>
            <w:tcW w:w="1000" w:type="pct"/>
          </w:tcPr>
          <w:p w14:paraId="3CD0A35A" w14:textId="77777777" w:rsidR="00734123" w:rsidRDefault="00CA2568">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Vanguard LifeStrategy 40% Equity Fund A Acc</w:t>
            </w:r>
          </w:p>
        </w:tc>
      </w:tr>
      <w:tr w:rsidR="00734123" w14:paraId="2021FB76"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2D6E458" w14:textId="77777777" w:rsidR="00734123" w:rsidRDefault="00CA2568">
            <w:pPr>
              <w:pStyle w:val="DefaqtoTableBody2"/>
              <w:rPr>
                <w:rFonts w:eastAsia="Poppins" w:cs="Poppins"/>
              </w:rPr>
            </w:pPr>
            <w:r>
              <w:rPr>
                <w:rFonts w:eastAsia="Poppins" w:cs="Poppins"/>
                <w:b/>
                <w:bCs/>
              </w:rPr>
              <w:t>ISIN</w:t>
            </w:r>
          </w:p>
        </w:tc>
        <w:tc>
          <w:tcPr>
            <w:tcW w:w="1000" w:type="pct"/>
          </w:tcPr>
          <w:p w14:paraId="4902E886"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GB00B7JRQQ84</w:t>
            </w:r>
          </w:p>
        </w:tc>
        <w:tc>
          <w:tcPr>
            <w:tcW w:w="1000" w:type="pct"/>
          </w:tcPr>
          <w:p w14:paraId="0F9F2D61"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GB00BF99VY38</w:t>
            </w:r>
          </w:p>
        </w:tc>
        <w:tc>
          <w:tcPr>
            <w:tcW w:w="1000" w:type="pct"/>
          </w:tcPr>
          <w:p w14:paraId="689CADC4"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GB00BYVXBK29</w:t>
            </w:r>
          </w:p>
        </w:tc>
        <w:tc>
          <w:tcPr>
            <w:tcW w:w="1000" w:type="pct"/>
          </w:tcPr>
          <w:p w14:paraId="5DC315A3"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GB00B3ZHN960</w:t>
            </w:r>
          </w:p>
        </w:tc>
      </w:tr>
      <w:tr w:rsidR="00734123" w14:paraId="18F2799F" w14:textId="77777777" w:rsidTr="007341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52B8B143" w14:textId="77777777" w:rsidR="00734123" w:rsidRDefault="00CA2568">
            <w:pPr>
              <w:pStyle w:val="DefaqtoTableBody2"/>
              <w:rPr>
                <w:rFonts w:eastAsia="Poppins" w:cs="Poppins"/>
              </w:rPr>
            </w:pPr>
            <w:r>
              <w:rPr>
                <w:rFonts w:eastAsia="Poppins" w:cs="Poppins"/>
                <w:b/>
                <w:bCs/>
              </w:rPr>
              <w:t>Defaqto Risk Rating</w:t>
            </w:r>
          </w:p>
        </w:tc>
        <w:tc>
          <w:tcPr>
            <w:tcW w:w="1000" w:type="pct"/>
          </w:tcPr>
          <w:p w14:paraId="1275378D"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35E0D864"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0DDA48B3"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0A23C2BD"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r>
      <w:tr w:rsidR="00734123" w14:paraId="45BFAE3A"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9307BA4" w14:textId="77777777" w:rsidR="00734123" w:rsidRDefault="00CA2568">
            <w:pPr>
              <w:pStyle w:val="DefaqtoTableBody2"/>
              <w:rPr>
                <w:rFonts w:eastAsia="Poppins" w:cs="Poppins"/>
              </w:rPr>
            </w:pPr>
            <w:r>
              <w:rPr>
                <w:rFonts w:eastAsia="Poppins" w:cs="Poppins"/>
                <w:b/>
                <w:bCs/>
              </w:rPr>
              <w:t>Risk Bound</w:t>
            </w:r>
          </w:p>
        </w:tc>
        <w:tc>
          <w:tcPr>
            <w:tcW w:w="1000" w:type="pct"/>
          </w:tcPr>
          <w:p w14:paraId="440402DE"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68EED2A4"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2D13CF2C"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6BFF8C8B"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r>
      <w:tr w:rsidR="00734123" w14:paraId="5F3B7A71" w14:textId="77777777" w:rsidTr="007341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58BB91D" w14:textId="77777777" w:rsidR="00734123" w:rsidRDefault="00CA2568">
            <w:pPr>
              <w:pStyle w:val="DefaqtoTableBody2"/>
              <w:rPr>
                <w:rFonts w:eastAsia="Poppins" w:cs="Poppins"/>
              </w:rPr>
            </w:pPr>
            <w:r>
              <w:rPr>
                <w:rFonts w:eastAsia="Poppins" w:cs="Poppins"/>
                <w:b/>
                <w:bCs/>
              </w:rPr>
              <w:t>Multi Asset</w:t>
            </w:r>
          </w:p>
        </w:tc>
        <w:tc>
          <w:tcPr>
            <w:tcW w:w="1000" w:type="pct"/>
          </w:tcPr>
          <w:p w14:paraId="3C4989C4"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6C37042F"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15A87311"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7A530D8B"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r>
      <w:tr w:rsidR="00734123" w14:paraId="1EBBECD9"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07D51F17" w14:textId="77777777" w:rsidR="00734123" w:rsidRDefault="00CA2568">
            <w:pPr>
              <w:pStyle w:val="DefaqtoTableBody2"/>
              <w:rPr>
                <w:rFonts w:eastAsia="Poppins" w:cs="Poppins"/>
              </w:rPr>
            </w:pPr>
            <w:r>
              <w:rPr>
                <w:rFonts w:eastAsia="Poppins" w:cs="Poppins"/>
                <w:b/>
                <w:bCs/>
              </w:rPr>
              <w:t>Stock Selection</w:t>
            </w:r>
          </w:p>
        </w:tc>
        <w:tc>
          <w:tcPr>
            <w:tcW w:w="1000" w:type="pct"/>
          </w:tcPr>
          <w:p w14:paraId="16166743"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Active</w:t>
            </w:r>
          </w:p>
        </w:tc>
        <w:tc>
          <w:tcPr>
            <w:tcW w:w="1000" w:type="pct"/>
          </w:tcPr>
          <w:p w14:paraId="748427C4"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Active</w:t>
            </w:r>
          </w:p>
        </w:tc>
        <w:tc>
          <w:tcPr>
            <w:tcW w:w="1000" w:type="pct"/>
          </w:tcPr>
          <w:p w14:paraId="0CF66D69"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Passive</w:t>
            </w:r>
          </w:p>
        </w:tc>
        <w:tc>
          <w:tcPr>
            <w:tcW w:w="1000" w:type="pct"/>
          </w:tcPr>
          <w:p w14:paraId="64D01B80"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Passive</w:t>
            </w:r>
          </w:p>
        </w:tc>
      </w:tr>
      <w:tr w:rsidR="00734123" w14:paraId="7B9DEBE2" w14:textId="77777777" w:rsidTr="007341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A79F12A" w14:textId="77777777" w:rsidR="00734123" w:rsidRDefault="00CA2568">
            <w:pPr>
              <w:pStyle w:val="DefaqtoTableBody2"/>
              <w:rPr>
                <w:rFonts w:eastAsia="Poppins" w:cs="Poppins"/>
              </w:rPr>
            </w:pPr>
            <w:r>
              <w:rPr>
                <w:rFonts w:eastAsia="Poppins" w:cs="Poppins"/>
                <w:b/>
                <w:bCs/>
              </w:rPr>
              <w:t>5 Yr Cum. Return</w:t>
            </w:r>
          </w:p>
        </w:tc>
        <w:tc>
          <w:tcPr>
            <w:tcW w:w="1000" w:type="pct"/>
          </w:tcPr>
          <w:p w14:paraId="232591CE"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35.52%</w:t>
            </w:r>
          </w:p>
        </w:tc>
        <w:tc>
          <w:tcPr>
            <w:tcW w:w="1000" w:type="pct"/>
          </w:tcPr>
          <w:p w14:paraId="7357527E"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31.28%</w:t>
            </w:r>
          </w:p>
        </w:tc>
        <w:tc>
          <w:tcPr>
            <w:tcW w:w="1000" w:type="pct"/>
          </w:tcPr>
          <w:p w14:paraId="780490A0"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25.90%</w:t>
            </w:r>
          </w:p>
        </w:tc>
        <w:tc>
          <w:tcPr>
            <w:tcW w:w="1000" w:type="pct"/>
          </w:tcPr>
          <w:p w14:paraId="622D36D8"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21.49%</w:t>
            </w:r>
          </w:p>
        </w:tc>
      </w:tr>
      <w:tr w:rsidR="00734123" w14:paraId="3D94BB47"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746F411F" w14:textId="77777777" w:rsidR="00734123" w:rsidRDefault="00CA2568">
            <w:pPr>
              <w:pStyle w:val="DefaqtoTableBody2"/>
              <w:rPr>
                <w:rFonts w:eastAsia="Poppins" w:cs="Poppins"/>
              </w:rPr>
            </w:pPr>
            <w:r>
              <w:rPr>
                <w:rFonts w:eastAsia="Poppins" w:cs="Poppins"/>
                <w:b/>
                <w:bCs/>
              </w:rPr>
              <w:t>10 Yr Cum. Return</w:t>
            </w:r>
          </w:p>
        </w:tc>
        <w:tc>
          <w:tcPr>
            <w:tcW w:w="1000" w:type="pct"/>
          </w:tcPr>
          <w:p w14:paraId="6B22448F"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68.02%</w:t>
            </w:r>
          </w:p>
        </w:tc>
        <w:tc>
          <w:tcPr>
            <w:tcW w:w="1000" w:type="pct"/>
          </w:tcPr>
          <w:p w14:paraId="1CAD1D5C" w14:textId="77777777" w:rsidR="00734123" w:rsidRDefault="00734123">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384C0C31" w14:textId="77777777" w:rsidR="00734123" w:rsidRDefault="00734123">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587C8F5D"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66.95%</w:t>
            </w:r>
          </w:p>
        </w:tc>
      </w:tr>
      <w:tr w:rsidR="00734123" w14:paraId="6048D0F6" w14:textId="77777777" w:rsidTr="007341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0DE15A21" w14:textId="77777777" w:rsidR="00734123" w:rsidRDefault="00CA2568">
            <w:pPr>
              <w:pStyle w:val="DefaqtoTableBody2"/>
              <w:rPr>
                <w:rFonts w:eastAsia="Poppins" w:cs="Poppins"/>
              </w:rPr>
            </w:pPr>
            <w:r>
              <w:rPr>
                <w:rFonts w:eastAsia="Poppins" w:cs="Poppins"/>
                <w:b/>
                <w:bCs/>
              </w:rPr>
              <w:t>5 Yr Volatility</w:t>
            </w:r>
          </w:p>
        </w:tc>
        <w:tc>
          <w:tcPr>
            <w:tcW w:w="1000" w:type="pct"/>
          </w:tcPr>
          <w:p w14:paraId="194B5478"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6.6</w:t>
            </w:r>
          </w:p>
        </w:tc>
        <w:tc>
          <w:tcPr>
            <w:tcW w:w="1000" w:type="pct"/>
          </w:tcPr>
          <w:p w14:paraId="79F44712"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6.9</w:t>
            </w:r>
          </w:p>
        </w:tc>
        <w:tc>
          <w:tcPr>
            <w:tcW w:w="1000" w:type="pct"/>
          </w:tcPr>
          <w:p w14:paraId="2B5788AF"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6.38</w:t>
            </w:r>
          </w:p>
        </w:tc>
        <w:tc>
          <w:tcPr>
            <w:tcW w:w="1000" w:type="pct"/>
          </w:tcPr>
          <w:p w14:paraId="582360E3"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7.25</w:t>
            </w:r>
          </w:p>
        </w:tc>
      </w:tr>
      <w:tr w:rsidR="00734123" w14:paraId="6B41E452"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48547CE" w14:textId="77777777" w:rsidR="00734123" w:rsidRDefault="00CA2568">
            <w:pPr>
              <w:pStyle w:val="DefaqtoTableBody2"/>
              <w:rPr>
                <w:rFonts w:eastAsia="Poppins" w:cs="Poppins"/>
              </w:rPr>
            </w:pPr>
            <w:r>
              <w:rPr>
                <w:rFonts w:eastAsia="Poppins" w:cs="Poppins"/>
                <w:b/>
                <w:bCs/>
              </w:rPr>
              <w:t>10 Yr Volatility</w:t>
            </w:r>
          </w:p>
        </w:tc>
        <w:tc>
          <w:tcPr>
            <w:tcW w:w="1000" w:type="pct"/>
          </w:tcPr>
          <w:p w14:paraId="68208CE4"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6.86</w:t>
            </w:r>
          </w:p>
        </w:tc>
        <w:tc>
          <w:tcPr>
            <w:tcW w:w="1000" w:type="pct"/>
          </w:tcPr>
          <w:p w14:paraId="43C9E59D" w14:textId="77777777" w:rsidR="00734123" w:rsidRDefault="00734123">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337A8942" w14:textId="77777777" w:rsidR="00734123" w:rsidRDefault="00734123">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7EF07EEA"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6.55</w:t>
            </w:r>
          </w:p>
        </w:tc>
      </w:tr>
      <w:tr w:rsidR="00734123" w14:paraId="35C7A4BB" w14:textId="77777777" w:rsidTr="007341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59E10DCE" w14:textId="77777777" w:rsidR="00734123" w:rsidRDefault="00CA2568">
            <w:pPr>
              <w:pStyle w:val="DefaqtoTableBody2"/>
              <w:rPr>
                <w:rFonts w:eastAsia="Poppins" w:cs="Poppins"/>
              </w:rPr>
            </w:pPr>
            <w:r>
              <w:rPr>
                <w:rFonts w:eastAsia="Poppins" w:cs="Poppins"/>
                <w:b/>
                <w:bCs/>
              </w:rPr>
              <w:t>AMC</w:t>
            </w:r>
          </w:p>
        </w:tc>
        <w:tc>
          <w:tcPr>
            <w:tcW w:w="1000" w:type="pct"/>
          </w:tcPr>
          <w:p w14:paraId="29DB86F5"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0.50%</w:t>
            </w:r>
          </w:p>
        </w:tc>
        <w:tc>
          <w:tcPr>
            <w:tcW w:w="1000" w:type="pct"/>
          </w:tcPr>
          <w:p w14:paraId="65D526CA"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0.29%</w:t>
            </w:r>
          </w:p>
        </w:tc>
        <w:tc>
          <w:tcPr>
            <w:tcW w:w="1000" w:type="pct"/>
          </w:tcPr>
          <w:p w14:paraId="3D3DFFA8"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0.10%</w:t>
            </w:r>
          </w:p>
        </w:tc>
        <w:tc>
          <w:tcPr>
            <w:tcW w:w="1000" w:type="pct"/>
          </w:tcPr>
          <w:p w14:paraId="0E859591" w14:textId="77777777" w:rsidR="00734123" w:rsidRDefault="00CA2568">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0.22%</w:t>
            </w:r>
          </w:p>
        </w:tc>
      </w:tr>
      <w:tr w:rsidR="00734123" w14:paraId="7B3ADF89"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7077798" w14:textId="77777777" w:rsidR="00734123" w:rsidRDefault="00CA2568">
            <w:pPr>
              <w:pStyle w:val="DefaqtoTableBody2"/>
              <w:rPr>
                <w:rFonts w:eastAsia="Poppins" w:cs="Poppins"/>
              </w:rPr>
            </w:pPr>
            <w:r>
              <w:rPr>
                <w:rFonts w:eastAsia="Poppins" w:cs="Poppins"/>
                <w:b/>
                <w:bCs/>
              </w:rPr>
              <w:t>Ongoing Charges</w:t>
            </w:r>
          </w:p>
        </w:tc>
        <w:tc>
          <w:tcPr>
            <w:tcW w:w="1000" w:type="pct"/>
          </w:tcPr>
          <w:p w14:paraId="0483DE03"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0.60%</w:t>
            </w:r>
          </w:p>
        </w:tc>
        <w:tc>
          <w:tcPr>
            <w:tcW w:w="1000" w:type="pct"/>
          </w:tcPr>
          <w:p w14:paraId="51E8B9C2"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0.29%</w:t>
            </w:r>
          </w:p>
        </w:tc>
        <w:tc>
          <w:tcPr>
            <w:tcW w:w="1000" w:type="pct"/>
          </w:tcPr>
          <w:p w14:paraId="682B28CE"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0.21%</w:t>
            </w:r>
          </w:p>
        </w:tc>
        <w:tc>
          <w:tcPr>
            <w:tcW w:w="1000" w:type="pct"/>
          </w:tcPr>
          <w:p w14:paraId="5AC9652A" w14:textId="77777777" w:rsidR="00734123" w:rsidRDefault="00CA2568">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0.22%</w:t>
            </w:r>
          </w:p>
        </w:tc>
      </w:tr>
    </w:tbl>
    <w:p w14:paraId="1C9E7E76" w14:textId="77777777" w:rsidR="00734123" w:rsidRDefault="00CA2568">
      <w:pPr>
        <w:pStyle w:val="DefaqtoHeading4"/>
        <w:rPr>
          <w:noProof/>
        </w:rPr>
      </w:pPr>
      <w:r>
        <w:rPr>
          <w:noProof/>
        </w:rPr>
        <w:br/>
      </w:r>
    </w:p>
    <w:p w14:paraId="076639BB" w14:textId="77777777" w:rsidR="00734123" w:rsidRDefault="00734123">
      <w:pPr>
        <w:rPr>
          <w:lang w:eastAsia="en-US"/>
        </w:rPr>
      </w:pPr>
    </w:p>
    <w:p w14:paraId="77C16BA2" w14:textId="77777777" w:rsidR="00734123" w:rsidRDefault="00734123">
      <w:pPr>
        <w:rPr>
          <w:lang w:eastAsia="en-US"/>
        </w:rPr>
        <w:sectPr w:rsidR="00734123">
          <w:headerReference w:type="default" r:id="rId50"/>
          <w:footerReference w:type="default" r:id="rId51"/>
          <w:pgSz w:w="16838" w:h="11906" w:orient="landscape"/>
          <w:pgMar w:top="709" w:right="640" w:bottom="376" w:left="640" w:header="200" w:footer="200" w:gutter="0"/>
          <w:cols w:space="708"/>
          <w:docGrid w:linePitch="360"/>
        </w:sectPr>
      </w:pPr>
    </w:p>
    <w:p w14:paraId="524B289A" w14:textId="77777777" w:rsidR="00734123" w:rsidRDefault="00734123">
      <w:pPr>
        <w:pStyle w:val="Defaqtosmallprint"/>
        <w:rPr>
          <w:lang w:val="en-NZ"/>
        </w:rPr>
      </w:pPr>
    </w:p>
    <w:p w14:paraId="28617470" w14:textId="77777777" w:rsidR="00734123" w:rsidRDefault="00734123">
      <w:pPr>
        <w:pStyle w:val="Defaqtosmallprint"/>
        <w:rPr>
          <w:lang w:val="en-NZ"/>
        </w:rPr>
      </w:pPr>
    </w:p>
    <w:p w14:paraId="3DBCB405" w14:textId="77777777" w:rsidR="00734123" w:rsidRDefault="00CA2568">
      <w:pPr>
        <w:pStyle w:val="Defaqtosmallprint"/>
        <w:rPr>
          <w:rFonts w:cs="Arial"/>
        </w:rPr>
      </w:pPr>
      <w:r>
        <w:rPr>
          <w:rFonts w:cs="Arial"/>
        </w:rPr>
        <w:t xml:space="preserve">The funds data used within Defaqto Engage is sourced from Morningstar UK. </w:t>
      </w:r>
    </w:p>
    <w:p w14:paraId="0B52FAA9" w14:textId="77777777" w:rsidR="00734123" w:rsidRDefault="00CA2568">
      <w:pPr>
        <w:pStyle w:val="Defaqtosmallprint"/>
        <w:rPr>
          <w:rFonts w:cs="Arial"/>
        </w:rPr>
      </w:pPr>
      <w:r>
        <w:rPr>
          <w:rFonts w:cs="Arial"/>
          <w:b/>
          <w:bCs/>
        </w:rPr>
        <w:t>Morningstar UK Data Disclaimer</w:t>
      </w:r>
      <w:r>
        <w:rPr>
          <w:rFonts w:cs="Arial"/>
          <w:b/>
          <w:bCs/>
        </w:rPr>
        <w:br/>
      </w:r>
      <w:r>
        <w:rPr>
          <w:rFonts w:cs="Arial"/>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w:t>
      </w:r>
      <w:r>
        <w:rPr>
          <w:rFonts w:cs="Arial"/>
        </w:rPr>
        <w:t>ion should be made in relation to any of the information provided other than on the advice of a professional financial adviser; (ii) past performance is no guarantee of future results; and (iii) the value and income derived from investments can go down as well as up.</w:t>
      </w:r>
    </w:p>
    <w:p w14:paraId="0966ECE1" w14:textId="77777777" w:rsidR="00734123" w:rsidRDefault="00CA2568">
      <w:pPr>
        <w:pStyle w:val="Defaqtosmallprint"/>
        <w:rPr>
          <w:rFonts w:cs="Arial"/>
        </w:rPr>
      </w:pPr>
      <w:r>
        <w:rPr>
          <w:rFonts w:cs="Arial"/>
        </w:rPr>
        <w:t xml:space="preserve">Data and Calculations: © </w:t>
      </w:r>
      <w:r>
        <w:rPr>
          <w:noProof/>
          <w:lang w:val="en-NZ"/>
        </w:rPr>
        <w:t>2025</w:t>
      </w:r>
      <w:r>
        <w:rPr>
          <w:lang w:val="en-NZ"/>
        </w:rPr>
        <w:t xml:space="preserve"> </w:t>
      </w:r>
      <w:r>
        <w:rPr>
          <w:rFonts w:cs="Arial"/>
        </w:rPr>
        <w:t xml:space="preserve"> Morningstar UK. All Rights Reserved.</w:t>
      </w:r>
    </w:p>
    <w:p w14:paraId="4C9A3227" w14:textId="77777777" w:rsidR="00734123" w:rsidRDefault="00734123">
      <w:pPr>
        <w:rPr>
          <w:lang w:eastAsia="en-US"/>
        </w:rPr>
      </w:pPr>
    </w:p>
    <w:p w14:paraId="5282E7C5" w14:textId="77777777" w:rsidR="00734123" w:rsidRDefault="00734123">
      <w:pPr>
        <w:rPr>
          <w:lang w:eastAsia="en-US"/>
        </w:rPr>
      </w:pPr>
    </w:p>
    <w:p w14:paraId="03025619" w14:textId="77777777" w:rsidR="00734123" w:rsidRDefault="00734123">
      <w:pPr>
        <w:rPr>
          <w:lang w:eastAsia="en-US"/>
        </w:rPr>
      </w:pPr>
    </w:p>
    <w:p w14:paraId="0BADB548" w14:textId="77777777" w:rsidR="00734123" w:rsidRDefault="00734123">
      <w:pPr>
        <w:rPr>
          <w:lang w:eastAsia="en-US"/>
        </w:rPr>
      </w:pPr>
    </w:p>
    <w:p w14:paraId="2210477A" w14:textId="77777777" w:rsidR="00734123" w:rsidRDefault="00734123">
      <w:pPr>
        <w:rPr>
          <w:lang w:eastAsia="en-US"/>
        </w:rPr>
      </w:pPr>
    </w:p>
    <w:p w14:paraId="6592E641" w14:textId="77777777" w:rsidR="00734123" w:rsidRDefault="00734123">
      <w:pPr>
        <w:rPr>
          <w:lang w:eastAsia="en-US"/>
        </w:rPr>
      </w:pPr>
    </w:p>
    <w:p w14:paraId="4F983F7D" w14:textId="77777777" w:rsidR="00734123" w:rsidRDefault="00734123">
      <w:pPr>
        <w:rPr>
          <w:lang w:eastAsia="en-US"/>
        </w:rPr>
      </w:pPr>
    </w:p>
    <w:p w14:paraId="1EC887E9" w14:textId="77777777" w:rsidR="00734123" w:rsidRDefault="00734123">
      <w:pPr>
        <w:rPr>
          <w:lang w:eastAsia="en-US"/>
        </w:rPr>
      </w:pPr>
    </w:p>
    <w:p w14:paraId="0E12C5E5" w14:textId="77777777" w:rsidR="00734123" w:rsidRDefault="00734123">
      <w:pPr>
        <w:rPr>
          <w:lang w:eastAsia="en-US"/>
        </w:rPr>
      </w:pPr>
    </w:p>
    <w:p w14:paraId="013EAA47" w14:textId="77777777" w:rsidR="00734123" w:rsidRDefault="00734123">
      <w:pPr>
        <w:rPr>
          <w:lang w:eastAsia="en-US"/>
        </w:rPr>
      </w:pPr>
    </w:p>
    <w:p w14:paraId="5C170F3A" w14:textId="77777777" w:rsidR="00734123" w:rsidRDefault="00734123">
      <w:pPr>
        <w:rPr>
          <w:lang w:eastAsia="en-US"/>
        </w:rPr>
      </w:pPr>
    </w:p>
    <w:p w14:paraId="7BB00F11" w14:textId="77777777" w:rsidR="00734123" w:rsidRDefault="00734123">
      <w:pPr>
        <w:rPr>
          <w:lang w:eastAsia="en-US"/>
        </w:rPr>
      </w:pPr>
    </w:p>
    <w:p w14:paraId="2C3EF32B" w14:textId="77777777" w:rsidR="00734123" w:rsidRDefault="00734123">
      <w:pPr>
        <w:rPr>
          <w:lang w:eastAsia="en-US"/>
        </w:rPr>
      </w:pPr>
    </w:p>
    <w:p w14:paraId="060372FE" w14:textId="77777777" w:rsidR="00734123" w:rsidRDefault="00734123">
      <w:pPr>
        <w:rPr>
          <w:lang w:eastAsia="en-US"/>
        </w:rPr>
      </w:pPr>
    </w:p>
    <w:p w14:paraId="4D5F40DB" w14:textId="77777777" w:rsidR="00734123" w:rsidRDefault="00734123">
      <w:pPr>
        <w:rPr>
          <w:lang w:eastAsia="en-US"/>
        </w:rPr>
      </w:pPr>
    </w:p>
    <w:p w14:paraId="5A47EF71" w14:textId="77777777" w:rsidR="00734123" w:rsidRDefault="00734123">
      <w:pPr>
        <w:rPr>
          <w:lang w:eastAsia="en-US"/>
        </w:rPr>
      </w:pPr>
    </w:p>
    <w:p w14:paraId="14B9B2BF" w14:textId="77777777" w:rsidR="00734123" w:rsidRDefault="00734123">
      <w:pPr>
        <w:rPr>
          <w:lang w:eastAsia="en-US"/>
        </w:rPr>
      </w:pPr>
    </w:p>
    <w:p w14:paraId="330B040F" w14:textId="77777777" w:rsidR="00734123" w:rsidRDefault="00734123">
      <w:pPr>
        <w:rPr>
          <w:lang w:eastAsia="en-US"/>
        </w:rPr>
      </w:pPr>
    </w:p>
    <w:p w14:paraId="48A76F8B" w14:textId="77777777" w:rsidR="00734123" w:rsidRDefault="00734123">
      <w:pPr>
        <w:rPr>
          <w:lang w:eastAsia="en-US"/>
        </w:rPr>
      </w:pPr>
    </w:p>
    <w:p w14:paraId="5A6EF4E5" w14:textId="77777777" w:rsidR="00734123" w:rsidRDefault="00734123">
      <w:pPr>
        <w:rPr>
          <w:lang w:eastAsia="en-US"/>
        </w:rPr>
      </w:pPr>
    </w:p>
    <w:p w14:paraId="6DB5E761" w14:textId="77777777" w:rsidR="00734123" w:rsidRDefault="00734123">
      <w:pPr>
        <w:rPr>
          <w:lang w:eastAsia="en-US"/>
        </w:rPr>
      </w:pPr>
    </w:p>
    <w:p w14:paraId="767A6D8B" w14:textId="77777777" w:rsidR="00734123" w:rsidRDefault="00734123">
      <w:pPr>
        <w:rPr>
          <w:lang w:eastAsia="en-US"/>
        </w:rPr>
      </w:pPr>
    </w:p>
    <w:p w14:paraId="51C970B2" w14:textId="77777777" w:rsidR="00734123" w:rsidRDefault="00CA2568">
      <w:pPr>
        <w:tabs>
          <w:tab w:val="left" w:pos="985"/>
        </w:tabs>
        <w:rPr>
          <w:rFonts w:ascii="Arial" w:eastAsia="Arial" w:hAnsi="Arial" w:cs="Times New Roman"/>
          <w:b/>
          <w:bCs/>
          <w:color w:val="FF0000"/>
          <w:sz w:val="28"/>
          <w:szCs w:val="28"/>
          <w:lang w:eastAsia="en-US"/>
        </w:rPr>
      </w:pPr>
      <w:r>
        <w:rPr>
          <w:rFonts w:ascii="Arial" w:eastAsia="Arial" w:hAnsi="Arial" w:cs="Times New Roman"/>
          <w:b/>
          <w:bCs/>
          <w:color w:val="FF0000"/>
          <w:sz w:val="28"/>
          <w:szCs w:val="28"/>
          <w:lang w:eastAsia="en-US"/>
        </w:rPr>
        <w:tab/>
      </w:r>
    </w:p>
    <w:p w14:paraId="37F5389A" w14:textId="77777777" w:rsidR="00734123" w:rsidRDefault="00734123">
      <w:pPr>
        <w:rPr>
          <w:lang w:eastAsia="en-US"/>
        </w:rPr>
        <w:sectPr w:rsidR="00734123">
          <w:headerReference w:type="default" r:id="rId52"/>
          <w:footerReference w:type="default" r:id="rId53"/>
          <w:pgSz w:w="11906" w:h="16838"/>
          <w:pgMar w:top="709" w:right="640" w:bottom="376" w:left="640" w:header="200" w:footer="200" w:gutter="0"/>
          <w:cols w:space="720"/>
          <w:docGrid w:linePitch="360"/>
        </w:sectPr>
      </w:pPr>
    </w:p>
    <w:p w14:paraId="558940EA" w14:textId="77777777" w:rsidR="00734123" w:rsidRDefault="00CA2568">
      <w:pPr>
        <w:pStyle w:val="DefaqtoHeading1"/>
      </w:pPr>
      <w:bookmarkStart w:id="29" w:name="_Toc20"/>
      <w:r>
        <w:t>Platform selection</w:t>
      </w:r>
      <w:bookmarkEnd w:id="29"/>
    </w:p>
    <w:p w14:paraId="0D8C2A1A" w14:textId="77777777" w:rsidR="00734123" w:rsidRDefault="00CA2568">
      <w:pPr>
        <w:pStyle w:val="DefaqtoIntroText"/>
      </w:pPr>
      <w:r>
        <w:rPr>
          <w:u w:color="000000"/>
        </w:rPr>
        <w:t>This section details the issues identified as being important to the selection of a platform and the other criteria used in selecting the most suitable platform.</w:t>
      </w:r>
    </w:p>
    <w:p w14:paraId="5537D9CC" w14:textId="77777777" w:rsidR="00734123" w:rsidRDefault="00CA2568">
      <w:pPr>
        <w:pStyle w:val="DefaqtoHeading2"/>
      </w:pPr>
      <w:bookmarkStart w:id="30" w:name="_Toc21"/>
      <w:r>
        <w:t>Recommended Platform</w:t>
      </w:r>
      <w:bookmarkEnd w:id="30"/>
    </w:p>
    <w:p w14:paraId="5AAB4358" w14:textId="77777777" w:rsidR="00734123" w:rsidRDefault="00CA2568">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734123" w14:paraId="3C165EE9" w14:textId="77777777" w:rsidTr="00734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74377CF" w14:textId="77777777" w:rsidR="00734123" w:rsidRDefault="00CA2568">
            <w:pPr>
              <w:pStyle w:val="DefaqtoTableBody2"/>
            </w:pPr>
            <w:r>
              <w:t>Product / Provider</w:t>
            </w:r>
          </w:p>
        </w:tc>
        <w:tc>
          <w:tcPr>
            <w:tcW w:w="3750" w:type="pct"/>
          </w:tcPr>
          <w:p w14:paraId="72582F2A"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Aviva Platform</w:t>
            </w:r>
            <w:r>
              <w:br/>
              <w:t>Aviva</w:t>
            </w:r>
          </w:p>
        </w:tc>
      </w:tr>
      <w:tr w:rsidR="00734123" w14:paraId="61BB8F0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43E5D7" w14:textId="77777777" w:rsidR="00734123" w:rsidRDefault="00CA2568">
            <w:pPr>
              <w:pStyle w:val="DefaqtoTableBody2"/>
            </w:pPr>
            <w:r>
              <w:t>Profile</w:t>
            </w:r>
          </w:p>
        </w:tc>
        <w:tc>
          <w:tcPr>
            <w:tcW w:w="0" w:type="auto"/>
          </w:tcPr>
          <w:p w14:paraId="64D530BC"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 xml:space="preserve">Aviva is the largest insurance group in the UK is also a provider of life and pensions products to Europe.  </w:t>
            </w:r>
            <w:r>
              <w:br/>
            </w:r>
            <w:r>
              <w:b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w:t>
            </w:r>
            <w:r>
              <w:br/>
            </w:r>
            <w:r>
              <w:br/>
            </w:r>
          </w:p>
        </w:tc>
      </w:tr>
    </w:tbl>
    <w:p w14:paraId="736A4373" w14:textId="77777777" w:rsidR="00734123" w:rsidRDefault="00734123">
      <w:pPr>
        <w:sectPr w:rsidR="00734123">
          <w:headerReference w:type="default" r:id="rId54"/>
          <w:footerReference w:type="default" r:id="rId55"/>
          <w:pgSz w:w="11907" w:h="16839" w:code="9"/>
          <w:pgMar w:top="709" w:right="640" w:bottom="376" w:left="640" w:header="200" w:footer="200" w:gutter="0"/>
          <w:cols w:space="708"/>
          <w:docGrid w:linePitch="360"/>
        </w:sectPr>
      </w:pPr>
    </w:p>
    <w:p w14:paraId="4EAA790E" w14:textId="77777777" w:rsidR="00734123" w:rsidRDefault="00CA2568">
      <w:pPr>
        <w:pStyle w:val="DefaqtoHeading2"/>
      </w:pPr>
      <w:bookmarkStart w:id="31" w:name="_Toc22"/>
      <w:r>
        <w:t>Panel</w:t>
      </w:r>
      <w:bookmarkEnd w:id="31"/>
    </w:p>
    <w:p w14:paraId="7CF2E5AC" w14:textId="77777777" w:rsidR="00734123" w:rsidRDefault="00CA2568">
      <w:pPr>
        <w:pStyle w:val="DefaqtoBody"/>
      </w:pPr>
      <w:r>
        <w:rPr>
          <w:u w:color="000000"/>
        </w:rPr>
        <w:t>The TFAS panel has been used in the platform selection.</w:t>
      </w:r>
    </w:p>
    <w:p w14:paraId="0D6204A7" w14:textId="77777777" w:rsidR="00734123" w:rsidRDefault="00CA2568">
      <w:pPr>
        <w:pStyle w:val="DefaqtoHeading2"/>
      </w:pPr>
      <w:bookmarkStart w:id="32" w:name="_Toc23"/>
      <w:r>
        <w:t>Template</w:t>
      </w:r>
      <w:bookmarkEnd w:id="32"/>
    </w:p>
    <w:p w14:paraId="0459363D" w14:textId="77777777" w:rsidR="00734123" w:rsidRDefault="00CA2568">
      <w:pPr>
        <w:pStyle w:val="DefaqtoBody"/>
      </w:pPr>
      <w:r>
        <w:rPr>
          <w:u w:color="000000"/>
        </w:rPr>
        <w:t>No template has been used in the product selection.</w:t>
      </w:r>
    </w:p>
    <w:p w14:paraId="6D828525" w14:textId="77777777" w:rsidR="00734123" w:rsidRDefault="00CA2568">
      <w:pPr>
        <w:pStyle w:val="DefaqtoHeading2"/>
      </w:pPr>
      <w:bookmarkStart w:id="33" w:name="_Toc24"/>
      <w:r>
        <w:t>Filters</w:t>
      </w:r>
      <w:bookmarkEnd w:id="33"/>
    </w:p>
    <w:p w14:paraId="433AC51E" w14:textId="77777777" w:rsidR="00734123" w:rsidRDefault="00CA2568">
      <w:pPr>
        <w:pStyle w:val="DefaqtoBody"/>
      </w:pPr>
      <w:r>
        <w:rPr>
          <w:u w:color="000000"/>
        </w:rPr>
        <w:t>The table below lists the filters applied and the feature value for the recommended platform.</w:t>
      </w:r>
    </w:p>
    <w:tbl>
      <w:tblPr>
        <w:tblStyle w:val="DefaqtoTable"/>
        <w:tblW w:w="5000" w:type="pct"/>
        <w:tblLook w:val="01E0" w:firstRow="1" w:lastRow="1" w:firstColumn="1" w:lastColumn="1" w:noHBand="0" w:noVBand="0"/>
      </w:tblPr>
      <w:tblGrid>
        <w:gridCol w:w="3086"/>
        <w:gridCol w:w="5072"/>
        <w:gridCol w:w="2459"/>
      </w:tblGrid>
      <w:tr w:rsidR="00734123" w14:paraId="734CFA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A8E04C" w14:textId="77777777" w:rsidR="00734123" w:rsidRDefault="00CA2568">
            <w:pPr>
              <w:pStyle w:val="DefaqtoTableBody2"/>
            </w:pPr>
            <w:r>
              <w:t>Feature</w:t>
            </w:r>
          </w:p>
        </w:tc>
        <w:tc>
          <w:tcPr>
            <w:tcW w:w="0" w:type="auto"/>
          </w:tcPr>
          <w:p w14:paraId="29B199A1"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1D5F7D0C"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734123" w14:paraId="67FEDA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3C2C81" w14:textId="77777777" w:rsidR="00734123" w:rsidRDefault="00CA2568">
            <w:pPr>
              <w:pStyle w:val="DefaqtoTableBody2"/>
            </w:pPr>
            <w:r>
              <w:t>General Investment Account</w:t>
            </w:r>
          </w:p>
        </w:tc>
        <w:tc>
          <w:tcPr>
            <w:tcW w:w="0" w:type="auto"/>
          </w:tcPr>
          <w:p w14:paraId="7E8436D6"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General investment account available (non-wrapped)</w:t>
            </w:r>
          </w:p>
        </w:tc>
        <w:tc>
          <w:tcPr>
            <w:tcW w:w="0" w:type="auto"/>
          </w:tcPr>
          <w:p w14:paraId="3138B830"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734123" w14:paraId="3B1A271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0EBBBA" w14:textId="77777777" w:rsidR="00734123" w:rsidRDefault="00CA2568">
            <w:pPr>
              <w:pStyle w:val="DefaqtoTableBody2"/>
            </w:pPr>
            <w:r>
              <w:t>Platform Access - Adviser</w:t>
            </w:r>
          </w:p>
        </w:tc>
        <w:tc>
          <w:tcPr>
            <w:tcW w:w="0" w:type="auto"/>
          </w:tcPr>
          <w:p w14:paraId="4B449B85"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Platforms that allow advisers access</w:t>
            </w:r>
          </w:p>
        </w:tc>
        <w:tc>
          <w:tcPr>
            <w:tcW w:w="0" w:type="auto"/>
          </w:tcPr>
          <w:p w14:paraId="220F2C10"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734123" w14:paraId="46FB8F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BAAC6" w14:textId="77777777" w:rsidR="00734123" w:rsidRDefault="00CA2568">
            <w:pPr>
              <w:pStyle w:val="DefaqtoTableBody2"/>
            </w:pPr>
            <w:r>
              <w:t>AKG Platform Financial Strength</w:t>
            </w:r>
          </w:p>
        </w:tc>
        <w:tc>
          <w:tcPr>
            <w:tcW w:w="0" w:type="auto"/>
          </w:tcPr>
          <w:p w14:paraId="58B357F4"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DNA 5 - A  ranking is equivalent to excellent</w:t>
            </w:r>
            <w:r>
              <w:br/>
            </w:r>
          </w:p>
        </w:tc>
        <w:tc>
          <w:tcPr>
            <w:tcW w:w="0" w:type="auto"/>
          </w:tcPr>
          <w:p w14:paraId="73420660"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A</w:t>
            </w:r>
          </w:p>
        </w:tc>
      </w:tr>
      <w:tr w:rsidR="00734123" w14:paraId="6D7F1F2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C8A049" w14:textId="77777777" w:rsidR="00734123" w:rsidRDefault="00CA2568">
            <w:pPr>
              <w:pStyle w:val="DefaqtoTableBody2"/>
            </w:pPr>
            <w:r>
              <w:t xml:space="preserve">Weighted Satisfaction Score (%) </w:t>
            </w:r>
          </w:p>
        </w:tc>
        <w:tc>
          <w:tcPr>
            <w:tcW w:w="0" w:type="auto"/>
          </w:tcPr>
          <w:p w14:paraId="1AB9F12E"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DNA 5 - Highest satisfaction levels</w:t>
            </w:r>
            <w:r>
              <w:br/>
              <w:t>DNA 4 - Above average satisfaction levels</w:t>
            </w:r>
            <w:r>
              <w:br/>
            </w:r>
          </w:p>
        </w:tc>
        <w:tc>
          <w:tcPr>
            <w:tcW w:w="0" w:type="auto"/>
          </w:tcPr>
          <w:p w14:paraId="6A663153"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81</w:t>
            </w:r>
          </w:p>
        </w:tc>
      </w:tr>
      <w:tr w:rsidR="00734123" w14:paraId="16D863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DB31D9" w14:textId="77777777" w:rsidR="00734123" w:rsidRDefault="00CA2568">
            <w:pPr>
              <w:pStyle w:val="DefaqtoTableBody2"/>
            </w:pPr>
            <w:r>
              <w:t>ISA</w:t>
            </w:r>
          </w:p>
        </w:tc>
        <w:tc>
          <w:tcPr>
            <w:tcW w:w="0" w:type="auto"/>
          </w:tcPr>
          <w:p w14:paraId="34143676"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DNA 5 - ISA is available on the platform</w:t>
            </w:r>
            <w:r>
              <w:br/>
            </w:r>
          </w:p>
        </w:tc>
        <w:tc>
          <w:tcPr>
            <w:tcW w:w="0" w:type="auto"/>
          </w:tcPr>
          <w:p w14:paraId="067A248A"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734123" w14:paraId="214F224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619329" w14:textId="77777777" w:rsidR="00734123" w:rsidRDefault="00CA2568">
            <w:pPr>
              <w:pStyle w:val="DefaqtoTableBody2"/>
            </w:pPr>
            <w:r>
              <w:t>Personal Pension Plan or SIPP Available</w:t>
            </w:r>
          </w:p>
        </w:tc>
        <w:tc>
          <w:tcPr>
            <w:tcW w:w="0" w:type="auto"/>
          </w:tcPr>
          <w:p w14:paraId="68574F41"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DNA 5 - Personal pension product (PPP or SIPP) available</w:t>
            </w:r>
            <w:r>
              <w:br/>
            </w:r>
          </w:p>
        </w:tc>
        <w:tc>
          <w:tcPr>
            <w:tcW w:w="0" w:type="auto"/>
          </w:tcPr>
          <w:p w14:paraId="788855C3"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734123" w14:paraId="50ABD9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E31B84" w14:textId="77777777" w:rsidR="00734123" w:rsidRDefault="00CA2568">
            <w:pPr>
              <w:pStyle w:val="DefaqtoTableBody2"/>
            </w:pPr>
            <w:r>
              <w:t>Online Client  Valuations</w:t>
            </w:r>
          </w:p>
        </w:tc>
        <w:tc>
          <w:tcPr>
            <w:tcW w:w="0" w:type="auto"/>
          </w:tcPr>
          <w:p w14:paraId="6AA37E5A"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DNA 5 - Online client valuations are available</w:t>
            </w:r>
            <w:r>
              <w:br/>
            </w:r>
          </w:p>
        </w:tc>
        <w:tc>
          <w:tcPr>
            <w:tcW w:w="0" w:type="auto"/>
          </w:tcPr>
          <w:p w14:paraId="1D333603"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734123" w14:paraId="4490D80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2BC43" w14:textId="77777777" w:rsidR="00734123" w:rsidRDefault="00CA2568">
            <w:pPr>
              <w:pStyle w:val="DefaqtoTableBody2"/>
            </w:pPr>
            <w:r>
              <w:t>Platform Access - Client</w:t>
            </w:r>
          </w:p>
        </w:tc>
        <w:tc>
          <w:tcPr>
            <w:tcW w:w="0" w:type="auto"/>
          </w:tcPr>
          <w:p w14:paraId="28BD5738"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DNA 5 - Client may have platform access</w:t>
            </w:r>
            <w:r>
              <w:br/>
            </w:r>
          </w:p>
        </w:tc>
        <w:tc>
          <w:tcPr>
            <w:tcW w:w="0" w:type="auto"/>
          </w:tcPr>
          <w:p w14:paraId="02C7C302"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734123" w14:paraId="490429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BC5625" w14:textId="77777777" w:rsidR="00734123" w:rsidRDefault="00CA2568">
            <w:pPr>
              <w:pStyle w:val="DefaqtoTableBody2"/>
            </w:pPr>
            <w:r>
              <w:t>FAD (Flexi Access Drawdown)</w:t>
            </w:r>
          </w:p>
        </w:tc>
        <w:tc>
          <w:tcPr>
            <w:tcW w:w="0" w:type="auto"/>
          </w:tcPr>
          <w:p w14:paraId="6B418C80"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DNA 5 - Flexi access drawdown available</w:t>
            </w:r>
            <w:r>
              <w:br/>
            </w:r>
          </w:p>
        </w:tc>
        <w:tc>
          <w:tcPr>
            <w:tcW w:w="0" w:type="auto"/>
          </w:tcPr>
          <w:p w14:paraId="4CB7FA25"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734123" w14:paraId="12EBFA1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C42E1B" w14:textId="77777777" w:rsidR="00734123" w:rsidRDefault="00CA2568">
            <w:pPr>
              <w:pStyle w:val="DefaqtoTableBody2"/>
            </w:pPr>
            <w:r>
              <w:t>Uncrystalised Funds Pension Lump Sum</w:t>
            </w:r>
          </w:p>
        </w:tc>
        <w:tc>
          <w:tcPr>
            <w:tcW w:w="0" w:type="auto"/>
          </w:tcPr>
          <w:p w14:paraId="6429A815"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DNA 5 - Uncrystalised Funds Pension Lump Sum available</w:t>
            </w:r>
            <w:r>
              <w:br/>
            </w:r>
          </w:p>
        </w:tc>
        <w:tc>
          <w:tcPr>
            <w:tcW w:w="0" w:type="auto"/>
          </w:tcPr>
          <w:p w14:paraId="2D222B83" w14:textId="77777777" w:rsidR="00734123" w:rsidRDefault="00CA2568">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734123" w14:paraId="370CCC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E4F781" w14:textId="77777777" w:rsidR="00734123" w:rsidRDefault="00CA2568">
            <w:pPr>
              <w:pStyle w:val="DefaqtoTableBody2"/>
            </w:pPr>
            <w:r>
              <w:t>Automatic Withdrawals</w:t>
            </w:r>
          </w:p>
        </w:tc>
        <w:tc>
          <w:tcPr>
            <w:tcW w:w="0" w:type="auto"/>
          </w:tcPr>
          <w:p w14:paraId="47F7D279"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DNA 5 - Facility to set up fixed regular withdrawals from the platform</w:t>
            </w:r>
            <w:r>
              <w:br/>
            </w:r>
          </w:p>
        </w:tc>
        <w:tc>
          <w:tcPr>
            <w:tcW w:w="0" w:type="auto"/>
          </w:tcPr>
          <w:p w14:paraId="09525829"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Yes</w:t>
            </w:r>
          </w:p>
        </w:tc>
      </w:tr>
    </w:tbl>
    <w:p w14:paraId="00FEC58F" w14:textId="77777777" w:rsidR="00734123" w:rsidRDefault="00734123">
      <w:pPr>
        <w:sectPr w:rsidR="00734123">
          <w:headerReference w:type="default" r:id="rId56"/>
          <w:footerReference w:type="default" r:id="rId57"/>
          <w:pgSz w:w="11907" w:h="16839" w:code="9"/>
          <w:pgMar w:top="709" w:right="640" w:bottom="376" w:left="640" w:header="200" w:footer="200" w:gutter="0"/>
          <w:cols w:space="708"/>
          <w:docGrid w:linePitch="360"/>
        </w:sectPr>
      </w:pPr>
    </w:p>
    <w:p w14:paraId="48EDB6B2" w14:textId="77777777" w:rsidR="00734123" w:rsidRDefault="00CA2568">
      <w:pPr>
        <w:pStyle w:val="DefaqtoHeading2"/>
      </w:pPr>
      <w:bookmarkStart w:id="34" w:name="_Toc25"/>
      <w:r>
        <w:t>Shortlist</w:t>
      </w:r>
      <w:bookmarkEnd w:id="34"/>
    </w:p>
    <w:p w14:paraId="6286A9E6" w14:textId="77777777" w:rsidR="00734123" w:rsidRDefault="00CA2568">
      <w:pPr>
        <w:pStyle w:val="DefaqtoBody"/>
      </w:pPr>
      <w:r>
        <w:rPr>
          <w:u w:color="000000"/>
        </w:rPr>
        <w:t>1 products from a total of 4 matched the filters applied.</w:t>
      </w:r>
    </w:p>
    <w:tbl>
      <w:tblPr>
        <w:tblStyle w:val="DefaqtoTable"/>
        <w:tblW w:w="5000" w:type="pct"/>
        <w:tblLook w:val="01E0" w:firstRow="1" w:lastRow="1" w:firstColumn="1" w:lastColumn="1" w:noHBand="0" w:noVBand="0"/>
      </w:tblPr>
      <w:tblGrid>
        <w:gridCol w:w="2441"/>
        <w:gridCol w:w="2521"/>
        <w:gridCol w:w="5655"/>
      </w:tblGrid>
      <w:tr w:rsidR="00734123" w14:paraId="7AE904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30BCB0" w14:textId="77777777" w:rsidR="00734123" w:rsidRDefault="00CA2568">
            <w:pPr>
              <w:pStyle w:val="DefaqtoTableBody2"/>
            </w:pPr>
            <w:r>
              <w:t>Product name</w:t>
            </w:r>
          </w:p>
        </w:tc>
        <w:tc>
          <w:tcPr>
            <w:tcW w:w="0" w:type="auto"/>
          </w:tcPr>
          <w:p w14:paraId="5FC38780"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6B3211FD" w14:textId="77777777" w:rsidR="00734123" w:rsidRDefault="00CA2568">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734123" w14:paraId="742376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628526" w14:textId="77777777" w:rsidR="00734123" w:rsidRDefault="00CA2568">
            <w:pPr>
              <w:pStyle w:val="DefaqtoTableBody2"/>
            </w:pPr>
            <w:r>
              <w:t>Aviva Platform</w:t>
            </w:r>
          </w:p>
        </w:tc>
        <w:tc>
          <w:tcPr>
            <w:tcW w:w="0" w:type="auto"/>
          </w:tcPr>
          <w:p w14:paraId="569AF0B9"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Aviva</w:t>
            </w:r>
          </w:p>
        </w:tc>
        <w:tc>
          <w:tcPr>
            <w:tcW w:w="0" w:type="auto"/>
          </w:tcPr>
          <w:p w14:paraId="1111D4F5" w14:textId="77777777" w:rsidR="00734123" w:rsidRDefault="00CA2568">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0F77692B" w14:textId="77777777" w:rsidR="00734123" w:rsidRDefault="00734123">
      <w:pPr>
        <w:sectPr w:rsidR="00734123">
          <w:headerReference w:type="default" r:id="rId58"/>
          <w:footerReference w:type="default" r:id="rId59"/>
          <w:pgSz w:w="11907" w:h="16839" w:code="9"/>
          <w:pgMar w:top="709" w:right="640" w:bottom="376" w:left="640" w:header="200" w:footer="200" w:gutter="0"/>
          <w:cols w:space="708"/>
          <w:docGrid w:linePitch="360"/>
        </w:sectPr>
      </w:pPr>
    </w:p>
    <w:p w14:paraId="730A4B4B" w14:textId="77777777" w:rsidR="00734123" w:rsidRDefault="00CA2568">
      <w:pPr>
        <w:pStyle w:val="DefaqtoHeading2"/>
      </w:pPr>
      <w:bookmarkStart w:id="35" w:name="_Toc26"/>
      <w:r>
        <w:t>DNA features</w:t>
      </w:r>
      <w:bookmarkEnd w:id="35"/>
    </w:p>
    <w:p w14:paraId="6CF770AF" w14:textId="77777777" w:rsidR="00734123" w:rsidRDefault="00CA2568">
      <w:pPr>
        <w:pStyle w:val="DefaqtoBody"/>
      </w:pPr>
      <w:r>
        <w:rPr>
          <w:u w:color="000000"/>
        </w:rPr>
        <w:t>Quantitative benchmarking enabling detailed product feature analysis</w:t>
      </w:r>
    </w:p>
    <w:p w14:paraId="6BAACDE7" w14:textId="77777777" w:rsidR="00734123" w:rsidRDefault="00CA2568">
      <w:pPr>
        <w:pStyle w:val="DefaqtoBody"/>
      </w:pPr>
      <w:r>
        <w:rPr>
          <w:u w:color="000000"/>
        </w:rPr>
        <w:t>Defaqto’s unique quantitative Data Numerical Analysis (DNA) helps you benchmark products based on the features they offer.</w:t>
      </w:r>
    </w:p>
    <w:p w14:paraId="12A9F927" w14:textId="77777777" w:rsidR="00734123" w:rsidRDefault="00CA2568">
      <w:pPr>
        <w:pStyle w:val="DefaqtoBody"/>
      </w:pPr>
      <w:r>
        <w:rPr>
          <w:u w:color="000000"/>
        </w:rPr>
        <w:t>A value is applied to each feature within a product, helping you filter out products with features that are unsuitable for your client.</w:t>
      </w:r>
    </w:p>
    <w:p w14:paraId="1DC805BE" w14:textId="77777777" w:rsidR="00734123" w:rsidRDefault="00CA2568">
      <w:pPr>
        <w:pStyle w:val="DefaqtoBody"/>
        <w:sectPr w:rsidR="00734123">
          <w:headerReference w:type="default" r:id="rId60"/>
          <w:footerReference w:type="default" r:id="rId61"/>
          <w:pgSz w:w="11907" w:h="16839" w:code="9"/>
          <w:pgMar w:top="709" w:right="640" w:bottom="376" w:left="640" w:header="200" w:footer="200" w:gutter="0"/>
          <w:cols w:space="708"/>
          <w:docGrid w:linePitch="360"/>
        </w:sectPr>
      </w:pPr>
      <w:r>
        <w:rPr>
          <w:u w:color="000000"/>
        </w:rPr>
        <w:t>No Platform DNA analysis was carried out.</w:t>
      </w:r>
    </w:p>
    <w:p w14:paraId="1D9102D2" w14:textId="77777777" w:rsidR="00734123" w:rsidRDefault="00CA2568">
      <w:pPr>
        <w:pStyle w:val="DefaqtoHeading2"/>
      </w:pPr>
      <w:bookmarkStart w:id="36" w:name="_Toc27"/>
      <w:r>
        <w:t>Brochure comparisons</w:t>
      </w:r>
      <w:bookmarkEnd w:id="36"/>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3111"/>
        <w:gridCol w:w="12442"/>
      </w:tblGrid>
      <w:tr w:rsidR="00734123" w14:paraId="0AB86D80" w14:textId="77777777" w:rsidTr="00734123">
        <w:trPr>
          <w:tblHeader/>
          <w:tblCellSpacing w:w="0" w:type="dxa"/>
        </w:trPr>
        <w:tc>
          <w:tcPr>
            <w:tcW w:w="1000" w:type="pct"/>
            <w:vMerge w:val="restart"/>
            <w:tcBorders>
              <w:top w:val="single" w:sz="2" w:space="0" w:color="000000"/>
              <w:left w:val="single" w:sz="2" w:space="0" w:color="000000"/>
              <w:bottom w:val="single" w:sz="2" w:space="0" w:color="000000"/>
              <w:right w:val="single" w:sz="2" w:space="0" w:color="000000"/>
            </w:tcBorders>
            <w:shd w:val="clear" w:color="auto" w:fill="E4E4E4"/>
          </w:tcPr>
          <w:p w14:paraId="5F25FFFD" w14:textId="77777777" w:rsidR="00734123" w:rsidRDefault="00734123"/>
        </w:tc>
        <w:tc>
          <w:tcPr>
            <w:tcW w:w="4500" w:type="pct"/>
            <w:tcBorders>
              <w:top w:val="single" w:sz="2" w:space="0" w:color="000000"/>
              <w:left w:val="single" w:sz="2" w:space="0" w:color="000000"/>
              <w:bottom w:val="single" w:sz="2" w:space="0" w:color="000000"/>
              <w:right w:val="single" w:sz="2" w:space="0" w:color="000000"/>
            </w:tcBorders>
            <w:shd w:val="clear" w:color="auto" w:fill="E4E4E4"/>
          </w:tcPr>
          <w:p w14:paraId="4FDA749C" w14:textId="77777777" w:rsidR="00734123" w:rsidRDefault="00CA2568">
            <w:r>
              <w:rPr>
                <w:b/>
                <w:bCs/>
                <w:color w:val="000000"/>
                <w:sz w:val="16"/>
                <w:szCs w:val="16"/>
              </w:rPr>
              <w:t>Aviva Platform</w:t>
            </w:r>
          </w:p>
        </w:tc>
      </w:tr>
      <w:tr w:rsidR="00734123" w14:paraId="333514B7" w14:textId="77777777" w:rsidTr="00734123">
        <w:trPr>
          <w:tblHeader/>
          <w:tblCellSpacing w:w="0" w:type="dxa"/>
        </w:trPr>
        <w:tc>
          <w:tcPr>
            <w:tcW w:w="0" w:type="auto"/>
            <w:vMerge/>
            <w:tcBorders>
              <w:top w:val="single" w:sz="2" w:space="0" w:color="000000"/>
              <w:left w:val="single" w:sz="2" w:space="0" w:color="000000"/>
              <w:bottom w:val="single" w:sz="2" w:space="0" w:color="000000"/>
              <w:right w:val="single" w:sz="2" w:space="0" w:color="000000"/>
            </w:tcBorders>
          </w:tcPr>
          <w:p w14:paraId="604D7F65" w14:textId="77777777" w:rsidR="00734123" w:rsidRDefault="00734123"/>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181D32DD" w14:textId="77777777" w:rsidR="00734123" w:rsidRDefault="00CA2568">
            <w:r>
              <w:rPr>
                <w:color w:val="000000"/>
                <w:sz w:val="16"/>
                <w:szCs w:val="16"/>
              </w:rPr>
              <w:t>Aviva</w:t>
            </w:r>
          </w:p>
        </w:tc>
      </w:tr>
      <w:tr w:rsidR="00734123" w14:paraId="723C316C"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16686E73" w14:textId="77777777" w:rsidR="00734123" w:rsidRDefault="00CA2568">
            <w:pPr>
              <w:spacing w:after="0"/>
              <w:rPr>
                <w:rFonts w:ascii="Poppins" w:eastAsia="Poppins" w:hAnsi="Poppins" w:cs="Poppins"/>
                <w:color w:val="392388"/>
              </w:rPr>
            </w:pPr>
            <w:r>
              <w:rPr>
                <w:b/>
                <w:bCs/>
                <w:color w:val="000000"/>
                <w:sz w:val="16"/>
                <w:szCs w:val="16"/>
              </w:rPr>
              <w:t>Platform Financial Strength Rating provided by AKG</w:t>
            </w:r>
            <w:r>
              <w:br/>
            </w:r>
            <w:r>
              <w:rPr>
                <w:b/>
                <w:bCs/>
                <w:color w:val="000000"/>
                <w:sz w:val="16"/>
                <w:szCs w:val="16"/>
              </w:rPr>
              <w:t>Platform Financial strength rating provided by AKG</w:t>
            </w:r>
          </w:p>
        </w:tc>
        <w:tc>
          <w:tcPr>
            <w:tcW w:w="0" w:type="auto"/>
            <w:tcBorders>
              <w:top w:val="single" w:sz="2" w:space="0" w:color="000000"/>
              <w:left w:val="single" w:sz="2" w:space="0" w:color="000000"/>
              <w:bottom w:val="single" w:sz="2" w:space="0" w:color="000000"/>
              <w:right w:val="single" w:sz="2" w:space="0" w:color="000000"/>
            </w:tcBorders>
            <w:vAlign w:val="top"/>
          </w:tcPr>
          <w:p w14:paraId="3F61ED92" w14:textId="77777777" w:rsidR="00734123" w:rsidRDefault="00CA2568">
            <w:pPr>
              <w:spacing w:after="0"/>
              <w:rPr>
                <w:rFonts w:ascii="Poppins" w:eastAsia="Poppins" w:hAnsi="Poppins" w:cs="Poppins"/>
                <w:color w:val="392388"/>
              </w:rPr>
            </w:pPr>
            <w:r>
              <w:rPr>
                <w:color w:val="000000"/>
                <w:sz w:val="16"/>
                <w:szCs w:val="16"/>
              </w:rPr>
              <w:t xml:space="preserve">AKG Actuaries &amp; Consultants Ltd, specialists in this field, have allocated a rating factor of A, B+, B, B-, C or D to each company dependent on its financial strength. </w:t>
            </w:r>
            <w:r>
              <w:br/>
            </w:r>
            <w:r>
              <w:br/>
            </w:r>
            <w:r>
              <w:rPr>
                <w:color w:val="000000"/>
                <w:sz w:val="16"/>
                <w:szCs w:val="16"/>
              </w:rPr>
              <w:t xml:space="preserve">This company is rated A. </w:t>
            </w:r>
            <w:r>
              <w:br/>
            </w:r>
            <w:r>
              <w:br/>
            </w:r>
            <w:r>
              <w:rPr>
                <w:color w:val="000000"/>
                <w:sz w:val="16"/>
                <w:szCs w:val="16"/>
              </w:rPr>
              <w:t xml:space="preserve">A rating of 'A' denotes superior financial strength </w:t>
            </w:r>
            <w:r>
              <w:br/>
            </w:r>
            <w:r>
              <w:rPr>
                <w:color w:val="000000"/>
                <w:sz w:val="16"/>
                <w:szCs w:val="16"/>
              </w:rPr>
              <w:t xml:space="preserve">A rating of 'B+' denotes very strong financial strength </w:t>
            </w:r>
            <w:r>
              <w:br/>
            </w:r>
            <w:r>
              <w:rPr>
                <w:color w:val="000000"/>
                <w:sz w:val="16"/>
                <w:szCs w:val="16"/>
              </w:rPr>
              <w:t xml:space="preserve">A rating of 'B' denotes strong financial strength </w:t>
            </w:r>
            <w:r>
              <w:br/>
            </w:r>
            <w:r>
              <w:rPr>
                <w:color w:val="000000"/>
                <w:sz w:val="16"/>
                <w:szCs w:val="16"/>
              </w:rPr>
              <w:t xml:space="preserve">A rating of 'B-' denotes effective financial strength </w:t>
            </w:r>
            <w:r>
              <w:br/>
            </w:r>
            <w:r>
              <w:rPr>
                <w:color w:val="000000"/>
                <w:sz w:val="16"/>
                <w:szCs w:val="16"/>
              </w:rPr>
              <w:t xml:space="preserve">A rating of 'C' denotes challenged financial strength </w:t>
            </w:r>
            <w:r>
              <w:br/>
            </w:r>
            <w:r>
              <w:rPr>
                <w:color w:val="000000"/>
                <w:sz w:val="16"/>
                <w:szCs w:val="16"/>
              </w:rPr>
              <w:t xml:space="preserve">A rating of 'D' denotes very challenged financial strength. </w:t>
            </w:r>
            <w:r>
              <w:br/>
            </w:r>
            <w:r>
              <w:br/>
            </w:r>
            <w:r>
              <w:rPr>
                <w:color w:val="000000"/>
                <w:sz w:val="16"/>
                <w:szCs w:val="16"/>
              </w:rPr>
              <w:t>These ratings are the results of analysis of a range of key criteria, such as size, free assets, parentage, distribution image and reputation within t</w:t>
            </w:r>
            <w:r>
              <w:rPr>
                <w:color w:val="000000"/>
                <w:sz w:val="16"/>
                <w:szCs w:val="16"/>
              </w:rPr>
              <w:t xml:space="preserve">he IFA market, expenses levels, market share and profitability. </w:t>
            </w:r>
            <w:r>
              <w:br/>
            </w:r>
            <w:r>
              <w:br/>
            </w:r>
            <w:r>
              <w:rPr>
                <w:color w:val="000000"/>
                <w:sz w:val="16"/>
                <w:szCs w:val="16"/>
              </w:rPr>
              <w:t xml:space="preserve">AKG publish three financial strength report series or 'peer groups'. Each of these peer groups uses different criteria and weightings to arrive at a financial strength rating. </w:t>
            </w:r>
            <w:r>
              <w:br/>
            </w:r>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6153"/>
              <w:gridCol w:w="6153"/>
            </w:tblGrid>
            <w:tr w:rsidR="00734123" w14:paraId="7CDB4460" w14:textId="77777777" w:rsidTr="00734123">
              <w:trPr>
                <w:tblCellSpacing w:w="0" w:type="dxa"/>
              </w:trPr>
              <w:tc>
                <w:tcPr>
                  <w:tcW w:w="2500" w:type="pct"/>
                  <w:tcBorders>
                    <w:top w:val="single" w:sz="2" w:space="0" w:color="000000"/>
                    <w:left w:val="single" w:sz="2" w:space="0" w:color="000000"/>
                    <w:bottom w:val="single" w:sz="2" w:space="0" w:color="000000"/>
                    <w:right w:val="single" w:sz="2" w:space="0" w:color="000000"/>
                  </w:tcBorders>
                  <w:shd w:val="clear" w:color="auto" w:fill="E4E4E4"/>
                </w:tcPr>
                <w:p w14:paraId="2AE3D1EE" w14:textId="77777777" w:rsidR="00734123" w:rsidRDefault="00CA2568">
                  <w:r>
                    <w:rPr>
                      <w:b/>
                      <w:bCs/>
                      <w:color w:val="000000"/>
                      <w:sz w:val="16"/>
                      <w:szCs w:val="16"/>
                    </w:rPr>
                    <w:t>Rating Type</w:t>
                  </w:r>
                </w:p>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00F973C7" w14:textId="77777777" w:rsidR="00734123" w:rsidRDefault="00CA2568">
                  <w:r>
                    <w:rPr>
                      <w:b/>
                      <w:bCs/>
                      <w:color w:val="000000"/>
                      <w:sz w:val="16"/>
                      <w:szCs w:val="16"/>
                    </w:rPr>
                    <w:t>Description</w:t>
                  </w:r>
                </w:p>
              </w:tc>
            </w:tr>
            <w:tr w:rsidR="00734123" w14:paraId="2D2638D3"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02DB01BA" w14:textId="77777777" w:rsidR="00734123" w:rsidRDefault="00CA2568">
                  <w:pPr>
                    <w:spacing w:after="0"/>
                    <w:rPr>
                      <w:rFonts w:ascii="Poppins" w:eastAsia="Poppins" w:hAnsi="Poppins" w:cs="Poppins"/>
                      <w:color w:val="392388"/>
                    </w:rPr>
                  </w:pPr>
                  <w:r>
                    <w:rPr>
                      <w:color w:val="000000"/>
                      <w:sz w:val="16"/>
                      <w:szCs w:val="16"/>
                    </w:rPr>
                    <w:t>UK</w:t>
                  </w:r>
                </w:p>
              </w:tc>
              <w:tc>
                <w:tcPr>
                  <w:tcW w:w="0" w:type="auto"/>
                  <w:tcBorders>
                    <w:top w:val="single" w:sz="2" w:space="0" w:color="000000"/>
                    <w:left w:val="single" w:sz="2" w:space="0" w:color="000000"/>
                    <w:bottom w:val="single" w:sz="2" w:space="0" w:color="000000"/>
                    <w:right w:val="single" w:sz="2" w:space="0" w:color="000000"/>
                  </w:tcBorders>
                  <w:vAlign w:val="top"/>
                </w:tcPr>
                <w:p w14:paraId="26DDFC56" w14:textId="77777777" w:rsidR="00734123" w:rsidRDefault="00CA2568">
                  <w:pPr>
                    <w:spacing w:after="0"/>
                    <w:rPr>
                      <w:rFonts w:ascii="Poppins" w:eastAsia="Poppins" w:hAnsi="Poppins" w:cs="Poppins"/>
                      <w:color w:val="392388"/>
                    </w:rPr>
                  </w:pPr>
                  <w:r>
                    <w:rPr>
                      <w:color w:val="000000"/>
                      <w:sz w:val="16"/>
                      <w:szCs w:val="16"/>
                    </w:rPr>
                    <w:t>The UK rating rates life offices and non-life office SIPP providers. Defaqto displays these ratings across its life, pension and investment product tables.</w:t>
                  </w:r>
                </w:p>
              </w:tc>
            </w:tr>
            <w:tr w:rsidR="00734123" w14:paraId="4C151171"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2E5ECF5E" w14:textId="77777777" w:rsidR="00734123" w:rsidRDefault="00CA2568">
                  <w:pPr>
                    <w:spacing w:after="0"/>
                    <w:rPr>
                      <w:rFonts w:ascii="Poppins" w:eastAsia="Poppins" w:hAnsi="Poppins" w:cs="Poppins"/>
                      <w:color w:val="392388"/>
                    </w:rPr>
                  </w:pPr>
                  <w:r>
                    <w:rPr>
                      <w:color w:val="000000"/>
                      <w:sz w:val="16"/>
                      <w:szCs w:val="16"/>
                    </w:rPr>
                    <w:t>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06462564" w14:textId="77777777" w:rsidR="00734123" w:rsidRDefault="00CA2568">
                  <w:pPr>
                    <w:spacing w:after="0"/>
                    <w:rPr>
                      <w:rFonts w:ascii="Poppins" w:eastAsia="Poppins" w:hAnsi="Poppins" w:cs="Poppins"/>
                      <w:color w:val="392388"/>
                    </w:rPr>
                  </w:pPr>
                  <w:r>
                    <w:rPr>
                      <w:color w:val="000000"/>
                      <w:sz w:val="16"/>
                      <w:szCs w:val="16"/>
                    </w:rPr>
                    <w:t>The platform rating rates operators offering platforms. It does not rate the product wrapper itself. Defaqto displays this rating on its platform table.</w:t>
                  </w:r>
                </w:p>
              </w:tc>
            </w:tr>
            <w:tr w:rsidR="00734123" w14:paraId="61E5960E"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5F4B0B05" w14:textId="77777777" w:rsidR="00734123" w:rsidRDefault="00CA2568">
                  <w:pPr>
                    <w:spacing w:after="0"/>
                    <w:rPr>
                      <w:rFonts w:ascii="Poppins" w:eastAsia="Poppins" w:hAnsi="Poppins" w:cs="Poppins"/>
                      <w:color w:val="392388"/>
                    </w:rPr>
                  </w:pPr>
                  <w:r>
                    <w:rPr>
                      <w:color w:val="000000"/>
                      <w:sz w:val="16"/>
                      <w:szCs w:val="16"/>
                    </w:rPr>
                    <w:t>DFM</w:t>
                  </w:r>
                </w:p>
              </w:tc>
              <w:tc>
                <w:tcPr>
                  <w:tcW w:w="0" w:type="auto"/>
                  <w:tcBorders>
                    <w:top w:val="single" w:sz="2" w:space="0" w:color="000000"/>
                    <w:left w:val="single" w:sz="2" w:space="0" w:color="000000"/>
                    <w:bottom w:val="single" w:sz="2" w:space="0" w:color="000000"/>
                    <w:right w:val="single" w:sz="2" w:space="0" w:color="000000"/>
                  </w:tcBorders>
                  <w:vAlign w:val="top"/>
                </w:tcPr>
                <w:p w14:paraId="5CF29907" w14:textId="77777777" w:rsidR="00734123" w:rsidRDefault="00CA2568">
                  <w:pPr>
                    <w:spacing w:after="0"/>
                    <w:rPr>
                      <w:rFonts w:ascii="Poppins" w:eastAsia="Poppins" w:hAnsi="Poppins" w:cs="Poppins"/>
                      <w:color w:val="392388"/>
                    </w:rPr>
                  </w:pPr>
                  <w:r>
                    <w:rPr>
                      <w:color w:val="000000"/>
                      <w:sz w:val="16"/>
                      <w:szCs w:val="16"/>
                    </w:rPr>
                    <w:t>The DFM rating rates the firms offering DFM solutions. It does not rate the solution itself. Defaqto displays this rating on its DFM table</w:t>
                  </w:r>
                </w:p>
              </w:tc>
            </w:tr>
            <w:tr w:rsidR="00734123" w14:paraId="67F2BCB2"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3FBA823C" w14:textId="77777777" w:rsidR="00734123" w:rsidRDefault="00CA2568">
                  <w:pPr>
                    <w:spacing w:after="0"/>
                    <w:rPr>
                      <w:rFonts w:ascii="Poppins" w:eastAsia="Poppins" w:hAnsi="Poppins" w:cs="Poppins"/>
                      <w:color w:val="392388"/>
                    </w:rPr>
                  </w:pPr>
                  <w:r>
                    <w:rPr>
                      <w:color w:val="000000"/>
                      <w:sz w:val="16"/>
                      <w:szCs w:val="16"/>
                    </w:rPr>
                    <w:t>Offshore</w:t>
                  </w:r>
                </w:p>
              </w:tc>
              <w:tc>
                <w:tcPr>
                  <w:tcW w:w="0" w:type="auto"/>
                  <w:tcBorders>
                    <w:top w:val="single" w:sz="2" w:space="0" w:color="000000"/>
                    <w:left w:val="single" w:sz="2" w:space="0" w:color="000000"/>
                    <w:bottom w:val="single" w:sz="2" w:space="0" w:color="000000"/>
                    <w:right w:val="single" w:sz="2" w:space="0" w:color="000000"/>
                  </w:tcBorders>
                  <w:vAlign w:val="top"/>
                </w:tcPr>
                <w:p w14:paraId="712307E4" w14:textId="77777777" w:rsidR="00734123" w:rsidRDefault="00CA2568">
                  <w:pPr>
                    <w:spacing w:after="0"/>
                    <w:rPr>
                      <w:rFonts w:ascii="Poppins" w:eastAsia="Poppins" w:hAnsi="Poppins" w:cs="Poppins"/>
                      <w:color w:val="392388"/>
                    </w:rPr>
                  </w:pPr>
                  <w:r>
                    <w:rPr>
                      <w:color w:val="000000"/>
                      <w:sz w:val="16"/>
                      <w:szCs w:val="16"/>
                    </w:rPr>
                    <w:t>The offshore rating rates providers offering offshore products. Defaqto displays this rating on its offshore investment product tables.</w:t>
                  </w:r>
                </w:p>
              </w:tc>
            </w:tr>
          </w:tbl>
          <w:p w14:paraId="663DF711" w14:textId="77777777" w:rsidR="00734123" w:rsidRDefault="00CA2568">
            <w:pPr>
              <w:spacing w:after="0"/>
              <w:rPr>
                <w:rFonts w:ascii="Poppins" w:eastAsia="Poppins" w:hAnsi="Poppins" w:cs="Poppins"/>
                <w:color w:val="392388"/>
              </w:rPr>
            </w:pPr>
            <w:r>
              <w:br/>
            </w:r>
            <w:r>
              <w:rPr>
                <w:color w:val="000000"/>
                <w:sz w:val="16"/>
                <w:szCs w:val="16"/>
              </w:rPr>
              <w:t>For more information on how the ratings are applied, please refer to the Engage user guide and FAQs.</w:t>
            </w:r>
          </w:p>
        </w:tc>
      </w:tr>
      <w:tr w:rsidR="00734123" w14:paraId="43BC7CF4"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0A40EBCE" w14:textId="77777777" w:rsidR="00734123" w:rsidRDefault="00CA2568">
            <w:pPr>
              <w:spacing w:after="0"/>
              <w:rPr>
                <w:rFonts w:ascii="Poppins" w:eastAsia="Poppins" w:hAnsi="Poppins" w:cs="Poppins"/>
                <w:color w:val="392388"/>
              </w:rPr>
            </w:pPr>
            <w:r>
              <w:rPr>
                <w:b/>
                <w:bCs/>
                <w:color w:val="000000"/>
                <w:sz w:val="16"/>
                <w:szCs w:val="16"/>
              </w:rPr>
              <w:t>Weighted Satisfaction Scores</w:t>
            </w:r>
            <w:r>
              <w:br/>
            </w:r>
            <w:r>
              <w:rPr>
                <w:b/>
                <w:bCs/>
                <w:color w:val="000000"/>
                <w:sz w:val="16"/>
                <w:szCs w:val="16"/>
              </w:rPr>
              <w:t>This is the weighted satisfaction score achieved in the IFA Platform Star Rating survey</w:t>
            </w:r>
          </w:p>
        </w:tc>
        <w:tc>
          <w:tcPr>
            <w:tcW w:w="0" w:type="auto"/>
            <w:tcBorders>
              <w:top w:val="single" w:sz="2" w:space="0" w:color="000000"/>
              <w:left w:val="single" w:sz="2" w:space="0" w:color="000000"/>
              <w:bottom w:val="single" w:sz="2" w:space="0" w:color="000000"/>
              <w:right w:val="single" w:sz="2" w:space="0" w:color="000000"/>
            </w:tcBorders>
            <w:vAlign w:val="top"/>
          </w:tcPr>
          <w:p w14:paraId="77A30324" w14:textId="77777777" w:rsidR="00734123" w:rsidRDefault="00CA2568">
            <w:pPr>
              <w:spacing w:after="0"/>
              <w:rPr>
                <w:rFonts w:ascii="Poppins" w:eastAsia="Poppins" w:hAnsi="Poppins" w:cs="Poppins"/>
                <w:color w:val="392388"/>
              </w:rPr>
            </w:pPr>
            <w:r>
              <w:rPr>
                <w:color w:val="000000"/>
                <w:sz w:val="16"/>
                <w:szCs w:val="16"/>
              </w:rPr>
              <w:t xml:space="preserve">81 </w:t>
            </w:r>
          </w:p>
        </w:tc>
      </w:tr>
      <w:tr w:rsidR="00734123" w14:paraId="56FABAD5"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311286AA" w14:textId="77777777" w:rsidR="00734123" w:rsidRDefault="00CA2568">
            <w:pPr>
              <w:spacing w:after="0"/>
              <w:rPr>
                <w:rFonts w:ascii="Poppins" w:eastAsia="Poppins" w:hAnsi="Poppins" w:cs="Poppins"/>
                <w:color w:val="392388"/>
              </w:rPr>
            </w:pPr>
            <w:r>
              <w:rPr>
                <w:b/>
                <w:bCs/>
                <w:color w:val="000000"/>
                <w:sz w:val="16"/>
                <w:szCs w:val="16"/>
              </w:rPr>
              <w:t>General Investment Account</w:t>
            </w:r>
            <w:r>
              <w:br/>
            </w:r>
            <w:r>
              <w:rPr>
                <w:b/>
                <w:bCs/>
                <w:color w:val="000000"/>
                <w:sz w:val="16"/>
                <w:szCs w:val="16"/>
              </w:rPr>
              <w:t>A general investment account facility, where the underlying investments are not product wrapped.</w:t>
            </w:r>
          </w:p>
        </w:tc>
        <w:tc>
          <w:tcPr>
            <w:tcW w:w="0" w:type="auto"/>
            <w:tcBorders>
              <w:top w:val="single" w:sz="2" w:space="0" w:color="000000"/>
              <w:left w:val="single" w:sz="2" w:space="0" w:color="000000"/>
              <w:bottom w:val="single" w:sz="2" w:space="0" w:color="000000"/>
              <w:right w:val="single" w:sz="2" w:space="0" w:color="000000"/>
            </w:tcBorders>
            <w:vAlign w:val="top"/>
          </w:tcPr>
          <w:p w14:paraId="2EC5026C" w14:textId="77777777" w:rsidR="00734123" w:rsidRDefault="00CA2568">
            <w:pPr>
              <w:spacing w:after="0"/>
              <w:rPr>
                <w:rFonts w:ascii="Poppins" w:eastAsia="Poppins" w:hAnsi="Poppins" w:cs="Poppins"/>
                <w:color w:val="392388"/>
              </w:rPr>
            </w:pPr>
            <w:r>
              <w:rPr>
                <w:color w:val="000000"/>
                <w:sz w:val="16"/>
                <w:szCs w:val="16"/>
              </w:rPr>
              <w:t xml:space="preserve">A general investment account is available via the, 'Investment Portfolio'. The minimum investments are £50 per month or a single investment of £1,000. </w:t>
            </w:r>
          </w:p>
        </w:tc>
      </w:tr>
      <w:tr w:rsidR="00734123" w14:paraId="33586CBE"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6BDE4FCC" w14:textId="77777777" w:rsidR="00734123" w:rsidRDefault="00CA2568">
            <w:pPr>
              <w:spacing w:after="0"/>
              <w:rPr>
                <w:rFonts w:ascii="Poppins" w:eastAsia="Poppins" w:hAnsi="Poppins" w:cs="Poppins"/>
                <w:color w:val="392388"/>
              </w:rPr>
            </w:pPr>
            <w:r>
              <w:rPr>
                <w:b/>
                <w:bCs/>
                <w:color w:val="000000"/>
                <w:sz w:val="16"/>
                <w:szCs w:val="16"/>
              </w:rPr>
              <w:t xml:space="preserve">ISA available </w:t>
            </w:r>
            <w:r>
              <w:br/>
            </w:r>
            <w:r>
              <w:rPr>
                <w:b/>
                <w:bCs/>
                <w:color w:val="000000"/>
                <w:sz w:val="16"/>
                <w:szCs w:val="16"/>
              </w:rPr>
              <w:t>ISAs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4AA83DD2" w14:textId="77777777" w:rsidR="00734123" w:rsidRDefault="00CA2568">
            <w:pPr>
              <w:spacing w:after="0"/>
              <w:rPr>
                <w:rFonts w:ascii="Poppins" w:eastAsia="Poppins" w:hAnsi="Poppins" w:cs="Poppins"/>
                <w:color w:val="392388"/>
              </w:rPr>
            </w:pPr>
            <w:r>
              <w:rPr>
                <w:color w:val="000000"/>
                <w:sz w:val="16"/>
                <w:szCs w:val="16"/>
              </w:rPr>
              <w:t xml:space="preserve">The ISA Portfolio is a Stocks &amp; Shares ISA provided by Aviva. </w:t>
            </w:r>
          </w:p>
        </w:tc>
      </w:tr>
      <w:tr w:rsidR="00734123" w14:paraId="06104451"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62508B7D" w14:textId="77777777" w:rsidR="00734123" w:rsidRDefault="00CA2568">
            <w:pPr>
              <w:spacing w:after="0"/>
              <w:rPr>
                <w:rFonts w:ascii="Poppins" w:eastAsia="Poppins" w:hAnsi="Poppins" w:cs="Poppins"/>
                <w:color w:val="392388"/>
              </w:rPr>
            </w:pPr>
            <w:r>
              <w:rPr>
                <w:b/>
                <w:bCs/>
                <w:color w:val="000000"/>
                <w:sz w:val="16"/>
                <w:szCs w:val="16"/>
              </w:rPr>
              <w:t>Personal Pension Plan or Self Invested Personal Pension Available</w:t>
            </w:r>
            <w:r>
              <w:br/>
            </w:r>
            <w:r>
              <w:rPr>
                <w:b/>
                <w:bCs/>
                <w:color w:val="000000"/>
                <w:sz w:val="16"/>
                <w:szCs w:val="16"/>
              </w:rPr>
              <w:t>Personal pension product (PPP or SIPP) available on the 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47042BC7" w14:textId="77777777" w:rsidR="00734123" w:rsidRDefault="00CA2568">
            <w:pPr>
              <w:spacing w:after="0"/>
              <w:rPr>
                <w:rFonts w:ascii="Poppins" w:eastAsia="Poppins" w:hAnsi="Poppins" w:cs="Poppins"/>
                <w:color w:val="392388"/>
              </w:rPr>
            </w:pPr>
            <w:r>
              <w:rPr>
                <w:color w:val="000000"/>
                <w:sz w:val="16"/>
                <w:szCs w:val="16"/>
              </w:rPr>
              <w:t xml:space="preserve">Yes. </w:t>
            </w:r>
          </w:p>
        </w:tc>
      </w:tr>
      <w:tr w:rsidR="00734123" w14:paraId="0816C0D1"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391994CB" w14:textId="77777777" w:rsidR="00734123" w:rsidRDefault="00CA2568">
            <w:pPr>
              <w:spacing w:after="0"/>
              <w:rPr>
                <w:rFonts w:ascii="Poppins" w:eastAsia="Poppins" w:hAnsi="Poppins" w:cs="Poppins"/>
                <w:color w:val="392388"/>
              </w:rPr>
            </w:pPr>
            <w:r>
              <w:rPr>
                <w:b/>
                <w:bCs/>
                <w:color w:val="000000"/>
                <w:sz w:val="16"/>
                <w:szCs w:val="16"/>
              </w:rPr>
              <w:t>Online Client Valuations Available</w:t>
            </w:r>
            <w:r>
              <w:br/>
            </w:r>
            <w:r>
              <w:rPr>
                <w:b/>
                <w:bCs/>
                <w:color w:val="000000"/>
                <w:sz w:val="16"/>
                <w:szCs w:val="16"/>
              </w:rPr>
              <w:t>Platform provides clients valuations online</w:t>
            </w:r>
          </w:p>
        </w:tc>
        <w:tc>
          <w:tcPr>
            <w:tcW w:w="0" w:type="auto"/>
            <w:tcBorders>
              <w:top w:val="single" w:sz="2" w:space="0" w:color="000000"/>
              <w:left w:val="single" w:sz="2" w:space="0" w:color="000000"/>
              <w:bottom w:val="single" w:sz="2" w:space="0" w:color="000000"/>
              <w:right w:val="single" w:sz="2" w:space="0" w:color="000000"/>
            </w:tcBorders>
            <w:vAlign w:val="top"/>
          </w:tcPr>
          <w:p w14:paraId="256E0085" w14:textId="77777777" w:rsidR="00734123" w:rsidRDefault="00CA2568">
            <w:pPr>
              <w:spacing w:after="0"/>
              <w:rPr>
                <w:rFonts w:ascii="Poppins" w:eastAsia="Poppins" w:hAnsi="Poppins" w:cs="Poppins"/>
                <w:color w:val="392388"/>
              </w:rPr>
            </w:pPr>
            <w:r>
              <w:rPr>
                <w:color w:val="000000"/>
                <w:sz w:val="16"/>
                <w:szCs w:val="16"/>
              </w:rPr>
              <w:t xml:space="preserve">Online client valuations are available. </w:t>
            </w:r>
          </w:p>
        </w:tc>
      </w:tr>
      <w:tr w:rsidR="00734123" w14:paraId="60BFB095"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6BEFC4E0" w14:textId="77777777" w:rsidR="00734123" w:rsidRDefault="00CA2568">
            <w:pPr>
              <w:spacing w:after="0"/>
              <w:rPr>
                <w:rFonts w:ascii="Poppins" w:eastAsia="Poppins" w:hAnsi="Poppins" w:cs="Poppins"/>
                <w:color w:val="392388"/>
              </w:rPr>
            </w:pPr>
            <w:r>
              <w:rPr>
                <w:b/>
                <w:bCs/>
                <w:color w:val="000000"/>
                <w:sz w:val="16"/>
                <w:szCs w:val="16"/>
              </w:rPr>
              <w:t>Platform Access - Adviser</w:t>
            </w:r>
            <w:r>
              <w:br/>
            </w:r>
            <w:r>
              <w:rPr>
                <w:b/>
                <w:bCs/>
                <w:color w:val="000000"/>
                <w:sz w:val="16"/>
                <w:szCs w:val="16"/>
              </w:rPr>
              <w:t>Adviser can have platform access</w:t>
            </w:r>
          </w:p>
        </w:tc>
        <w:tc>
          <w:tcPr>
            <w:tcW w:w="0" w:type="auto"/>
            <w:tcBorders>
              <w:top w:val="single" w:sz="2" w:space="0" w:color="000000"/>
              <w:left w:val="single" w:sz="2" w:space="0" w:color="000000"/>
              <w:bottom w:val="single" w:sz="2" w:space="0" w:color="000000"/>
              <w:right w:val="single" w:sz="2" w:space="0" w:color="000000"/>
            </w:tcBorders>
            <w:vAlign w:val="top"/>
          </w:tcPr>
          <w:p w14:paraId="6860B2FE" w14:textId="77777777" w:rsidR="00734123" w:rsidRDefault="00CA2568">
            <w:pPr>
              <w:spacing w:after="0"/>
              <w:rPr>
                <w:rFonts w:ascii="Poppins" w:eastAsia="Poppins" w:hAnsi="Poppins" w:cs="Poppins"/>
                <w:color w:val="392388"/>
              </w:rPr>
            </w:pPr>
            <w:r>
              <w:rPr>
                <w:color w:val="000000"/>
                <w:sz w:val="16"/>
                <w:szCs w:val="16"/>
              </w:rPr>
              <w:t xml:space="preserve">Advisory firms can set different levels of online access at Corporate, Registered Individual, Principal, Administrator and Adviser levels. </w:t>
            </w:r>
            <w:r>
              <w:br/>
            </w:r>
            <w:r>
              <w:br/>
            </w:r>
            <w:r>
              <w:rPr>
                <w:color w:val="000000"/>
                <w:sz w:val="16"/>
                <w:szCs w:val="16"/>
              </w:rPr>
              <w:t xml:space="preserve">Aviva believes that individual firms should have the freedom to set their own access for the different levels within their organization. With this in mind the Aviva Platform allows the advisory firm to configure the access levels to meet its own requirements. </w:t>
            </w:r>
            <w:r>
              <w:br/>
            </w:r>
            <w:r>
              <w:br/>
            </w:r>
            <w:r>
              <w:rPr>
                <w:color w:val="000000"/>
                <w:sz w:val="16"/>
                <w:szCs w:val="16"/>
              </w:rPr>
              <w:t xml:space="preserve">The Aviva Platform offers the following functionality: </w:t>
            </w:r>
            <w:r>
              <w:br/>
            </w:r>
            <w:r>
              <w:br/>
            </w:r>
            <w:r>
              <w:rPr>
                <w:color w:val="000000"/>
                <w:sz w:val="16"/>
                <w:szCs w:val="16"/>
              </w:rPr>
              <w:t xml:space="preserve">Pre-sale online tools and analysers: </w:t>
            </w:r>
            <w:r>
              <w:br/>
            </w:r>
            <w:r>
              <w:rPr>
                <w:color w:val="000000"/>
                <w:sz w:val="16"/>
                <w:szCs w:val="16"/>
              </w:rPr>
              <w:t xml:space="preserve">- Fund research: allowing a detailed view of all of the funds on the platform, their performance and third party fund ratings </w:t>
            </w:r>
            <w:r>
              <w:br/>
            </w:r>
            <w:r>
              <w:rPr>
                <w:color w:val="000000"/>
                <w:sz w:val="16"/>
                <w:szCs w:val="16"/>
              </w:rPr>
              <w:t xml:space="preserve">- Fund charting: allowing </w:t>
            </w:r>
            <w:r>
              <w:rPr>
                <w:color w:val="000000"/>
                <w:sz w:val="16"/>
                <w:szCs w:val="16"/>
              </w:rPr>
              <w:t xml:space="preserve">the comparison of the performance of funds, sectors and indices </w:t>
            </w:r>
            <w:r>
              <w:br/>
            </w:r>
            <w:r>
              <w:rPr>
                <w:color w:val="000000"/>
                <w:sz w:val="16"/>
                <w:szCs w:val="16"/>
              </w:rPr>
              <w:t xml:space="preserve">- Fund documentation: including fund factsheets, reports and accounts and simplified prospectus documents </w:t>
            </w:r>
            <w:r>
              <w:br/>
            </w:r>
            <w:r>
              <w:rPr>
                <w:color w:val="000000"/>
                <w:sz w:val="16"/>
                <w:szCs w:val="16"/>
              </w:rPr>
              <w:t xml:space="preserve">- Illustrations: a regulatory requirement for all portfolios </w:t>
            </w:r>
            <w:r>
              <w:br/>
            </w:r>
            <w:r>
              <w:rPr>
                <w:color w:val="000000"/>
                <w:sz w:val="16"/>
                <w:szCs w:val="16"/>
              </w:rPr>
              <w:t xml:space="preserve">- Investment profiles: allowing easy and efficient creation and management of a range of model portfolios. </w:t>
            </w:r>
            <w:r>
              <w:br/>
            </w:r>
            <w:r>
              <w:br/>
            </w:r>
            <w:r>
              <w:rPr>
                <w:color w:val="000000"/>
                <w:sz w:val="16"/>
                <w:szCs w:val="16"/>
              </w:rPr>
              <w:t xml:space="preserve">Post-sale tools and analysers: </w:t>
            </w:r>
            <w:r>
              <w:br/>
            </w:r>
            <w:r>
              <w:rPr>
                <w:color w:val="000000"/>
                <w:sz w:val="16"/>
                <w:szCs w:val="16"/>
              </w:rPr>
              <w:t xml:space="preserve">- Current valuations: of portfolios online </w:t>
            </w:r>
            <w:r>
              <w:br/>
            </w:r>
            <w:r>
              <w:rPr>
                <w:color w:val="000000"/>
                <w:sz w:val="16"/>
                <w:szCs w:val="16"/>
              </w:rPr>
              <w:t xml:space="preserve">- Rebalancing: to re-instate the asset allocation on a range of frequencies </w:t>
            </w:r>
            <w:r>
              <w:br/>
            </w:r>
            <w:r>
              <w:rPr>
                <w:color w:val="000000"/>
                <w:sz w:val="16"/>
                <w:szCs w:val="16"/>
              </w:rPr>
              <w:t>- Bulk trading a</w:t>
            </w:r>
            <w:r>
              <w:rPr>
                <w:color w:val="000000"/>
                <w:sz w:val="16"/>
                <w:szCs w:val="16"/>
              </w:rPr>
              <w:t xml:space="preserve">nd bulk rebalancing: allowing efficient management of groups of clients </w:t>
            </w:r>
            <w:r>
              <w:br/>
            </w:r>
            <w:r>
              <w:rPr>
                <w:color w:val="000000"/>
                <w:sz w:val="16"/>
                <w:szCs w:val="16"/>
              </w:rPr>
              <w:t xml:space="preserve">- Detailed performance data: showing how investments have performed for specified time periods </w:t>
            </w:r>
            <w:r>
              <w:br/>
            </w:r>
            <w:r>
              <w:rPr>
                <w:color w:val="000000"/>
                <w:sz w:val="16"/>
                <w:szCs w:val="16"/>
              </w:rPr>
              <w:t xml:space="preserve">- Detailed fund data: breaking down portfolio information to individual fund level </w:t>
            </w:r>
            <w:r>
              <w:br/>
            </w:r>
            <w:r>
              <w:rPr>
                <w:color w:val="000000"/>
                <w:sz w:val="16"/>
                <w:szCs w:val="16"/>
              </w:rPr>
              <w:t xml:space="preserve">- Transaction information: showing all client portfolio transactions </w:t>
            </w:r>
            <w:r>
              <w:br/>
            </w:r>
            <w:r>
              <w:rPr>
                <w:color w:val="000000"/>
                <w:sz w:val="16"/>
                <w:szCs w:val="16"/>
              </w:rPr>
              <w:t xml:space="preserve">- Illustrations: for accumulation, income drawdown and estimated maturity values </w:t>
            </w:r>
            <w:r>
              <w:br/>
            </w:r>
            <w:r>
              <w:rPr>
                <w:color w:val="000000"/>
                <w:sz w:val="16"/>
                <w:szCs w:val="16"/>
              </w:rPr>
              <w:t>- Lifetime allowance usage: a report showing post-retirement client lifetime allowance usage in the current</w:t>
            </w:r>
            <w:r>
              <w:rPr>
                <w:color w:val="000000"/>
                <w:sz w:val="16"/>
                <w:szCs w:val="16"/>
              </w:rPr>
              <w:t xml:space="preserve"> year </w:t>
            </w:r>
            <w:r>
              <w:br/>
            </w:r>
            <w:r>
              <w:rPr>
                <w:color w:val="000000"/>
                <w:sz w:val="16"/>
                <w:szCs w:val="16"/>
              </w:rPr>
              <w:t xml:space="preserve">- Summary view of issued warnings: a report detailing the income warnings issued for clients </w:t>
            </w:r>
            <w:r>
              <w:br/>
            </w:r>
            <w:r>
              <w:rPr>
                <w:color w:val="000000"/>
                <w:sz w:val="16"/>
                <w:szCs w:val="16"/>
              </w:rPr>
              <w:t xml:space="preserve">- Available taxable income: a report showing clients available taxable income in the current year </w:t>
            </w:r>
            <w:r>
              <w:br/>
            </w:r>
            <w:r>
              <w:rPr>
                <w:color w:val="000000"/>
                <w:sz w:val="16"/>
                <w:szCs w:val="16"/>
              </w:rPr>
              <w:t xml:space="preserve">- Capital Gains calculator </w:t>
            </w:r>
            <w:r>
              <w:br/>
            </w:r>
            <w:r>
              <w:rPr>
                <w:color w:val="000000"/>
                <w:sz w:val="16"/>
                <w:szCs w:val="16"/>
              </w:rPr>
              <w:t xml:space="preserve">- Client review date: a report showing the next Government Actuaries Department income review date for post-retirement clients in Capped Drawdown </w:t>
            </w:r>
            <w:r>
              <w:br/>
            </w:r>
            <w:r>
              <w:rPr>
                <w:color w:val="000000"/>
                <w:sz w:val="16"/>
                <w:szCs w:val="16"/>
              </w:rPr>
              <w:t xml:space="preserve">- Client reporting: a report based on portfolios, valuations or transaction history. </w:t>
            </w:r>
            <w:r>
              <w:br/>
            </w:r>
            <w:r>
              <w:br/>
            </w:r>
            <w:r>
              <w:rPr>
                <w:color w:val="000000"/>
                <w:sz w:val="16"/>
                <w:szCs w:val="16"/>
              </w:rPr>
              <w:t xml:space="preserve">Client Access: </w:t>
            </w:r>
            <w:r>
              <w:br/>
            </w:r>
            <w:r>
              <w:rPr>
                <w:color w:val="000000"/>
                <w:sz w:val="16"/>
                <w:szCs w:val="16"/>
              </w:rPr>
              <w:t>- Clients can view valuations of their pr</w:t>
            </w:r>
            <w:r>
              <w:rPr>
                <w:color w:val="000000"/>
                <w:sz w:val="16"/>
                <w:szCs w:val="16"/>
              </w:rPr>
              <w:t xml:space="preserve">oduct portfolios and keep track of their investments. </w:t>
            </w:r>
            <w:r>
              <w:br/>
            </w:r>
            <w:r>
              <w:rPr>
                <w:color w:val="000000"/>
                <w:sz w:val="16"/>
                <w:szCs w:val="16"/>
              </w:rPr>
              <w:t xml:space="preserve">- Clients can also access electronic copies of correspondence that has been sent to them online. </w:t>
            </w:r>
            <w:r>
              <w:br/>
            </w:r>
            <w:r>
              <w:rPr>
                <w:color w:val="000000"/>
                <w:sz w:val="16"/>
                <w:szCs w:val="16"/>
              </w:rPr>
              <w:t xml:space="preserve">- Clients do not have any online trading capability and all trades must be placed via their financial adviser. </w:t>
            </w:r>
            <w:r>
              <w:br/>
            </w:r>
            <w:r>
              <w:rPr>
                <w:color w:val="000000"/>
                <w:sz w:val="16"/>
                <w:szCs w:val="16"/>
              </w:rPr>
              <w:t>- Clients cannot perform online transactions directly.</w:t>
            </w:r>
          </w:p>
        </w:tc>
      </w:tr>
      <w:tr w:rsidR="00734123" w14:paraId="3ACFD538"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34E63D10" w14:textId="77777777" w:rsidR="00734123" w:rsidRDefault="00CA2568">
            <w:pPr>
              <w:spacing w:after="0"/>
              <w:rPr>
                <w:rFonts w:ascii="Poppins" w:eastAsia="Poppins" w:hAnsi="Poppins" w:cs="Poppins"/>
                <w:color w:val="392388"/>
              </w:rPr>
            </w:pPr>
            <w:r>
              <w:rPr>
                <w:b/>
                <w:bCs/>
                <w:color w:val="000000"/>
                <w:sz w:val="16"/>
                <w:szCs w:val="16"/>
              </w:rPr>
              <w:t>Platform Access - Client</w:t>
            </w:r>
            <w:r>
              <w:br/>
            </w:r>
            <w:r>
              <w:rPr>
                <w:b/>
                <w:bCs/>
                <w:color w:val="000000"/>
                <w:sz w:val="16"/>
                <w:szCs w:val="16"/>
              </w:rPr>
              <w:t>Client can have platform access</w:t>
            </w:r>
          </w:p>
        </w:tc>
        <w:tc>
          <w:tcPr>
            <w:tcW w:w="0" w:type="auto"/>
            <w:tcBorders>
              <w:top w:val="single" w:sz="2" w:space="0" w:color="000000"/>
              <w:left w:val="single" w:sz="2" w:space="0" w:color="000000"/>
              <w:bottom w:val="single" w:sz="2" w:space="0" w:color="000000"/>
              <w:right w:val="single" w:sz="2" w:space="0" w:color="000000"/>
            </w:tcBorders>
            <w:vAlign w:val="top"/>
          </w:tcPr>
          <w:p w14:paraId="7FC16F17" w14:textId="77777777" w:rsidR="00734123" w:rsidRDefault="00CA2568">
            <w:pPr>
              <w:spacing w:after="0"/>
              <w:rPr>
                <w:rFonts w:ascii="Poppins" w:eastAsia="Poppins" w:hAnsi="Poppins" w:cs="Poppins"/>
                <w:color w:val="392388"/>
              </w:rPr>
            </w:pPr>
            <w:r>
              <w:rPr>
                <w:color w:val="000000"/>
                <w:sz w:val="16"/>
                <w:szCs w:val="16"/>
              </w:rPr>
              <w:t xml:space="preserve">Clients can view correspondence relating to their portfolio and advisers can see correspondence for their platform clients. Clients are able to view valuations of their product portfolio and keep track of their investments online. </w:t>
            </w:r>
          </w:p>
        </w:tc>
      </w:tr>
      <w:tr w:rsidR="00734123" w14:paraId="08BE49C6"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52339597" w14:textId="77777777" w:rsidR="00734123" w:rsidRDefault="00CA2568">
            <w:pPr>
              <w:spacing w:after="0"/>
              <w:rPr>
                <w:rFonts w:ascii="Poppins" w:eastAsia="Poppins" w:hAnsi="Poppins" w:cs="Poppins"/>
                <w:color w:val="392388"/>
              </w:rPr>
            </w:pPr>
            <w:r>
              <w:rPr>
                <w:b/>
                <w:bCs/>
                <w:color w:val="000000"/>
                <w:sz w:val="16"/>
                <w:szCs w:val="16"/>
              </w:rPr>
              <w:t>Flexi access drawdown available</w:t>
            </w:r>
            <w:r>
              <w:br/>
            </w:r>
            <w:r>
              <w:rPr>
                <w:b/>
                <w:bCs/>
                <w:color w:val="000000"/>
                <w:sz w:val="16"/>
                <w:szCs w:val="16"/>
              </w:rPr>
              <w:t>Flexi access drawdown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1FFEB04D" w14:textId="77777777" w:rsidR="00734123" w:rsidRDefault="00CA2568">
            <w:pPr>
              <w:spacing w:after="0"/>
              <w:rPr>
                <w:rFonts w:ascii="Poppins" w:eastAsia="Poppins" w:hAnsi="Poppins" w:cs="Poppins"/>
                <w:color w:val="392388"/>
              </w:rPr>
            </w:pPr>
            <w:r>
              <w:rPr>
                <w:color w:val="000000"/>
                <w:sz w:val="16"/>
                <w:szCs w:val="16"/>
              </w:rPr>
              <w:t xml:space="preserve">FAD is available. </w:t>
            </w:r>
          </w:p>
        </w:tc>
      </w:tr>
      <w:tr w:rsidR="00734123" w14:paraId="4DDD637E"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0720F591" w14:textId="77777777" w:rsidR="00734123" w:rsidRDefault="00CA2568">
            <w:pPr>
              <w:spacing w:after="0"/>
              <w:rPr>
                <w:rFonts w:ascii="Poppins" w:eastAsia="Poppins" w:hAnsi="Poppins" w:cs="Poppins"/>
                <w:color w:val="392388"/>
              </w:rPr>
            </w:pPr>
            <w:r>
              <w:rPr>
                <w:b/>
                <w:bCs/>
                <w:color w:val="000000"/>
                <w:sz w:val="16"/>
                <w:szCs w:val="16"/>
              </w:rPr>
              <w:t>Uncrystalised Funds Pension Lump Sum available</w:t>
            </w:r>
            <w:r>
              <w:br/>
            </w:r>
            <w:r>
              <w:rPr>
                <w:b/>
                <w:bCs/>
                <w:color w:val="000000"/>
                <w:sz w:val="16"/>
                <w:szCs w:val="16"/>
              </w:rPr>
              <w:t>Uncrystalised Funds Pension Lump Sum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16797DD7" w14:textId="77777777" w:rsidR="00734123" w:rsidRDefault="00CA2568">
            <w:pPr>
              <w:spacing w:after="0"/>
              <w:rPr>
                <w:rFonts w:ascii="Poppins" w:eastAsia="Poppins" w:hAnsi="Poppins" w:cs="Poppins"/>
                <w:color w:val="392388"/>
              </w:rPr>
            </w:pPr>
            <w:r>
              <w:rPr>
                <w:color w:val="000000"/>
                <w:sz w:val="16"/>
                <w:szCs w:val="16"/>
              </w:rPr>
              <w:t>An UFPLS style payment can be made via FAD.</w:t>
            </w:r>
          </w:p>
        </w:tc>
      </w:tr>
      <w:tr w:rsidR="00734123" w14:paraId="08B5A2DD" w14:textId="77777777" w:rsidTr="00734123">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413EB011" w14:textId="77777777" w:rsidR="00734123" w:rsidRDefault="00CA2568">
            <w:pPr>
              <w:spacing w:after="0"/>
              <w:rPr>
                <w:rFonts w:ascii="Poppins" w:eastAsia="Poppins" w:hAnsi="Poppins" w:cs="Poppins"/>
                <w:color w:val="392388"/>
              </w:rPr>
            </w:pPr>
            <w:r>
              <w:rPr>
                <w:b/>
                <w:bCs/>
                <w:color w:val="000000"/>
                <w:sz w:val="16"/>
                <w:szCs w:val="16"/>
              </w:rPr>
              <w:t>Automatic Withdrawals</w:t>
            </w:r>
            <w:r>
              <w:br/>
            </w:r>
            <w:r>
              <w:rPr>
                <w:b/>
                <w:bCs/>
                <w:color w:val="000000"/>
                <w:sz w:val="16"/>
                <w:szCs w:val="16"/>
              </w:rPr>
              <w:t>Facility to set up fixed (percentage or amount) regular withdrawals, other than pension related income drawdown facilities</w:t>
            </w:r>
          </w:p>
        </w:tc>
        <w:tc>
          <w:tcPr>
            <w:tcW w:w="0" w:type="auto"/>
            <w:tcBorders>
              <w:top w:val="single" w:sz="2" w:space="0" w:color="000000"/>
              <w:left w:val="single" w:sz="2" w:space="0" w:color="000000"/>
              <w:bottom w:val="single" w:sz="2" w:space="0" w:color="000000"/>
              <w:right w:val="single" w:sz="2" w:space="0" w:color="000000"/>
            </w:tcBorders>
            <w:vAlign w:val="top"/>
          </w:tcPr>
          <w:p w14:paraId="1CF5471B" w14:textId="77777777" w:rsidR="00734123" w:rsidRDefault="00CA2568">
            <w:pPr>
              <w:spacing w:after="0"/>
              <w:rPr>
                <w:rFonts w:ascii="Poppins" w:eastAsia="Poppins" w:hAnsi="Poppins" w:cs="Poppins"/>
                <w:color w:val="392388"/>
              </w:rPr>
            </w:pPr>
            <w:r>
              <w:rPr>
                <w:color w:val="000000"/>
                <w:sz w:val="16"/>
                <w:szCs w:val="16"/>
              </w:rPr>
              <w:t xml:space="preserve">Where permitted, clients may withdraw some or all of any cash balance in the ISA and Investment Portfolios at any time by sending Aviva a signed written instruction to do so. </w:t>
            </w:r>
            <w:r>
              <w:br/>
            </w:r>
            <w:r>
              <w:br/>
            </w:r>
            <w:r>
              <w:rPr>
                <w:color w:val="000000"/>
                <w:sz w:val="16"/>
                <w:szCs w:val="16"/>
              </w:rPr>
              <w:t xml:space="preserve">Clients can also opt for regular withdrawals by completing the relevant application. They can choose the frequency and dates which they want to receive the withdrawals. </w:t>
            </w:r>
            <w:r>
              <w:br/>
            </w:r>
            <w:r>
              <w:br/>
            </w:r>
            <w:r>
              <w:rPr>
                <w:color w:val="000000"/>
                <w:sz w:val="16"/>
                <w:szCs w:val="16"/>
              </w:rPr>
              <w:t xml:space="preserve">The minimum amount that can be withdrawn as a lump sum is £500, or £50 for regular withdrawals. The remaining balance in any product Portfolio after any withdrawal must be at least £250. </w:t>
            </w:r>
            <w:r>
              <w:br/>
            </w:r>
            <w:r>
              <w:br/>
            </w:r>
            <w:r>
              <w:rPr>
                <w:color w:val="000000"/>
                <w:sz w:val="16"/>
                <w:szCs w:val="16"/>
              </w:rPr>
              <w:t xml:space="preserve">Fund-specific withdrawals are also available. At least £50 must be left in any fund. </w:t>
            </w:r>
            <w:r>
              <w:br/>
            </w:r>
            <w:r>
              <w:br/>
            </w:r>
            <w:r>
              <w:rPr>
                <w:color w:val="000000"/>
                <w:sz w:val="16"/>
                <w:szCs w:val="16"/>
              </w:rPr>
              <w:t>Advisers are able to create their own withdrawal preferences an</w:t>
            </w:r>
            <w:r>
              <w:rPr>
                <w:color w:val="000000"/>
                <w:sz w:val="16"/>
                <w:szCs w:val="16"/>
              </w:rPr>
              <w:t xml:space="preserve">d actively choose and manage how specific funds are disinvested to pay for withdrawals. </w:t>
            </w:r>
          </w:p>
        </w:tc>
      </w:tr>
      <w:tr w:rsidR="00734123" w14:paraId="1724B155" w14:textId="77777777" w:rsidTr="00734123">
        <w:trPr>
          <w:tblCellSpacing w:w="0" w:type="dxa"/>
        </w:trPr>
        <w:tc>
          <w:tcPr>
            <w:tcW w:w="0" w:type="auto"/>
            <w:gridSpan w:val="2"/>
            <w:tcBorders>
              <w:top w:val="single" w:sz="2" w:space="0" w:color="000000"/>
            </w:tcBorders>
          </w:tcPr>
          <w:p w14:paraId="3B35B9C6" w14:textId="77777777" w:rsidR="00734123" w:rsidRDefault="00CA2568">
            <w:pPr>
              <w:spacing w:after="0"/>
              <w:jc w:val="center"/>
            </w:pPr>
            <w:r>
              <w:rPr>
                <w:rFonts w:ascii="Calibri Light" w:eastAsia="Calibri Light" w:hAnsi="Calibri Light" w:cs="Calibri Light"/>
              </w:rPr>
              <w:t>Brochure Comparison 03/12/2025 15:40</w:t>
            </w:r>
          </w:p>
        </w:tc>
      </w:tr>
    </w:tbl>
    <w:p w14:paraId="75B3B988" w14:textId="77777777" w:rsidR="00734123" w:rsidRDefault="00CA2568">
      <w:pPr>
        <w:sectPr w:rsidR="00734123">
          <w:headerReference w:type="default" r:id="rId62"/>
          <w:footerReference w:type="default" r:id="rId63"/>
          <w:pgSz w:w="16839" w:h="11907" w:orient="landscape" w:code="9"/>
          <w:pgMar w:top="709" w:right="640" w:bottom="376" w:left="640" w:header="200" w:footer="200" w:gutter="0"/>
          <w:cols w:space="708"/>
          <w:docGrid w:linePitch="360"/>
        </w:sectPr>
      </w:pPr>
      <w:r>
        <w:t xml:space="preserve"> </w:t>
      </w:r>
    </w:p>
    <w:p w14:paraId="0AE18454" w14:textId="77777777" w:rsidR="00734123" w:rsidRDefault="00CA2568">
      <w:pPr>
        <w:pStyle w:val="DefaqtoHeading1"/>
      </w:pPr>
      <w:bookmarkStart w:id="37" w:name="_Toc28"/>
      <w:r>
        <w:t>Notes</w:t>
      </w:r>
      <w:bookmarkEnd w:id="37"/>
    </w:p>
    <w:p w14:paraId="089E4FFA" w14:textId="77777777" w:rsidR="00734123" w:rsidRDefault="00CA2568">
      <w:pPr>
        <w:pStyle w:val="DefaqtoBody"/>
      </w:pPr>
      <w:r>
        <w:rPr>
          <w:u w:color="000000"/>
        </w:rPr>
        <w:t>KEY: na = not applicable, ns = not stated, nd = not disclosed</w:t>
      </w:r>
    </w:p>
    <w:p w14:paraId="3C6EEBE8" w14:textId="77777777" w:rsidR="00734123" w:rsidRDefault="00CA2568">
      <w:pPr>
        <w:pStyle w:val="DefaqtoBody"/>
      </w:pPr>
      <w:r>
        <w:rPr>
          <w:u w:color="000000"/>
        </w:rPr>
        <w:t xml:space="preserve">The Data Numerical Analysis (DNA) allows the analysis of data on both a quantitative and a qualitative basis, showing not only who does what, but more importantly, how well they do it. This is achieved by a system of benchmarking or ranking on a 1 to 5 basis called DNA. A score of 1 indicates a weak feature; a score of 5 indicates an excellent feature. </w:t>
      </w:r>
    </w:p>
    <w:sectPr w:rsidR="00734123">
      <w:headerReference w:type="default" r:id="rId64"/>
      <w:footerReference w:type="default" r:id="rId65"/>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3AA12" w14:textId="77777777" w:rsidR="00CA2568" w:rsidRDefault="00CA2568">
      <w:pPr>
        <w:spacing w:after="0" w:line="240" w:lineRule="auto"/>
      </w:pPr>
      <w:r>
        <w:separator/>
      </w:r>
    </w:p>
  </w:endnote>
  <w:endnote w:type="continuationSeparator" w:id="0">
    <w:p w14:paraId="228740F3" w14:textId="77777777" w:rsidR="00CA2568" w:rsidRDefault="00CA2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0909A872" w14:textId="77777777">
      <w:tc>
        <w:tcPr>
          <w:tcW w:w="5812" w:type="dxa"/>
        </w:tcPr>
        <w:p w14:paraId="28844C70"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767531F0" w14:textId="77777777" w:rsidR="00734123" w:rsidRDefault="00734123">
          <w:pPr>
            <w:pStyle w:val="Header"/>
            <w:spacing w:before="120"/>
            <w:ind w:right="21"/>
            <w:jc w:val="right"/>
            <w:rPr>
              <w:rFonts w:ascii="Poppins" w:hAnsi="Poppins" w:cs="Poppins"/>
              <w:color w:val="392388"/>
            </w:rPr>
          </w:pPr>
        </w:p>
      </w:tc>
    </w:tr>
  </w:tbl>
  <w:p w14:paraId="528FD263" w14:textId="77777777" w:rsidR="00734123" w:rsidRDefault="00734123">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29B4" w14:textId="77777777" w:rsidR="00734123" w:rsidRDefault="00CA2568">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1DA9BAC1" w14:textId="77777777">
      <w:tc>
        <w:tcPr>
          <w:tcW w:w="5257" w:type="dxa"/>
        </w:tcPr>
        <w:p w14:paraId="6CF701CD" w14:textId="77777777" w:rsidR="00734123" w:rsidRDefault="00CA2568">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93003027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5257" w:type="dxa"/>
        </w:tcPr>
        <w:p w14:paraId="5B0D05F0" w14:textId="77777777" w:rsidR="00734123" w:rsidRDefault="00CA2568">
          <w:pPr>
            <w:pStyle w:val="Header"/>
            <w:spacing w:before="120"/>
            <w:ind w:right="21"/>
            <w:jc w:val="right"/>
            <w:rPr>
              <w:rFonts w:ascii="Poppins" w:hAnsi="Poppins" w:cs="Poppins"/>
              <w:color w:val="392388"/>
            </w:rPr>
          </w:pPr>
          <w:r>
            <w:rPr>
              <w:rFonts w:ascii="Poppins" w:hAnsi="Poppins" w:cs="Poppins"/>
              <w:noProof/>
              <w:color w:val="392388"/>
              <w:lang w:eastAsia="en-GB"/>
            </w:rPr>
            <w:pict w14:anchorId="5D49BE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9.8pt;visibility:visible">
                <v:imagedata r:id="rId1" o:title=""/>
              </v:shape>
            </w:pict>
          </w:r>
        </w:p>
      </w:tc>
    </w:tr>
  </w:tbl>
  <w:p w14:paraId="136E4D8A" w14:textId="77777777" w:rsidR="00734123" w:rsidRDefault="00734123">
    <w:pP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068F899C" w14:textId="77777777">
      <w:tc>
        <w:tcPr>
          <w:tcW w:w="5257" w:type="dxa"/>
        </w:tcPr>
        <w:p w14:paraId="21F8589D" w14:textId="77777777" w:rsidR="00734123" w:rsidRDefault="00CA2568">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48137164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6</w:t>
              </w:r>
              <w:r>
                <w:rPr>
                  <w:rFonts w:ascii="Poppins" w:hAnsi="Poppins" w:cs="Poppins"/>
                  <w:color w:val="392388"/>
                  <w:sz w:val="16"/>
                  <w:szCs w:val="16"/>
                </w:rPr>
                <w:fldChar w:fldCharType="end"/>
              </w:r>
            </w:sdtContent>
          </w:sdt>
        </w:p>
      </w:tc>
      <w:tc>
        <w:tcPr>
          <w:tcW w:w="5257" w:type="dxa"/>
        </w:tcPr>
        <w:p w14:paraId="4F6C3DE6" w14:textId="77777777" w:rsidR="00734123" w:rsidRDefault="00CA2568">
          <w:pPr>
            <w:pStyle w:val="Header"/>
            <w:spacing w:before="120"/>
            <w:ind w:right="21"/>
            <w:jc w:val="right"/>
            <w:rPr>
              <w:rFonts w:ascii="Poppins" w:hAnsi="Poppins" w:cs="Poppins"/>
              <w:color w:val="392388"/>
            </w:rPr>
          </w:pPr>
          <w:r>
            <w:rPr>
              <w:rFonts w:ascii="Poppins" w:hAnsi="Poppins" w:cs="Poppins"/>
              <w:noProof/>
              <w:color w:val="392388"/>
              <w:lang w:eastAsia="en-GB"/>
            </w:rPr>
            <w:pict w14:anchorId="711504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6pt;height:19.8pt;visibility:visible">
                <v:imagedata r:id="rId1" o:title=""/>
              </v:shape>
            </w:pict>
          </w:r>
        </w:p>
      </w:tc>
    </w:tr>
  </w:tbl>
  <w:p w14:paraId="4B9ECC1C" w14:textId="77777777" w:rsidR="00734123" w:rsidRDefault="00734123">
    <w:pP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0F6B61F4" w14:textId="77777777">
      <w:tc>
        <w:tcPr>
          <w:tcW w:w="5257" w:type="dxa"/>
        </w:tcPr>
        <w:p w14:paraId="0CCF7E85" w14:textId="77777777" w:rsidR="00734123" w:rsidRDefault="00CA2568">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2423311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5257" w:type="dxa"/>
        </w:tcPr>
        <w:p w14:paraId="0F356B8B" w14:textId="77777777" w:rsidR="00734123" w:rsidRDefault="00CA2568">
          <w:pPr>
            <w:pStyle w:val="Header"/>
            <w:spacing w:before="120"/>
            <w:ind w:right="21"/>
            <w:jc w:val="right"/>
            <w:rPr>
              <w:rFonts w:ascii="Poppins" w:hAnsi="Poppins" w:cs="Poppins"/>
              <w:color w:val="392388"/>
            </w:rPr>
          </w:pPr>
          <w:r>
            <w:rPr>
              <w:rFonts w:ascii="Poppins" w:hAnsi="Poppins" w:cs="Poppins"/>
              <w:noProof/>
              <w:color w:val="392388"/>
              <w:lang w:eastAsia="en-GB"/>
            </w:rPr>
            <w:pict w14:anchorId="4E5C8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pt;height:19.8pt;visibility:visible">
                <v:imagedata r:id="rId1" o:title=""/>
              </v:shape>
            </w:pict>
          </w:r>
        </w:p>
      </w:tc>
    </w:tr>
  </w:tbl>
  <w:p w14:paraId="259998CC" w14:textId="77777777" w:rsidR="00734123" w:rsidRDefault="00734123">
    <w:pP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52B97A91" w14:textId="77777777">
      <w:tc>
        <w:tcPr>
          <w:tcW w:w="5812" w:type="dxa"/>
        </w:tcPr>
        <w:p w14:paraId="25E91C37"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68495124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7AEC34FB" w14:textId="77777777" w:rsidR="00734123" w:rsidRDefault="00CA2568">
          <w:pPr>
            <w:pStyle w:val="Header"/>
            <w:spacing w:before="120"/>
            <w:ind w:right="21"/>
            <w:jc w:val="right"/>
            <w:rPr>
              <w:rFonts w:ascii="Poppins" w:hAnsi="Poppins" w:cs="Poppins"/>
              <w:color w:val="392388"/>
            </w:rPr>
          </w:pPr>
          <w:r>
            <w:rPr>
              <w:noProof/>
            </w:rPr>
            <w:drawing>
              <wp:inline distT="0" distB="0" distL="0" distR="0" wp14:anchorId="4F47FAA7" wp14:editId="1767C59E">
                <wp:extent cx="914400" cy="1905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09FF068" w14:textId="77777777" w:rsidR="00734123" w:rsidRDefault="00734123">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36F3" w14:textId="77777777" w:rsidR="00734123" w:rsidRDefault="00CA2568">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1BD9375D" w14:textId="77777777">
      <w:tc>
        <w:tcPr>
          <w:tcW w:w="5812" w:type="dxa"/>
        </w:tcPr>
        <w:p w14:paraId="1667B868"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0990266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241A3112" w14:textId="77777777" w:rsidR="00734123" w:rsidRDefault="00734123">
          <w:pPr>
            <w:pStyle w:val="Header"/>
            <w:spacing w:before="120"/>
            <w:ind w:right="21"/>
            <w:jc w:val="right"/>
            <w:rPr>
              <w:rFonts w:ascii="Poppins" w:hAnsi="Poppins" w:cs="Poppins"/>
              <w:color w:val="392388"/>
            </w:rPr>
          </w:pPr>
        </w:p>
      </w:tc>
    </w:tr>
  </w:tbl>
  <w:p w14:paraId="772DAA9F" w14:textId="77777777" w:rsidR="00734123" w:rsidRDefault="00734123">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3DF80591" w14:textId="77777777">
      <w:tc>
        <w:tcPr>
          <w:tcW w:w="5812" w:type="dxa"/>
        </w:tcPr>
        <w:p w14:paraId="74901CCC"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9185857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4</w:t>
              </w:r>
              <w:r>
                <w:rPr>
                  <w:rFonts w:ascii="Poppins" w:hAnsi="Poppins" w:cs="Poppins"/>
                  <w:color w:val="392388"/>
                  <w:sz w:val="16"/>
                  <w:szCs w:val="16"/>
                </w:rPr>
                <w:fldChar w:fldCharType="end"/>
              </w:r>
            </w:sdtContent>
          </w:sdt>
        </w:p>
      </w:tc>
      <w:tc>
        <w:tcPr>
          <w:tcW w:w="4678" w:type="dxa"/>
        </w:tcPr>
        <w:p w14:paraId="57ADB4A5" w14:textId="77777777" w:rsidR="00734123" w:rsidRDefault="00734123">
          <w:pPr>
            <w:pStyle w:val="Header"/>
            <w:spacing w:before="120"/>
            <w:ind w:right="21"/>
            <w:jc w:val="right"/>
            <w:rPr>
              <w:rFonts w:ascii="Poppins" w:hAnsi="Poppins" w:cs="Poppins"/>
              <w:color w:val="392388"/>
            </w:rPr>
          </w:pPr>
        </w:p>
      </w:tc>
    </w:tr>
  </w:tbl>
  <w:p w14:paraId="6EFA6D88" w14:textId="77777777" w:rsidR="00734123" w:rsidRDefault="00734123">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47C786A7" w14:textId="77777777">
      <w:tc>
        <w:tcPr>
          <w:tcW w:w="5812" w:type="dxa"/>
        </w:tcPr>
        <w:p w14:paraId="477B2766"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95432432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tcW w:w="4678" w:type="dxa"/>
        </w:tcPr>
        <w:p w14:paraId="5AA35A2E" w14:textId="77777777" w:rsidR="00734123" w:rsidRDefault="00734123">
          <w:pPr>
            <w:pStyle w:val="Header"/>
            <w:spacing w:before="120"/>
            <w:ind w:right="21"/>
            <w:jc w:val="right"/>
            <w:rPr>
              <w:rFonts w:ascii="Poppins" w:hAnsi="Poppins" w:cs="Poppins"/>
              <w:color w:val="392388"/>
            </w:rPr>
          </w:pPr>
        </w:p>
      </w:tc>
    </w:tr>
  </w:tbl>
  <w:p w14:paraId="4C859CBE" w14:textId="77777777" w:rsidR="00734123" w:rsidRDefault="00734123">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2398304B" w14:textId="77777777">
      <w:tc>
        <w:tcPr>
          <w:tcW w:w="5257" w:type="dxa"/>
        </w:tcPr>
        <w:p w14:paraId="0253CCF2" w14:textId="77777777" w:rsidR="00734123" w:rsidRDefault="00CA2568">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80550703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5257" w:type="dxa"/>
        </w:tcPr>
        <w:p w14:paraId="63EA0394" w14:textId="77777777" w:rsidR="00734123" w:rsidRDefault="00CA2568">
          <w:pPr>
            <w:pStyle w:val="Header"/>
            <w:spacing w:before="120"/>
            <w:ind w:right="21"/>
            <w:jc w:val="right"/>
            <w:rPr>
              <w:rFonts w:ascii="Poppins" w:hAnsi="Poppins" w:cs="Poppins"/>
              <w:color w:val="392388"/>
            </w:rPr>
          </w:pPr>
          <w:r>
            <w:rPr>
              <w:rFonts w:ascii="Poppins" w:hAnsi="Poppins" w:cs="Poppins"/>
              <w:noProof/>
              <w:color w:val="392388"/>
            </w:rPr>
            <w:pict w14:anchorId="0314F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6pt;height:19.8pt;visibility:visible">
                <v:imagedata r:id="rId1" o:title=""/>
              </v:shape>
            </w:pict>
          </w:r>
        </w:p>
      </w:tc>
    </w:tr>
  </w:tbl>
  <w:p w14:paraId="20816A77" w14:textId="77777777" w:rsidR="00734123" w:rsidRDefault="00734123">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23B25E65" w14:textId="77777777">
      <w:tc>
        <w:tcPr>
          <w:tcW w:w="5257" w:type="dxa"/>
        </w:tcPr>
        <w:p w14:paraId="612C12B3"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424819496"/>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9</w:t>
              </w:r>
              <w:r>
                <w:rPr>
                  <w:rFonts w:ascii="Poppins" w:hAnsi="Poppins" w:cs="Poppins"/>
                  <w:sz w:val="16"/>
                  <w:szCs w:val="16"/>
                </w:rPr>
                <w:fldChar w:fldCharType="end"/>
              </w:r>
            </w:sdtContent>
          </w:sdt>
        </w:p>
      </w:tc>
      <w:tc>
        <w:tcPr>
          <w:tcW w:w="5257" w:type="dxa"/>
        </w:tcPr>
        <w:p w14:paraId="72D6561C"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562B2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6pt;height:19.8pt;visibility:visible">
                <v:imagedata r:id="rId1" o:title=""/>
              </v:shape>
            </w:pict>
          </w:r>
        </w:p>
      </w:tc>
    </w:tr>
  </w:tbl>
  <w:p w14:paraId="0CDC03AA" w14:textId="77777777" w:rsidR="00734123" w:rsidRDefault="00734123">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07EFF819" w14:textId="77777777">
      <w:tc>
        <w:tcPr>
          <w:tcW w:w="5257" w:type="dxa"/>
        </w:tcPr>
        <w:p w14:paraId="5C197B92"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598907210"/>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11</w:t>
              </w:r>
              <w:r>
                <w:rPr>
                  <w:rFonts w:ascii="Poppins" w:hAnsi="Poppins" w:cs="Poppins"/>
                  <w:sz w:val="16"/>
                  <w:szCs w:val="16"/>
                </w:rPr>
                <w:fldChar w:fldCharType="end"/>
              </w:r>
            </w:sdtContent>
          </w:sdt>
        </w:p>
      </w:tc>
      <w:tc>
        <w:tcPr>
          <w:tcW w:w="5257" w:type="dxa"/>
        </w:tcPr>
        <w:p w14:paraId="58A68959"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50D32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6pt;height:19.8pt;visibility:visible">
                <v:imagedata r:id="rId1" o:title=""/>
              </v:shape>
            </w:pict>
          </w:r>
        </w:p>
      </w:tc>
    </w:tr>
  </w:tbl>
  <w:p w14:paraId="1C0D859D" w14:textId="77777777" w:rsidR="00734123" w:rsidRDefault="00734123">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1EAB3605" w14:textId="77777777">
      <w:tc>
        <w:tcPr>
          <w:tcW w:w="5257" w:type="dxa"/>
        </w:tcPr>
        <w:p w14:paraId="460A7017"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559080071"/>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12</w:t>
              </w:r>
              <w:r>
                <w:rPr>
                  <w:rFonts w:ascii="Poppins" w:hAnsi="Poppins" w:cs="Poppins"/>
                  <w:sz w:val="16"/>
                  <w:szCs w:val="16"/>
                </w:rPr>
                <w:fldChar w:fldCharType="end"/>
              </w:r>
            </w:sdtContent>
          </w:sdt>
        </w:p>
      </w:tc>
      <w:tc>
        <w:tcPr>
          <w:tcW w:w="5257" w:type="dxa"/>
        </w:tcPr>
        <w:p w14:paraId="197AFF92"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5045F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6pt;height:19.8pt;visibility:visible">
                <v:imagedata r:id="rId1" o:title=""/>
              </v:shape>
            </w:pict>
          </w:r>
        </w:p>
      </w:tc>
    </w:tr>
  </w:tbl>
  <w:p w14:paraId="29441737" w14:textId="77777777" w:rsidR="00734123" w:rsidRDefault="00734123">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3CE3F4C6" w14:textId="77777777">
      <w:tc>
        <w:tcPr>
          <w:tcW w:w="5257" w:type="dxa"/>
        </w:tcPr>
        <w:p w14:paraId="165E1015"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460571254"/>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13</w:t>
              </w:r>
              <w:r>
                <w:rPr>
                  <w:rFonts w:ascii="Poppins" w:hAnsi="Poppins" w:cs="Poppins"/>
                  <w:sz w:val="16"/>
                  <w:szCs w:val="16"/>
                </w:rPr>
                <w:fldChar w:fldCharType="end"/>
              </w:r>
            </w:sdtContent>
          </w:sdt>
        </w:p>
      </w:tc>
      <w:tc>
        <w:tcPr>
          <w:tcW w:w="5257" w:type="dxa"/>
        </w:tcPr>
        <w:p w14:paraId="319BB10C"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271ECC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6pt;height:19.8pt;visibility:visible">
                <v:imagedata r:id="rId1" o:title=""/>
              </v:shape>
            </w:pict>
          </w:r>
        </w:p>
      </w:tc>
    </w:tr>
  </w:tbl>
  <w:p w14:paraId="10321A7D" w14:textId="77777777" w:rsidR="00734123" w:rsidRDefault="00734123">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20C55D2E" w14:textId="77777777">
      <w:tc>
        <w:tcPr>
          <w:tcW w:w="5257" w:type="dxa"/>
        </w:tcPr>
        <w:p w14:paraId="530DEC20"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650504823"/>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14</w:t>
              </w:r>
              <w:r>
                <w:rPr>
                  <w:rFonts w:ascii="Poppins" w:hAnsi="Poppins" w:cs="Poppins"/>
                  <w:sz w:val="16"/>
                  <w:szCs w:val="16"/>
                </w:rPr>
                <w:fldChar w:fldCharType="end"/>
              </w:r>
            </w:sdtContent>
          </w:sdt>
        </w:p>
      </w:tc>
      <w:tc>
        <w:tcPr>
          <w:tcW w:w="5257" w:type="dxa"/>
        </w:tcPr>
        <w:p w14:paraId="5828655C"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63A37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96pt;height:19.8pt;visibility:visible">
                <v:imagedata r:id="rId1" o:title=""/>
              </v:shape>
            </w:pict>
          </w:r>
        </w:p>
      </w:tc>
    </w:tr>
  </w:tbl>
  <w:p w14:paraId="4E94709F" w14:textId="77777777" w:rsidR="00734123" w:rsidRDefault="00734123">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2FEA25C1" w14:textId="77777777">
      <w:tc>
        <w:tcPr>
          <w:tcW w:w="5257" w:type="dxa"/>
        </w:tcPr>
        <w:p w14:paraId="0DFF44E7"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97073810"/>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15</w:t>
              </w:r>
              <w:r>
                <w:rPr>
                  <w:rFonts w:ascii="Poppins" w:hAnsi="Poppins" w:cs="Poppins"/>
                  <w:sz w:val="16"/>
                  <w:szCs w:val="16"/>
                </w:rPr>
                <w:fldChar w:fldCharType="end"/>
              </w:r>
            </w:sdtContent>
          </w:sdt>
        </w:p>
      </w:tc>
      <w:tc>
        <w:tcPr>
          <w:tcW w:w="5257" w:type="dxa"/>
        </w:tcPr>
        <w:p w14:paraId="1503052C"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11A95D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96pt;height:19.8pt;visibility:visible">
                <v:imagedata r:id="rId1" o:title=""/>
              </v:shape>
            </w:pict>
          </w:r>
        </w:p>
      </w:tc>
    </w:tr>
  </w:tbl>
  <w:p w14:paraId="44B71C81" w14:textId="77777777" w:rsidR="00734123" w:rsidRDefault="00734123">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038A6F4C" w14:textId="77777777">
      <w:tc>
        <w:tcPr>
          <w:tcW w:w="5257" w:type="dxa"/>
        </w:tcPr>
        <w:p w14:paraId="05BB5EA6"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068772815"/>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16</w:t>
              </w:r>
              <w:r>
                <w:rPr>
                  <w:rFonts w:ascii="Poppins" w:hAnsi="Poppins" w:cs="Poppins"/>
                  <w:sz w:val="16"/>
                  <w:szCs w:val="16"/>
                </w:rPr>
                <w:fldChar w:fldCharType="end"/>
              </w:r>
            </w:sdtContent>
          </w:sdt>
        </w:p>
      </w:tc>
      <w:tc>
        <w:tcPr>
          <w:tcW w:w="5257" w:type="dxa"/>
        </w:tcPr>
        <w:p w14:paraId="002AC313"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297CE4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96pt;height:19.8pt;visibility:visible">
                <v:imagedata r:id="rId1" o:title=""/>
              </v:shape>
            </w:pict>
          </w:r>
        </w:p>
      </w:tc>
    </w:tr>
  </w:tbl>
  <w:p w14:paraId="70DC5D59" w14:textId="77777777" w:rsidR="00734123" w:rsidRDefault="00734123">
    <w:pPr>
      <w:pStyle w:val="Footer"/>
      <w:rPr>
        <w:rFonts w:ascii="Poppins" w:hAnsi="Poppins" w:cs="Poppins"/>
        <w:color w:val="39238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34123" w14:paraId="59D7E138" w14:textId="77777777">
      <w:tc>
        <w:tcPr>
          <w:tcW w:w="5257" w:type="dxa"/>
        </w:tcPr>
        <w:p w14:paraId="4909D00A" w14:textId="77777777" w:rsidR="00734123" w:rsidRDefault="00CA2568">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912314908"/>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17</w:t>
              </w:r>
              <w:r>
                <w:rPr>
                  <w:rFonts w:ascii="Poppins" w:hAnsi="Poppins" w:cs="Poppins"/>
                  <w:sz w:val="16"/>
                  <w:szCs w:val="16"/>
                </w:rPr>
                <w:fldChar w:fldCharType="end"/>
              </w:r>
            </w:sdtContent>
          </w:sdt>
        </w:p>
      </w:tc>
      <w:tc>
        <w:tcPr>
          <w:tcW w:w="5257" w:type="dxa"/>
        </w:tcPr>
        <w:p w14:paraId="187EF709" w14:textId="77777777" w:rsidR="00734123" w:rsidRDefault="00CA2568">
          <w:pPr>
            <w:pStyle w:val="DefaqtoHeading4"/>
            <w:spacing w:before="120"/>
            <w:ind w:right="21"/>
            <w:jc w:val="right"/>
            <w:rPr>
              <w:rFonts w:ascii="Poppins" w:hAnsi="Poppins" w:cs="Poppins"/>
            </w:rPr>
          </w:pPr>
          <w:r>
            <w:rPr>
              <w:rFonts w:ascii="Poppins" w:hAnsi="Poppins" w:cs="Poppins"/>
              <w:noProof/>
            </w:rPr>
            <w:pict w14:anchorId="376697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96pt;height:19.8pt;visibility:visible">
                <v:imagedata r:id="rId1" o:title=""/>
              </v:shape>
            </w:pict>
          </w:r>
        </w:p>
      </w:tc>
    </w:tr>
  </w:tbl>
  <w:p w14:paraId="49E81016" w14:textId="77777777" w:rsidR="00734123" w:rsidRDefault="00734123">
    <w:pPr>
      <w:pStyle w:val="Footer"/>
      <w:rPr>
        <w:rFonts w:ascii="Poppins" w:hAnsi="Poppins" w:cs="Poppins"/>
        <w:color w:val="39238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6D139EAD" w14:textId="77777777">
      <w:tc>
        <w:tcPr>
          <w:tcW w:w="5812" w:type="dxa"/>
        </w:tcPr>
        <w:p w14:paraId="35FAEE6A"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053838005"/>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18</w:t>
              </w:r>
              <w:r>
                <w:rPr>
                  <w:rFonts w:ascii="Poppins" w:hAnsi="Poppins" w:cs="Poppins"/>
                  <w:color w:val="392388"/>
                  <w:sz w:val="16"/>
                  <w:szCs w:val="16"/>
                </w:rPr>
                <w:fldChar w:fldCharType="end"/>
              </w:r>
            </w:sdtContent>
          </w:sdt>
        </w:p>
      </w:tc>
      <w:tc>
        <w:tcPr>
          <w:tcW w:w="4678" w:type="dxa"/>
        </w:tcPr>
        <w:p w14:paraId="76992B00" w14:textId="77777777" w:rsidR="00734123" w:rsidRDefault="00734123">
          <w:pPr>
            <w:pStyle w:val="Header"/>
            <w:spacing w:before="120"/>
            <w:ind w:right="21"/>
            <w:jc w:val="right"/>
            <w:rPr>
              <w:rFonts w:ascii="Poppins" w:hAnsi="Poppins" w:cs="Poppins"/>
              <w:color w:val="392388"/>
            </w:rPr>
          </w:pPr>
        </w:p>
      </w:tc>
    </w:tr>
  </w:tbl>
  <w:p w14:paraId="24BB4078" w14:textId="77777777" w:rsidR="00734123" w:rsidRDefault="00734123">
    <w:pPr>
      <w:pStyle w:val="Footer"/>
      <w:rPr>
        <w:rFonts w:ascii="Poppins" w:hAnsi="Poppins" w:cs="Poppins"/>
        <w:color w:val="39238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0B543BB3" w14:textId="77777777">
      <w:tc>
        <w:tcPr>
          <w:tcW w:w="5812" w:type="dxa"/>
        </w:tcPr>
        <w:p w14:paraId="132B6A9D"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183284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19</w:t>
              </w:r>
              <w:r>
                <w:rPr>
                  <w:rFonts w:ascii="Poppins" w:hAnsi="Poppins" w:cs="Poppins"/>
                  <w:color w:val="392388"/>
                  <w:sz w:val="16"/>
                  <w:szCs w:val="16"/>
                </w:rPr>
                <w:fldChar w:fldCharType="end"/>
              </w:r>
            </w:sdtContent>
          </w:sdt>
        </w:p>
      </w:tc>
      <w:tc>
        <w:tcPr>
          <w:tcW w:w="4678" w:type="dxa"/>
        </w:tcPr>
        <w:p w14:paraId="03A5D11F" w14:textId="77777777" w:rsidR="00734123" w:rsidRDefault="00734123">
          <w:pPr>
            <w:pStyle w:val="Header"/>
            <w:spacing w:before="120"/>
            <w:ind w:right="21"/>
            <w:jc w:val="right"/>
            <w:rPr>
              <w:rFonts w:ascii="Poppins" w:hAnsi="Poppins" w:cs="Poppins"/>
              <w:color w:val="392388"/>
            </w:rPr>
          </w:pPr>
        </w:p>
      </w:tc>
    </w:tr>
  </w:tbl>
  <w:p w14:paraId="398306AA" w14:textId="77777777" w:rsidR="00734123" w:rsidRDefault="00734123">
    <w:pPr>
      <w:pStyle w:val="Footer"/>
      <w:rPr>
        <w:rFonts w:ascii="Poppins" w:hAnsi="Poppins" w:cs="Poppins"/>
        <w:color w:val="39238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55A97A8D" w14:textId="77777777">
      <w:tc>
        <w:tcPr>
          <w:tcW w:w="5812" w:type="dxa"/>
        </w:tcPr>
        <w:p w14:paraId="0698BDCB"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8254555"/>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20</w:t>
              </w:r>
              <w:r>
                <w:rPr>
                  <w:rFonts w:ascii="Poppins" w:hAnsi="Poppins" w:cs="Poppins"/>
                  <w:color w:val="392388"/>
                  <w:sz w:val="16"/>
                  <w:szCs w:val="16"/>
                </w:rPr>
                <w:fldChar w:fldCharType="end"/>
              </w:r>
            </w:sdtContent>
          </w:sdt>
        </w:p>
      </w:tc>
      <w:tc>
        <w:tcPr>
          <w:tcW w:w="4678" w:type="dxa"/>
        </w:tcPr>
        <w:p w14:paraId="2CB5CDEB" w14:textId="77777777" w:rsidR="00734123" w:rsidRDefault="00734123">
          <w:pPr>
            <w:pStyle w:val="Header"/>
            <w:spacing w:before="120"/>
            <w:ind w:right="21"/>
            <w:jc w:val="right"/>
            <w:rPr>
              <w:rFonts w:ascii="Poppins" w:hAnsi="Poppins" w:cs="Poppins"/>
              <w:color w:val="392388"/>
            </w:rPr>
          </w:pPr>
        </w:p>
      </w:tc>
    </w:tr>
  </w:tbl>
  <w:p w14:paraId="61CF4651" w14:textId="77777777" w:rsidR="00734123" w:rsidRDefault="00734123">
    <w:pPr>
      <w:pStyle w:val="Footer"/>
      <w:rPr>
        <w:rFonts w:ascii="Poppins" w:hAnsi="Poppins" w:cs="Poppins"/>
        <w:color w:val="39238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0D36A4A4" w14:textId="77777777">
      <w:tc>
        <w:tcPr>
          <w:tcW w:w="5812" w:type="dxa"/>
        </w:tcPr>
        <w:p w14:paraId="23CA873D"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42052613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21</w:t>
              </w:r>
              <w:r>
                <w:rPr>
                  <w:rFonts w:ascii="Poppins" w:hAnsi="Poppins" w:cs="Poppins"/>
                  <w:color w:val="392388"/>
                  <w:sz w:val="16"/>
                  <w:szCs w:val="16"/>
                </w:rPr>
                <w:fldChar w:fldCharType="end"/>
              </w:r>
            </w:sdtContent>
          </w:sdt>
        </w:p>
      </w:tc>
      <w:tc>
        <w:tcPr>
          <w:tcW w:w="4678" w:type="dxa"/>
        </w:tcPr>
        <w:p w14:paraId="2BB300E9" w14:textId="77777777" w:rsidR="00734123" w:rsidRDefault="00734123">
          <w:pPr>
            <w:pStyle w:val="Header"/>
            <w:spacing w:before="120"/>
            <w:ind w:right="21"/>
            <w:jc w:val="right"/>
            <w:rPr>
              <w:rFonts w:ascii="Poppins" w:hAnsi="Poppins" w:cs="Poppins"/>
              <w:color w:val="392388"/>
            </w:rPr>
          </w:pPr>
        </w:p>
      </w:tc>
    </w:tr>
  </w:tbl>
  <w:p w14:paraId="0456F1B0" w14:textId="77777777" w:rsidR="00734123" w:rsidRDefault="00734123">
    <w:pPr>
      <w:pStyle w:val="Footer"/>
      <w:rPr>
        <w:rFonts w:ascii="Poppins" w:hAnsi="Poppins" w:cs="Poppins"/>
        <w:color w:val="392388"/>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54277655" w14:textId="77777777">
      <w:tc>
        <w:tcPr>
          <w:tcW w:w="5812" w:type="dxa"/>
        </w:tcPr>
        <w:p w14:paraId="04C9F6B7"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1545449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24</w:t>
              </w:r>
              <w:r>
                <w:rPr>
                  <w:rFonts w:ascii="Poppins" w:hAnsi="Poppins" w:cs="Poppins"/>
                  <w:color w:val="392388"/>
                  <w:sz w:val="16"/>
                  <w:szCs w:val="16"/>
                </w:rPr>
                <w:fldChar w:fldCharType="end"/>
              </w:r>
            </w:sdtContent>
          </w:sdt>
        </w:p>
      </w:tc>
      <w:tc>
        <w:tcPr>
          <w:tcW w:w="4678" w:type="dxa"/>
        </w:tcPr>
        <w:p w14:paraId="530A7B42" w14:textId="77777777" w:rsidR="00734123" w:rsidRDefault="00734123">
          <w:pPr>
            <w:pStyle w:val="Header"/>
            <w:spacing w:before="120"/>
            <w:ind w:right="21"/>
            <w:jc w:val="right"/>
            <w:rPr>
              <w:rFonts w:ascii="Poppins" w:hAnsi="Poppins" w:cs="Poppins"/>
              <w:color w:val="392388"/>
            </w:rPr>
          </w:pPr>
        </w:p>
      </w:tc>
    </w:tr>
  </w:tbl>
  <w:p w14:paraId="08F36F2D" w14:textId="77777777" w:rsidR="00734123" w:rsidRDefault="00734123">
    <w:pPr>
      <w:pStyle w:val="Footer"/>
      <w:rPr>
        <w:rFonts w:ascii="Poppins" w:hAnsi="Poppins" w:cs="Poppins"/>
        <w:color w:val="392388"/>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734123" w14:paraId="5F06638F" w14:textId="77777777">
      <w:tc>
        <w:tcPr>
          <w:tcW w:w="5812" w:type="dxa"/>
        </w:tcPr>
        <w:p w14:paraId="7E3D3629" w14:textId="77777777" w:rsidR="00734123" w:rsidRDefault="00CA2568">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786852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25</w:t>
              </w:r>
              <w:r>
                <w:rPr>
                  <w:rFonts w:ascii="Poppins" w:hAnsi="Poppins" w:cs="Poppins"/>
                  <w:color w:val="392388"/>
                  <w:sz w:val="16"/>
                  <w:szCs w:val="16"/>
                </w:rPr>
                <w:fldChar w:fldCharType="end"/>
              </w:r>
            </w:sdtContent>
          </w:sdt>
        </w:p>
      </w:tc>
      <w:tc>
        <w:tcPr>
          <w:tcW w:w="4678" w:type="dxa"/>
        </w:tcPr>
        <w:p w14:paraId="0D53B2FE" w14:textId="77777777" w:rsidR="00734123" w:rsidRDefault="00734123">
          <w:pPr>
            <w:pStyle w:val="Header"/>
            <w:spacing w:before="120"/>
            <w:ind w:right="21"/>
            <w:jc w:val="right"/>
            <w:rPr>
              <w:rFonts w:ascii="Poppins" w:hAnsi="Poppins" w:cs="Poppins"/>
              <w:color w:val="392388"/>
            </w:rPr>
          </w:pPr>
        </w:p>
      </w:tc>
    </w:tr>
  </w:tbl>
  <w:p w14:paraId="13264203" w14:textId="77777777" w:rsidR="00734123" w:rsidRDefault="00734123">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6E0A" w14:textId="77777777" w:rsidR="00CA2568" w:rsidRDefault="00CA2568">
      <w:pPr>
        <w:spacing w:after="0" w:line="240" w:lineRule="auto"/>
      </w:pPr>
      <w:r>
        <w:separator/>
      </w:r>
    </w:p>
  </w:footnote>
  <w:footnote w:type="continuationSeparator" w:id="0">
    <w:p w14:paraId="4F89EB06" w14:textId="77777777" w:rsidR="00CA2568" w:rsidRDefault="00CA2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B259" w14:textId="77777777" w:rsidR="00734123" w:rsidRDefault="00734123">
    <w:pPr>
      <w:pStyle w:val="Header"/>
      <w:ind w:right="-422"/>
      <w:jc w:val="right"/>
    </w:pPr>
  </w:p>
  <w:p w14:paraId="10750123" w14:textId="77777777" w:rsidR="00734123" w:rsidRDefault="007341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4817" w14:textId="77777777" w:rsidR="00734123" w:rsidRDefault="00734123">
    <w:pPr>
      <w:pStyle w:val="Header"/>
      <w:ind w:left="-284" w:right="-307"/>
      <w:jc w:val="right"/>
      <w:rPr>
        <w:rFonts w:ascii="Poppins" w:hAnsi="Poppins" w:cs="Poppins"/>
        <w:color w:val="39238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40A7" w14:textId="77777777" w:rsidR="00734123" w:rsidRDefault="00734123">
    <w:pPr>
      <w:pStyle w:val="Header"/>
      <w:ind w:left="-284" w:right="-307"/>
      <w:jc w:val="right"/>
      <w:rPr>
        <w:rFonts w:ascii="Poppins" w:hAnsi="Poppins" w:cs="Poppins"/>
        <w:color w:val="39238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20BC" w14:textId="77777777" w:rsidR="00734123" w:rsidRDefault="00734123">
    <w:pPr>
      <w:pStyle w:val="Header"/>
      <w:ind w:left="-284" w:right="-307"/>
      <w:jc w:val="right"/>
      <w:rPr>
        <w:rFonts w:ascii="Poppins" w:hAnsi="Poppins" w:cs="Poppins"/>
        <w:color w:val="39238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C8E1" w14:textId="77777777" w:rsidR="00734123" w:rsidRDefault="00734123">
    <w:pPr>
      <w:pStyle w:val="Header"/>
      <w:ind w:right="-422"/>
      <w:jc w:val="right"/>
    </w:pPr>
  </w:p>
  <w:p w14:paraId="64F93142" w14:textId="77777777" w:rsidR="00734123" w:rsidRDefault="007341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9814" w14:textId="77777777" w:rsidR="00CA2568" w:rsidRDefault="00CA2568">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2506" w14:textId="77777777" w:rsidR="00734123" w:rsidRDefault="00734123">
    <w:pPr>
      <w:pStyle w:val="Header"/>
      <w:ind w:right="-422"/>
      <w:jc w:val="right"/>
    </w:pPr>
  </w:p>
  <w:p w14:paraId="6CBA45D9" w14:textId="77777777" w:rsidR="00734123" w:rsidRDefault="0073412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8684" w14:textId="77777777" w:rsidR="00734123" w:rsidRDefault="00734123">
    <w:pPr>
      <w:pStyle w:val="Header"/>
      <w:ind w:right="-422"/>
      <w:jc w:val="right"/>
    </w:pPr>
  </w:p>
  <w:p w14:paraId="03213C3D" w14:textId="77777777" w:rsidR="00734123" w:rsidRDefault="0073412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F7E4" w14:textId="77777777" w:rsidR="00734123" w:rsidRDefault="00734123">
    <w:pPr>
      <w:pStyle w:val="Header"/>
      <w:ind w:right="-422"/>
      <w:jc w:val="right"/>
    </w:pPr>
  </w:p>
  <w:p w14:paraId="5D14BCBE" w14:textId="77777777" w:rsidR="00734123" w:rsidRDefault="0073412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022C" w14:textId="77777777" w:rsidR="00734123" w:rsidRDefault="00734123">
    <w:pPr>
      <w:pStyle w:val="Header"/>
      <w:ind w:right="-307"/>
      <w:jc w:val="right"/>
      <w:rPr>
        <w:rFonts w:ascii="Poppins" w:hAnsi="Poppins" w:cs="Poppins"/>
        <w:color w:val="39238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D8EA" w14:textId="77777777" w:rsidR="00734123" w:rsidRDefault="00734123">
    <w:pPr>
      <w:pStyle w:val="Header"/>
      <w:ind w:right="-307"/>
      <w:jc w:val="right"/>
      <w:rPr>
        <w:rFonts w:ascii="Poppins" w:hAnsi="Poppins" w:cs="Poppins"/>
        <w:color w:val="39238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A6B3" w14:textId="77777777" w:rsidR="00734123" w:rsidRDefault="00734123">
    <w:pPr>
      <w:pStyle w:val="Header"/>
      <w:ind w:right="-307"/>
      <w:jc w:val="right"/>
      <w:rPr>
        <w:rFonts w:ascii="Poppins" w:hAnsi="Poppins" w:cs="Poppins"/>
        <w:color w:val="39238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9D5F" w14:textId="77777777" w:rsidR="00734123" w:rsidRDefault="00734123">
    <w:pPr>
      <w:pStyle w:val="Header"/>
      <w:ind w:right="-307"/>
      <w:jc w:val="right"/>
      <w:rPr>
        <w:rFonts w:ascii="Poppins" w:hAnsi="Poppins" w:cs="Poppins"/>
        <w:color w:val="392388"/>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A2D1F" w14:textId="77777777" w:rsidR="00734123" w:rsidRDefault="00734123">
    <w:pPr>
      <w:pStyle w:val="Header"/>
      <w:ind w:right="-307"/>
      <w:jc w:val="right"/>
      <w:rPr>
        <w:rFonts w:ascii="Poppins" w:hAnsi="Poppins" w:cs="Poppins"/>
        <w:color w:val="392388"/>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67DB" w14:textId="77777777" w:rsidR="00734123" w:rsidRDefault="00734123">
    <w:pPr>
      <w:pStyle w:val="Header"/>
      <w:ind w:right="-307"/>
      <w:jc w:val="right"/>
      <w:rPr>
        <w:rFonts w:ascii="Poppins" w:hAnsi="Poppins" w:cs="Poppins"/>
        <w:color w:val="392388"/>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810A" w14:textId="77777777" w:rsidR="00734123" w:rsidRDefault="00734123">
    <w:pPr>
      <w:pStyle w:val="Header"/>
      <w:ind w:right="-307"/>
      <w:jc w:val="right"/>
      <w:rPr>
        <w:rFonts w:ascii="Poppins" w:hAnsi="Poppins" w:cs="Poppins"/>
        <w:color w:val="39238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D30C" w14:textId="77777777" w:rsidR="00734123" w:rsidRDefault="00734123">
    <w:pPr>
      <w:pStyle w:val="Header"/>
      <w:ind w:right="-307"/>
      <w:jc w:val="right"/>
      <w:rPr>
        <w:rFonts w:ascii="Poppins" w:hAnsi="Poppins" w:cs="Poppins"/>
        <w:color w:val="392388"/>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220A" w14:textId="77777777" w:rsidR="00734123" w:rsidRDefault="00734123">
    <w:pPr>
      <w:pStyle w:val="Header"/>
      <w:ind w:right="-307"/>
      <w:jc w:val="right"/>
      <w:rPr>
        <w:rFonts w:ascii="Poppins" w:hAnsi="Poppins" w:cs="Poppins"/>
        <w:color w:val="392388"/>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DF46" w14:textId="77777777" w:rsidR="00734123" w:rsidRDefault="00734123">
    <w:pPr>
      <w:pStyle w:val="Header"/>
      <w:ind w:right="-422"/>
      <w:jc w:val="right"/>
    </w:pPr>
  </w:p>
  <w:p w14:paraId="57DA4417" w14:textId="77777777" w:rsidR="00734123" w:rsidRDefault="0073412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8A611" w14:textId="77777777" w:rsidR="00734123" w:rsidRDefault="00734123">
    <w:pPr>
      <w:pStyle w:val="Header"/>
      <w:ind w:right="-422"/>
      <w:jc w:val="right"/>
    </w:pPr>
  </w:p>
  <w:p w14:paraId="32C7BA76" w14:textId="77777777" w:rsidR="00734123" w:rsidRDefault="00734123">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4520" w14:textId="77777777" w:rsidR="00734123" w:rsidRDefault="00734123">
    <w:pPr>
      <w:pStyle w:val="Header"/>
      <w:ind w:right="-422"/>
      <w:jc w:val="right"/>
    </w:pPr>
  </w:p>
  <w:p w14:paraId="1E1F8DB5" w14:textId="77777777" w:rsidR="00734123" w:rsidRDefault="0073412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A447" w14:textId="77777777" w:rsidR="00734123" w:rsidRDefault="00734123">
    <w:pPr>
      <w:pStyle w:val="Header"/>
      <w:ind w:right="-422"/>
      <w:jc w:val="right"/>
    </w:pPr>
  </w:p>
  <w:p w14:paraId="4ECA0AAA" w14:textId="77777777" w:rsidR="00734123" w:rsidRDefault="0073412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CBD9" w14:textId="77777777" w:rsidR="00734123" w:rsidRDefault="00734123">
    <w:pPr>
      <w:pStyle w:val="Header"/>
      <w:ind w:right="-422"/>
      <w:jc w:val="right"/>
    </w:pPr>
  </w:p>
  <w:p w14:paraId="5F93101C" w14:textId="77777777" w:rsidR="00734123" w:rsidRDefault="0073412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6D6E" w14:textId="77777777" w:rsidR="00734123" w:rsidRDefault="00734123">
    <w:pPr>
      <w:pStyle w:val="Header"/>
      <w:ind w:right="-422"/>
      <w:jc w:val="right"/>
    </w:pPr>
    <w:bookmarkStart w:id="38" w:name="_Hlk75169875"/>
    <w:bookmarkStart w:id="39" w:name="_Hlk75169876"/>
    <w:bookmarkStart w:id="40" w:name="_Hlk75169879"/>
    <w:bookmarkStart w:id="41" w:name="_Hlk75169880"/>
  </w:p>
  <w:bookmarkEnd w:id="38"/>
  <w:bookmarkEnd w:id="39"/>
  <w:bookmarkEnd w:id="40"/>
  <w:p w14:paraId="15B71444" w14:textId="77777777" w:rsidR="00734123" w:rsidRDefault="00734123">
    <w:pPr>
      <w:pStyle w:val="Header"/>
    </w:pPr>
  </w:p>
  <w:bookmarkEnd w:id="4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6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4123"/>
    <w:rsid w:val="00737FA5"/>
    <w:rsid w:val="00753007"/>
    <w:rsid w:val="00755DE1"/>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568"/>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4CAE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Tag">
    <w:name w:val="Tag"/>
    <w:basedOn w:val="Normal"/>
    <w:qFormat/>
    <w:pPr>
      <w:spacing w:after="200"/>
    </w:pPr>
    <w:rPr>
      <w:rFonts w:ascii="Arial" w:eastAsia="Arial" w:hAnsi="Arial" w:cs="Times New Roman"/>
      <w:b/>
      <w:bCs/>
      <w:color w:val="FF0000"/>
      <w:sz w:val="28"/>
      <w:szCs w:val="28"/>
      <w:lang w:eastAsia="en-US"/>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footer" Target="footer14.xml"/><Relationship Id="rId47" Type="http://schemas.openxmlformats.org/officeDocument/2006/relationships/footer" Target="footer16.xml"/><Relationship Id="rId63" Type="http://schemas.openxmlformats.org/officeDocument/2006/relationships/footer" Target="footer24.xml"/><Relationship Id="rId68" Type="http://schemas.openxmlformats.org/officeDocument/2006/relationships/customXml" Target="../customXml/item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image" Target="media/image2.png"/><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image" Target="media/image12.png"/><Relationship Id="rId53" Type="http://schemas.openxmlformats.org/officeDocument/2006/relationships/footer" Target="footer19.xml"/><Relationship Id="rId58" Type="http://schemas.openxmlformats.org/officeDocument/2006/relationships/header" Target="header21.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23.xml"/><Relationship Id="PictureId2"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9.png"/><Relationship Id="rId35" Type="http://schemas.openxmlformats.org/officeDocument/2006/relationships/footer" Target="footer11.xml"/><Relationship Id="rId43" Type="http://schemas.openxmlformats.org/officeDocument/2006/relationships/header" Target="header14.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header" Target="header24.xml"/><Relationship Id="rId69" Type="http://schemas.openxmlformats.org/officeDocument/2006/relationships/customXml" Target="../customXml/item3.xml"/><Relationship Id="rId8" Type="http://schemas.openxmlformats.org/officeDocument/2006/relationships/header" Target="header1.xml"/><Relationship Id="rId51"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10.png"/><Relationship Id="rId38" Type="http://schemas.openxmlformats.org/officeDocument/2006/relationships/image" Target="media/image11.png"/><Relationship Id="rId46" Type="http://schemas.openxmlformats.org/officeDocument/2006/relationships/header" Target="header15.xml"/><Relationship Id="rId59" Type="http://schemas.openxmlformats.org/officeDocument/2006/relationships/footer" Target="footer22.xml"/><Relationship Id="rId67"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header" Target="header13.xml"/><Relationship Id="rId54" Type="http://schemas.openxmlformats.org/officeDocument/2006/relationships/header" Target="header19.xml"/><Relationship Id="rId62" Type="http://schemas.openxmlformats.org/officeDocument/2006/relationships/header" Target="header23.xml"/><Relationship Id="rId7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header" Target="header11.xml"/><Relationship Id="rId49" Type="http://schemas.openxmlformats.org/officeDocument/2006/relationships/footer" Target="footer17.xml"/><Relationship Id="rId57" Type="http://schemas.openxmlformats.org/officeDocument/2006/relationships/footer" Target="footer21.xml"/><Relationship Id="rId10" Type="http://schemas.openxmlformats.org/officeDocument/2006/relationships/footer" Target="footer2.xml"/><Relationship Id="rId31" Type="http://schemas.openxmlformats.org/officeDocument/2006/relationships/header" Target="header9.xml"/><Relationship Id="rId44" Type="http://schemas.openxmlformats.org/officeDocument/2006/relationships/footer" Target="footer15.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footer" Target="footer25.xml"/><Relationship Id="rId4" Type="http://schemas.openxmlformats.org/officeDocument/2006/relationships/webSettings" Target="webSettings.xml"/><Relationship Id="rId9" Type="http://schemas.openxmlformats.org/officeDocument/2006/relationships/footer" Target="footer1.xml"/><Relationship Id="PictureId6" Type="http://schemas.openxmlformats.org/officeDocument/2006/relationships/image" Target="media/image60.png"/><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header" Target="header12.xml"/><Relationship Id="rId34" Type="http://schemas.openxmlformats.org/officeDocument/2006/relationships/header" Target="header10.xml"/><Relationship Id="rId50" Type="http://schemas.openxmlformats.org/officeDocument/2006/relationships/header" Target="header17.xml"/><Relationship Id="rId55" Type="http://schemas.openxmlformats.org/officeDocument/2006/relationships/footer" Target="footer20.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footer17.xml.rels><?xml version="1.0" encoding="UTF-8" standalone="yes"?>
<Relationships xmlns="http://schemas.openxmlformats.org/package/2006/relationships"><Relationship Id="rId1" Type="http://schemas.openxmlformats.org/officeDocument/2006/relationships/image" Target="media/image3.png"/></Relationships>
</file>

<file path=word/_rels/footer18.xml.rels><?xml version="1.0" encoding="UTF-8" standalone="yes"?>
<Relationships xmlns="http://schemas.openxmlformats.org/package/2006/relationships"><Relationship Id="rId1" Type="http://schemas.openxmlformats.org/officeDocument/2006/relationships/image" Target="media/image3.png"/></Relationships>
</file>

<file path=word/_rels/footer1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A75C53E9-B726-4881-864E-B80E597CC3DC}"/>
</file>

<file path=customXml/itemProps3.xml><?xml version="1.0" encoding="utf-8"?>
<ds:datastoreItem xmlns:ds="http://schemas.openxmlformats.org/officeDocument/2006/customXml" ds:itemID="{C26F998F-D853-48AC-9F5A-434BDFE34E24}"/>
</file>

<file path=customXml/itemProps4.xml><?xml version="1.0" encoding="utf-8"?>
<ds:datastoreItem xmlns:ds="http://schemas.openxmlformats.org/officeDocument/2006/customXml" ds:itemID="{D732CF61-F2BA-4AE5-880D-162127A35504}"/>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24</Pages>
  <Words>4541</Words>
  <Characters>25884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2025-12-03T15:43:00Z</dcterms:created>
  <dcterms:modified xsi:type="dcterms:W3CDTF">2025-12-03T15:43:00Z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