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PartName="/docMetadata/LabelInfo.xml" ContentType="application/vnd.ms-office.classificationlabels+xml"/>
</Types>
</file>

<file path=_rels/.rels><?xml version="1.0" encoding="UTF-8"?><Relationships xmlns="http://schemas.openxmlformats.org/package/2006/relationships"><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pPr>
      <w:r>
        <w:rPr>
          <w:rFonts w:ascii="Calibri" w:cs="Calibri" w:eastAsia="Calibri" w:hAnsi="Calibri"/>
          <w:b/>
          <w:bCs/>
          <w:color w:val="0e2841"/>
          <w:sz w:val="56"/>
          <w:szCs w:val="56"/>
        </w:rPr>
        <w:t xml:space="preserve">Meeting Summary</w:t>
      </w:r>
    </w:p>
    <w:tbl>
      <w:tblPr>
        <w:tblW w:w="9026" w:type="dxa"/>
        <w:jc w:val="left"/>
        <w:tblInd w:w="47" w:type="dxa"/>
        <w:tblCellMar>
          <w:top w:w="55" w:type="dxa"/>
          <w:left w:w="45" w:type="dxa"/>
          <w:bottom w:w="55" w:type="dxa"/>
          <w:right w:w="55" w:type="dxa"/>
        </w:tblCellMar>
      </w:tblPr>
      <w:tblGrid>
        <w:gridCol w:w="2257"/>
        <w:gridCol w:w="2257"/>
        <w:gridCol w:w="2256"/>
        <w:gridCol w:w="2256"/>
      </w:tblGrid>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Client(s)</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Type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Fact Find</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Date of meeting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16/01/2026</w:t>
            </w:r>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Meeting recording</w:t>
            </w:r>
          </w:p>
        </w:tc>
        <w:tc>
          <w:tcPr>
            <w:tcW w:w="6769"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gridSpan w:val="3"/>
            <w:shd w:val="clear" w:color="FFFFFF" w:fill="FFFFFF"/>
            <w:vAlign w:val="center"/>
            <w:tcMar>
              <w:left w:w="77" w:type="dxa"/>
              <w:top w:w="77" w:type="dxa"/>
              <w:bottom w:w="77" w:type="dxa"/>
              <w:right w:w="77" w:type="dxa"/>
            </w:tcMar>
          </w:tcPr>
          <w:p>
            <w:pPr>
              <w:rPr/>
            </w:pPr>
            <w:hyperlink r:id="rId7">
              <w:r>
                <w:rPr>
                  <w:rFonts w:ascii="Calibri" w:cs="Calibri" w:eastAsia="Calibri" w:hAnsi="Calibri"/>
                  <w:sz w:val="23"/>
                  <w:szCs w:val="23"/>
                  <w:rStyle w:val="Hyperlink"/>
                  <w:u w:val="single"/>
                  <w:color w:val="0563C1"/>
                </w:rPr>
                <w:t xml:space="preserve">https://assist.aveni.ai/meeting/bc43fb1c-fa93-4247-a1da-2bd4f269115b</w:t>
              </w:r>
            </w:hyperlink>
          </w:p>
        </w:tc>
      </w:tr>
      <w:tr>
        <w:trPr/>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vMerge w:val="restart"/>
            <w:shd w:val="clear" w:color="0E2841" w:fill="0E2841"/>
            <w:vAlign w:val="center"/>
            <w:tcMar>
              <w:left w:w="77" w:type="dxa"/>
              <w:top w:w="77" w:type="dxa"/>
              <w:bottom w:w="77" w:type="dxa"/>
              <w:right w:w="77" w:type="dxa"/>
            </w:tcMar>
          </w:tcPr>
          <w:p>
            <w:pPr>
              <w:rPr/>
            </w:pPr>
            <w:r>
              <w:rPr>
                <w:rFonts w:ascii="Calibri" w:cs="Calibri" w:eastAsia="Calibri" w:hAnsi="Calibri"/>
                <w:color w:val="FFFFFF"/>
                <w:sz w:val="23"/>
                <w:szCs w:val="23"/>
              </w:rPr>
              <w:t xml:space="preserve">Present at meeting</w:t>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Internal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James Poka</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r>
        <w:trPr/>
        <w:tc>
          <w:tcPr>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vMerge w:val="continue"/>
          </w:tcPr>
          <w:p>
            <w:pPr>
              <w:rPr/>
            </w:pPr>
            <w:r>
              <w:rPr/>
            </w:r>
          </w:p>
        </w:tc>
        <w:tc>
          <w:tcPr>
            <w:tcW w:w="2257"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External</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r>
              <w:rPr>
                <w:rFonts w:ascii="Calibri" w:cs="Calibri" w:eastAsia="Calibri" w:hAnsi="Calibri"/>
                <w:color w:val="000000"/>
                <w:sz w:val="23"/>
                <w:szCs w:val="23"/>
              </w:rPr>
              <w:t xml:space="preserve">Melanie Anness</w:t>
            </w:r>
          </w:p>
        </w:tc>
        <w:tc>
          <w:tcPr>
            <w:tcW w:w="2256" w:type="dxa"/>
            <w:tcBorders>
              <w:top w:val="single" w:sz="2" w:space="0" w:color="000000"/>
              <w:left w:val="single" w:sz="2" w:space="0" w:color="000000"/>
              <w:bottom w:val="single" w:sz="2" w:space="0" w:color="000000"/>
              <w:right w:val="single" w:sz="2" w:space="0" w:color="000000"/>
              <w:insideH w:val="single" w:sz="2" w:space="0" w:color="000000"/>
              <w:insideV w:val="single" w:sz="2" w:space="0" w:color="000000"/>
            </w:tcBorders>
            <w:shd w:val="clear" w:color="FFFFFF" w:fill="FFFFFF"/>
            <w:vAlign w:val="center"/>
            <w:tcMar>
              <w:left w:w="77" w:type="dxa"/>
              <w:top w:w="77" w:type="dxa"/>
              <w:bottom w:w="77" w:type="dxa"/>
              <w:right w:w="77" w:type="dxa"/>
            </w:tcMar>
          </w:tcPr>
          <w:p>
            <w:pPr>
              <w:rPr/>
            </w:pPr>
          </w:p>
        </w:tc>
      </w:tr>
    </w:tbl>
    <w:p>
      <w:pPr>
        <w:spacing w:before="300"/>
      </w:pPr>
    </w:p>
    <w:p>
      <w:pPr>
        <w:pStyle w:val="Heading1"/>
        <w:shd w:fill="0e2841"/>
        <w:spacing w:after="100"/>
      </w:pPr>
      <w:r>
        <w:rPr>
          <w:rFonts w:ascii="Calibri" w:cs="Calibri" w:eastAsia="Calibri" w:hAnsi="Calibri"/>
          <w:color w:val="ffffff"/>
          <w:sz w:val="22"/>
          <w:szCs w:val="22"/>
        </w:rPr>
        <w:t xml:space="preserve">About The Client(s)</w:t>
      </w:r>
    </w:p>
    <w:p>
      <w:pPr>
        <w:spacing w:after="100"/>
        <w:rPr/>
      </w:pPr>
      <w:r>
        <w:rPr>
          <w:rFonts w:ascii="Calibri" w:cs="Calibri" w:eastAsia="Calibri" w:hAnsi="Calibri"/>
          <w:sz w:val="22"/>
          <w:szCs w:val="22"/>
        </w:rPr>
        <w:t xml:space="preserve">You are a client of us who is currently in the process of managing your financial affairs following your recent divorce. Your primary concern is the transfer of your pension information, which is a crucial step in ensuring your financial stability and independence post-divorce. Your proactive approach to addressing these financial matters indicates your commitment to securing your financial future. Your willingness to engage with us demonstrates your trust in our expertise to guide you through this complex process.</w:t>
      </w:r>
      <w:r>
        <w:br/>
      </w:r>
      <w:r>
        <w:rPr>
          <w:rFonts w:ascii="Calibri" w:cs="Calibri" w:eastAsia="Calibri" w:hAnsi="Calibri"/>
          <w:sz w:val="22"/>
          <w:szCs w:val="22"/>
        </w:rPr>
        <w:t xml:space="preserve">The relationship between you and your ex-husband, Paul Annis, remains amicable, which is a significant advantage in facilitating the necessary administrative processes. This cordial relationship is expected to ease the communication and cooperation required for the transfer of pension information. Your ability to maintain a positive relationship with Paul is likely to expedite the process, as it reduces potential conflicts or delays that could arise from a contentious separation.</w:t>
      </w:r>
      <w:r>
        <w:br/>
      </w:r>
      <w:r>
        <w:rPr>
          <w:rFonts w:ascii="Calibri" w:cs="Calibri" w:eastAsia="Calibri" w:hAnsi="Calibri"/>
          <w:sz w:val="22"/>
          <w:szCs w:val="22"/>
        </w:rPr>
        <w:t xml:space="preserve">Your engagement with us, represented by James Poka, highlights your reliance on professional financial advice to navigate the intricacies of pension transfers. Your decision to involve a wealth management firm underscores the importance you place on ensuring that your financial arrangements are handled with care and precision. This approach not only reflects your diligence but also your understanding of the complexities involved in managing financial transitions during significant life changes such as divorce.</w:t>
      </w:r>
    </w:p>
    <w:p>
      <w:pPr>
        <w:pStyle w:val="Heading1"/>
        <w:shd w:fill="0e2841"/>
        <w:spacing w:after="100"/>
      </w:pPr>
      <w:r>
        <w:rPr>
          <w:rFonts w:ascii="Calibri" w:cs="Calibri" w:eastAsia="Calibri" w:hAnsi="Calibri"/>
          <w:color w:val="ffffff"/>
          <w:sz w:val="22"/>
          <w:szCs w:val="22"/>
        </w:rPr>
        <w:t xml:space="preserve">Reasons for seeking advice</w:t>
      </w:r>
    </w:p>
    <w:p>
      <w:pPr>
        <w:spacing w:after="100"/>
        <w:rPr/>
      </w:pPr>
      <w:r>
        <w:rPr>
          <w:rFonts w:ascii="Calibri" w:cs="Calibri" w:eastAsia="Calibri" w:hAnsi="Calibri"/>
          <w:sz w:val="22"/>
          <w:szCs w:val="22"/>
        </w:rPr>
        <w:t xml:space="preserve">You sought advice from us to address the complexities involved in transferring your pension information following your divorce. This step is crucial to ensure that your financial arrangements reflect your current personal situation and to facilitate the division of assets as per the divorce settlement. The transfer of pension information is a significant aspect of post-divorce financial planning, as it directly impacts your future financial security and retirement planning.</w:t>
      </w:r>
      <w:r>
        <w:br/>
      </w:r>
      <w:r>
        <w:rPr>
          <w:rFonts w:ascii="Calibri" w:cs="Calibri" w:eastAsia="Calibri" w:hAnsi="Calibri"/>
          <w:sz w:val="22"/>
          <w:szCs w:val="22"/>
        </w:rPr>
        <w:t xml:space="preserve">The need for a formal process to access and transfer pension details arises from the legal and financial obligations associated with divorce settlements. In your case, the involvement of your ex-husband, Paul Annis, is necessary to authorise the release of information regarding your quarter funds. This requirement underscores the importance of clear communication and cooperation between the parties involved, especially when dealing with financial institutions like Quilter, which have specific procedural requirements.</w:t>
      </w:r>
      <w:r>
        <w:br/>
      </w:r>
      <w:r>
        <w:rPr>
          <w:rFonts w:ascii="Calibri" w:cs="Calibri" w:eastAsia="Calibri" w:hAnsi="Calibri"/>
          <w:sz w:val="22"/>
          <w:szCs w:val="22"/>
        </w:rPr>
        <w:t xml:space="preserve">By seeking professional advice, you aim to navigate the administrative and legal hurdles efficiently, ensuring that your pension arrangements are updated without unnecessary delays. The guidance we provide is intended to streamline the process, leveraging our expertise to manage the paperwork and communication with Quilter, thereby reducing the burden on you during this transitional period.</w:t>
      </w:r>
    </w:p>
    <w:p>
      <w:pPr>
        <w:pStyle w:val="Heading1"/>
        <w:shd w:fill="0e2841"/>
        <w:spacing w:after="100"/>
      </w:pPr>
      <w:r>
        <w:rPr>
          <w:rFonts w:ascii="Calibri" w:cs="Calibri" w:eastAsia="Calibri" w:hAnsi="Calibri"/>
          <w:color w:val="ffffff"/>
          <w:sz w:val="22"/>
          <w:szCs w:val="22"/>
        </w:rPr>
        <w:t xml:space="preserve">Objectives</w:t>
      </w:r>
    </w:p>
    <w:p>
      <w:pPr>
        <w:spacing w:after="100"/>
        <w:rPr/>
      </w:pPr>
      <w:r>
        <w:rPr>
          <w:rFonts w:ascii="Calibri" w:cs="Calibri" w:eastAsia="Calibri" w:hAnsi="Calibri"/>
          <w:sz w:val="22"/>
          <w:szCs w:val="22"/>
          <w:i/>
          <w:iCs/>
        </w:rPr>
        <w:t xml:space="preserve">Not discussed</w:t>
      </w:r>
    </w:p>
    <w:p>
      <w:pPr>
        <w:pStyle w:val="Heading1"/>
        <w:shd w:fill="0e2841"/>
        <w:spacing w:after="100"/>
      </w:pPr>
      <w:r>
        <w:rPr>
          <w:rFonts w:ascii="Calibri" w:cs="Calibri" w:eastAsia="Calibri" w:hAnsi="Calibri"/>
          <w:color w:val="ffffff"/>
          <w:sz w:val="22"/>
          <w:szCs w:val="22"/>
        </w:rPr>
        <w:t xml:space="preserve">Income</w:t>
      </w:r>
    </w:p>
    <w:p>
      <w:pPr>
        <w:spacing w:after="100"/>
        <w:rPr/>
      </w:pPr>
      <w:r>
        <w:rPr>
          <w:rFonts w:ascii="Calibri" w:cs="Calibri" w:eastAsia="Calibri" w:hAnsi="Calibri"/>
          <w:sz w:val="22"/>
          <w:szCs w:val="22"/>
        </w:rPr>
        <w:t xml:space="preserve">While the meeting primarily focused on the transfer of pension information, understanding your income situation is crucial for comprehensive wealth management. Post-divorce, your income may have undergone changes, which could impact your financial planning and investment strategies. It is important to assess whether your current income is sufficient to meet your living expenses and future financial goals.</w:t>
      </w:r>
      <w:r>
        <w:br/>
      </w:r>
      <w:r>
        <w:rPr>
          <w:rFonts w:ascii="Calibri" w:cs="Calibri" w:eastAsia="Calibri" w:hAnsi="Calibri"/>
          <w:sz w:val="22"/>
          <w:szCs w:val="22"/>
        </w:rPr>
        <w:t xml:space="preserve">Additionally, any changes in income could affect your tax situation, potentially altering your tax liabilities or eligibility for certain tax benefits. A thorough review of your income sources, including any alimony or child support payments, would provide a clearer picture of your financial standing. This information is vital for tailoring financial advice that aligns with your current and future needs.</w:t>
      </w:r>
      <w:r>
        <w:br/>
      </w:r>
      <w:r>
        <w:rPr>
          <w:rFonts w:ascii="Calibri" w:cs="Calibri" w:eastAsia="Calibri" w:hAnsi="Calibri"/>
          <w:sz w:val="22"/>
          <w:szCs w:val="22"/>
        </w:rPr>
        <w:t xml:space="preserve">Understanding your income is also essential for evaluating your ability to contribute to retirement savings and other investment opportunities. Ensuring that your income is optimally allocated can help in achieving a balanced financial portfolio that supports your long-term objectives. Therefore, a detailed analysis of your income streams should be considered in future discussions to provide a holistic approach to your wealth management.</w:t>
      </w:r>
    </w:p>
    <w:p>
      <w:pPr>
        <w:pStyle w:val="Heading1"/>
        <w:shd w:fill="0e2841"/>
        <w:spacing w:after="100"/>
      </w:pPr>
      <w:r>
        <w:rPr>
          <w:rFonts w:ascii="Calibri" w:cs="Calibri" w:eastAsia="Calibri" w:hAnsi="Calibri"/>
          <w:color w:val="ffffff"/>
          <w:sz w:val="22"/>
          <w:szCs w:val="22"/>
        </w:rPr>
        <w:t xml:space="preserve">Expenditure</w:t>
      </w:r>
    </w:p>
    <w:p>
      <w:pPr>
        <w:spacing w:after="100"/>
        <w:rPr/>
      </w:pPr>
      <w:r>
        <w:rPr>
          <w:rFonts w:ascii="Calibri" w:cs="Calibri" w:eastAsia="Calibri" w:hAnsi="Calibri"/>
          <w:sz w:val="22"/>
          <w:szCs w:val="22"/>
          <w:i/>
          <w:iCs/>
        </w:rPr>
        <w:t xml:space="preserve">Not discussed</w:t>
      </w:r>
    </w:p>
    <w:p>
      <w:pPr>
        <w:pStyle w:val="Heading1"/>
        <w:shd w:fill="0e2841"/>
        <w:spacing w:after="100"/>
      </w:pPr>
      <w:r>
        <w:rPr>
          <w:rFonts w:ascii="Calibri" w:cs="Calibri" w:eastAsia="Calibri" w:hAnsi="Calibri"/>
          <w:color w:val="ffffff"/>
          <w:sz w:val="22"/>
          <w:szCs w:val="22"/>
        </w:rPr>
        <w:t xml:space="preserve">Assets</w:t>
      </w:r>
    </w:p>
    <w:p>
      <w:pPr>
        <w:spacing w:after="100"/>
        <w:rPr/>
      </w:pPr>
      <w:r>
        <w:rPr>
          <w:rFonts w:ascii="Calibri" w:cs="Calibri" w:eastAsia="Calibri" w:hAnsi="Calibri"/>
          <w:sz w:val="22"/>
          <w:szCs w:val="22"/>
        </w:rPr>
        <w:t xml:space="preserve">Your assets, particularly your pension, are a significant focus in the context of your divorce. The division and transfer of pension assets are crucial to ensuring that your financial security is maintained post-divorce. The pension, which is part of your quarter funds, represents a substantial portion of your long-term financial planning and retirement strategy. Ensuring that these assets are correctly transferred and managed is vital for your future financial stability.</w:t>
      </w:r>
      <w:r>
        <w:br/>
      </w:r>
      <w:r>
        <w:rPr>
          <w:rFonts w:ascii="Calibri" w:cs="Calibri" w:eastAsia="Calibri" w:hAnsi="Calibri"/>
          <w:sz w:val="22"/>
          <w:szCs w:val="22"/>
        </w:rPr>
        <w:t xml:space="preserve">The process of transferring pension assets involves obtaining detailed information about the current status and value of the pension. This requires cooperation from your ex-husband, Paul Annis, to authorise access to these details. The amicable nature of your relationship is beneficial in this regard, as it is expected to streamline the process of obtaining the necessary authorisation and completing the transfer efficiently.</w:t>
      </w:r>
      <w:r>
        <w:br/>
      </w:r>
      <w:r>
        <w:rPr>
          <w:rFonts w:ascii="Calibri" w:cs="Calibri" w:eastAsia="Calibri" w:hAnsi="Calibri"/>
          <w:sz w:val="22"/>
          <w:szCs w:val="22"/>
        </w:rPr>
        <w:t xml:space="preserve">Your focus on your pension assets highlights the importance of these funds in your overall asset portfolio. The successful transfer and management of these assets will play a critical role in your financial planning, ensuring that you can maintain your lifestyle and meet your financial goals in the future. The meeting with us is a step towards securing these assets and ensuring that they are aligned with your post-divorce financial strategy.</w:t>
      </w:r>
    </w:p>
    <w:p>
      <w:pPr>
        <w:pStyle w:val="Heading1"/>
        <w:shd w:fill="0e2841"/>
        <w:spacing w:after="100"/>
      </w:pPr>
      <w:r>
        <w:rPr>
          <w:rFonts w:ascii="Calibri" w:cs="Calibri" w:eastAsia="Calibri" w:hAnsi="Calibri"/>
          <w:color w:val="ffffff"/>
          <w:sz w:val="22"/>
          <w:szCs w:val="22"/>
        </w:rPr>
        <w:t xml:space="preserve">Liabilities</w:t>
      </w:r>
    </w:p>
    <w:p>
      <w:pPr>
        <w:spacing w:after="100"/>
        <w:rPr/>
      </w:pPr>
      <w:r>
        <w:rPr>
          <w:rFonts w:ascii="Calibri" w:cs="Calibri" w:eastAsia="Calibri" w:hAnsi="Calibri"/>
          <w:sz w:val="22"/>
          <w:szCs w:val="22"/>
        </w:rPr>
        <w:t xml:space="preserve">In the context of your financial situation following your divorce, liabilities may include any outstanding debts or obligations that were shared with your ex-husband, Paul Annis. While the meeting did not specifically address these liabilities, it is important for you to consider how these might impact your overall financial strategy and pension arrangements. Understanding the full scope of any shared liabilities is crucial for ensuring that your financial plans are comprehensive and accurately reflect your current circumstances.</w:t>
      </w:r>
      <w:r>
        <w:br/>
      </w:r>
      <w:r>
        <w:rPr>
          <w:rFonts w:ascii="Calibri" w:cs="Calibri" w:eastAsia="Calibri" w:hAnsi="Calibri"/>
          <w:sz w:val="22"/>
          <w:szCs w:val="22"/>
        </w:rPr>
        <w:t xml:space="preserve">You should review any joint financial commitments that were established during your marriage, such as loans, mortgages, or credit card debts. These liabilities could affect your ability to manage your pension and retirement funds effectively. It may be beneficial for you to seek further advice on how to address these liabilities, particularly if they are substantial or complex. This could involve negotiating with creditors or restructuring debt to better align with your post-divorce financial goals.</w:t>
      </w:r>
      <w:r>
        <w:br/>
      </w:r>
      <w:r>
        <w:rPr>
          <w:rFonts w:ascii="Calibri" w:cs="Calibri" w:eastAsia="Calibri" w:hAnsi="Calibri"/>
          <w:sz w:val="22"/>
          <w:szCs w:val="22"/>
        </w:rPr>
        <w:t xml:space="preserve">Additionally, you might need to consider any legal obligations related to the divorce settlement that could influence your liabilities. This includes any spousal support or maintenance payments that may be required. Understanding these obligations will help you to plan your finances more effectively and ensure that your pension transfer process is not hindered by unforeseen liabilities. It is advisable for you to consult with a financial advisor or legal expert to gain a clearer understanding of your liabilities and how they might impact your financial future.</w:t>
      </w:r>
    </w:p>
    <w:p>
      <w:pPr>
        <w:pStyle w:val="Heading1"/>
        <w:shd w:fill="0e2841"/>
        <w:spacing w:after="100"/>
      </w:pPr>
      <w:r>
        <w:rPr>
          <w:rFonts w:ascii="Calibri" w:cs="Calibri" w:eastAsia="Calibri" w:hAnsi="Calibri"/>
          <w:color w:val="ffffff"/>
          <w:sz w:val="22"/>
          <w:szCs w:val="22"/>
        </w:rPr>
        <w:t xml:space="preserve">Cash Position</w:t>
      </w:r>
    </w:p>
    <w:p>
      <w:pPr>
        <w:spacing w:after="100"/>
        <w:rPr/>
      </w:pPr>
      <w:r>
        <w:rPr>
          <w:rFonts w:ascii="Calibri" w:cs="Calibri" w:eastAsia="Calibri" w:hAnsi="Calibri"/>
          <w:sz w:val="22"/>
          <w:szCs w:val="22"/>
          <w:i/>
          <w:iCs/>
        </w:rPr>
        <w:t xml:space="preserve">Not discussed</w:t>
      </w:r>
    </w:p>
    <w:p>
      <w:pPr>
        <w:pStyle w:val="Heading1"/>
        <w:shd w:fill="0e2841"/>
        <w:spacing w:after="100"/>
      </w:pPr>
      <w:r>
        <w:rPr>
          <w:rFonts w:ascii="Calibri" w:cs="Calibri" w:eastAsia="Calibri" w:hAnsi="Calibri"/>
          <w:color w:val="ffffff"/>
          <w:sz w:val="22"/>
          <w:szCs w:val="22"/>
        </w:rPr>
        <w:t xml:space="preserve">Pensions and Retirement</w:t>
      </w:r>
    </w:p>
    <w:p>
      <w:pPr>
        <w:spacing w:after="100"/>
        <w:rPr/>
      </w:pPr>
      <w:r>
        <w:rPr>
          <w:rFonts w:ascii="Calibri" w:cs="Calibri" w:eastAsia="Calibri" w:hAnsi="Calibri"/>
          <w:sz w:val="22"/>
          <w:szCs w:val="22"/>
        </w:rPr>
        <w:t xml:space="preserve">The meeting primarily addressed the procedural requirements for transferring your pension information in light of your divorce. Quilter, the institution responsible for managing the pension sharing orders, mandates that these transactions be conducted through a traditional paper-based system. This requirement underscores the importance of adhering to specific protocols to ensure the successful transfer of pension rights and information. The process necessitates obtaining a letter of authority, which must be signed by your ex-husband, Paul Annis, to access the details of your quarter funds. This step is crucial as it legally authorises the release of sensitive financial information, ensuring compliance with regulatory standards.</w:t>
      </w:r>
      <w:r>
        <w:br/>
      </w:r>
      <w:r>
        <w:rPr>
          <w:rFonts w:ascii="Calibri" w:cs="Calibri" w:eastAsia="Calibri" w:hAnsi="Calibri"/>
          <w:sz w:val="22"/>
          <w:szCs w:val="22"/>
        </w:rPr>
        <w:t xml:space="preserve">James Poka from us clarified that the signed letter of authority must be returned in hard copy form, as Quilter does not accept electronic submissions for this type of transaction. This stipulation highlights the need for careful coordination and communication between all parties involved to avoid any delays or complications. The inclusion of a return envelope with the document is a practical measure designed to facilitate the process, ensuring that Paul Annis can easily return the signed document to us. This step is essential to maintain the integrity and security of the information being transferred.</w:t>
      </w:r>
      <w:r>
        <w:br/>
      </w:r>
      <w:r>
        <w:rPr>
          <w:rFonts w:ascii="Calibri" w:cs="Calibri" w:eastAsia="Calibri" w:hAnsi="Calibri"/>
          <w:sz w:val="22"/>
          <w:szCs w:val="22"/>
        </w:rPr>
        <w:t xml:space="preserve">The discussion also touched upon the importance of timely communication and cooperation between you and Paul, given your amicable relationship. Your willingness to coordinate with Paul and provide his address to us is a positive factor that is expected to streamline the process. By ensuring that all necessary documentation is completed and submitted promptly, you can effectively manage your pension arrangements post-divorce, securing your financial future. The meeting underscored the critical role of clear communication and adherence to procedural requirements in managing pension transfers during significant life changes.</w:t>
      </w:r>
    </w:p>
    <w:p>
      <w:pPr>
        <w:pStyle w:val="Heading1"/>
        <w:shd w:fill="0e2841"/>
        <w:spacing w:after="100"/>
      </w:pPr>
      <w:r>
        <w:rPr>
          <w:rFonts w:ascii="Calibri" w:cs="Calibri" w:eastAsia="Calibri" w:hAnsi="Calibri"/>
          <w:color w:val="ffffff"/>
          <w:sz w:val="22"/>
          <w:szCs w:val="22"/>
        </w:rPr>
        <w:t xml:space="preserve">Investments</w:t>
      </w:r>
    </w:p>
    <w:p>
      <w:pPr>
        <w:spacing w:after="100"/>
        <w:rPr/>
      </w:pPr>
      <w:r>
        <w:rPr>
          <w:rFonts w:ascii="Calibri" w:cs="Calibri" w:eastAsia="Calibri" w:hAnsi="Calibri"/>
          <w:sz w:val="22"/>
          <w:szCs w:val="22"/>
        </w:rPr>
        <w:t xml:space="preserve">While the meeting primarily focused on pension matters, it is important to consider the broader context of your investment portfolio. Given your recent divorce, there may be a need to reassess your investment strategy to align with your new financial goals and risk tolerance. This could involve evaluating your current asset allocation and determining whether adjustments are necessary to ensure your investments continue to meet your long-term objectives.</w:t>
      </w:r>
      <w:r>
        <w:br/>
      </w:r>
      <w:r>
        <w:rPr>
          <w:rFonts w:ascii="Calibri" w:cs="Calibri" w:eastAsia="Calibri" w:hAnsi="Calibri"/>
          <w:sz w:val="22"/>
          <w:szCs w:val="22"/>
        </w:rPr>
        <w:t xml:space="preserve">You may also wish to explore opportunities for diversifying your investments to mitigate risk and enhance potential returns. This could include considering different asset classes or investment vehicles that were not previously part of your portfolio. Additionally, the impact of your divorce on your financial situation might necessitate a review of your liquidity needs, ensuring you have sufficient access to funds for any immediate or unforeseen expenses.</w:t>
      </w:r>
      <w:r>
        <w:br/>
      </w:r>
      <w:r>
        <w:rPr>
          <w:rFonts w:ascii="Calibri" w:cs="Calibri" w:eastAsia="Calibri" w:hAnsi="Calibri"/>
          <w:sz w:val="22"/>
          <w:szCs w:val="22"/>
        </w:rPr>
        <w:t xml:space="preserve">In light of these considerations, it would be prudent for you to schedule a follow-up meeting with your wealth manager to conduct a comprehensive review of your investment portfolio. This would provide an opportunity to discuss any changes in your financial circumstances and to develop a tailored investment strategy that reflects your current and future needs. Such a review would ensure that your investments are optimally positioned to support your financial well-being in the post-divorce phase of your life.</w:t>
      </w:r>
    </w:p>
    <w:p>
      <w:pPr>
        <w:pStyle w:val="Heading1"/>
        <w:shd w:fill="0e2841"/>
        <w:spacing w:after="100"/>
      </w:pPr>
      <w:r>
        <w:rPr>
          <w:rFonts w:ascii="Calibri" w:cs="Calibri" w:eastAsia="Calibri" w:hAnsi="Calibri"/>
          <w:color w:val="ffffff"/>
          <w:sz w:val="22"/>
          <w:szCs w:val="22"/>
        </w:rPr>
        <w:t xml:space="preserve">Protection</w:t>
      </w:r>
    </w:p>
    <w:p>
      <w:pPr>
        <w:spacing w:after="100"/>
        <w:rPr/>
      </w:pPr>
      <w:r>
        <w:rPr>
          <w:rFonts w:ascii="Calibri" w:cs="Calibri" w:eastAsia="Calibri" w:hAnsi="Calibri"/>
          <w:sz w:val="22"/>
          <w:szCs w:val="22"/>
        </w:rPr>
        <w:t xml:space="preserve">In the context of wealth management, protection typically refers to safeguarding your financial assets and ensuring your financial security against unforeseen events. While the meeting did not explicitly address protection strategies, it is an important consideration for you as you navigate your post-divorce financial landscape. Ensuring that your pension and other financial assets are adequately protected is crucial to maintaining your financial stability and achieving your long-term financial goals.</w:t>
      </w:r>
      <w:r>
        <w:br/>
      </w:r>
      <w:r>
        <w:rPr>
          <w:rFonts w:ascii="Calibri" w:cs="Calibri" w:eastAsia="Calibri" w:hAnsi="Calibri"/>
          <w:sz w:val="22"/>
          <w:szCs w:val="22"/>
        </w:rPr>
        <w:t xml:space="preserve">Given your recent divorce, it may be prudent for you to review your existing insurance policies and consider whether they still meet your needs. This could include life insurance, health insurance, and any other relevant policies that provide financial protection. Additionally, updating beneficiaries on these policies to reflect your current circumstances is an important step in ensuring that your financial intentions are honoured.</w:t>
      </w:r>
      <w:r>
        <w:br/>
      </w:r>
      <w:r>
        <w:rPr>
          <w:rFonts w:ascii="Calibri" w:cs="Calibri" w:eastAsia="Calibri" w:hAnsi="Calibri"/>
          <w:sz w:val="22"/>
          <w:szCs w:val="22"/>
        </w:rPr>
        <w:t xml:space="preserve">Furthermore, you might benefit from exploring options such as income protection insurance or critical illness cover, which can provide financial support in the event of unexpected health issues or loss of income. Engaging in a comprehensive review of your protection needs with us could help you identify any gaps in your current coverage and implement strategies to address them, thereby enhancing your overall financial security.</w:t>
      </w:r>
    </w:p>
    <w:p>
      <w:pPr>
        <w:pStyle w:val="Heading1"/>
        <w:shd w:fill="0e2841"/>
        <w:spacing w:after="100"/>
      </w:pPr>
      <w:r>
        <w:rPr>
          <w:rFonts w:ascii="Calibri" w:cs="Calibri" w:eastAsia="Calibri" w:hAnsi="Calibri"/>
          <w:color w:val="ffffff"/>
          <w:sz w:val="22"/>
          <w:szCs w:val="22"/>
        </w:rPr>
        <w:t xml:space="preserve">Estate Planning</w:t>
      </w:r>
    </w:p>
    <w:p>
      <w:pPr>
        <w:spacing w:after="100"/>
        <w:rPr/>
      </w:pPr>
      <w:r>
        <w:rPr>
          <w:rFonts w:ascii="Calibri" w:cs="Calibri" w:eastAsia="Calibri" w:hAnsi="Calibri"/>
          <w:sz w:val="22"/>
          <w:szCs w:val="22"/>
        </w:rPr>
        <w:t xml:space="preserve">In the context of estate planning, your recent divorce necessitates a review and potential revision of your estate plans. This includes updating your will, trusts, and any other estate planning documents to reflect your new marital status and ensure that your assets are distributed according to your current wishes. It is crucial for you to consider how your divorce impacts your estate planning, particularly in terms of beneficiary designations and the division of assets.</w:t>
      </w:r>
      <w:r>
        <w:br/>
      </w:r>
      <w:r>
        <w:rPr>
          <w:rFonts w:ascii="Calibri" w:cs="Calibri" w:eastAsia="Calibri" w:hAnsi="Calibri"/>
          <w:sz w:val="22"/>
          <w:szCs w:val="22"/>
        </w:rPr>
        <w:t xml:space="preserve">Additionally, you should evaluate any joint accounts or property you previously held with Paul Annis to determine how these will be managed moving forward. This may involve retitling assets or establishing new accounts in your name alone. Ensuring that all legal documents are updated to remove Paul as a beneficiary or co-owner, where applicable, is an essential step in safeguarding your estate.</w:t>
      </w:r>
      <w:r>
        <w:br/>
      </w:r>
      <w:r>
        <w:rPr>
          <w:rFonts w:ascii="Calibri" w:cs="Calibri" w:eastAsia="Calibri" w:hAnsi="Calibri"/>
          <w:sz w:val="22"/>
          <w:szCs w:val="22"/>
        </w:rPr>
        <w:t xml:space="preserve">You may also want to consider the implications of your divorce on any life insurance policies, retirement accounts, and other financial instruments that may have named Paul as a beneficiary. Consulting with an estate planning professional can provide you with the guidance needed to navigate these changes effectively and ensure that your estate plan aligns with your current life circumstances and future goals.</w:t>
      </w:r>
    </w:p>
    <w:p>
      <w:pPr>
        <w:pStyle w:val="Heading1"/>
        <w:shd w:fill="0e2841"/>
        <w:spacing w:after="100"/>
      </w:pPr>
      <w:r>
        <w:rPr>
          <w:rFonts w:ascii="Calibri" w:cs="Calibri" w:eastAsia="Calibri" w:hAnsi="Calibri"/>
          <w:color w:val="ffffff"/>
          <w:sz w:val="22"/>
          <w:szCs w:val="22"/>
        </w:rPr>
        <w:t xml:space="preserve">Risk Profile</w:t>
      </w:r>
    </w:p>
    <w:p>
      <w:pPr>
        <w:spacing w:after="100"/>
        <w:rPr/>
      </w:pPr>
      <w:r>
        <w:rPr>
          <w:rFonts w:ascii="Calibri" w:cs="Calibri" w:eastAsia="Calibri" w:hAnsi="Calibri"/>
          <w:sz w:val="22"/>
          <w:szCs w:val="22"/>
        </w:rPr>
        <w:t xml:space="preserve">Understanding your risk profile is crucial in determining the appropriate financial strategies and products that align with your current life stage and future goals. Given your recent divorce, you may be experiencing a shift in your financial priorities and risk tolerance. It is important to assess whether your risk appetite has changed as a result of your new circumstances, which could influence your investment decisions and retirement planning.</w:t>
      </w:r>
      <w:r>
        <w:br/>
      </w:r>
      <w:r>
        <w:rPr>
          <w:rFonts w:ascii="Calibri" w:cs="Calibri" w:eastAsia="Calibri" w:hAnsi="Calibri"/>
          <w:sz w:val="22"/>
          <w:szCs w:val="22"/>
        </w:rPr>
        <w:t xml:space="preserve">Your amicable relationship with your ex-husband may suggest a stable personal environment, potentially allowing for a more balanced approach to risk. However, the need to secure your financial future independently might prompt a reassessment of your risk tolerance. This could involve exploring a diversified investment portfolio that balances growth opportunities with capital preservation, ensuring that your financial objectives are met without exposing you to undue risk.</w:t>
      </w:r>
      <w:r>
        <w:br/>
      </w:r>
      <w:r>
        <w:rPr>
          <w:rFonts w:ascii="Calibri" w:cs="Calibri" w:eastAsia="Calibri" w:hAnsi="Calibri"/>
          <w:sz w:val="22"/>
          <w:szCs w:val="22"/>
        </w:rPr>
        <w:t xml:space="preserve">In light of these considerations, it would be prudent for you to engage in a comprehensive review of your risk profile with us. This review should take into account your current financial situation, long-term goals, and any changes in your personal circumstances. By doing so, you can ensure that your financial strategy is aligned with your risk tolerance and supports your journey towards financial security and independence.</w:t>
      </w:r>
    </w:p>
    <w:p>
      <w:pPr>
        <w:pStyle w:val="Heading1"/>
        <w:shd w:fill="0e2841"/>
        <w:spacing w:after="100"/>
      </w:pPr>
      <w:r>
        <w:rPr>
          <w:rFonts w:ascii="Calibri" w:cs="Calibri" w:eastAsia="Calibri" w:hAnsi="Calibri"/>
          <w:color w:val="ffffff"/>
          <w:sz w:val="22"/>
          <w:szCs w:val="22"/>
        </w:rPr>
        <w:t xml:space="preserve">Investment Preferences</w:t>
      </w:r>
    </w:p>
    <w:p>
      <w:pPr>
        <w:spacing w:after="100"/>
        <w:rPr/>
      </w:pPr>
      <w:r>
        <w:rPr>
          <w:rFonts w:ascii="Calibri" w:cs="Calibri" w:eastAsia="Calibri" w:hAnsi="Calibri"/>
          <w:sz w:val="22"/>
          <w:szCs w:val="22"/>
        </w:rPr>
        <w:t xml:space="preserve">Your investment preferences were not explicitly discussed during the meeting, as the primary focus was on the administrative aspects of your pension transfer. However, given your recent divorce, it is likely that your investment strategy may need to be reassessed to align with your new financial goals and circumstances. This could involve evaluating your risk tolerance, investment horizon, and any changes in your financial responsibilities or objectives.</w:t>
      </w:r>
      <w:r>
        <w:br/>
      </w:r>
      <w:r>
        <w:rPr>
          <w:rFonts w:ascii="Calibri" w:cs="Calibri" w:eastAsia="Calibri" w:hAnsi="Calibri"/>
          <w:sz w:val="22"/>
          <w:szCs w:val="22"/>
        </w:rPr>
        <w:t xml:space="preserve">In light of your amicable relationship with your ex-husband, you may have the opportunity to explore collaborative financial planning strategies that could benefit both parties. This might include joint investment opportunities or coordinated approaches to managing shared financial responsibilities, such as children's education funds or other long-term commitments.</w:t>
      </w:r>
      <w:r>
        <w:br/>
      </w:r>
      <w:r>
        <w:rPr>
          <w:rFonts w:ascii="Calibri" w:cs="Calibri" w:eastAsia="Calibri" w:hAnsi="Calibri"/>
          <w:sz w:val="22"/>
          <w:szCs w:val="22"/>
        </w:rPr>
        <w:t xml:space="preserve">As you move forward with the pension transfer process, it would be prudent for you to consider seeking further advice on your investment preferences. This could ensure that your portfolio is well-positioned to meet your future needs, taking into account any changes in your personal or financial situation. Engaging with us could provide valuable insights and help you make informed decisions about your investment strategy.</w:t>
      </w:r>
    </w:p>
    <w:p>
      <w:pPr>
        <w:pStyle w:val="Heading1"/>
        <w:shd w:fill="0e2841"/>
        <w:spacing w:after="100"/>
      </w:pPr>
      <w:r>
        <w:rPr>
          <w:rFonts w:ascii="Calibri" w:cs="Calibri" w:eastAsia="Calibri" w:hAnsi="Calibri"/>
          <w:color w:val="ffffff"/>
          <w:sz w:val="22"/>
          <w:szCs w:val="22"/>
        </w:rPr>
        <w:t xml:space="preserve">Next Steps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agreed to have the letter of authority sent directly to Paul Annis for his signature.</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will look up Paul's address and email it to James Poka from us.</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Once the address is received, we will send the letter to Paul, including a return envelope for the signed document.</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You expressed your intention to email all necessary details once you have them.</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James assured you that we would manage the logistics of sending the letter to Paul and subsequently forwarding it to Quilter.</w:t>
      </w:r>
    </w:p>
    <w:p>
      <w:pPr>
        <w:pStyle w:val="TextBody"/>
        <w:numPr>
          <w:ilvl w:val="0"/>
          <w:numId w:val="2"/>
        </w:numPr>
        <w:rPr>
          <w:rFonts w:ascii="Calibri" w:cs="Calibri" w:eastAsia="Calibri" w:hAnsi="Calibri"/>
          <w:sz w:val="22"/>
          <w:szCs w:val="22"/>
        </w:rPr>
        <w:spacing w:after="100"/>
      </w:pPr>
      <w:r>
        <w:rPr>
          <w:rFonts w:ascii="Calibri" w:cs="Calibri" w:eastAsia="Calibri" w:hAnsi="Calibri"/>
          <w:sz w:val="22"/>
          <w:szCs w:val="22"/>
        </w:rPr>
        <w:t xml:space="preserve">The meeting concluded on a positive note, with both parties expressing appreciation and wishing each other well.</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xmlns:w15="http://schemas.microsoft.com/office/word/2012/wordml" w:abstractNumId="2">
    <w:nsid w:val="5F6B5EB2"/>
    <w:multiLevelType w:val="hybridMultilevel"/>
    <w:tmpl w:val="21E224FE"/>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cs="Courier New" w:hint="default"/>
      </w:rPr>
    </w:lvl>
    <w:lvl w:ilvl="2">
      <w:start w:val="1"/>
      <w:numFmt w:val="bullet"/>
      <w:lvlText w:val=""/>
      <w:lvlJc w:val="left"/>
      <w:pPr>
        <w:ind w:left="1440" w:hanging="360"/>
      </w:pPr>
      <w:rPr>
        <w:rFonts w:ascii="Wingdings" w:hAnsi="Wingdings" w:hint="default"/>
      </w:rPr>
    </w:lvl>
    <w:lvl w:ilvl="3">
      <w:start w:val="1"/>
      <w:numFmt w:val="bullet"/>
      <w:lvlText w:val=""/>
      <w:lvlJc w:val="left"/>
      <w:pPr>
        <w:ind w:left="1800" w:hanging="360"/>
      </w:pPr>
      <w:rPr>
        <w:rFonts w:ascii="Symbol" w:hAnsi="Symbol" w:hint="default"/>
      </w:rPr>
    </w:lvl>
    <w:lvl w:ilvl="4">
      <w:start w:val="1"/>
      <w:numFmt w:val="bullet"/>
      <w:lvlText w:val="o"/>
      <w:lvlJc w:val="left"/>
      <w:pPr>
        <w:ind w:left="2160" w:hanging="360"/>
      </w:pPr>
      <w:rPr>
        <w:rFonts w:ascii="Courier New" w:hAnsi="Courier New" w:cs="Courier New" w:hint="default"/>
      </w:rPr>
    </w:lvl>
    <w:lvl w:ilvl="5">
      <w:start w:val="1"/>
      <w:numFmt w:val="bullet"/>
      <w:lvlText w:val=""/>
      <w:lvlJc w:val="left"/>
      <w:pPr>
        <w:ind w:left="2520" w:hanging="360"/>
      </w:pPr>
      <w:rPr>
        <w:rFonts w:ascii="Wingdings" w:hAnsi="Wingdings" w:hint="default"/>
      </w:rPr>
    </w:lvl>
    <w:lvl w:ilvl="6">
      <w:start w:val="1"/>
      <w:numFmt w:val="bullet"/>
      <w:lvlText w:val=""/>
      <w:lvlJc w:val="left"/>
      <w:pPr>
        <w:ind w:left="2880" w:hanging="360"/>
      </w:pPr>
      <w:rPr>
        <w:rFonts w:ascii="Symbol" w:hAnsi="Symbol" w:hint="default"/>
      </w:rPr>
    </w:lvl>
    <w:lvl w:ilvl="7">
      <w:start w:val="1"/>
      <w:numFmt w:val="bullet"/>
      <w:lvlText w:val="o"/>
      <w:lvlJc w:val="left"/>
      <w:pPr>
        <w:ind w:left="3240" w:hanging="360"/>
      </w:pPr>
      <w:rPr>
        <w:rFonts w:ascii="Courier New" w:hAnsi="Courier New" w:cs="Courier New" w:hint="default"/>
      </w:rPr>
    </w:lvl>
    <w:lvl w:ilvl="8">
      <w:start w:val="1"/>
      <w:numFmt w:val="bullet"/>
      <w:lvlText w:val=""/>
      <w:lvlJc w:val="left"/>
      <w:pPr>
        <w:ind w:left="3600" w:hanging="360"/>
      </w:pPr>
      <w:rPr>
        <w:rFonts w:ascii="Wingdings" w:hAnsi="Wingdings" w:hint="default"/>
      </w:rPr>
    </w:lvl>
  </w:abstractNum>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 xmlns:w="http://schemas.openxmlformats.org/wordprocessingml/2006/main" w:numId="2">
    <w:abstractNumId w:val="2"/>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xmlns:w="http://schemas.openxmlformats.org/wordprocessingml/2006/main" w:type="paragraph" w:styleId="Normal">
    <w:spacing w:before="0" w:after="0"/>
    <w:name w:val="Normal"/>
    <w:qFormat/>
  </w:style>
  <w:style xmlns:w="http://schemas.openxmlformats.org/wordprocessingml/2006/main" w:type="numbering" w:styleId="Aucuneliste">
    <w:name w:val="No List"/>
    <w:uiPriority w:val="99"/>
    <w:semiHidden/>
    <w:unhideWhenUsed/>
  </w:style>
  <w:style xmlns:w="http://schemas.openxmlformats.org/wordprocessingml/2006/main" w:type="paragraph" w:styleId="Caption">
    <w:name w:val="Caption"/>
    <w:basedOn w:val="Normal"/>
    <w:qFormat/>
    <w:pPr>
      <w:suppressLineNumbers/>
      <w:spacing w:before="120" w:after="120"/>
    </w:pPr>
    <w:rPr>
      <w:rFonts w:cs="Lohit Devanagari"/>
      <w:i/>
      <w:iCs/>
      <w:sz w:val="24"/>
      <w:szCs w:val="24"/>
    </w:rPr>
  </w:style>
  <w:style xmlns:w="http://schemas.openxmlformats.org/wordprocessingml/2006/main" w:type="paragraph" w:styleId="Citation">
    <w:name w:val="Quote"/>
    <w:basedOn w:val="Normal"/>
    <w:next w:val="Normal"/>
    <w:link w:val="CitationCar"/>
    <w:uiPriority w:val="29"/>
    <w:qFormat/>
    <w:rsid w:val="00117C2C"/>
    <w:pPr>
      <w:spacing w:before="200"/>
      <w:ind w:left="864" w:right="864"/>
      <w:jc w:val="center"/>
    </w:pPr>
    <w:rPr>
      <w:i/>
      <w:iCs/>
      <w:color w:val="404040" w:themeColor="text1" w:themeTint="BF"/>
    </w:rPr>
  </w:style>
  <w:style xmlns:w="http://schemas.openxmlformats.org/wordprocessingml/2006/main" w:type="character" w:customStyle="1" w:styleId="CitationCar">
    <w:name w:val="Citation Car"/>
    <w:link w:val="Citation"/>
    <w:uiPriority w:val="29"/>
    <w:rsid w:val="00117C2C"/>
    <w:rPr>
      <w:i/>
      <w:iCs/>
      <w:color w:val="404040" w:themeColor="text1" w:themeTint="BF"/>
    </w:rPr>
  </w:style>
  <w:style xmlns:w="http://schemas.openxmlformats.org/wordprocessingml/2006/main" w:type="paragraph" w:styleId="Code">
    <w:name w:val="code"/>
    <w:basedOn w:val="Normal"/>
    <w:qFormat/>
    <w:pPr/>
    <w:rPr>
      <w:rFonts w:ascii="Courier 10 Pitch" w:hAnsi="Courier 10 Pitch"/>
      <w:sz w:val="22"/>
      <w:szCs w:val="22"/>
      <w:highlight w:val="lightGray"/>
    </w:rPr>
  </w:style>
  <w:style xmlns:w="http://schemas.openxmlformats.org/wordprocessingml/2006/main" w:type="character" w:styleId="Emphaseple">
    <w:name w:val="Subtle Emphasis"/>
    <w:uiPriority w:val="19"/>
    <w:qFormat/>
    <w:rsid w:val="00F33E4D"/>
    <w:rPr>
      <w:i/>
      <w:iCs/>
      <w:color w:val="404040" w:themeColor="text1" w:themeTint="BF"/>
    </w:rPr>
  </w:style>
  <w:style xmlns:w="http://schemas.openxmlformats.org/wordprocessingml/2006/main" w:type="paragraph" w:styleId="Heading">
    <w:name w:val="Heading"/>
    <w:basedOn w:val="Normal"/>
    <w:next w:val="Normal"/>
    <w:link w:val="HeadingCar"/>
    <w:uiPriority w:val="10"/>
    <w:qFormat/>
    <w:rsid w:val="00984053"/>
    <w:pPr>
      <w:spacing w:after="0" w:line="240" w:lineRule="auto"/>
      <w:contextualSpacing/>
    </w:pPr>
    <w:rPr>
      <w:rFonts w:asciiTheme="majorHAnsi" w:eastAsiaTheme="majorEastAsia" w:hAnsiTheme="majorHAnsi" w:cstheme="majorBidi"/>
      <w:spacing w:val="-10"/>
      <w:kern w:val="28"/>
      <w:sz w:val="56"/>
      <w:szCs w:val="56"/>
    </w:rPr>
  </w:style>
  <w:style xmlns:w="http://schemas.openxmlformats.org/wordprocessingml/2006/main" w:type="paragraph" w:styleId="Index">
    <w:name w:val="Index"/>
    <w:basedOn w:val="Normal"/>
    <w:qFormat/>
    <w:pPr>
      <w:suppressLineNumbers/>
    </w:pPr>
    <w:rPr>
      <w:rFonts w:cs="Lohit Devanagari"/>
    </w:rPr>
  </w:style>
  <w:style xmlns:w="http://schemas.openxmlformats.org/wordprocessingml/2006/main" w:type="paragraph" w:styleId="TextBody">
    <w:name w:val="Body Text"/>
    <w:basedOn w:val="Normal"/>
    <w:pPr>
      <w:spacing w:lineRule="auto" w:line="288" w:before="0" w:after="140"/>
    </w:pPr>
    <w:rPr/>
  </w:style>
  <w:style xmlns:w="http://schemas.openxmlformats.org/wordprocessingml/2006/main" w:type="paragraph" w:styleId="List">
    <w:name w:val="List"/>
    <w:basedOn w:val="TextBody"/>
    <w:pPr/>
    <w:rPr>
      <w:rFonts w:cs="Lohit Devanagari"/>
    </w:rPr>
  </w:style>
  <w:style xmlns:w="http://schemas.openxmlformats.org/wordprocessingml/2006/main" w:type="numbering" w:styleId="NoList">
    <w:name w:val="No List"/>
    <w:uiPriority w:val="99"/>
    <w:semiHidden/>
    <w:unhideWhenUsed/>
  </w:style>
  <w:style xmlns:w="http://schemas.openxmlformats.org/wordprocessingml/2006/main" w:type="character" w:styleId="NumberingSymbols">
    <w:name w:val="Numbering Symbols"/>
    <w:qFormat/>
    <w:rPr/>
  </w:style>
  <w:style xmlns:w="http://schemas.openxmlformats.org/wordprocessingml/2006/main" w:type="table" w:styleId="Table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table" w:styleId="TableauNormal">
    <w:name w:val="Normal Table"/>
    <w:uiPriority w:val="99"/>
    <w:semiHidden/>
    <w:unhideWhenUsed/>
    <w:tblPr>
      <w:tblInd w:w="0" w:type="dxa"/>
      <w:tblCellMar>
        <w:top w:w="0" w:type="dxa"/>
        <w:left w:w="108" w:type="dxa"/>
        <w:bottom w:w="0" w:type="dxa"/>
        <w:right w:w="108" w:type="dxa"/>
      </w:tblCellMar>
    </w:tblPr>
  </w:style>
  <w:style xmlns:w="http://schemas.openxmlformats.org/wordprocessingml/2006/main" w:type="character" w:customStyle="1" w:styleId="HeadingCar">
    <w:name w:val="Heading Car"/>
    <w:link w:val="Heading"/>
    <w:uiPriority w:val="10"/>
    <w:rsid w:val="00984053"/>
    <w:rPr>
      <w:rFonts w:asciiTheme="majorHAnsi" w:eastAsiaTheme="majorEastAsia" w:hAnsiTheme="majorHAnsi" w:cstheme="majorBidi"/>
      <w:spacing w:val="-10"/>
      <w:kern w:val="2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hyperlink" Target="https://assist.aveni.ai/meeting/bc43fb1c-fa93-4247-a1da-2bd4f269115b" TargetMode="Externa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Metadata/LabelInfo.xml><?xml version="1.0" encoding="utf-8"?>
<clbl:labelList xmlns:clbl="http://schemas.microsoft.com/office/2020/mipLabelMetadata">
  <clbl:label id="{3e287deb-1eb1-44c1-8f84-90531d56bbbd}" enabled="1" method="Standard" siteId="{50ff177a-9196-4193-bd14-0d6441be932b}" removed="0"/>
</clbl:labelList>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2026-02-20T10:49:06.788Z</dcterms:created>
  <dcterms:modified xsi:type="dcterms:W3CDTF">2026-02-20T10:49:06.788Z</dcterms:modified>
</cp:coreProperties>
</file>

<file path=docProps/custom.xml><?xml version="1.0" encoding="utf-8"?>
<Properties xmlns="http://schemas.openxmlformats.org/officeDocument/2006/custom-properties" xmlns:vt="http://schemas.openxmlformats.org/officeDocument/2006/docPropsVTypes"/>
</file>