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0e2841"/>
          <w:sz w:val="56"/>
          <w:szCs w:val="56"/>
        </w:rPr>
        <w:t xml:space="preserve">Meeting Summary</w:t>
      </w:r>
    </w:p>
    <w:tbl>
      <w:tblPr>
        <w:tblW w:w="9026" w:type="dxa"/>
        <w:jc w:val="left"/>
        <w:tblInd w:w="47" w:type="dxa"/>
        <w:tblCellMar>
          <w:top w:w="55" w:type="dxa"/>
          <w:left w:w="45" w:type="dxa"/>
          <w:bottom w:w="55" w:type="dxa"/>
          <w:right w:w="55" w:type="dxa"/>
        </w:tblCellMar>
      </w:tblPr>
      <w:tblGrid>
        <w:gridCol w:w="2257"/>
        <w:gridCol w:w="2257"/>
        <w:gridCol w:w="2256"/>
        <w:gridCol w:w="2256"/>
      </w:tblGrid>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Client(s)</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Type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Fact Find</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Date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20/02/2026</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Meeting recording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hyperlink r:id="rId7">
              <w:r>
                <w:rPr>
                  <w:rFonts w:ascii="Calibri" w:cs="Calibri" w:eastAsia="Calibri" w:hAnsi="Calibri"/>
                  <w:sz w:val="23"/>
                  <w:szCs w:val="23"/>
                  <w:rStyle w:val="Hyperlink"/>
                  <w:u w:val="single"/>
                  <w:color w:val="0563C1"/>
                </w:rPr>
                <w:t xml:space="preserve">https://assist.aveni.ai/meeting/2d800828-4646-406b-beef-1288294bc633</w:t>
              </w:r>
            </w:hyperlink>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vMerge w:val="restart"/>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Present at meeting</w:t>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Internal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James Poka</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r>
        <w:trPr/>
        <w:tc>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vMerge w:val="continue"/>
          </w:tcPr>
          <w:p>
            <w:pPr>
              <w:rPr/>
            </w:pPr>
            <w:r>
              <w:rPr/>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External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bl>
    <w:p>
      <w:pPr>
        <w:spacing w:before="300"/>
      </w:pPr>
    </w:p>
    <w:p>
      <w:pPr>
        <w:pStyle w:val="Heading1"/>
        <w:shd w:fill="0e2841"/>
        <w:spacing w:after="100"/>
      </w:pPr>
      <w:r>
        <w:rPr>
          <w:rFonts w:ascii="Calibri" w:cs="Calibri" w:eastAsia="Calibri" w:hAnsi="Calibri"/>
          <w:color w:val="ffffff"/>
          <w:sz w:val="22"/>
          <w:szCs w:val="22"/>
        </w:rPr>
        <w:t xml:space="preserve">About The Client(s)</w:t>
      </w:r>
    </w:p>
    <w:p>
      <w:pPr>
        <w:spacing w:after="100"/>
        <w:rPr/>
      </w:pPr>
      <w:r>
        <w:rPr>
          <w:rFonts w:ascii="Calibri" w:cs="Calibri" w:eastAsia="Calibri" w:hAnsi="Calibri"/>
          <w:sz w:val="22"/>
          <w:szCs w:val="22"/>
        </w:rPr>
        <w:t xml:space="preserve">You are a seasoned professional with a background in accounting and currency trading, which provides you with a solid understanding of financial matters. Your career as an accountant at Bridgeport Interiors Limited, where you earn an annual salary of £42,000, reflects your expertise and commitment to your profession. Despite your financial acumen, you recognise the value of professional advice, particularly in managing your retirement funds and navigating the complexities of your financial situation post-divorce. Your experience as a currency trader in the city has equipped you with a keen awareness of market dynamics, although you do not currently maintain a stocks and shares portfolio.</w:t>
      </w:r>
      <w:r>
        <w:br/>
      </w:r>
      <w:r>
        <w:rPr>
          <w:rFonts w:ascii="Calibri" w:cs="Calibri" w:eastAsia="Calibri" w:hAnsi="Calibri"/>
          <w:sz w:val="22"/>
          <w:szCs w:val="22"/>
        </w:rPr>
        <w:t xml:space="preserve">In your personal life, you are navigating significant changes following your divorce. You are a mother to two adult daughters, aged 30 and 29, who are financially independent and own their homes. This independence allows you to focus on your financial planning without the added responsibility of supporting dependents. Your relationship with Tony, your partner, is characterised by financial independence, as you both maintain separate finances. This arrangement underscores your preference for autonomy in managing your financial affairs.</w:t>
      </w:r>
      <w:r>
        <w:br/>
      </w:r>
      <w:r>
        <w:rPr>
          <w:rFonts w:ascii="Calibri" w:cs="Calibri" w:eastAsia="Calibri" w:hAnsi="Calibri"/>
          <w:sz w:val="22"/>
          <w:szCs w:val="22"/>
        </w:rPr>
        <w:t xml:space="preserve">Health and lifestyle are important aspects of your life. You are a type two diabetic but have successfully managed your condition through significant lifestyle changes, including losing three stones and reducing your alcohol intake. These efforts reflect your proactive approach to health, which is an important consideration in your financial planning, particularly concerning products like annuities that may offer enhanced rates based on health factors. You are also in the process of updating your will and setting up power of attorney, appointing your daughters as attorneys, which demonstrates your foresight in estate planning and ensuring your affairs are in order.</w:t>
      </w:r>
    </w:p>
    <w:p>
      <w:pPr>
        <w:pStyle w:val="Heading1"/>
        <w:shd w:fill="0e2841"/>
        <w:spacing w:after="100"/>
      </w:pPr>
      <w:r>
        <w:rPr>
          <w:rFonts w:ascii="Calibri" w:cs="Calibri" w:eastAsia="Calibri" w:hAnsi="Calibri"/>
          <w:color w:val="ffffff"/>
          <w:sz w:val="22"/>
          <w:szCs w:val="22"/>
        </w:rPr>
        <w:t xml:space="preserve">Reasons for seeking advice</w:t>
      </w:r>
    </w:p>
    <w:p>
      <w:pPr>
        <w:spacing w:after="100"/>
        <w:rPr/>
      </w:pPr>
      <w:r>
        <w:rPr>
          <w:rFonts w:ascii="Calibri" w:cs="Calibri" w:eastAsia="Calibri" w:hAnsi="Calibri"/>
          <w:sz w:val="22"/>
          <w:szCs w:val="22"/>
        </w:rPr>
        <w:t xml:space="preserve">You are seeking professional financial advice primarily due to the significant changes in your financial situation following your recent divorce. The divorce resulted in a pension sharing order, which entitles you to a portion of your ex-husband's pension, currently managed by Quilter. This situation has prompted you to seek guidance on how best to manage these funds, which could be worth £270,000 or more. You require assistance in setting up two collective retirement accounts to effectively manage these assets and ensure they align with your long-term financial goals.</w:t>
      </w:r>
      <w:r>
        <w:br/>
      </w:r>
      <w:r>
        <w:rPr>
          <w:rFonts w:ascii="Calibri" w:cs="Calibri" w:eastAsia="Calibri" w:hAnsi="Calibri"/>
          <w:sz w:val="22"/>
          <w:szCs w:val="22"/>
        </w:rPr>
        <w:t xml:space="preserve">Additionally, your previous financial adviser at True Potential was unresponsive, leading you to seek independent advice from us. You value the expertise of an independent financial adviser who can provide unbiased recommendations tailored to your specific needs. Your background as an accountant and former currency trader gives you a solid understanding of financial matters, yet you recognise the importance of professional advice to navigate the complexities of retirement planning and investment management.</w:t>
      </w:r>
      <w:r>
        <w:br/>
      </w:r>
      <w:r>
        <w:rPr>
          <w:rFonts w:ascii="Calibri" w:cs="Calibri" w:eastAsia="Calibri" w:hAnsi="Calibri"/>
          <w:sz w:val="22"/>
          <w:szCs w:val="22"/>
        </w:rPr>
        <w:t xml:space="preserve">Your objectives include consolidating your various pension pots for better management and exploring tax-efficient strategies to optimise your retirement income. You are particularly interested in understanding the options available to you, such as the flexi-access drawdown and annuities, to ensure your retirement plans are both flexible and sustainable. By engaging with us, you aim to develop a comprehensive retirement strategy that aligns with your risk profile and financial objectives, providing you with peace of mind as you approach retirement.</w:t>
      </w:r>
    </w:p>
    <w:p>
      <w:pPr>
        <w:pStyle w:val="Heading1"/>
        <w:shd w:fill="0e2841"/>
        <w:spacing w:after="100"/>
      </w:pPr>
      <w:r>
        <w:rPr>
          <w:rFonts w:ascii="Calibri" w:cs="Calibri" w:eastAsia="Calibri" w:hAnsi="Calibri"/>
          <w:color w:val="ffffff"/>
          <w:sz w:val="22"/>
          <w:szCs w:val="22"/>
        </w:rPr>
        <w:t xml:space="preserve">Objectives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plan to retire at the age of 60.</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aim to draw an annual pension of £25,000 to £30,000 until your state pension begins at 67.</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are considering part-time work in a different field, such as a garden centre, post-retirement.</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prefer a drawdown approach to receive a monthly income.</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do not plan to take the 25% tax-free lump sum immediately.</w:t>
      </w:r>
    </w:p>
    <w:p>
      <w:pPr>
        <w:pStyle w:val="Heading1"/>
        <w:shd w:fill="0e2841"/>
        <w:spacing w:after="100"/>
      </w:pPr>
      <w:r>
        <w:rPr>
          <w:rFonts w:ascii="Calibri" w:cs="Calibri" w:eastAsia="Calibri" w:hAnsi="Calibri"/>
          <w:color w:val="ffffff"/>
          <w:sz w:val="22"/>
          <w:szCs w:val="22"/>
        </w:rPr>
        <w:t xml:space="preserve">Income</w:t>
      </w:r>
    </w:p>
    <w:p>
      <w:pPr>
        <w:spacing w:after="100"/>
        <w:rPr/>
      </w:pPr>
      <w:r>
        <w:rPr>
          <w:rFonts w:ascii="Calibri" w:cs="Calibri" w:eastAsia="Calibri" w:hAnsi="Calibri"/>
          <w:sz w:val="22"/>
          <w:szCs w:val="22"/>
        </w:rPr>
        <w:t xml:space="preserve">You earn an annual salary of £42,000 as an accountant at Bridgeport Interiors Limited, which translates to a take-home pay of approximately £2,600 per month after pension and tax deductions. Your role as an accountant provides you with a stable income, which is crucial for managing your current expenses and planning for your future retirement. Despite your financial acumen, you recognise the importance of professional advice to optimise your retirement strategy, particularly in light of your recent divorce and the associated pension sharing order.</w:t>
      </w:r>
      <w:r>
        <w:br/>
      </w:r>
      <w:r>
        <w:rPr>
          <w:rFonts w:ascii="Calibri" w:cs="Calibri" w:eastAsia="Calibri" w:hAnsi="Calibri"/>
          <w:sz w:val="22"/>
          <w:szCs w:val="22"/>
        </w:rPr>
        <w:t xml:space="preserve">In addition to your salary, you anticipate a significant inheritance from your late mother's property, which is valued at around £1.4 million. You expect to receive at least £150,000 as your share, although the timeline for this inheritance is uncertain due to ongoing legal proceedings involving your mother's ex-partner. This potential windfall could play a pivotal role in your financial planning, offering an opportunity to bolster your retirement savings or address other financial goals, such as paying off your mortgage.</w:t>
      </w:r>
      <w:r>
        <w:br/>
      </w:r>
      <w:r>
        <w:rPr>
          <w:rFonts w:ascii="Calibri" w:cs="Calibri" w:eastAsia="Calibri" w:hAnsi="Calibri"/>
          <w:sz w:val="22"/>
          <w:szCs w:val="22"/>
        </w:rPr>
        <w:t xml:space="preserve">Your financial situation is further supported by your partner Tony's contribution to household expenses, which amounts to £600 a month. Although you maintain separate finances, this contribution helps alleviate some of the financial pressure, allowing you to focus on your long-term financial objectives. Your current income, combined with the anticipated inheritance and Tony's support, provides a solid foundation for your retirement planning, enabling you to explore various investment and pension strategies with the guidance of us.</w:t>
      </w:r>
    </w:p>
    <w:p>
      <w:pPr>
        <w:pStyle w:val="Heading1"/>
        <w:shd w:fill="0e2841"/>
        <w:spacing w:after="100"/>
      </w:pPr>
      <w:r>
        <w:rPr>
          <w:rFonts w:ascii="Calibri" w:cs="Calibri" w:eastAsia="Calibri" w:hAnsi="Calibri"/>
          <w:color w:val="ffffff"/>
          <w:sz w:val="22"/>
          <w:szCs w:val="22"/>
        </w:rPr>
        <w:t xml:space="preserve">Expenditure</w:t>
      </w:r>
    </w:p>
    <w:p>
      <w:pPr>
        <w:spacing w:after="100"/>
        <w:rPr/>
      </w:pPr>
      <w:r>
        <w:rPr>
          <w:rFonts w:ascii="Calibri" w:cs="Calibri" w:eastAsia="Calibri" w:hAnsi="Calibri"/>
          <w:sz w:val="22"/>
          <w:szCs w:val="22"/>
        </w:rPr>
        <w:t xml:space="preserve">Your regular monthly expenses total £2,986.23, reflecting a comprehensive breakdown of your financial commitments. Your mortgage payment is £476, but you overpay by £750 each month to reduce the principal balance more quickly. Council tax is a fixed cost of £221, and your eco-friendly house, equipped with an air pump, incurs a monthly cost of £120. Water rates are £42, and your mobile contract with EE is £20. Your share of food expenses is approximately £300 monthly, and your car, on a PCP purchase lease, costs £440 monthly, with insurance at £50 and fuel at £200, though you expect this to halve upon retirement. Additionally, there is a £150 annual maintenance charge for the property's grounds.</w:t>
      </w:r>
      <w:r>
        <w:br/>
      </w:r>
      <w:r>
        <w:rPr>
          <w:rFonts w:ascii="Calibri" w:cs="Calibri" w:eastAsia="Calibri" w:hAnsi="Calibri"/>
          <w:sz w:val="22"/>
          <w:szCs w:val="22"/>
        </w:rPr>
        <w:t xml:space="preserve">For flexible expenses, you allocate about £100 to £150 monthly for clothing and £50 for furniture and repairs. Your entertainment costs include a £6 Netflix subscription, and you pay £55 a month for internet, which includes TV and broadband with EE. You also pay for a TV licence, which you estimate at £15 monthly. Your partner, Tony, contributes to household expenses, paying half the bills, which amounts to £600 a month. This shared financial responsibility helps manage the overall household budget.</w:t>
      </w:r>
      <w:r>
        <w:br/>
      </w:r>
      <w:r>
        <w:rPr>
          <w:rFonts w:ascii="Calibri" w:cs="Calibri" w:eastAsia="Calibri" w:hAnsi="Calibri"/>
          <w:sz w:val="22"/>
          <w:szCs w:val="22"/>
        </w:rPr>
        <w:t xml:space="preserve">Your discretionary spending includes a gym membership, which fluctuates between £40 and £50 monthly. Your holiday expenses are significant, with this year's spending totalling £5,000 due to a cruise and a trip to Italy. In a typical year, you estimate spending around £3,000 on holidays. For entertainment, you and your friends usually go to the pub on Friday nights and occasionally dine out, estimating these costs at approximately £150 a month. Insurance for your mortgage costs £30 a month, decreasing as the mortgage is paid off. You confirmed that you have no other loans apart from your car, indicating a relatively stable financial position with manageable debt levels.</w:t>
      </w:r>
    </w:p>
    <w:p>
      <w:pPr>
        <w:pStyle w:val="Heading1"/>
        <w:shd w:fill="0e2841"/>
        <w:spacing w:after="100"/>
      </w:pPr>
      <w:r>
        <w:rPr>
          <w:rFonts w:ascii="Calibri" w:cs="Calibri" w:eastAsia="Calibri" w:hAnsi="Calibri"/>
          <w:color w:val="ffffff"/>
          <w:sz w:val="22"/>
          <w:szCs w:val="22"/>
        </w:rPr>
        <w:t xml:space="preserve">Assets</w:t>
      </w:r>
    </w:p>
    <w:p>
      <w:pPr>
        <w:spacing w:after="100"/>
        <w:rPr/>
      </w:pPr>
      <w:r>
        <w:rPr>
          <w:rFonts w:ascii="Calibri" w:cs="Calibri" w:eastAsia="Calibri" w:hAnsi="Calibri"/>
          <w:sz w:val="22"/>
          <w:szCs w:val="22"/>
        </w:rPr>
        <w:t xml:space="preserve">You own a house valued at £430,000, with a remaining mortgage of £70,000. The property is eco-friendly, featuring an air pump that costs £120 monthly, which reflects your commitment to sustainable living. You overpay your mortgage by £250 each month, which demonstrates your proactive approach to reducing your liabilities and securing your financial future. The current mortgage rate is 1.24%, but you anticipate it will increase to around 3.8% or 3.9% when the rate ends in June. Despite considering using your pension to pay off the mortgage, you are cautious about the tax implications and are exploring other options.</w:t>
      </w:r>
      <w:r>
        <w:br/>
      </w:r>
      <w:r>
        <w:rPr>
          <w:rFonts w:ascii="Calibri" w:cs="Calibri" w:eastAsia="Calibri" w:hAnsi="Calibri"/>
          <w:sz w:val="22"/>
          <w:szCs w:val="22"/>
        </w:rPr>
        <w:t xml:space="preserve">In addition to your primary residence, you have approximately £17,000 in savings. However, you plan to use £2,500 of these savings to pay off recently purchased sofas, which you charged to your credit card. This decision indicates your preference for managing debt efficiently and maintaining a healthy cash flow. Your savings strategy reflects a balance between maintaining liquidity for unexpected expenses and reducing high-interest debt.</w:t>
      </w:r>
      <w:r>
        <w:br/>
      </w:r>
      <w:r>
        <w:rPr>
          <w:rFonts w:ascii="Calibri" w:cs="Calibri" w:eastAsia="Calibri" w:hAnsi="Calibri"/>
          <w:sz w:val="22"/>
          <w:szCs w:val="22"/>
        </w:rPr>
        <w:t xml:space="preserve">You are also entitled to a quarter share of your late mother's property, valued at around £1.4 million. This potential inheritance could significantly impact your financial situation, providing additional resources for your retirement plans. However, the process is complicated by your mother's ex-partner still residing in the property, which has delayed the proceedings. You estimate that you might eventually receive at least £150,000, but the timeline remains uncertain due to ongoing legal matters. This potential asset highlights the importance of estate planning and the complexities that can arise in inheritance situations.</w:t>
      </w:r>
    </w:p>
    <w:p>
      <w:pPr>
        <w:pStyle w:val="Heading1"/>
        <w:shd w:fill="0e2841"/>
        <w:spacing w:after="100"/>
      </w:pPr>
      <w:r>
        <w:rPr>
          <w:rFonts w:ascii="Calibri" w:cs="Calibri" w:eastAsia="Calibri" w:hAnsi="Calibri"/>
          <w:color w:val="ffffff"/>
          <w:sz w:val="22"/>
          <w:szCs w:val="22"/>
        </w:rPr>
        <w:t xml:space="preserve">Liabilities</w:t>
      </w:r>
    </w:p>
    <w:p>
      <w:pPr>
        <w:spacing w:after="100"/>
        <w:rPr/>
      </w:pPr>
      <w:r>
        <w:rPr>
          <w:rFonts w:ascii="Calibri" w:cs="Calibri" w:eastAsia="Calibri" w:hAnsi="Calibri"/>
          <w:sz w:val="22"/>
          <w:szCs w:val="22"/>
        </w:rPr>
        <w:t xml:space="preserve">Your primary liability is your mortgage, which has a remaining balance of £70,000. You are proactive in managing this debt by overpaying £250 each month, in addition to your regular mortgage payment of £476. This strategy is aimed at reducing the principal balance more quickly, thereby decreasing the overall interest paid over the life of the loan. Your current mortgage rate is a favourable 1.24%, but you anticipate an increase to around 3.8% or 3.9% when your current rate ends in June. This potential increase in interest rate is a concern for you, as it could significantly impact your monthly budget and long-term financial planning.</w:t>
      </w:r>
      <w:r>
        <w:br/>
      </w:r>
      <w:r>
        <w:rPr>
          <w:rFonts w:ascii="Calibri" w:cs="Calibri" w:eastAsia="Calibri" w:hAnsi="Calibri"/>
          <w:sz w:val="22"/>
          <w:szCs w:val="22"/>
        </w:rPr>
        <w:t xml:space="preserve">You have considered using your pension to pay off the mortgage, particularly the tax-free portion, but you are cautious about the tax implications of such a move. We advised that while paying off the mortgage early could guarantee a return equivalent to the mortgage interest rate, it might not be the most efficient use of your funds given the potential for higher returns from your pension investments. You are also considering the possibility of using an anticipated inheritance to settle the mortgage, which would allow you to maintain the tax advantages of your pension investments.</w:t>
      </w:r>
      <w:r>
        <w:br/>
      </w:r>
      <w:r>
        <w:rPr>
          <w:rFonts w:ascii="Calibri" w:cs="Calibri" w:eastAsia="Calibri" w:hAnsi="Calibri"/>
          <w:sz w:val="22"/>
          <w:szCs w:val="22"/>
        </w:rPr>
        <w:t xml:space="preserve">Apart from your mortgage, you have no other significant liabilities, with the exception of your car, which is on a PCP purchase lease costing £440 monthly. You have been diligent in managing your finances, ensuring that your liabilities do not outweigh your assets. This careful financial management is part of your broader strategy to ensure a stable and secure retirement, allowing you to focus on your long-term goals without the burden of excessive debt.</w:t>
      </w:r>
    </w:p>
    <w:p>
      <w:pPr>
        <w:pStyle w:val="Heading1"/>
        <w:shd w:fill="0e2841"/>
        <w:spacing w:after="100"/>
      </w:pPr>
      <w:r>
        <w:rPr>
          <w:rFonts w:ascii="Calibri" w:cs="Calibri" w:eastAsia="Calibri" w:hAnsi="Calibri"/>
          <w:color w:val="ffffff"/>
          <w:sz w:val="22"/>
          <w:szCs w:val="22"/>
        </w:rPr>
        <w:t xml:space="preserve">Cash Position</w:t>
      </w:r>
    </w:p>
    <w:p>
      <w:pPr>
        <w:spacing w:after="100"/>
        <w:rPr/>
      </w:pPr>
      <w:r>
        <w:rPr>
          <w:rFonts w:ascii="Calibri" w:cs="Calibri" w:eastAsia="Calibri" w:hAnsi="Calibri"/>
          <w:sz w:val="22"/>
          <w:szCs w:val="22"/>
        </w:rPr>
        <w:t xml:space="preserve">Your financial situation is characterised by a careful balance between your income and expenditures. Your monthly income, primarily derived from your salary as an accountant, slightly exceeds your regular outgoings. However, despite this positive cash flow, you rarely find yourself with surplus funds at the end of the month. This is largely due to your disciplined approach to managing your finances, which includes overpaying your mortgage by £250 each month to reduce your long-term liabilities. This proactive strategy reflects your commitment to financial stability and your desire to minimise debt as you approach retirement.</w:t>
      </w:r>
      <w:r>
        <w:br/>
      </w:r>
      <w:r>
        <w:rPr>
          <w:rFonts w:ascii="Calibri" w:cs="Calibri" w:eastAsia="Calibri" w:hAnsi="Calibri"/>
          <w:sz w:val="22"/>
          <w:szCs w:val="22"/>
        </w:rPr>
        <w:t xml:space="preserve">In addition to your regular expenses, you have made significant one-off expenditures this year, such as a cruise and a trip to Italy, which totalled £5,000. These discretionary expenses, while planned, have impacted your overall cash position, highlighting the importance of budgeting for both essential and non-essential spending. Your approach to managing your finances is indicative of your broader financial strategy, which prioritises long-term security over short-term liquidity. This is further evidenced by your decision to maintain a savings buffer of approximately £17,000, which you plan to use for upcoming expenses, such as paying off £2,500 for recently purchased sofas.</w:t>
      </w:r>
      <w:r>
        <w:br/>
      </w:r>
      <w:r>
        <w:rPr>
          <w:rFonts w:ascii="Calibri" w:cs="Calibri" w:eastAsia="Calibri" w:hAnsi="Calibri"/>
          <w:sz w:val="22"/>
          <w:szCs w:val="22"/>
        </w:rPr>
        <w:t xml:space="preserve">Looking ahead, you are considering potential adjustments to your financial strategy to better align with your retirement goals. You are aware that your current cash position may need to be re-evaluated as you transition into retirement, particularly if you decide to reduce your working hours or pursue part-time employment. Your cautious approach to spending and your focus on maintaining a balanced cash position will be crucial as you navigate this next phase of your financial journey. Your ability to adapt your financial strategy in response to changing circumstances will play a key role in ensuring your long-term financial well-being.</w:t>
      </w:r>
    </w:p>
    <w:p>
      <w:pPr>
        <w:pStyle w:val="Heading1"/>
        <w:shd w:fill="0e2841"/>
        <w:spacing w:after="100"/>
      </w:pPr>
      <w:r>
        <w:rPr>
          <w:rFonts w:ascii="Calibri" w:cs="Calibri" w:eastAsia="Calibri" w:hAnsi="Calibri"/>
          <w:color w:val="ffffff"/>
          <w:sz w:val="22"/>
          <w:szCs w:val="22"/>
        </w:rPr>
        <w:t xml:space="preserve">Pensions and Retirement</w:t>
      </w:r>
    </w:p>
    <w:p>
      <w:pPr>
        <w:spacing w:after="100"/>
        <w:rPr/>
      </w:pPr>
      <w:r>
        <w:rPr>
          <w:rFonts w:ascii="Calibri" w:cs="Calibri" w:eastAsia="Calibri" w:hAnsi="Calibri"/>
          <w:sz w:val="22"/>
          <w:szCs w:val="22"/>
        </w:rPr>
        <w:t xml:space="preserve">Your current pension situation is multifaceted, involving several accounts and a pending pension sharing order. You hold a workplace pension with Nest valued at £21,000 and another with True Potential worth £46,000. The pension sharing order, resulting from your recent divorce, is expected to add significant funds, potentially worth £270,000 or more, to your retirement savings. You are considering consolidating these pensions into a single pot for more efficient management. However, you are unable to transfer your Nest pension while your employer continues to contribute to it, which you refer to as your "little play one."</w:t>
      </w:r>
    </w:p>
    <w:p>
      <w:pPr>
        <w:spacing w:after="100"/>
        <w:rPr/>
      </w:pPr>
      <w:r>
        <w:rPr>
          <w:rFonts w:ascii="Calibri" w:cs="Calibri" w:eastAsia="Calibri" w:hAnsi="Calibri"/>
          <w:sz w:val="22"/>
          <w:szCs w:val="22"/>
        </w:rPr>
        <w:t xml:space="preserve">In planning for your retirement, you have expressed a clear preference for a drawdown approach, allowing you to receive a monthly income rather than taking the 25% tax-free lump sum immediately. This strategy aligns with your goal of drawing an annual pension of £25,000 to £30,000 until your state pension begins at age 67. We explained the current pension rules, highlighting the flexibility in accessing the 25% tax-free portion and the taxation of the remaining 75% at the marginal rate. We assured you that we would explore all options, including the possibility of taking tax-free cash monthly, to optimise your pension strategy.</w:t>
      </w:r>
    </w:p>
    <w:p>
      <w:pPr>
        <w:spacing w:after="100"/>
        <w:rPr/>
      </w:pPr>
      <w:r>
        <w:rPr>
          <w:rFonts w:ascii="Calibri" w:cs="Calibri" w:eastAsia="Calibri" w:hAnsi="Calibri"/>
          <w:sz w:val="22"/>
          <w:szCs w:val="22"/>
        </w:rPr>
        <w:t xml:space="preserve">We also emphasised the importance of tax efficiency in your retirement planning. We advised utilising your personal allowance before reaching state pension age, especially if you retire early and have no other income. This approach would help minimise your tax liabilities and maximise your retirement income. We noted that while pension rules allow for flexibility, not all providers have updated their terms to accommodate these options. Therefore, part of our ongoing service would involve guiding you through a tax-efficient retirement plan, ensuring your strategy aligns with your financial goals and risk tolerance.</w:t>
      </w:r>
    </w:p>
    <w:p>
      <w:pPr>
        <w:pStyle w:val="Heading1"/>
        <w:shd w:fill="0e2841"/>
        <w:spacing w:after="100"/>
      </w:pPr>
      <w:r>
        <w:rPr>
          <w:rFonts w:ascii="Calibri" w:cs="Calibri" w:eastAsia="Calibri" w:hAnsi="Calibri"/>
          <w:color w:val="ffffff"/>
          <w:sz w:val="22"/>
          <w:szCs w:val="22"/>
        </w:rPr>
        <w:t xml:space="preserve">Investments</w:t>
      </w:r>
    </w:p>
    <w:p>
      <w:pPr>
        <w:spacing w:after="100"/>
        <w:rPr/>
      </w:pPr>
      <w:r>
        <w:rPr>
          <w:rFonts w:ascii="Calibri" w:cs="Calibri" w:eastAsia="Calibri" w:hAnsi="Calibri"/>
          <w:sz w:val="22"/>
          <w:szCs w:val="22"/>
        </w:rPr>
        <w:t xml:space="preserve">You have taken a proactive approach to managing your pension investments, reflecting your background as a former currency trader. You have opted for a higher risk strategy within your NEST pension, indicating your willingness to embrace potential volatility for the prospect of higher returns. This decision aligns with your adventurous risk profile, as you seek to maximise the growth potential of your retirement savings. For your True Potential pension, you have chosen a medium-risk strategy, balancing your desire for growth with a level of caution appropriate for the larger sum involved. This strategic allocation demonstrates your understanding of risk management and your ability to tailor your investment approach to different financial contexts.</w:t>
      </w:r>
      <w:r>
        <w:br/>
      </w:r>
      <w:r>
        <w:rPr>
          <w:rFonts w:ascii="Calibri" w:cs="Calibri" w:eastAsia="Calibri" w:hAnsi="Calibri"/>
          <w:sz w:val="22"/>
          <w:szCs w:val="22"/>
        </w:rPr>
        <w:t xml:space="preserve">In your discussions with us, you expressed a keen interest in the flexibility offered by the drawdown option for accessing your pension funds. You appreciate the ability to withdraw varying amounts as needed, such as a significant sum for a planned holiday to New Zealand. However, you remain open to exploring other options, such as annuities, which provide a guaranteed income for life. We explained the trade-offs involved, noting that while annuities offer security, they lack the flexibility and potential for growth that drawdown provides. Your interest in understanding these options highlights your commitment to making informed decisions that align with your long-term financial goals.</w:t>
      </w:r>
      <w:r>
        <w:br/>
      </w:r>
      <w:r>
        <w:rPr>
          <w:rFonts w:ascii="Calibri" w:cs="Calibri" w:eastAsia="Calibri" w:hAnsi="Calibri"/>
          <w:sz w:val="22"/>
          <w:szCs w:val="22"/>
        </w:rPr>
        <w:t xml:space="preserve">We recommended a diversified investment portfolio that includes a mix of growth and defensive assets, tailored to your risk tolerance and financial objectives. At a risk level of seven, approximately 80% of your investments would be allocated to growth assets, such as equities, which are expected to deliver higher returns over time. The remaining 20% would be invested in defensive assets, like bonds, to provide stability and reduce overall portfolio risk. This balanced approach aims to achieve your desired growth while maintaining a level of safety, ensuring your investments are well-positioned to support your retirement plans. We also emphasised the importance of regularly reviewing and adjusting your investment strategy as you approach retirement, to ensure it continues to meet your evolving needs and risk appetite.</w:t>
      </w:r>
    </w:p>
    <w:p>
      <w:pPr>
        <w:pStyle w:val="Heading1"/>
        <w:shd w:fill="0e2841"/>
        <w:spacing w:after="100"/>
      </w:pPr>
      <w:r>
        <w:rPr>
          <w:rFonts w:ascii="Calibri" w:cs="Calibri" w:eastAsia="Calibri" w:hAnsi="Calibri"/>
          <w:color w:val="ffffff"/>
          <w:sz w:val="22"/>
          <w:szCs w:val="22"/>
        </w:rPr>
        <w:t xml:space="preserve">Protection</w:t>
      </w:r>
    </w:p>
    <w:p>
      <w:pPr>
        <w:spacing w:after="100"/>
        <w:rPr/>
      </w:pPr>
      <w:r>
        <w:rPr>
          <w:rFonts w:ascii="Calibri" w:cs="Calibri" w:eastAsia="Calibri" w:hAnsi="Calibri"/>
          <w:sz w:val="22"/>
          <w:szCs w:val="22"/>
        </w:rPr>
        <w:t xml:space="preserve">You have taken steps to ensure your financial security through life insurance, specifically for your mortgage. This policy costs you £30 a month and is structured to decrease in value as the mortgage is paid off, providing a safety net for your dependents in the event of your passing. This type of decreasing term insurance is a common choice for mortgage protection, as it aligns the insurance coverage with the outstanding mortgage balance, ensuring that the debt can be settled without burdening your family.</w:t>
      </w:r>
      <w:r>
        <w:br/>
      </w:r>
      <w:r>
        <w:rPr>
          <w:rFonts w:ascii="Calibri" w:cs="Calibri" w:eastAsia="Calibri" w:hAnsi="Calibri"/>
          <w:sz w:val="22"/>
          <w:szCs w:val="22"/>
        </w:rPr>
        <w:t xml:space="preserve">In addition to your life insurance, you have been proactive in managing your financial liabilities, with no other loans apart from your car. This careful management of debt reflects your broader approach to financial planning, where you prioritise maintaining a manageable level of financial obligation. By keeping your liabilities low, you reduce the risk of financial strain, which is particularly important as you approach retirement.</w:t>
      </w:r>
      <w:r>
        <w:br/>
      </w:r>
      <w:r>
        <w:rPr>
          <w:rFonts w:ascii="Calibri" w:cs="Calibri" w:eastAsia="Calibri" w:hAnsi="Calibri"/>
          <w:sz w:val="22"/>
          <w:szCs w:val="22"/>
        </w:rPr>
        <w:t xml:space="preserve">Your approach to protection is part of a comprehensive financial strategy that includes updating your will and setting up power of attorney. These measures ensure that your financial affairs are in order and that your wishes are respected, providing peace of mind for both you and your family. By addressing both your immediate insurance needs and your long-term estate planning, you demonstrate a thorough and forward-thinking approach to financial protection.</w:t>
      </w:r>
    </w:p>
    <w:p>
      <w:pPr>
        <w:pStyle w:val="Heading1"/>
        <w:shd w:fill="0e2841"/>
        <w:spacing w:after="100"/>
      </w:pPr>
      <w:r>
        <w:rPr>
          <w:rFonts w:ascii="Calibri" w:cs="Calibri" w:eastAsia="Calibri" w:hAnsi="Calibri"/>
          <w:color w:val="ffffff"/>
          <w:sz w:val="22"/>
          <w:szCs w:val="22"/>
        </w:rPr>
        <w:t xml:space="preserve">Estate Planning</w:t>
      </w:r>
    </w:p>
    <w:p>
      <w:pPr>
        <w:spacing w:after="100"/>
        <w:rPr/>
      </w:pPr>
      <w:r>
        <w:rPr>
          <w:rFonts w:ascii="Calibri" w:cs="Calibri" w:eastAsia="Calibri" w:hAnsi="Calibri"/>
          <w:sz w:val="22"/>
          <w:szCs w:val="22"/>
        </w:rPr>
        <w:t xml:space="preserve">You are actively engaged in updating your estate planning following your divorce. You are in the process of revising your will to reflect your current circumstances and ensure your assets are distributed according to your wishes. This includes appointing your two daughters as your power of attorneys, a decision that underscores your trust in them to manage your affairs should you become unable to do so yourself. You are taking a thorough approach by involving a solicitor to ensure that all legal aspects are properly addressed, providing you with peace of mind that your estate will be managed effectively.</w:t>
      </w:r>
      <w:r>
        <w:br/>
      </w:r>
      <w:r>
        <w:rPr>
          <w:rFonts w:ascii="Calibri" w:cs="Calibri" w:eastAsia="Calibri" w:hAnsi="Calibri"/>
          <w:sz w:val="22"/>
          <w:szCs w:val="22"/>
        </w:rPr>
        <w:t xml:space="preserve">In addition to updating your will, you are considering the implications of your potential inheritance from your late mother's property, valued at approximately £1.4 million. Although the timeline for receiving your share is uncertain due to ongoing legal proceedings, you are mindful of how this inheritance could impact your estate planning. You are contemplating how best to integrate this potential asset into your overall financial strategy, ensuring that it aligns with your long-term goals and provides for your daughters in the future.</w:t>
      </w:r>
      <w:r>
        <w:br/>
      </w:r>
      <w:r>
        <w:rPr>
          <w:rFonts w:ascii="Calibri" w:cs="Calibri" w:eastAsia="Calibri" w:hAnsi="Calibri"/>
          <w:sz w:val="22"/>
          <w:szCs w:val="22"/>
        </w:rPr>
        <w:t xml:space="preserve">Your estate planning also involves careful consideration of your current assets, including your home and savings. You are aware of the importance of having a comprehensive plan that not only addresses your immediate needs but also provides for your family in the event of your passing. By updating your will and establishing power of attorney, you are taking proactive steps to safeguard your estate, demonstrating your commitment to responsible financial management and your desire to secure your family's future.</w:t>
      </w:r>
    </w:p>
    <w:p>
      <w:pPr>
        <w:pStyle w:val="Heading1"/>
        <w:shd w:fill="0e2841"/>
        <w:spacing w:after="100"/>
      </w:pPr>
      <w:r>
        <w:rPr>
          <w:rFonts w:ascii="Calibri" w:cs="Calibri" w:eastAsia="Calibri" w:hAnsi="Calibri"/>
          <w:color w:val="ffffff"/>
          <w:sz w:val="22"/>
          <w:szCs w:val="22"/>
        </w:rPr>
        <w:t xml:space="preserve">Risk Profile</w:t>
      </w:r>
    </w:p>
    <w:p>
      <w:pPr>
        <w:spacing w:after="100"/>
        <w:rPr/>
      </w:pPr>
      <w:r>
        <w:rPr>
          <w:rFonts w:ascii="Calibri" w:cs="Calibri" w:eastAsia="Calibri" w:hAnsi="Calibri"/>
          <w:sz w:val="22"/>
          <w:szCs w:val="22"/>
        </w:rPr>
        <w:t xml:space="preserve">Your attitude towards investment risk is characterised as adventurous, with a risk profile score of seven on a scale of one to ten. This indicates a willingness to accept a higher level of risk in pursuit of potentially greater returns. You are comfortable with the inherent fluctuations in investment values, viewing them as part of a long-term strategy rather than a cause for concern. Your background as a former currency trader has likely contributed to your understanding and acceptance of market volatility, allowing you to approach investment decisions with a level of confidence that aligns with your adventurous risk profile.</w:t>
      </w:r>
      <w:r>
        <w:br/>
      </w:r>
      <w:r>
        <w:rPr>
          <w:rFonts w:ascii="Calibri" w:cs="Calibri" w:eastAsia="Calibri" w:hAnsi="Calibri"/>
          <w:sz w:val="22"/>
          <w:szCs w:val="22"/>
        </w:rPr>
        <w:t xml:space="preserve">In assessing your risk tolerance, you expressed a readiness to accept moderate capital loss in the short term, recognising that such fluctuations are a natural part of investing. You associate investment risk with opportunity, indicating a proactive approach to managing your portfolio. Your investment strategy is informed by your understanding of the relationship between risk and return, and you are open to exploring a mix of medium and high-risk investments to achieve your financial goals. This approach is supported by your desire to maintain flexibility in your investment strategy, allowing you to adapt to changing market conditions and personal circumstances.</w:t>
      </w:r>
      <w:r>
        <w:br/>
      </w:r>
      <w:r>
        <w:rPr>
          <w:rFonts w:ascii="Calibri" w:cs="Calibri" w:eastAsia="Calibri" w:hAnsi="Calibri"/>
          <w:sz w:val="22"/>
          <w:szCs w:val="22"/>
        </w:rPr>
        <w:t xml:space="preserve">We have characterised your investment experience as medium, noting your reasonable understanding of non-complex investments. This level of experience supports your adventurous risk profile, as you are equipped to make informed decisions about your investment strategy. We have emphasised the importance of diversifying your portfolio across different asset classes and geographical areas to mitigate risk while aiming for growth. This diversified approach is designed to align with your risk tolerance, providing a balance between growth-oriented assets and more defensive investments to achieve your desired risk level.</w:t>
      </w:r>
    </w:p>
    <w:p>
      <w:pPr>
        <w:pStyle w:val="Heading1"/>
        <w:shd w:fill="0e2841"/>
        <w:spacing w:after="100"/>
      </w:pPr>
      <w:r>
        <w:rPr>
          <w:rFonts w:ascii="Calibri" w:cs="Calibri" w:eastAsia="Calibri" w:hAnsi="Calibri"/>
          <w:color w:val="ffffff"/>
          <w:sz w:val="22"/>
          <w:szCs w:val="22"/>
        </w:rPr>
        <w:t xml:space="preserve">Investment Preferences</w:t>
      </w:r>
    </w:p>
    <w:p>
      <w:pPr>
        <w:spacing w:after="100"/>
        <w:rPr/>
      </w:pPr>
      <w:r>
        <w:rPr>
          <w:rFonts w:ascii="Calibri" w:cs="Calibri" w:eastAsia="Calibri" w:hAnsi="Calibri"/>
          <w:sz w:val="22"/>
          <w:szCs w:val="22"/>
        </w:rPr>
        <w:t xml:space="preserve">You have expressed a preference for medium-risk investments, reflecting your comfort with a certain level of risk while seeking growth in your portfolio. You are open to allocating a portion of your investments to higher-risk options, indicating a willingness to explore opportunities that could potentially offer higher returns. This approach aligns with your adventurous attitude towards investment risk, as you are comfortable with the idea of capital fluctuations in pursuit of long-term gains. Your investment strategy is informed by your past experience as a currency trader, which has given you a foundational understanding of market dynamics and risk management.</w:t>
      </w:r>
      <w:r>
        <w:br/>
      </w:r>
      <w:r>
        <w:rPr>
          <w:rFonts w:ascii="Calibri" w:cs="Calibri" w:eastAsia="Calibri" w:hAnsi="Calibri"/>
          <w:sz w:val="22"/>
          <w:szCs w:val="22"/>
        </w:rPr>
        <w:t xml:space="preserve">We have explained the relationship between risk and return, highlighting that a medium-risk portfolio typically yields annualised returns between 5% and 6% over the long term. We have advised you on the importance of diversifying your investments across different asset classes and geographical areas to mitigate risk while maintaining the potential for growth. This diversification strategy is designed to balance your portfolio with a mix of growth-oriented assets, such as equities, and more defensive assets, like bonds. At your current risk level of seven out of 10, approximately 80% of your investments would be in growth assets, with the remaining 20% in defensive assets, aiming to achieve a balance between risk and reward.</w:t>
      </w:r>
      <w:r>
        <w:br/>
      </w:r>
      <w:r>
        <w:rPr>
          <w:rFonts w:ascii="Calibri" w:cs="Calibri" w:eastAsia="Calibri" w:hAnsi="Calibri"/>
          <w:sz w:val="22"/>
          <w:szCs w:val="22"/>
        </w:rPr>
        <w:t xml:space="preserve">You have also shown interest in maintaining flexibility within your investment strategy, particularly as you approach retirement. You have considered the possibility of adjusting your investment risk levels over time, especially if you opt for a flexible retirement approach. We have assured you that your portfolio structure can accommodate such adjustments, allowing you to remain invested for life if desired. This flexibility is crucial for you, as it provides you with the ability to adapt your investment strategy to changing circumstances and financial goals, ensuring that your portfolio continues to align with your evolving needs and risk tolerance.</w:t>
      </w:r>
    </w:p>
    <w:p>
      <w:pPr>
        <w:pStyle w:val="Heading1"/>
        <w:shd w:fill="0e2841"/>
        <w:spacing w:after="100"/>
      </w:pPr>
      <w:r>
        <w:rPr>
          <w:rFonts w:ascii="Calibri" w:cs="Calibri" w:eastAsia="Calibri" w:hAnsi="Calibri"/>
          <w:color w:val="ffffff"/>
          <w:sz w:val="22"/>
          <w:szCs w:val="22"/>
        </w:rPr>
        <w:t xml:space="preserve">Next Steps</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We will send you an email to establish contact and request a letter from Quilter.</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Letters of authority will be sent to gather information from True Potential and Nest about your investments and charges.</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You will provide policy numbers for your True Potential and Nest pensions via email.</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We will explore the most efficient option for using your pension's tax-free allowance to pay off the mortgage.</w:t>
      </w:r>
    </w:p>
    <w:p>
      <w:pPr>
        <w:pStyle w:val="TextBody"/>
        <w:numPr>
          <w:ilvl w:val="0"/>
          <w:numId w:val="3"/>
        </w:numPr>
        <w:rPr>
          <w:rFonts w:ascii="Calibri" w:cs="Calibri" w:eastAsia="Calibri" w:hAnsi="Calibri"/>
          <w:sz w:val="22"/>
          <w:szCs w:val="22"/>
        </w:rPr>
        <w:spacing w:after="100"/>
      </w:pPr>
      <w:r>
        <w:rPr>
          <w:rFonts w:ascii="Calibri" w:cs="Calibri" w:eastAsia="Calibri" w:hAnsi="Calibri"/>
          <w:sz w:val="22"/>
          <w:szCs w:val="22"/>
        </w:rPr>
        <w:t xml:space="preserve">We will revisit your investment strategy as you near retirement, considering potential de-risking.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 xmlns:w="http://schemas.openxmlformats.org/wordprocessingml/2006/main" w:numId="2">
    <w:abstractNumId w:val="2"/>
  </w:num>
  <w:num xmlns:w="http://schemas.openxmlformats.org/wordprocessingml/2006/main"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Normal">
    <w:spacing w:before="0" w:after="0"/>
    <w:name w:val="Normal"/>
    <w:qFormat/>
  </w:style>
  <w:style xmlns:w="http://schemas.openxmlformats.org/wordprocessingml/2006/main" w:type="numbering" w:styleId="Aucuneliste">
    <w:name w:val="No List"/>
    <w:uiPriority w:val="99"/>
    <w:semiHidden/>
    <w:unhideWhenUsed/>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numbering" w:styleId="NoList">
    <w:name w:val="No List"/>
    <w:uiPriority w:val="99"/>
    <w:semiHidden/>
    <w:unhideWhenUsed/>
  </w:style>
  <w:style xmlns:w="http://schemas.openxmlformats.org/wordprocessingml/2006/main" w:type="character" w:styleId="NumberingSymbols">
    <w:name w:val="Numbering Symbols"/>
    <w:qFormat/>
    <w:rPr/>
  </w:style>
  <w:style xmlns:w="http://schemas.openxmlformats.org/wordprocessingml/2006/main" w:type="table" w:styleId="Table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table" w:styleId="Tableau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assist.aveni.ai/meeting/2d800828-4646-406b-beef-1288294bc633"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2026-02-20T10:47:59.448Z</dcterms:created>
  <dcterms:modified xsi:type="dcterms:W3CDTF">2026-02-20T10:47:59.448Z</dcterms:modified>
</cp:coreProperties>
</file>

<file path=docProps/custom.xml><?xml version="1.0" encoding="utf-8"?>
<Properties xmlns="http://schemas.openxmlformats.org/officeDocument/2006/custom-properties" xmlns:vt="http://schemas.openxmlformats.org/officeDocument/2006/docPropsVTypes"/>
</file>