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D2B0" w14:textId="77777777" w:rsidR="00CA14C1" w:rsidRDefault="00CA14C1" w:rsidP="00CA14C1">
      <w:pPr>
        <w:pStyle w:val="DefaqtoHeading2-noTOC"/>
      </w:pPr>
      <w:r>
        <w:rPr>
          <w:lang w:val="en-NZ"/>
        </w:rPr>
        <w:t>Existing Holdings</w:t>
      </w:r>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03"/>
        <w:gridCol w:w="2682"/>
        <w:gridCol w:w="2704"/>
      </w:tblGrid>
      <w:tr w:rsidR="00CA14C1" w14:paraId="7B5B1BA0" w14:textId="77777777" w:rsidTr="00F94A32">
        <w:trPr>
          <w:tblCellSpacing w:w="22" w:type="dxa"/>
        </w:trPr>
        <w:tc>
          <w:tcPr>
            <w:tcW w:w="2637" w:type="dxa"/>
            <w:tcBorders>
              <w:top w:val="single" w:sz="4" w:space="0" w:color="B0A7CF"/>
              <w:left w:val="single" w:sz="4" w:space="0" w:color="B0A7CF"/>
              <w:bottom w:val="single" w:sz="4" w:space="0" w:color="B0A7CF"/>
              <w:right w:val="single" w:sz="4" w:space="0" w:color="B0A7CF"/>
            </w:tcBorders>
            <w:vAlign w:val="center"/>
            <w:hideMark/>
          </w:tcPr>
          <w:p w14:paraId="681C9D53" w14:textId="77777777" w:rsidR="00CA14C1" w:rsidRDefault="00CA14C1" w:rsidP="00F94A32">
            <w:pPr>
              <w:pStyle w:val="DefaqtoBody"/>
              <w:spacing w:before="240" w:after="240"/>
              <w:jc w:val="center"/>
              <w:rPr>
                <w:rFonts w:ascii="Poppins" w:hAnsi="Poppins" w:cs="Poppins"/>
                <w:color w:val="392388"/>
                <w:sz w:val="20"/>
                <w:szCs w:val="20"/>
                <w:vertAlign w:val="superscript"/>
              </w:rPr>
            </w:pPr>
            <w:r>
              <w:rPr>
                <w:rFonts w:ascii="Poppins" w:hAnsi="Poppins" w:cs="Poppins"/>
                <w:b/>
                <w:bCs/>
                <w:color w:val="392388"/>
                <w:sz w:val="48"/>
                <w:szCs w:val="48"/>
                <w:lang w:val="en-NZ"/>
              </w:rPr>
              <w:t>0.3%</w:t>
            </w:r>
            <w:r>
              <w:rPr>
                <w:rFonts w:ascii="Poppins" w:hAnsi="Poppins" w:cs="Poppins"/>
                <w:b/>
                <w:bCs/>
                <w:color w:val="392388"/>
                <w:sz w:val="22"/>
                <w:szCs w:val="22"/>
                <w:lang w:val="en-NZ"/>
              </w:rPr>
              <w:br/>
            </w:r>
            <w:r>
              <w:rPr>
                <w:rFonts w:ascii="Poppins" w:hAnsi="Poppins" w:cs="Poppins"/>
                <w:color w:val="392388"/>
                <w:sz w:val="20"/>
                <w:szCs w:val="20"/>
              </w:rPr>
              <w:t>Weighted AMC</w:t>
            </w:r>
            <w:r>
              <w:rPr>
                <w:rFonts w:ascii="Poppins" w:hAnsi="Poppins" w:cs="Poppins"/>
                <w:color w:val="392388"/>
                <w:sz w:val="20"/>
                <w:szCs w:val="20"/>
                <w:vertAlign w:val="superscript"/>
              </w:rPr>
              <w:t>[1]</w:t>
            </w:r>
          </w:p>
        </w:tc>
        <w:tc>
          <w:tcPr>
            <w:tcW w:w="2638" w:type="dxa"/>
            <w:tcBorders>
              <w:top w:val="single" w:sz="4" w:space="0" w:color="B0A7CF"/>
              <w:left w:val="single" w:sz="4" w:space="0" w:color="B0A7CF"/>
              <w:bottom w:val="single" w:sz="4" w:space="0" w:color="B0A7CF"/>
              <w:right w:val="single" w:sz="4" w:space="0" w:color="B0A7CF"/>
            </w:tcBorders>
            <w:vAlign w:val="center"/>
            <w:hideMark/>
          </w:tcPr>
          <w:p w14:paraId="2CCC6EDE" w14:textId="77777777" w:rsidR="00CA14C1" w:rsidRDefault="00CA14C1" w:rsidP="00F94A32">
            <w:pPr>
              <w:pStyle w:val="Tag"/>
              <w:spacing w:before="240" w:after="240" w:line="256" w:lineRule="auto"/>
              <w:jc w:val="center"/>
              <w:rPr>
                <w:rFonts w:ascii="Poppins" w:hAnsi="Poppins" w:cs="Poppins"/>
                <w:color w:val="392388"/>
              </w:rPr>
            </w:pPr>
            <w:r>
              <w:rPr>
                <w:rFonts w:ascii="Poppins" w:hAnsi="Poppins" w:cs="Poppins"/>
                <w:color w:val="392388"/>
                <w:sz w:val="48"/>
                <w:szCs w:val="48"/>
                <w:lang w:val="en-NZ"/>
              </w:rPr>
              <w:t>17.68</w:t>
            </w:r>
            <w:r>
              <w:rPr>
                <w:rFonts w:ascii="Poppins" w:hAnsi="Poppins" w:cs="Poppins"/>
                <w:b w:val="0"/>
                <w:bCs w:val="0"/>
                <w:color w:val="392388"/>
                <w:sz w:val="22"/>
                <w:szCs w:val="22"/>
                <w:lang w:val="en-NZ"/>
              </w:rPr>
              <w:br/>
            </w:r>
            <w:r>
              <w:rPr>
                <w:rFonts w:ascii="Poppins" w:hAnsi="Poppins" w:cs="Poppins"/>
                <w:b w:val="0"/>
                <w:bCs w:val="0"/>
                <w:color w:val="392388"/>
                <w:sz w:val="20"/>
                <w:szCs w:val="20"/>
                <w:lang w:val="en-NZ"/>
              </w:rPr>
              <w:t>10 Year Volatility</w:t>
            </w:r>
            <w:r>
              <w:rPr>
                <w:rFonts w:ascii="Poppins" w:hAnsi="Poppins" w:cs="Poppins"/>
                <w:b w:val="0"/>
                <w:bCs w:val="0"/>
                <w:color w:val="392388"/>
                <w:sz w:val="20"/>
                <w:szCs w:val="20"/>
                <w:vertAlign w:val="superscript"/>
                <w:lang w:val="en-NZ"/>
              </w:rPr>
              <w:t>[3]</w:t>
            </w:r>
          </w:p>
        </w:tc>
        <w:tc>
          <w:tcPr>
            <w:tcW w:w="2638" w:type="dxa"/>
            <w:tcBorders>
              <w:top w:val="single" w:sz="4" w:space="0" w:color="B0A7CF"/>
              <w:left w:val="single" w:sz="4" w:space="0" w:color="B0A7CF"/>
              <w:bottom w:val="single" w:sz="4" w:space="0" w:color="B0A7CF"/>
              <w:right w:val="single" w:sz="4" w:space="0" w:color="B0A7CF"/>
            </w:tcBorders>
            <w:vAlign w:val="center"/>
            <w:hideMark/>
          </w:tcPr>
          <w:p w14:paraId="39C5FBD6" w14:textId="77777777" w:rsidR="00CA14C1" w:rsidRDefault="00CA14C1" w:rsidP="00F94A32">
            <w:pPr>
              <w:pStyle w:val="DefaqtoBody"/>
              <w:spacing w:before="240" w:after="240"/>
              <w:jc w:val="center"/>
              <w:rPr>
                <w:rFonts w:ascii="Poppins" w:hAnsi="Poppins" w:cs="Poppins"/>
                <w:color w:val="392388"/>
              </w:rPr>
            </w:pPr>
            <w:r>
              <w:rPr>
                <w:rFonts w:ascii="Poppins" w:hAnsi="Poppins" w:cs="Poppins"/>
                <w:b/>
                <w:bCs/>
                <w:color w:val="392388"/>
                <w:sz w:val="48"/>
                <w:szCs w:val="48"/>
                <w:lang w:val="en-NZ"/>
              </w:rPr>
              <w:t>9</w:t>
            </w:r>
            <w:r>
              <w:rPr>
                <w:rFonts w:ascii="Poppins" w:hAnsi="Poppins" w:cs="Poppins"/>
                <w:color w:val="392388"/>
                <w:sz w:val="20"/>
                <w:szCs w:val="20"/>
                <w:lang w:val="en-NZ"/>
              </w:rPr>
              <w:br/>
              <w:t>Very Adventurous</w:t>
            </w:r>
            <w:r>
              <w:rPr>
                <w:rFonts w:ascii="Poppins" w:hAnsi="Poppins" w:cs="Poppins"/>
                <w:color w:val="392388"/>
                <w:sz w:val="20"/>
                <w:szCs w:val="20"/>
                <w:vertAlign w:val="superscript"/>
                <w:lang w:val="en-NZ"/>
              </w:rPr>
              <w:t>[4]</w:t>
            </w:r>
          </w:p>
        </w:tc>
      </w:tr>
    </w:tbl>
    <w:p w14:paraId="713FD5FD" w14:textId="77777777" w:rsidR="00CA14C1" w:rsidRDefault="00CA14C1" w:rsidP="00CA14C1">
      <w:pPr>
        <w:pStyle w:val="Tag"/>
        <w:rPr>
          <w:rFonts w:ascii="Calibri" w:hAnsi="Calibri"/>
          <w:color w:val="392388"/>
          <w:sz w:val="20"/>
          <w:szCs w:val="20"/>
          <w:lang w:val="en-NZ"/>
        </w:rPr>
      </w:pPr>
    </w:p>
    <w:p w14:paraId="39013755" w14:textId="77777777" w:rsidR="00CA14C1" w:rsidRDefault="00CA14C1" w:rsidP="00CA14C1">
      <w:pPr>
        <w:pStyle w:val="Defaqtosmallprint"/>
        <w:rPr>
          <w:rFonts w:ascii="Lucida Sans" w:hAnsi="Lucida Sans"/>
          <w:lang w:val="en-NZ"/>
        </w:rPr>
      </w:pPr>
      <w:r>
        <w:rPr>
          <w:rStyle w:val="DefaqtosmallprintChar"/>
          <w:rFonts w:ascii="Lucida Sans" w:hAnsi="Lucida Sans"/>
          <w:noProof/>
        </w:rPr>
        <w:t>[1]</w:t>
      </w:r>
      <w:r>
        <w:rPr>
          <w:rStyle w:val="DefaqtosmallprintChar"/>
          <w:rFonts w:ascii="Lucida Sans" w:hAnsi="Lucida Sans"/>
        </w:rPr>
        <w:t xml:space="preserve"> Annual management charge – the annual fee charge by the fund management company to cover costs directly associated with managing your fund. This will not include all costs associated with the fund.</w:t>
      </w:r>
      <w:r>
        <w:rPr>
          <w:rFonts w:ascii="Lucida Sans" w:hAnsi="Lucida Sans"/>
          <w:lang w:val="en-NZ"/>
        </w:rPr>
        <w:t xml:space="preserve"> </w:t>
      </w:r>
      <w:r>
        <w:rPr>
          <w:rFonts w:ascii="Lucida Sans" w:hAnsi="Lucida Sans"/>
          <w:lang w:val="en-NZ"/>
        </w:rPr>
        <w:br/>
        <w:t>[3]Portfolio future volatility is calculated as the standard deviation of the portfolio's simulated future values over a 10 year term using the portfolio's asset allocation.  Simulated future values are based on stochastic simulations carried out with return, volatility and correlation projections for the underlying asset classes from Hymans Robertson.</w:t>
      </w:r>
      <w:r>
        <w:rPr>
          <w:rFonts w:ascii="Lucida Sans" w:hAnsi="Lucida Sans"/>
          <w:lang w:val="en-NZ"/>
        </w:rPr>
        <w:br/>
        <w:t xml:space="preserve">[4] As a Very Adventurous investor you do not see yourself as a cautious person and usually view risk as a source of opportunity rather than as a threat.  If you have substantial experience of investments and find financial matters easy to understand then you may be suited to a Very Adventurous approach to investing.  You may also be suited to this approach if you make investment decisions quite quickly and are not generally anxious about those decisions.  As a Very Adventurous investor you normally look for higher returns rather than safer investments and understand that you need to take considerable risk to meet your investment goals. </w:t>
      </w:r>
      <w:r>
        <w:rPr>
          <w:rFonts w:ascii="Lucida Sans" w:hAnsi="Lucida Sans"/>
          <w:lang w:val="en-NZ"/>
        </w:rPr>
        <w:br/>
      </w:r>
    </w:p>
    <w:tbl>
      <w:tblPr>
        <w:tblStyle w:val="DefaqtoTable"/>
        <w:tblW w:w="5000" w:type="pct"/>
        <w:tblLayout w:type="fixed"/>
        <w:tblLook w:val="0420" w:firstRow="1" w:lastRow="0" w:firstColumn="0" w:lastColumn="0" w:noHBand="0" w:noVBand="1"/>
      </w:tblPr>
      <w:tblGrid>
        <w:gridCol w:w="4616"/>
        <w:gridCol w:w="4367"/>
        <w:gridCol w:w="1633"/>
      </w:tblGrid>
      <w:tr w:rsidR="00CA14C1" w14:paraId="072F42FB" w14:textId="77777777" w:rsidTr="00F94A32">
        <w:trPr>
          <w:cnfStyle w:val="100000000000" w:firstRow="1" w:lastRow="0" w:firstColumn="0" w:lastColumn="0" w:oddVBand="0" w:evenVBand="0" w:oddHBand="0" w:evenHBand="0" w:firstRowFirstColumn="0" w:firstRowLastColumn="0" w:lastRowFirstColumn="0" w:lastRowLastColumn="0"/>
        </w:trPr>
        <w:tc>
          <w:tcPr>
            <w:tcW w:w="2174" w:type="pct"/>
          </w:tcPr>
          <w:p w14:paraId="7EB48B6C" w14:textId="77777777" w:rsidR="00CA14C1" w:rsidRDefault="00CA14C1" w:rsidP="00F94A32">
            <w:pPr>
              <w:pStyle w:val="DefaqtoTableBody2"/>
              <w:rPr>
                <w:b w:val="0"/>
                <w:bCs w:val="0"/>
              </w:rPr>
            </w:pPr>
            <w:r>
              <w:t>Investment</w:t>
            </w:r>
          </w:p>
        </w:tc>
        <w:tc>
          <w:tcPr>
            <w:tcW w:w="2057" w:type="pct"/>
          </w:tcPr>
          <w:p w14:paraId="6F559C60" w14:textId="77777777" w:rsidR="00CA14C1" w:rsidRDefault="00CA14C1" w:rsidP="00F94A32">
            <w:pPr>
              <w:pStyle w:val="DefaqtoTableBody2"/>
              <w:rPr>
                <w:b w:val="0"/>
                <w:bCs w:val="0"/>
              </w:rPr>
            </w:pPr>
            <w:r>
              <w:t>Provider</w:t>
            </w:r>
            <w:r>
              <w:tab/>
            </w:r>
          </w:p>
        </w:tc>
        <w:tc>
          <w:tcPr>
            <w:tcW w:w="769" w:type="pct"/>
          </w:tcPr>
          <w:p w14:paraId="425D0FAD" w14:textId="77777777" w:rsidR="00CA14C1" w:rsidRDefault="00CA14C1" w:rsidP="00F94A32">
            <w:pPr>
              <w:pStyle w:val="DefaqtoTableBody2"/>
              <w:jc w:val="right"/>
              <w:rPr>
                <w:b w:val="0"/>
                <w:bCs w:val="0"/>
              </w:rPr>
            </w:pPr>
            <w:r>
              <w:t>% Invested</w:t>
            </w:r>
          </w:p>
        </w:tc>
      </w:tr>
      <w:tr w:rsidR="00CA14C1" w14:paraId="42008924" w14:textId="77777777" w:rsidTr="00F94A32">
        <w:tc>
          <w:tcPr>
            <w:tcW w:w="2174" w:type="pct"/>
          </w:tcPr>
          <w:p w14:paraId="3B295693" w14:textId="77777777" w:rsidR="00CA14C1" w:rsidRDefault="00CA14C1" w:rsidP="00F94A32">
            <w:pPr>
              <w:pStyle w:val="DefaqtoTableBody2"/>
            </w:pPr>
            <w:r>
              <w:rPr>
                <w:lang w:val="en-NZ"/>
              </w:rPr>
              <w:t>NEST Higher Risk Fund Pension (GBP)</w:t>
            </w:r>
          </w:p>
        </w:tc>
        <w:tc>
          <w:tcPr>
            <w:tcW w:w="2057" w:type="pct"/>
          </w:tcPr>
          <w:p w14:paraId="3BEB1281" w14:textId="77777777" w:rsidR="00CA14C1" w:rsidRDefault="00CA14C1" w:rsidP="00F94A32">
            <w:pPr>
              <w:pStyle w:val="DefaqtoTableBody2"/>
            </w:pPr>
            <w:r>
              <w:rPr>
                <w:lang w:val="en-NZ"/>
              </w:rPr>
              <w:t>Nest Pensions</w:t>
            </w:r>
          </w:p>
        </w:tc>
        <w:tc>
          <w:tcPr>
            <w:tcW w:w="769" w:type="pct"/>
          </w:tcPr>
          <w:p w14:paraId="4431B52E" w14:textId="77777777" w:rsidR="00CA14C1" w:rsidRDefault="00CA14C1" w:rsidP="00F94A32">
            <w:pPr>
              <w:pStyle w:val="DefaqtoTableBody2"/>
              <w:jc w:val="right"/>
            </w:pPr>
            <w:r>
              <w:rPr>
                <w:lang w:val="en-NZ"/>
              </w:rPr>
              <w:t>100.00</w:t>
            </w:r>
          </w:p>
        </w:tc>
      </w:tr>
    </w:tbl>
    <w:p w14:paraId="299A0558" w14:textId="77777777" w:rsidR="00CA14C1" w:rsidRDefault="00CA14C1" w:rsidP="00CA14C1">
      <w:pPr>
        <w:pStyle w:val="Tag"/>
        <w:rPr>
          <w:color w:val="392388"/>
        </w:rPr>
        <w:sectPr w:rsidR="00CA14C1" w:rsidSect="00CA14C1">
          <w:headerReference w:type="default" r:id="rId6"/>
          <w:footerReference w:type="default" r:id="rId7"/>
          <w:pgSz w:w="11906" w:h="16838"/>
          <w:pgMar w:top="964" w:right="640" w:bottom="376" w:left="640" w:header="300" w:footer="160" w:gutter="0"/>
          <w:cols w:space="708"/>
          <w:docGrid w:linePitch="360"/>
        </w:sectPr>
      </w:pPr>
    </w:p>
    <w:p w14:paraId="14CBBD97" w14:textId="77777777" w:rsidR="00CA14C1" w:rsidRDefault="00CA14C1" w:rsidP="00CA14C1">
      <w:pPr>
        <w:pStyle w:val="DefaqtoHeading2-noTOC"/>
      </w:pPr>
      <w:r>
        <w:lastRenderedPageBreak/>
        <w:t>Asset allocation</w:t>
      </w:r>
    </w:p>
    <w:p w14:paraId="6734FB4E" w14:textId="77777777" w:rsidR="00CA14C1" w:rsidRDefault="00CA14C1" w:rsidP="00CA14C1">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4751"/>
      </w:tblGrid>
      <w:tr w:rsidR="00CA14C1" w14:paraId="64BF84CC" w14:textId="77777777" w:rsidTr="00F94A32">
        <w:trPr>
          <w:tblCellSpacing w:w="15" w:type="dxa"/>
        </w:trPr>
        <w:tc>
          <w:tcPr>
            <w:tcW w:w="1000" w:type="pct"/>
          </w:tcPr>
          <w:p w14:paraId="7699DB0A" w14:textId="20AAABD3" w:rsidR="00CA14C1" w:rsidRDefault="00CA14C1" w:rsidP="00F94A32">
            <w:r>
              <w:rPr>
                <w:noProof/>
              </w:rPr>
              <w:drawing>
                <wp:inline distT="0" distB="0" distL="0" distR="0" wp14:anchorId="58D800C1" wp14:editId="1934FBC0">
                  <wp:extent cx="2667000" cy="2667000"/>
                  <wp:effectExtent l="0" t="0" r="0" b="0"/>
                  <wp:docPr id="206264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747"/>
              <w:gridCol w:w="2302"/>
              <w:gridCol w:w="506"/>
              <w:gridCol w:w="600"/>
              <w:gridCol w:w="521"/>
            </w:tblGrid>
            <w:tr w:rsidR="00CA14C1" w14:paraId="326631C8" w14:textId="77777777" w:rsidTr="00F94A32">
              <w:trPr>
                <w:trHeight w:val="400"/>
                <w:tblCellSpacing w:w="15" w:type="dxa"/>
              </w:trPr>
              <w:tc>
                <w:tcPr>
                  <w:tcW w:w="120" w:type="dxa"/>
                  <w:gridSpan w:val="2"/>
                  <w:tcBorders>
                    <w:bottom w:val="single" w:sz="4" w:space="0" w:color="000000"/>
                  </w:tcBorders>
                </w:tcPr>
                <w:p w14:paraId="07750A91" w14:textId="77777777" w:rsidR="00CA14C1" w:rsidRDefault="00CA14C1" w:rsidP="00F94A32">
                  <w:pPr>
                    <w:spacing w:before="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302320F0" w14:textId="77777777" w:rsidR="00CA14C1" w:rsidRDefault="00CA14C1" w:rsidP="00F94A32">
                  <w:pPr>
                    <w:spacing w:before="0" w:line="240" w:lineRule="auto"/>
                    <w:jc w:val="right"/>
                  </w:pPr>
                  <w:r>
                    <w:rPr>
                      <w:rFonts w:ascii="Poppins" w:eastAsia="Poppins" w:hAnsi="Poppins" w:cs="Poppins"/>
                      <w:b/>
                      <w:bCs/>
                      <w:sz w:val="16"/>
                      <w:szCs w:val="16"/>
                    </w:rPr>
                    <w:t>NET %</w:t>
                  </w:r>
                  <w:r>
                    <w:rPr>
                      <w:rFonts w:ascii="Cambria Math" w:eastAsia="Poppins" w:hAnsi="Cambria Math" w:cs="Cambria Math"/>
                      <w:b/>
                      <w:bCs/>
                      <w:sz w:val="16"/>
                      <w:szCs w:val="16"/>
                    </w:rPr>
                    <w:t>⁽</w:t>
                  </w:r>
                  <w:r>
                    <w:rPr>
                      <w:rFonts w:ascii="Poppins" w:eastAsia="Poppins" w:hAnsi="Poppins" w:cs="Poppins"/>
                      <w:b/>
                      <w:bCs/>
                      <w:sz w:val="16"/>
                      <w:szCs w:val="16"/>
                    </w:rPr>
                    <w:t>¹</w:t>
                  </w:r>
                  <w:r>
                    <w:rPr>
                      <w:rFonts w:ascii="Cambria Math" w:eastAsia="Poppins" w:hAnsi="Cambria Math" w:cs="Cambria Math"/>
                      <w:b/>
                      <w:bCs/>
                      <w:sz w:val="16"/>
                      <w:szCs w:val="16"/>
                    </w:rPr>
                    <w:t>⁾</w:t>
                  </w:r>
                  <w:r>
                    <w:rPr>
                      <w:rFonts w:ascii="Poppins" w:eastAsia="Poppins" w:hAnsi="Poppins" w:cs="Poppins"/>
                      <w:b/>
                      <w:bCs/>
                      <w:sz w:val="16"/>
                      <w:szCs w:val="16"/>
                    </w:rPr>
                    <w:t xml:space="preserve"> </w:t>
                  </w:r>
                </w:p>
              </w:tc>
              <w:tc>
                <w:tcPr>
                  <w:tcW w:w="550" w:type="pct"/>
                  <w:tcBorders>
                    <w:bottom w:val="single" w:sz="4" w:space="0" w:color="000000"/>
                  </w:tcBorders>
                </w:tcPr>
                <w:p w14:paraId="4EB35CDF" w14:textId="77777777" w:rsidR="00CA14C1" w:rsidRDefault="00CA14C1" w:rsidP="00F94A32">
                  <w:pPr>
                    <w:spacing w:before="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51FEAE01" w14:textId="77777777" w:rsidR="00CA14C1" w:rsidRDefault="00CA14C1" w:rsidP="00F94A32">
                  <w:pPr>
                    <w:spacing w:before="0" w:line="240" w:lineRule="auto"/>
                    <w:jc w:val="right"/>
                  </w:pPr>
                  <w:r>
                    <w:rPr>
                      <w:rFonts w:ascii="Poppins" w:eastAsia="Poppins" w:hAnsi="Poppins" w:cs="Poppins"/>
                      <w:b/>
                      <w:bCs/>
                      <w:sz w:val="16"/>
                      <w:szCs w:val="16"/>
                    </w:rPr>
                    <w:t>LONG %</w:t>
                  </w:r>
                </w:p>
              </w:tc>
            </w:tr>
            <w:tr w:rsidR="00CA14C1" w14:paraId="5F144A36" w14:textId="77777777" w:rsidTr="00F94A32">
              <w:trPr>
                <w:tblCellSpacing w:w="15" w:type="dxa"/>
              </w:trPr>
              <w:tc>
                <w:tcPr>
                  <w:tcW w:w="0" w:type="auto"/>
                  <w:vAlign w:val="center"/>
                </w:tcPr>
                <w:p w14:paraId="1590A232" w14:textId="77777777" w:rsidR="00CA14C1" w:rsidRDefault="00CA14C1" w:rsidP="00F94A32">
                  <w:pPr>
                    <w:spacing w:before="0" w:line="240" w:lineRule="auto"/>
                  </w:pPr>
                  <w:r>
                    <w:rPr>
                      <w:rFonts w:ascii="Wingdings" w:eastAsia="Wingdings" w:hAnsi="Wingdings" w:cs="Wingdings"/>
                      <w:color w:val="A1D6B5"/>
                      <w:sz w:val="16"/>
                      <w:szCs w:val="16"/>
                    </w:rPr>
                    <w:t>l</w:t>
                  </w:r>
                </w:p>
              </w:tc>
              <w:tc>
                <w:tcPr>
                  <w:tcW w:w="0" w:type="auto"/>
                  <w:vAlign w:val="center"/>
                </w:tcPr>
                <w:p w14:paraId="68AB1827" w14:textId="77777777" w:rsidR="00CA14C1" w:rsidRDefault="00CA14C1" w:rsidP="00F94A32">
                  <w:pPr>
                    <w:spacing w:before="0" w:line="240" w:lineRule="auto"/>
                  </w:pPr>
                  <w:r>
                    <w:rPr>
                      <w:rFonts w:ascii="Poppins" w:eastAsia="Poppins" w:hAnsi="Poppins" w:cs="Poppins"/>
                      <w:sz w:val="16"/>
                      <w:szCs w:val="16"/>
                    </w:rPr>
                    <w:t>Other</w:t>
                  </w:r>
                </w:p>
              </w:tc>
              <w:tc>
                <w:tcPr>
                  <w:tcW w:w="550" w:type="pct"/>
                  <w:vAlign w:val="center"/>
                </w:tcPr>
                <w:p w14:paraId="06CA6EA8" w14:textId="77777777" w:rsidR="00CA14C1" w:rsidRDefault="00CA14C1" w:rsidP="00F94A32">
                  <w:pPr>
                    <w:spacing w:before="0" w:line="240" w:lineRule="auto"/>
                    <w:jc w:val="right"/>
                  </w:pPr>
                  <w:r>
                    <w:rPr>
                      <w:rFonts w:ascii="Poppins" w:eastAsia="Poppins" w:hAnsi="Poppins" w:cs="Poppins"/>
                      <w:sz w:val="16"/>
                      <w:szCs w:val="16"/>
                    </w:rPr>
                    <w:t>100.0</w:t>
                  </w:r>
                </w:p>
              </w:tc>
              <w:tc>
                <w:tcPr>
                  <w:tcW w:w="550" w:type="pct"/>
                  <w:vAlign w:val="center"/>
                </w:tcPr>
                <w:p w14:paraId="1F03D862" w14:textId="77777777" w:rsidR="00CA14C1" w:rsidRDefault="00CA14C1" w:rsidP="00F94A32">
                  <w:pPr>
                    <w:spacing w:before="0" w:line="240" w:lineRule="auto"/>
                    <w:jc w:val="right"/>
                  </w:pPr>
                  <w:r>
                    <w:rPr>
                      <w:rFonts w:ascii="Poppins" w:eastAsia="Poppins" w:hAnsi="Poppins" w:cs="Poppins"/>
                      <w:sz w:val="16"/>
                      <w:szCs w:val="16"/>
                    </w:rPr>
                    <w:t>0.00</w:t>
                  </w:r>
                </w:p>
              </w:tc>
              <w:tc>
                <w:tcPr>
                  <w:tcW w:w="550" w:type="pct"/>
                  <w:vAlign w:val="center"/>
                </w:tcPr>
                <w:p w14:paraId="7190E7AA" w14:textId="77777777" w:rsidR="00CA14C1" w:rsidRDefault="00CA14C1" w:rsidP="00F94A32">
                  <w:pPr>
                    <w:spacing w:before="0" w:line="240" w:lineRule="auto"/>
                    <w:jc w:val="right"/>
                  </w:pPr>
                  <w:r>
                    <w:rPr>
                      <w:rFonts w:ascii="Poppins" w:eastAsia="Poppins" w:hAnsi="Poppins" w:cs="Poppins"/>
                      <w:sz w:val="16"/>
                      <w:szCs w:val="16"/>
                    </w:rPr>
                    <w:t>100.0</w:t>
                  </w:r>
                </w:p>
              </w:tc>
            </w:tr>
          </w:tbl>
          <w:p w14:paraId="286FD15C" w14:textId="77777777" w:rsidR="00CA14C1" w:rsidRDefault="00CA14C1" w:rsidP="00F94A32"/>
        </w:tc>
      </w:tr>
      <w:tr w:rsidR="00CA14C1" w14:paraId="66A5FF35" w14:textId="77777777" w:rsidTr="00F94A32">
        <w:trPr>
          <w:tblCellSpacing w:w="15" w:type="dxa"/>
        </w:trPr>
        <w:tc>
          <w:tcPr>
            <w:tcW w:w="0" w:type="auto"/>
            <w:gridSpan w:val="2"/>
          </w:tcPr>
          <w:p w14:paraId="22565FCD" w14:textId="77777777" w:rsidR="00CA14C1" w:rsidRDefault="00CA14C1" w:rsidP="00F94A32">
            <w:r>
              <w:rPr>
                <w:rFonts w:ascii="Cambria Math" w:eastAsia="Poppins" w:hAnsi="Cambria Math" w:cs="Cambria Math"/>
                <w:sz w:val="16"/>
                <w:szCs w:val="16"/>
              </w:rPr>
              <w:t>⁽</w:t>
            </w:r>
            <w:r>
              <w:rPr>
                <w:rFonts w:ascii="Poppins" w:eastAsia="Poppins" w:hAnsi="Poppins" w:cs="Poppins"/>
                <w:sz w:val="16"/>
                <w:szCs w:val="16"/>
              </w:rPr>
              <w:t>¹</w:t>
            </w:r>
            <w:r>
              <w:rPr>
                <w:rFonts w:ascii="Cambria Math" w:eastAsia="Poppins" w:hAnsi="Cambria Math" w:cs="Cambria Math"/>
                <w:sz w:val="16"/>
                <w:szCs w:val="16"/>
              </w:rPr>
              <w:t>⁾</w:t>
            </w:r>
            <w:r>
              <w:rPr>
                <w:rFonts w:ascii="Poppins" w:eastAsia="Poppins" w:hAnsi="Poppins" w:cs="Poppins"/>
                <w:sz w:val="16"/>
                <w:szCs w:val="16"/>
              </w:rPr>
              <w:t xml:space="preserve"> Due to rounding there may be a discrepancy between the Long/Short % and the Net %.</w:t>
            </w:r>
          </w:p>
        </w:tc>
      </w:tr>
    </w:tbl>
    <w:p w14:paraId="093C75E4" w14:textId="77777777" w:rsidR="00CA14C1" w:rsidRDefault="00CA14C1" w:rsidP="00CA14C1">
      <w:pPr>
        <w:spacing w:after="280" w:afterAutospacing="1"/>
      </w:pPr>
    </w:p>
    <w:p w14:paraId="6F8352F0" w14:textId="77777777" w:rsidR="00CA14C1" w:rsidRDefault="00CA14C1" w:rsidP="00CA14C1">
      <w:pPr>
        <w:rPr>
          <w:color w:val="392388"/>
          <w:lang w:val="en-NZ"/>
        </w:rPr>
      </w:pPr>
      <w:r>
        <w:rPr>
          <w:color w:val="392388"/>
          <w:lang w:val="en-NZ"/>
        </w:rPr>
        <w:br w:type="page"/>
      </w:r>
    </w:p>
    <w:p w14:paraId="1C11BA59" w14:textId="77777777" w:rsidR="00CA14C1" w:rsidRDefault="00CA14C1" w:rsidP="00CA14C1">
      <w:pPr>
        <w:pStyle w:val="DefaqtoHeading2-noTOC"/>
      </w:pPr>
      <w:r>
        <w:rPr>
          <w:lang w:val="en-NZ"/>
        </w:rPr>
        <w:lastRenderedPageBreak/>
        <w:t xml:space="preserve">Investment </w:t>
      </w:r>
      <w:r>
        <w:t>performance</w:t>
      </w:r>
    </w:p>
    <w:p w14:paraId="6F26B73B" w14:textId="77777777" w:rsidR="00CA14C1" w:rsidRDefault="00CA14C1" w:rsidP="00CA14C1">
      <w:pPr>
        <w:pStyle w:val="DefaqtoHeading3-noTOC"/>
      </w:pPr>
      <w:r>
        <w:t>Individual cumulative investment performance graph</w:t>
      </w:r>
    </w:p>
    <w:p w14:paraId="3B50368A" w14:textId="77777777" w:rsidR="00CA14C1" w:rsidRDefault="00CA14C1" w:rsidP="00CA14C1">
      <w:pPr>
        <w:pStyle w:val="DefaqtoBody"/>
        <w:rPr>
          <w:sz w:val="22"/>
          <w:szCs w:val="22"/>
        </w:rPr>
      </w:pPr>
      <w:r>
        <w:rPr>
          <w:sz w:val="22"/>
          <w:szCs w:val="22"/>
          <w:u w:color="000000"/>
        </w:rPr>
        <w:t>The chart shows an investment’s performance, calculated as NAV to NAV/Bid to Bid/Closing Price to Closing Price, with dividends/distributions reinvested, including the effect of ongoing costs and charges. These figures are calculated to the performance date 19 March 2026.</w:t>
      </w:r>
    </w:p>
    <w:p w14:paraId="0F491963" w14:textId="77777777" w:rsidR="00CA14C1" w:rsidRDefault="00CA14C1" w:rsidP="00CA14C1">
      <w:pPr>
        <w:rPr>
          <w:lang w:eastAsia="en-GB"/>
        </w:rPr>
      </w:pPr>
      <w:r>
        <w:rPr>
          <w:noProof/>
          <w:lang w:eastAsia="en-GB"/>
        </w:rPr>
        <w:drawing>
          <wp:inline distT="0" distB="0" distL="0" distR="0" wp14:anchorId="1AE4F17E" wp14:editId="5C11337B">
            <wp:extent cx="6731000" cy="4533900"/>
            <wp:effectExtent l="0" t="0" r="0" b="0"/>
            <wp:docPr id="3"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451"/>
        <w:gridCol w:w="4057"/>
        <w:gridCol w:w="451"/>
        <w:gridCol w:w="4057"/>
      </w:tblGrid>
      <w:tr w:rsidR="00CA14C1" w14:paraId="448B888A" w14:textId="77777777" w:rsidTr="00F9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025FA8DC" w14:textId="77777777" w:rsidR="00CA14C1" w:rsidRDefault="00CA14C1" w:rsidP="00F94A32">
            <w:pPr>
              <w:rPr>
                <w:sz w:val="22"/>
                <w:szCs w:val="22"/>
                <w:lang w:eastAsia="en-GB"/>
              </w:rPr>
            </w:pPr>
            <w:r>
              <w:rPr>
                <w:rFonts w:ascii="MS Mincho" w:eastAsia="MS Mincho" w:hAnsi="MS Mincho" w:cs="MS Mincho" w:hint="eastAsia"/>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2ADDB4BF"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r>
              <w:t>NEST Higher Risk Fund Pension (GBP)</w:t>
            </w:r>
          </w:p>
        </w:tc>
        <w:tc>
          <w:tcPr>
            <w:tcW w:w="250" w:type="pct"/>
            <w:tcBorders>
              <w:bottom w:val="single" w:sz="4" w:space="0" w:color="B0A7CF"/>
            </w:tcBorders>
          </w:tcPr>
          <w:p w14:paraId="166BDF67"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43663EFF"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p>
        </w:tc>
      </w:tr>
    </w:tbl>
    <w:p w14:paraId="3801F00C" w14:textId="77777777" w:rsidR="00CA14C1" w:rsidRDefault="00CA14C1" w:rsidP="00CA14C1">
      <w:pPr>
        <w:pStyle w:val="DefaqtoBody"/>
        <w:rPr>
          <w:sz w:val="22"/>
          <w:szCs w:val="22"/>
        </w:rPr>
      </w:pPr>
      <w:r>
        <w:rPr>
          <w:sz w:val="22"/>
          <w:szCs w:val="22"/>
          <w:u w:color="000000"/>
        </w:rPr>
        <w:t xml:space="preserve"> </w:t>
      </w:r>
    </w:p>
    <w:p w14:paraId="3D62D500" w14:textId="77777777" w:rsidR="00CA14C1" w:rsidRDefault="00CA14C1" w:rsidP="00CA14C1">
      <w:pPr>
        <w:pStyle w:val="DefaqtoHeading3-noTOC"/>
      </w:pPr>
      <w:r>
        <w:t>Individual cumulative investment performance table</w:t>
      </w:r>
    </w:p>
    <w:p w14:paraId="13923645" w14:textId="77777777" w:rsidR="00CA14C1" w:rsidRDefault="00CA14C1" w:rsidP="00CA14C1">
      <w:pPr>
        <w:pStyle w:val="DefaqtoBody"/>
        <w:rPr>
          <w:sz w:val="22"/>
          <w:szCs w:val="22"/>
        </w:rPr>
      </w:pPr>
      <w:r>
        <w:rPr>
          <w:sz w:val="22"/>
          <w:szCs w:val="22"/>
          <w:u w:color="000000"/>
        </w:rPr>
        <w:t>The table shows an investment’s performance, calculated as NAV to NAV/Bid to Bid/Closing Price to Closing Price, with dividends/distributions reinvested, including the effect of ongoing costs and charges.</w:t>
      </w:r>
    </w:p>
    <w:tbl>
      <w:tblPr>
        <w:tblStyle w:val="DefaqtoTable"/>
        <w:tblW w:w="5000" w:type="pct"/>
        <w:tblLook w:val="01E0" w:firstRow="1" w:lastRow="1" w:firstColumn="1" w:lastColumn="1" w:noHBand="0" w:noVBand="0"/>
      </w:tblPr>
      <w:tblGrid>
        <w:gridCol w:w="4297"/>
        <w:gridCol w:w="1233"/>
        <w:gridCol w:w="500"/>
        <w:gridCol w:w="581"/>
        <w:gridCol w:w="581"/>
        <w:gridCol w:w="581"/>
        <w:gridCol w:w="581"/>
        <w:gridCol w:w="662"/>
      </w:tblGrid>
      <w:tr w:rsidR="00CA14C1" w14:paraId="53F84190" w14:textId="77777777" w:rsidTr="00F9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6B38C3AA" w14:textId="77777777" w:rsidR="00CA14C1" w:rsidRDefault="00CA14C1" w:rsidP="00F94A32">
            <w:pPr>
              <w:pStyle w:val="DefaqtoTableBody2"/>
            </w:pPr>
            <w:r>
              <w:lastRenderedPageBreak/>
              <w:t>FUND</w:t>
            </w:r>
          </w:p>
        </w:tc>
        <w:tc>
          <w:tcPr>
            <w:tcW w:w="900" w:type="pct"/>
          </w:tcPr>
          <w:p w14:paraId="7BB73F59"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Last Performance Update</w:t>
            </w:r>
          </w:p>
        </w:tc>
        <w:tc>
          <w:tcPr>
            <w:tcW w:w="400" w:type="pct"/>
          </w:tcPr>
          <w:p w14:paraId="40063D6E"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4A6F87CB"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33B940A0"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64F117B5"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102775F0"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54E44357" w14:textId="77777777" w:rsidR="00CA14C1" w:rsidRDefault="00CA14C1"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A14C1" w14:paraId="1A004F61"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75F80CCC" w14:textId="77777777" w:rsidR="00CA14C1" w:rsidRDefault="00CA14C1" w:rsidP="00F94A32">
            <w:pPr>
              <w:pStyle w:val="DefaqtoTableBody2"/>
            </w:pPr>
            <w:r>
              <w:t>NEST Higher Risk Fund Pension (GBP)</w:t>
            </w:r>
          </w:p>
        </w:tc>
        <w:tc>
          <w:tcPr>
            <w:tcW w:w="0" w:type="auto"/>
          </w:tcPr>
          <w:p w14:paraId="480FE5FF"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24F73317"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4.42</w:t>
            </w:r>
          </w:p>
        </w:tc>
        <w:tc>
          <w:tcPr>
            <w:tcW w:w="0" w:type="auto"/>
          </w:tcPr>
          <w:p w14:paraId="3A6FCFD3"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11.18</w:t>
            </w:r>
          </w:p>
        </w:tc>
        <w:tc>
          <w:tcPr>
            <w:tcW w:w="0" w:type="auto"/>
          </w:tcPr>
          <w:p w14:paraId="6E849CA7"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19.72</w:t>
            </w:r>
          </w:p>
        </w:tc>
        <w:tc>
          <w:tcPr>
            <w:tcW w:w="0" w:type="auto"/>
          </w:tcPr>
          <w:p w14:paraId="707AAC0D"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51.11</w:t>
            </w:r>
          </w:p>
        </w:tc>
        <w:tc>
          <w:tcPr>
            <w:tcW w:w="0" w:type="auto"/>
          </w:tcPr>
          <w:p w14:paraId="2D275274"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59.28</w:t>
            </w:r>
          </w:p>
        </w:tc>
        <w:tc>
          <w:tcPr>
            <w:tcW w:w="0" w:type="auto"/>
          </w:tcPr>
          <w:p w14:paraId="5892FCFD" w14:textId="77777777" w:rsidR="00CA14C1" w:rsidRDefault="00CA14C1"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169.27</w:t>
            </w:r>
          </w:p>
        </w:tc>
      </w:tr>
    </w:tbl>
    <w:p w14:paraId="18F1EB12" w14:textId="77777777" w:rsidR="00CA14C1" w:rsidRDefault="00CA14C1" w:rsidP="00CA14C1">
      <w:pPr>
        <w:spacing w:line="240" w:lineRule="auto"/>
        <w:rPr>
          <w:color w:val="392388"/>
          <w:lang w:val="en-NZ"/>
        </w:rPr>
      </w:pPr>
    </w:p>
    <w:p w14:paraId="13D3D92C" w14:textId="77777777" w:rsidR="00CA14C1" w:rsidRDefault="00CA14C1" w:rsidP="00CA14C1">
      <w:pPr>
        <w:spacing w:line="240" w:lineRule="auto"/>
        <w:rPr>
          <w:color w:val="392388"/>
          <w:lang w:val="en-NZ"/>
        </w:rPr>
      </w:pPr>
    </w:p>
    <w:p w14:paraId="413F3956" w14:textId="77777777" w:rsidR="00CA14C1" w:rsidRDefault="00CA14C1" w:rsidP="00CA14C1">
      <w:pPr>
        <w:spacing w:line="240" w:lineRule="auto"/>
        <w:rPr>
          <w:color w:val="392388"/>
          <w:lang w:val="en-NZ"/>
        </w:rPr>
      </w:pPr>
    </w:p>
    <w:p w14:paraId="3187759B" w14:textId="77777777" w:rsidR="00CA14C1" w:rsidRDefault="00CA14C1" w:rsidP="00CA14C1">
      <w:pPr>
        <w:pStyle w:val="DefaqtoHeading3-noTOC"/>
      </w:pPr>
      <w:r>
        <w:t>Individual discrete investment performance table</w:t>
      </w:r>
    </w:p>
    <w:p w14:paraId="34B77B39" w14:textId="77777777" w:rsidR="00CA14C1" w:rsidRDefault="00CA14C1" w:rsidP="00CA14C1">
      <w:pPr>
        <w:pStyle w:val="DefaqtoBody"/>
        <w:rPr>
          <w:sz w:val="22"/>
          <w:szCs w:val="22"/>
        </w:rPr>
      </w:pPr>
      <w:r>
        <w:rPr>
          <w:sz w:val="22"/>
          <w:szCs w:val="22"/>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p w14:paraId="7DFF1138" w14:textId="77777777" w:rsidR="00CA14C1" w:rsidRDefault="00CA14C1" w:rsidP="00CA14C1">
      <w:pPr>
        <w:pStyle w:val="DefaqtoHeading4"/>
      </w:pPr>
      <w:r>
        <w:t>Existing holdings individual discrete performance data</w:t>
      </w:r>
    </w:p>
    <w:tbl>
      <w:tblPr>
        <w:tblStyle w:val="DefaqtoTable"/>
        <w:tblW w:w="5000" w:type="pct"/>
        <w:tblLook w:val="01E0" w:firstRow="1" w:lastRow="1" w:firstColumn="1" w:lastColumn="1" w:noHBand="0" w:noVBand="0"/>
      </w:tblPr>
      <w:tblGrid>
        <w:gridCol w:w="4507"/>
        <w:gridCol w:w="901"/>
        <w:gridCol w:w="902"/>
        <w:gridCol w:w="902"/>
        <w:gridCol w:w="902"/>
        <w:gridCol w:w="902"/>
      </w:tblGrid>
      <w:tr w:rsidR="00CA14C1" w14:paraId="4A654E2E" w14:textId="77777777" w:rsidTr="00F9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D44978A" w14:textId="77777777" w:rsidR="00CA14C1" w:rsidRDefault="00CA14C1" w:rsidP="00F94A32">
            <w:pPr>
              <w:pStyle w:val="DefaqtoTableBody2"/>
            </w:pPr>
            <w:r>
              <w:t>Fund</w:t>
            </w:r>
          </w:p>
        </w:tc>
        <w:tc>
          <w:tcPr>
            <w:tcW w:w="500" w:type="pct"/>
          </w:tcPr>
          <w:p w14:paraId="0B766F43"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599726EB"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16BCED73"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68EE13B7"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r>
              <w:t>2025</w:t>
            </w:r>
          </w:p>
        </w:tc>
        <w:tc>
          <w:tcPr>
            <w:tcW w:w="500" w:type="pct"/>
          </w:tcPr>
          <w:p w14:paraId="10774380" w14:textId="77777777" w:rsidR="00CA14C1" w:rsidRDefault="00CA14C1" w:rsidP="00F94A32">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A14C1" w14:paraId="322A0906"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2B751BE5" w14:textId="77777777" w:rsidR="00CA14C1" w:rsidRDefault="00CA14C1" w:rsidP="00F94A32">
            <w:pPr>
              <w:pStyle w:val="DefaqtoTableBody2"/>
            </w:pPr>
            <w:r>
              <w:t>NEST Higher Risk Fund Pension</w:t>
            </w:r>
          </w:p>
        </w:tc>
        <w:tc>
          <w:tcPr>
            <w:tcW w:w="0" w:type="auto"/>
          </w:tcPr>
          <w:p w14:paraId="46BBEA38" w14:textId="77777777" w:rsidR="00CA14C1" w:rsidRDefault="00CA14C1" w:rsidP="00F94A32">
            <w:pPr>
              <w:pStyle w:val="DefaqtoTableBody2"/>
              <w:cnfStyle w:val="000000000000" w:firstRow="0" w:lastRow="0" w:firstColumn="0" w:lastColumn="0" w:oddVBand="0" w:evenVBand="0" w:oddHBand="0" w:evenHBand="0" w:firstRowFirstColumn="0" w:firstRowLastColumn="0" w:lastRowFirstColumn="0" w:lastRowLastColumn="0"/>
            </w:pPr>
            <w:r>
              <w:t>-10.2</w:t>
            </w:r>
          </w:p>
        </w:tc>
        <w:tc>
          <w:tcPr>
            <w:tcW w:w="0" w:type="auto"/>
          </w:tcPr>
          <w:p w14:paraId="321551DE" w14:textId="77777777" w:rsidR="00CA14C1" w:rsidRDefault="00CA14C1" w:rsidP="00F94A32">
            <w:pPr>
              <w:pStyle w:val="DefaqtoTableBody2"/>
              <w:cnfStyle w:val="000000000000" w:firstRow="0" w:lastRow="0" w:firstColumn="0" w:lastColumn="0" w:oddVBand="0" w:evenVBand="0" w:oddHBand="0" w:evenHBand="0" w:firstRowFirstColumn="0" w:firstRowLastColumn="0" w:lastRowFirstColumn="0" w:lastRowLastColumn="0"/>
            </w:pPr>
            <w:r>
              <w:t>12</w:t>
            </w:r>
          </w:p>
        </w:tc>
        <w:tc>
          <w:tcPr>
            <w:tcW w:w="0" w:type="auto"/>
          </w:tcPr>
          <w:p w14:paraId="76F27E39" w14:textId="77777777" w:rsidR="00CA14C1" w:rsidRDefault="00CA14C1" w:rsidP="00F94A32">
            <w:pPr>
              <w:pStyle w:val="DefaqtoTableBody2"/>
              <w:cnfStyle w:val="000000000000" w:firstRow="0" w:lastRow="0" w:firstColumn="0" w:lastColumn="0" w:oddVBand="0" w:evenVBand="0" w:oddHBand="0" w:evenHBand="0" w:firstRowFirstColumn="0" w:firstRowLastColumn="0" w:lastRowFirstColumn="0" w:lastRowLastColumn="0"/>
            </w:pPr>
            <w:r>
              <w:t>13.83</w:t>
            </w:r>
          </w:p>
        </w:tc>
        <w:tc>
          <w:tcPr>
            <w:tcW w:w="0" w:type="auto"/>
          </w:tcPr>
          <w:p w14:paraId="4FE142F9" w14:textId="77777777" w:rsidR="00CA14C1" w:rsidRDefault="00CA14C1" w:rsidP="00F94A32">
            <w:pPr>
              <w:pStyle w:val="DefaqtoTableBody2"/>
              <w:cnfStyle w:val="000000000000" w:firstRow="0" w:lastRow="0" w:firstColumn="0" w:lastColumn="0" w:oddVBand="0" w:evenVBand="0" w:oddHBand="0" w:evenHBand="0" w:firstRowFirstColumn="0" w:firstRowLastColumn="0" w:lastRowFirstColumn="0" w:lastRowLastColumn="0"/>
            </w:pPr>
            <w:r>
              <w:t>16.44</w:t>
            </w:r>
          </w:p>
        </w:tc>
        <w:tc>
          <w:tcPr>
            <w:tcW w:w="0" w:type="auto"/>
          </w:tcPr>
          <w:p w14:paraId="0FD32473" w14:textId="77777777" w:rsidR="00CA14C1" w:rsidRDefault="00CA14C1" w:rsidP="00F94A32">
            <w:pPr>
              <w:pStyle w:val="DefaqtoTableBody2"/>
              <w:cnfStyle w:val="000000000000" w:firstRow="0" w:lastRow="0" w:firstColumn="0" w:lastColumn="0" w:oddVBand="0" w:evenVBand="0" w:oddHBand="0" w:evenHBand="0" w:firstRowFirstColumn="0" w:firstRowLastColumn="0" w:lastRowFirstColumn="0" w:lastRowLastColumn="0"/>
            </w:pPr>
            <w:r>
              <w:t>4.12</w:t>
            </w:r>
          </w:p>
        </w:tc>
      </w:tr>
    </w:tbl>
    <w:p w14:paraId="11A8FC55" w14:textId="77777777" w:rsidR="00CA14C1" w:rsidRDefault="00CA14C1" w:rsidP="00CA14C1">
      <w:pPr>
        <w:rPr>
          <w:noProof/>
          <w:color w:val="392388"/>
        </w:rPr>
      </w:pPr>
    </w:p>
    <w:p w14:paraId="3A084AE0" w14:textId="77777777" w:rsidR="00C55C4B" w:rsidRDefault="00C55C4B"/>
    <w:sectPr w:rsidR="00C55C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C9D76" w14:textId="77777777" w:rsidR="00F759F1" w:rsidRDefault="00F759F1" w:rsidP="00CA14C1">
      <w:pPr>
        <w:spacing w:before="0" w:line="240" w:lineRule="auto"/>
      </w:pPr>
      <w:r>
        <w:separator/>
      </w:r>
    </w:p>
  </w:endnote>
  <w:endnote w:type="continuationSeparator" w:id="0">
    <w:p w14:paraId="6E50972E" w14:textId="77777777" w:rsidR="00F759F1" w:rsidRDefault="00F759F1" w:rsidP="00CA14C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Lucida Sans">
    <w:altName w:val="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A14C1" w14:paraId="75380405" w14:textId="77777777">
      <w:tc>
        <w:tcPr>
          <w:tcW w:w="5257" w:type="dxa"/>
        </w:tcPr>
        <w:p w14:paraId="0B9A83D2" w14:textId="27C1CA14" w:rsidR="00CA14C1" w:rsidRDefault="00CA14C1">
          <w:pPr>
            <w:pStyle w:val="Footer"/>
            <w:spacing w:before="120"/>
            <w:rPr>
              <w:rFonts w:ascii="Poppins" w:hAnsi="Poppins" w:cs="Poppins"/>
              <w:color w:val="392388"/>
              <w:sz w:val="16"/>
              <w:szCs w:val="16"/>
            </w:rPr>
          </w:pP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64879694"/>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eastAsia="Calibri"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41BFC6BC" w14:textId="77777777" w:rsidR="00CA14C1" w:rsidRDefault="00CA14C1">
          <w:pPr>
            <w:pStyle w:val="Header"/>
            <w:spacing w:before="120"/>
            <w:ind w:right="21"/>
            <w:jc w:val="right"/>
            <w:rPr>
              <w:rFonts w:ascii="Poppins" w:hAnsi="Poppins" w:cs="Poppins"/>
              <w:color w:val="392388"/>
            </w:rPr>
          </w:pPr>
        </w:p>
      </w:tc>
    </w:tr>
  </w:tbl>
  <w:p w14:paraId="00FF18F9" w14:textId="77777777" w:rsidR="00CA14C1" w:rsidRDefault="00CA14C1">
    <w:pP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668A" w14:textId="77777777" w:rsidR="00F759F1" w:rsidRDefault="00F759F1" w:rsidP="00CA14C1">
      <w:pPr>
        <w:spacing w:before="0" w:line="240" w:lineRule="auto"/>
      </w:pPr>
      <w:r>
        <w:separator/>
      </w:r>
    </w:p>
  </w:footnote>
  <w:footnote w:type="continuationSeparator" w:id="0">
    <w:p w14:paraId="6437C8C3" w14:textId="77777777" w:rsidR="00F759F1" w:rsidRDefault="00F759F1" w:rsidP="00CA14C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D3FA" w14:textId="7BF9586A" w:rsidR="00CA14C1" w:rsidRDefault="00CA14C1">
    <w:pPr>
      <w:pStyle w:val="Header"/>
      <w:ind w:left="-284" w:right="-307"/>
      <w:jc w:val="right"/>
      <w:rPr>
        <w:rFonts w:ascii="Poppins" w:hAnsi="Poppins" w:cs="Poppins"/>
        <w:color w:val="39238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C1"/>
    <w:rsid w:val="00224AC3"/>
    <w:rsid w:val="003D2F1A"/>
    <w:rsid w:val="00C3584B"/>
    <w:rsid w:val="00C55C4B"/>
    <w:rsid w:val="00CA14C1"/>
    <w:rsid w:val="00F75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E5AC"/>
  <w15:chartTrackingRefBased/>
  <w15:docId w15:val="{33551537-ED8F-4D72-8D5C-508168FA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4C1"/>
    <w:pPr>
      <w:suppressAutoHyphens/>
      <w:spacing w:before="100" w:after="0" w:line="276" w:lineRule="auto"/>
    </w:pPr>
    <w:rPr>
      <w:rFonts w:ascii="Open Sans" w:eastAsia="Cambria" w:hAnsi="Open Sans" w:cs="Times New Roman"/>
      <w:kern w:val="0"/>
      <w14:ligatures w14:val="none"/>
    </w:rPr>
  </w:style>
  <w:style w:type="paragraph" w:styleId="Heading1">
    <w:name w:val="heading 1"/>
    <w:basedOn w:val="Normal"/>
    <w:next w:val="Normal"/>
    <w:link w:val="Heading1Char"/>
    <w:uiPriority w:val="9"/>
    <w:qFormat/>
    <w:rsid w:val="00CA14C1"/>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A14C1"/>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A14C1"/>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A14C1"/>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A14C1"/>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A14C1"/>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A14C1"/>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A14C1"/>
    <w:pPr>
      <w:keepNext/>
      <w:keepLines/>
      <w:suppressAutoHyphens w:val="0"/>
      <w:spacing w:before="0"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A14C1"/>
    <w:pPr>
      <w:keepNext/>
      <w:keepLines/>
      <w:suppressAutoHyphens w:val="0"/>
      <w:spacing w:before="0"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4C1"/>
    <w:rPr>
      <w:rFonts w:eastAsiaTheme="majorEastAsia" w:cstheme="majorBidi"/>
      <w:color w:val="272727" w:themeColor="text1" w:themeTint="D8"/>
    </w:rPr>
  </w:style>
  <w:style w:type="paragraph" w:styleId="Title">
    <w:name w:val="Title"/>
    <w:basedOn w:val="Normal"/>
    <w:next w:val="Normal"/>
    <w:link w:val="TitleChar"/>
    <w:uiPriority w:val="10"/>
    <w:qFormat/>
    <w:rsid w:val="00CA14C1"/>
    <w:pPr>
      <w:suppressAutoHyphens w:val="0"/>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A1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C1"/>
    <w:pPr>
      <w:numPr>
        <w:ilvl w:val="1"/>
      </w:numPr>
      <w:suppressAutoHyphens w:val="0"/>
      <w:spacing w:before="0"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A1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4C1"/>
    <w:pPr>
      <w:suppressAutoHyphens w:val="0"/>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A14C1"/>
    <w:rPr>
      <w:i/>
      <w:iCs/>
      <w:color w:val="404040" w:themeColor="text1" w:themeTint="BF"/>
    </w:rPr>
  </w:style>
  <w:style w:type="paragraph" w:styleId="ListParagraph">
    <w:name w:val="List Paragraph"/>
    <w:basedOn w:val="Normal"/>
    <w:uiPriority w:val="34"/>
    <w:qFormat/>
    <w:rsid w:val="00CA14C1"/>
    <w:pPr>
      <w:suppressAutoHyphens w:val="0"/>
      <w:spacing w:before="0"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A14C1"/>
    <w:rPr>
      <w:i/>
      <w:iCs/>
      <w:color w:val="0F4761" w:themeColor="accent1" w:themeShade="BF"/>
    </w:rPr>
  </w:style>
  <w:style w:type="paragraph" w:styleId="IntenseQuote">
    <w:name w:val="Intense Quote"/>
    <w:basedOn w:val="Normal"/>
    <w:next w:val="Normal"/>
    <w:link w:val="IntenseQuoteChar"/>
    <w:uiPriority w:val="30"/>
    <w:qFormat/>
    <w:rsid w:val="00CA14C1"/>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A14C1"/>
    <w:rPr>
      <w:i/>
      <w:iCs/>
      <w:color w:val="0F4761" w:themeColor="accent1" w:themeShade="BF"/>
    </w:rPr>
  </w:style>
  <w:style w:type="character" w:styleId="IntenseReference">
    <w:name w:val="Intense Reference"/>
    <w:basedOn w:val="DefaultParagraphFont"/>
    <w:uiPriority w:val="32"/>
    <w:qFormat/>
    <w:rsid w:val="00CA14C1"/>
    <w:rPr>
      <w:b/>
      <w:bCs/>
      <w:smallCaps/>
      <w:color w:val="0F4761" w:themeColor="accent1" w:themeShade="BF"/>
      <w:spacing w:val="5"/>
    </w:rPr>
  </w:style>
  <w:style w:type="paragraph" w:styleId="Footer">
    <w:name w:val="footer"/>
    <w:basedOn w:val="Normal"/>
    <w:link w:val="FooterChar"/>
    <w:uiPriority w:val="99"/>
    <w:unhideWhenUsed/>
    <w:rsid w:val="00CA14C1"/>
    <w:pPr>
      <w:tabs>
        <w:tab w:val="center" w:pos="4513"/>
        <w:tab w:val="right" w:pos="9026"/>
      </w:tabs>
      <w:spacing w:before="0" w:line="240" w:lineRule="auto"/>
    </w:pPr>
  </w:style>
  <w:style w:type="character" w:customStyle="1" w:styleId="FooterChar">
    <w:name w:val="Footer Char"/>
    <w:basedOn w:val="DefaultParagraphFont"/>
    <w:link w:val="Footer"/>
    <w:uiPriority w:val="99"/>
    <w:rsid w:val="00CA14C1"/>
    <w:rPr>
      <w:rFonts w:ascii="Open Sans" w:eastAsia="Cambria" w:hAnsi="Open Sans" w:cs="Times New Roman"/>
      <w:kern w:val="0"/>
      <w14:ligatures w14:val="none"/>
    </w:rPr>
  </w:style>
  <w:style w:type="paragraph" w:styleId="Header">
    <w:name w:val="header"/>
    <w:basedOn w:val="Normal"/>
    <w:link w:val="HeaderChar"/>
    <w:uiPriority w:val="99"/>
    <w:unhideWhenUsed/>
    <w:rsid w:val="00CA14C1"/>
    <w:pPr>
      <w:tabs>
        <w:tab w:val="center" w:pos="4513"/>
        <w:tab w:val="right" w:pos="9026"/>
      </w:tabs>
      <w:spacing w:before="0" w:line="240" w:lineRule="auto"/>
    </w:pPr>
  </w:style>
  <w:style w:type="character" w:customStyle="1" w:styleId="HeaderChar">
    <w:name w:val="Header Char"/>
    <w:basedOn w:val="DefaultParagraphFont"/>
    <w:link w:val="Header"/>
    <w:uiPriority w:val="99"/>
    <w:rsid w:val="00CA14C1"/>
    <w:rPr>
      <w:rFonts w:ascii="Open Sans" w:eastAsia="Cambria" w:hAnsi="Open Sans" w:cs="Times New Roman"/>
      <w:kern w:val="0"/>
      <w14:ligatures w14:val="none"/>
    </w:rPr>
  </w:style>
  <w:style w:type="paragraph" w:customStyle="1" w:styleId="DefaqtoBody">
    <w:name w:val="Defaqto Body"/>
    <w:basedOn w:val="Normal"/>
    <w:link w:val="DefaqtoBodyChar"/>
    <w:qFormat/>
    <w:rsid w:val="00CA14C1"/>
    <w:pPr>
      <w:spacing w:before="0" w:after="160" w:line="259" w:lineRule="auto"/>
    </w:pPr>
    <w:rPr>
      <w:rFonts w:eastAsia="Open Sans"/>
      <w:color w:val="797979"/>
      <w:sz w:val="24"/>
      <w:szCs w:val="24"/>
    </w:rPr>
  </w:style>
  <w:style w:type="character" w:customStyle="1" w:styleId="DefaqtoBodyChar">
    <w:name w:val="Defaqto Body Char"/>
    <w:basedOn w:val="DefaultParagraphFont"/>
    <w:link w:val="DefaqtoBody"/>
    <w:rsid w:val="00CA14C1"/>
    <w:rPr>
      <w:rFonts w:ascii="Open Sans" w:eastAsia="Open Sans" w:hAnsi="Open Sans" w:cs="Times New Roman"/>
      <w:color w:val="797979"/>
      <w:kern w:val="0"/>
      <w:sz w:val="24"/>
      <w:szCs w:val="24"/>
      <w14:ligatures w14:val="none"/>
    </w:rPr>
  </w:style>
  <w:style w:type="table" w:styleId="TableGrid">
    <w:name w:val="Table Grid"/>
    <w:basedOn w:val="TableNormal"/>
    <w:uiPriority w:val="39"/>
    <w:rsid w:val="00CA14C1"/>
    <w:rPr>
      <w:rFonts w:ascii="Open Sans" w:eastAsia="Open Sans" w:hAnsi="Open Sans" w:cs="Times New Roman"/>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qtoTableBody2">
    <w:name w:val="Defaqto Table Body 2"/>
    <w:basedOn w:val="Normal"/>
    <w:link w:val="DefaqtoTableBody2Char"/>
    <w:qFormat/>
    <w:rsid w:val="00CA14C1"/>
    <w:pPr>
      <w:suppressAutoHyphens w:val="0"/>
      <w:spacing w:before="60" w:after="60" w:line="259" w:lineRule="auto"/>
    </w:pPr>
    <w:rPr>
      <w:rFonts w:ascii="Calibri" w:eastAsia="Calibri" w:hAnsi="Calibri" w:cs="Arial"/>
      <w:sz w:val="16"/>
      <w:szCs w:val="16"/>
      <w:lang w:val="en-US"/>
    </w:rPr>
  </w:style>
  <w:style w:type="paragraph" w:customStyle="1" w:styleId="DefaqtoHeading2-noTOC">
    <w:name w:val="Defaqto Heading 2 - no TOC"/>
    <w:basedOn w:val="Normal"/>
    <w:link w:val="DefaqtoHeading2-noTOCChar"/>
    <w:qFormat/>
    <w:rsid w:val="00CA14C1"/>
    <w:pPr>
      <w:keepNext/>
      <w:keepLines/>
      <w:spacing w:before="240" w:after="300" w:line="240" w:lineRule="auto"/>
      <w:ind w:left="2"/>
    </w:pPr>
    <w:rPr>
      <w:rFonts w:ascii="Calibri Light" w:hAnsi="Calibri Light"/>
      <w:color w:val="402B56"/>
      <w:sz w:val="52"/>
      <w:szCs w:val="52"/>
    </w:rPr>
  </w:style>
  <w:style w:type="character" w:customStyle="1" w:styleId="DefaqtoHeading2-noTOCChar">
    <w:name w:val="Defaqto Heading 2 - no TOC Char"/>
    <w:link w:val="DefaqtoHeading2-noTOC"/>
    <w:rsid w:val="00CA14C1"/>
    <w:rPr>
      <w:rFonts w:ascii="Calibri Light" w:eastAsia="Cambria" w:hAnsi="Calibri Light" w:cs="Times New Roman"/>
      <w:color w:val="402B56"/>
      <w:kern w:val="0"/>
      <w:sz w:val="52"/>
      <w:szCs w:val="52"/>
      <w14:ligatures w14:val="none"/>
    </w:rPr>
  </w:style>
  <w:style w:type="paragraph" w:customStyle="1" w:styleId="DefaqtoHeading3-noTOC">
    <w:name w:val="Defaqto Heading 3 - no TOC"/>
    <w:basedOn w:val="Normal"/>
    <w:link w:val="DefaqtoHeading3-noTOCChar"/>
    <w:qFormat/>
    <w:rsid w:val="00CA14C1"/>
    <w:pPr>
      <w:keepNext/>
      <w:keepLines/>
      <w:spacing w:before="0" w:after="161" w:line="259" w:lineRule="auto"/>
      <w:ind w:left="2"/>
    </w:pPr>
    <w:rPr>
      <w:rFonts w:eastAsia="Calibri" w:cs="Calibri"/>
      <w:color w:val="402B56"/>
      <w:sz w:val="36"/>
      <w:szCs w:val="36"/>
      <w:lang w:val="en-NZ" w:eastAsia="en-GB"/>
    </w:rPr>
  </w:style>
  <w:style w:type="character" w:customStyle="1" w:styleId="DefaqtoHeading3-noTOCChar">
    <w:name w:val="Defaqto Heading 3 - no TOC Char"/>
    <w:link w:val="DefaqtoHeading3-noTOC"/>
    <w:rsid w:val="00CA14C1"/>
    <w:rPr>
      <w:rFonts w:ascii="Open Sans" w:eastAsia="Calibri" w:hAnsi="Open Sans" w:cs="Calibri"/>
      <w:color w:val="402B56"/>
      <w:kern w:val="0"/>
      <w:sz w:val="36"/>
      <w:szCs w:val="36"/>
      <w:lang w:val="en-NZ" w:eastAsia="en-GB"/>
      <w14:ligatures w14:val="none"/>
    </w:rPr>
  </w:style>
  <w:style w:type="paragraph" w:customStyle="1" w:styleId="Defaqtosmallprint">
    <w:name w:val="Defaqto smallprint"/>
    <w:basedOn w:val="Normal"/>
    <w:link w:val="DefaqtosmallprintChar"/>
    <w:qFormat/>
    <w:rsid w:val="00CA14C1"/>
    <w:pPr>
      <w:keepNext/>
      <w:keepLines/>
      <w:spacing w:before="240" w:after="240" w:line="259" w:lineRule="auto"/>
    </w:pPr>
    <w:rPr>
      <w:rFonts w:ascii="Calibri" w:eastAsia="MS Gothic" w:hAnsi="Calibri"/>
      <w:color w:val="808080"/>
      <w:sz w:val="16"/>
      <w:szCs w:val="16"/>
    </w:rPr>
  </w:style>
  <w:style w:type="character" w:customStyle="1" w:styleId="DefaqtosmallprintChar">
    <w:name w:val="Defaqto smallprint Char"/>
    <w:link w:val="Defaqtosmallprint"/>
    <w:rsid w:val="00CA14C1"/>
    <w:rPr>
      <w:rFonts w:ascii="Calibri" w:eastAsia="MS Gothic" w:hAnsi="Calibri" w:cs="Times New Roman"/>
      <w:color w:val="808080"/>
      <w:kern w:val="0"/>
      <w:sz w:val="16"/>
      <w:szCs w:val="16"/>
      <w14:ligatures w14:val="none"/>
    </w:rPr>
  </w:style>
  <w:style w:type="table" w:customStyle="1" w:styleId="DefaqtoTable">
    <w:name w:val="Defaqto Table"/>
    <w:basedOn w:val="TableNormal"/>
    <w:uiPriority w:val="99"/>
    <w:rsid w:val="00CA14C1"/>
    <w:rPr>
      <w:rFonts w:ascii="Calibri" w:eastAsia="Calibri" w:hAnsi="Calibri" w:cs="Times New Roman"/>
      <w:color w:val="595959"/>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bCs/>
        <w:color w:val="FFFFFF"/>
        <w:sz w:val="24"/>
        <w:szCs w:val="24"/>
      </w:rPr>
      <w:tblPr/>
      <w:tcPr>
        <w:shd w:val="clear" w:color="auto" w:fill="402B56"/>
      </w:tcPr>
    </w:tblStylePr>
    <w:tblStylePr w:type="firstCol">
      <w:pPr>
        <w:jc w:val="left"/>
      </w:pPr>
    </w:tblStylePr>
  </w:style>
  <w:style w:type="character" w:customStyle="1" w:styleId="DefaqtoTableBody2Char">
    <w:name w:val="Defaqto Table Body 2 Char"/>
    <w:link w:val="DefaqtoTableBody2"/>
    <w:rsid w:val="00CA14C1"/>
    <w:rPr>
      <w:rFonts w:ascii="Calibri" w:eastAsia="Calibri" w:hAnsi="Calibri" w:cs="Arial"/>
      <w:kern w:val="0"/>
      <w:sz w:val="16"/>
      <w:szCs w:val="16"/>
      <w:lang w:val="en-US"/>
      <w14:ligatures w14:val="none"/>
    </w:rPr>
  </w:style>
  <w:style w:type="paragraph" w:customStyle="1" w:styleId="Tag">
    <w:name w:val="Tag"/>
    <w:basedOn w:val="Normal"/>
    <w:qFormat/>
    <w:rsid w:val="00CA14C1"/>
    <w:pPr>
      <w:spacing w:before="0" w:after="200"/>
    </w:pPr>
    <w:rPr>
      <w:rFonts w:eastAsia="Open Sans"/>
      <w:b/>
      <w:bCs/>
      <w:color w:val="CB3B6D"/>
      <w:sz w:val="28"/>
      <w:szCs w:val="28"/>
    </w:rPr>
  </w:style>
  <w:style w:type="paragraph" w:customStyle="1" w:styleId="DefaqtoHeading4">
    <w:name w:val="Defaqto Heading 4"/>
    <w:basedOn w:val="Heading3"/>
    <w:qFormat/>
    <w:rsid w:val="00CA14C1"/>
    <w:pPr>
      <w:suppressAutoHyphens/>
      <w:spacing w:before="0" w:after="0"/>
      <w:ind w:left="17" w:hanging="10"/>
      <w:outlineLvl w:val="3"/>
    </w:pPr>
    <w:rPr>
      <w:rFonts w:ascii="Open Sans" w:eastAsia="Calibri" w:hAnsi="Open Sans" w:cs="Calibri"/>
      <w:color w:val="402B56"/>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Harrison</dc:creator>
  <cp:keywords/>
  <dc:description/>
  <cp:lastModifiedBy>Jane Harrison</cp:lastModifiedBy>
  <cp:revision>1</cp:revision>
  <dcterms:created xsi:type="dcterms:W3CDTF">2026-03-24T08:25:00Z</dcterms:created>
  <dcterms:modified xsi:type="dcterms:W3CDTF">2026-03-24T08:26:00Z</dcterms:modified>
</cp:coreProperties>
</file>