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1950E" w14:textId="77777777" w:rsidR="00F85015" w:rsidRDefault="00F85015" w:rsidP="00F85015">
      <w:pPr>
        <w:pStyle w:val="DefaqtoHeading2-noTOC"/>
      </w:pPr>
      <w:r>
        <w:rPr>
          <w:lang w:val="en-NZ"/>
        </w:rPr>
        <w:t>Existing Holdings</w:t>
      </w:r>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04"/>
        <w:gridCol w:w="2704"/>
      </w:tblGrid>
      <w:tr w:rsidR="00F85015" w14:paraId="0B545C68" w14:textId="77777777" w:rsidTr="009B525F">
        <w:trPr>
          <w:tblCellSpacing w:w="22" w:type="dxa"/>
        </w:trPr>
        <w:tc>
          <w:tcPr>
            <w:tcW w:w="2638" w:type="dxa"/>
            <w:tcBorders>
              <w:top w:val="single" w:sz="4" w:space="0" w:color="B0A7CF"/>
              <w:left w:val="single" w:sz="4" w:space="0" w:color="B0A7CF"/>
              <w:bottom w:val="single" w:sz="4" w:space="0" w:color="B0A7CF"/>
              <w:right w:val="single" w:sz="4" w:space="0" w:color="B0A7CF"/>
            </w:tcBorders>
            <w:vAlign w:val="center"/>
            <w:hideMark/>
          </w:tcPr>
          <w:p w14:paraId="092FE33A" w14:textId="77777777" w:rsidR="00F85015" w:rsidRDefault="00F85015" w:rsidP="009B525F">
            <w:pPr>
              <w:pStyle w:val="Tag"/>
              <w:spacing w:before="240" w:after="240" w:line="256" w:lineRule="auto"/>
              <w:jc w:val="center"/>
              <w:rPr>
                <w:rFonts w:ascii="Poppins" w:hAnsi="Poppins" w:cs="Poppins"/>
                <w:color w:val="392388"/>
              </w:rPr>
            </w:pPr>
            <w:r>
              <w:rPr>
                <w:rFonts w:ascii="Poppins" w:hAnsi="Poppins" w:cs="Poppins"/>
                <w:color w:val="392388"/>
                <w:sz w:val="48"/>
                <w:szCs w:val="48"/>
                <w:lang w:val="en-NZ"/>
              </w:rPr>
              <w:t>13.21</w:t>
            </w:r>
            <w:r>
              <w:rPr>
                <w:rFonts w:ascii="Poppins" w:hAnsi="Poppins" w:cs="Poppins"/>
                <w:b w:val="0"/>
                <w:bCs w:val="0"/>
                <w:color w:val="392388"/>
                <w:sz w:val="22"/>
                <w:szCs w:val="22"/>
                <w:lang w:val="en-NZ"/>
              </w:rPr>
              <w:br/>
            </w:r>
            <w:r>
              <w:rPr>
                <w:rFonts w:ascii="Poppins" w:hAnsi="Poppins" w:cs="Poppins"/>
                <w:b w:val="0"/>
                <w:bCs w:val="0"/>
                <w:color w:val="392388"/>
                <w:sz w:val="20"/>
                <w:szCs w:val="20"/>
                <w:lang w:val="en-NZ"/>
              </w:rPr>
              <w:t>10 Year Volatility</w:t>
            </w:r>
            <w:r>
              <w:rPr>
                <w:rFonts w:ascii="Poppins" w:hAnsi="Poppins" w:cs="Poppins"/>
                <w:b w:val="0"/>
                <w:bCs w:val="0"/>
                <w:color w:val="392388"/>
                <w:sz w:val="20"/>
                <w:szCs w:val="20"/>
                <w:vertAlign w:val="superscript"/>
                <w:lang w:val="en-NZ"/>
              </w:rPr>
              <w:t>[2]</w:t>
            </w:r>
          </w:p>
        </w:tc>
        <w:tc>
          <w:tcPr>
            <w:tcW w:w="2638" w:type="dxa"/>
            <w:tcBorders>
              <w:top w:val="single" w:sz="4" w:space="0" w:color="B0A7CF"/>
              <w:left w:val="single" w:sz="4" w:space="0" w:color="B0A7CF"/>
              <w:bottom w:val="single" w:sz="4" w:space="0" w:color="B0A7CF"/>
              <w:right w:val="single" w:sz="4" w:space="0" w:color="B0A7CF"/>
            </w:tcBorders>
            <w:vAlign w:val="center"/>
            <w:hideMark/>
          </w:tcPr>
          <w:p w14:paraId="0D2CD0D6" w14:textId="73DB7E9C" w:rsidR="007D58F5" w:rsidRDefault="00F85015" w:rsidP="007D58F5">
            <w:pPr>
              <w:pStyle w:val="DefaqtoBody"/>
              <w:spacing w:before="240" w:after="240"/>
              <w:jc w:val="center"/>
              <w:rPr>
                <w:rFonts w:ascii="Poppins" w:hAnsi="Poppins" w:cs="Poppins"/>
                <w:color w:val="392388"/>
              </w:rPr>
            </w:pPr>
            <w:r>
              <w:rPr>
                <w:rFonts w:ascii="Poppins" w:hAnsi="Poppins" w:cs="Poppins"/>
                <w:b/>
                <w:bCs/>
                <w:color w:val="392388"/>
                <w:sz w:val="48"/>
                <w:szCs w:val="48"/>
                <w:lang w:val="en-NZ"/>
              </w:rPr>
              <w:t>8</w:t>
            </w:r>
          </w:p>
        </w:tc>
      </w:tr>
    </w:tbl>
    <w:p w14:paraId="3E69AE9E" w14:textId="77777777" w:rsidR="00F85015" w:rsidRDefault="00F85015" w:rsidP="00F85015">
      <w:pPr>
        <w:pStyle w:val="Tag"/>
        <w:rPr>
          <w:rFonts w:ascii="Calibri" w:hAnsi="Calibri"/>
          <w:color w:val="392388"/>
          <w:sz w:val="20"/>
          <w:szCs w:val="20"/>
          <w:lang w:val="en-NZ"/>
        </w:rPr>
      </w:pPr>
    </w:p>
    <w:p w14:paraId="775CB61B" w14:textId="77777777" w:rsidR="00F85015" w:rsidRDefault="00F85015" w:rsidP="00F85015">
      <w:pPr>
        <w:pStyle w:val="Defaqtosmallprint"/>
        <w:rPr>
          <w:rFonts w:ascii="Lucida Sans" w:hAnsi="Lucida Sans"/>
          <w:lang w:val="en-NZ"/>
        </w:rPr>
      </w:pPr>
      <w:r>
        <w:rPr>
          <w:rFonts w:ascii="Lucida Sans" w:hAnsi="Lucida Sans"/>
          <w:lang w:val="en-NZ"/>
        </w:rPr>
        <w:t xml:space="preserve"> </w:t>
      </w:r>
      <w:r>
        <w:rPr>
          <w:rFonts w:ascii="Lucida Sans" w:hAnsi="Lucida Sans"/>
          <w:lang w:val="en-NZ"/>
        </w:rPr>
        <w:br/>
        <w:t>[2]Portfolio future volatility is calculated as the standard deviation of the portfolio's simulated future values over a 10 year term using the portfolio's asset allocation.  Simulated future values are based on stochastic simulations carried out with return, volatility and correlation projections for the underlying asset classes from Hymans Robertson.</w:t>
      </w:r>
      <w:r>
        <w:rPr>
          <w:rFonts w:ascii="Lucida Sans" w:hAnsi="Lucida Sans"/>
          <w:lang w:val="en-NZ"/>
        </w:rPr>
        <w:br/>
        <w:t>[4] As a Growth investor you do not see yourself as a cautious person and are inclined to view risk as a source of opportunity rather than as a threat.  If you have experience of investments and find financial matters fairly easy to understand then you may be suited to a Growth approach to investing.  You may also be suited to this approach if you make investment decisions relatively quickly and are not usually particularly anxious about those decisions.  As a Growth investor you typically look for higher returns rather than safer investments and understand that you need to take some risk to meet your investment goals.</w:t>
      </w:r>
      <w:r>
        <w:rPr>
          <w:rFonts w:ascii="Lucida Sans" w:hAnsi="Lucida Sans"/>
          <w:lang w:val="en-NZ"/>
        </w:rPr>
        <w:br/>
      </w:r>
    </w:p>
    <w:tbl>
      <w:tblPr>
        <w:tblStyle w:val="DefaqtoTable"/>
        <w:tblW w:w="5000" w:type="pct"/>
        <w:tblLayout w:type="fixed"/>
        <w:tblLook w:val="0420" w:firstRow="1" w:lastRow="0" w:firstColumn="0" w:lastColumn="0" w:noHBand="0" w:noVBand="1"/>
      </w:tblPr>
      <w:tblGrid>
        <w:gridCol w:w="4616"/>
        <w:gridCol w:w="4367"/>
        <w:gridCol w:w="1633"/>
      </w:tblGrid>
      <w:tr w:rsidR="00F85015" w14:paraId="07D41D7E" w14:textId="77777777" w:rsidTr="009B525F">
        <w:trPr>
          <w:cnfStyle w:val="100000000000" w:firstRow="1" w:lastRow="0" w:firstColumn="0" w:lastColumn="0" w:oddVBand="0" w:evenVBand="0" w:oddHBand="0" w:evenHBand="0" w:firstRowFirstColumn="0" w:firstRowLastColumn="0" w:lastRowFirstColumn="0" w:lastRowLastColumn="0"/>
        </w:trPr>
        <w:tc>
          <w:tcPr>
            <w:tcW w:w="2174" w:type="pct"/>
          </w:tcPr>
          <w:p w14:paraId="3AC32F1B" w14:textId="77777777" w:rsidR="00F85015" w:rsidRDefault="00F85015" w:rsidP="009B525F">
            <w:pPr>
              <w:pStyle w:val="DefaqtoTableBody2"/>
              <w:rPr>
                <w:b w:val="0"/>
                <w:bCs w:val="0"/>
              </w:rPr>
            </w:pPr>
            <w:r>
              <w:t>Investment</w:t>
            </w:r>
          </w:p>
        </w:tc>
        <w:tc>
          <w:tcPr>
            <w:tcW w:w="2057" w:type="pct"/>
          </w:tcPr>
          <w:p w14:paraId="6CF2FE0A" w14:textId="77777777" w:rsidR="00F85015" w:rsidRDefault="00F85015" w:rsidP="009B525F">
            <w:pPr>
              <w:pStyle w:val="DefaqtoTableBody2"/>
              <w:rPr>
                <w:b w:val="0"/>
                <w:bCs w:val="0"/>
              </w:rPr>
            </w:pPr>
            <w:r>
              <w:t>Provider</w:t>
            </w:r>
            <w:r>
              <w:tab/>
            </w:r>
          </w:p>
        </w:tc>
        <w:tc>
          <w:tcPr>
            <w:tcW w:w="769" w:type="pct"/>
          </w:tcPr>
          <w:p w14:paraId="4108C0AA" w14:textId="77777777" w:rsidR="00F85015" w:rsidRDefault="00F85015" w:rsidP="009B525F">
            <w:pPr>
              <w:pStyle w:val="DefaqtoTableBody2"/>
              <w:jc w:val="right"/>
              <w:rPr>
                <w:b w:val="0"/>
                <w:bCs w:val="0"/>
              </w:rPr>
            </w:pPr>
            <w:r>
              <w:t>% Invested</w:t>
            </w:r>
          </w:p>
        </w:tc>
      </w:tr>
      <w:tr w:rsidR="00F85015" w14:paraId="5AECCA2F" w14:textId="77777777" w:rsidTr="009B525F">
        <w:tc>
          <w:tcPr>
            <w:tcW w:w="2174" w:type="pct"/>
          </w:tcPr>
          <w:p w14:paraId="6F7C152E" w14:textId="77777777" w:rsidR="00F85015" w:rsidRDefault="00F85015" w:rsidP="009B525F">
            <w:pPr>
              <w:pStyle w:val="DefaqtoTableBody2"/>
            </w:pPr>
            <w:r>
              <w:rPr>
                <w:lang w:val="en-NZ"/>
              </w:rPr>
              <w:t>Vanguard Global Stock Index Fund Investor USD Accumulation (USD)</w:t>
            </w:r>
          </w:p>
        </w:tc>
        <w:tc>
          <w:tcPr>
            <w:tcW w:w="2057" w:type="pct"/>
          </w:tcPr>
          <w:p w14:paraId="06457E93" w14:textId="77777777" w:rsidR="00F85015" w:rsidRDefault="00F85015" w:rsidP="009B525F">
            <w:pPr>
              <w:pStyle w:val="DefaqtoTableBody2"/>
            </w:pPr>
            <w:r>
              <w:rPr>
                <w:lang w:val="en-NZ"/>
              </w:rPr>
              <w:t>Vanguard Group (Ireland) Limited</w:t>
            </w:r>
          </w:p>
        </w:tc>
        <w:tc>
          <w:tcPr>
            <w:tcW w:w="769" w:type="pct"/>
          </w:tcPr>
          <w:p w14:paraId="3315806E" w14:textId="77777777" w:rsidR="00F85015" w:rsidRDefault="00F85015" w:rsidP="009B525F">
            <w:pPr>
              <w:pStyle w:val="DefaqtoTableBody2"/>
              <w:jc w:val="right"/>
            </w:pPr>
            <w:r>
              <w:rPr>
                <w:lang w:val="en-NZ"/>
              </w:rPr>
              <w:t>52.90</w:t>
            </w:r>
          </w:p>
        </w:tc>
      </w:tr>
      <w:tr w:rsidR="00F85015" w14:paraId="7A71EFDD" w14:textId="77777777" w:rsidTr="009B525F">
        <w:tc>
          <w:tcPr>
            <w:tcW w:w="2174" w:type="pct"/>
          </w:tcPr>
          <w:p w14:paraId="49155F31" w14:textId="77777777" w:rsidR="00F85015" w:rsidRDefault="00F85015" w:rsidP="009B525F">
            <w:pPr>
              <w:pStyle w:val="DefaqtoTableBody2"/>
            </w:pPr>
            <w:r>
              <w:rPr>
                <w:lang w:val="en-NZ"/>
              </w:rPr>
              <w:t>Vanguard Emerging Markets Stock Index Fund GBP Acc (GBP)</w:t>
            </w:r>
          </w:p>
        </w:tc>
        <w:tc>
          <w:tcPr>
            <w:tcW w:w="2057" w:type="pct"/>
          </w:tcPr>
          <w:p w14:paraId="53F1A6C7" w14:textId="77777777" w:rsidR="00F85015" w:rsidRDefault="00F85015" w:rsidP="009B525F">
            <w:pPr>
              <w:pStyle w:val="DefaqtoTableBody2"/>
            </w:pPr>
            <w:r>
              <w:rPr>
                <w:lang w:val="en-NZ"/>
              </w:rPr>
              <w:t>Vanguard Group (Ireland) Limited</w:t>
            </w:r>
          </w:p>
        </w:tc>
        <w:tc>
          <w:tcPr>
            <w:tcW w:w="769" w:type="pct"/>
          </w:tcPr>
          <w:p w14:paraId="7898012C" w14:textId="77777777" w:rsidR="00F85015" w:rsidRDefault="00F85015" w:rsidP="009B525F">
            <w:pPr>
              <w:pStyle w:val="DefaqtoTableBody2"/>
              <w:jc w:val="right"/>
            </w:pPr>
            <w:r>
              <w:rPr>
                <w:lang w:val="en-NZ"/>
              </w:rPr>
              <w:t>16.90</w:t>
            </w:r>
          </w:p>
        </w:tc>
      </w:tr>
      <w:tr w:rsidR="00F85015" w14:paraId="46AE8737" w14:textId="77777777" w:rsidTr="009B525F">
        <w:tc>
          <w:tcPr>
            <w:tcW w:w="2174" w:type="pct"/>
          </w:tcPr>
          <w:p w14:paraId="000BED4C" w14:textId="77777777" w:rsidR="00F85015" w:rsidRDefault="00F85015" w:rsidP="009B525F">
            <w:pPr>
              <w:pStyle w:val="DefaqtoTableBody2"/>
            </w:pPr>
            <w:r>
              <w:rPr>
                <w:lang w:val="en-NZ"/>
              </w:rPr>
              <w:t>CT Emerging Market Bond Fund Z Income GBP (GBP)</w:t>
            </w:r>
          </w:p>
        </w:tc>
        <w:tc>
          <w:tcPr>
            <w:tcW w:w="2057" w:type="pct"/>
          </w:tcPr>
          <w:p w14:paraId="649B2166" w14:textId="77777777" w:rsidR="00F85015" w:rsidRDefault="00F85015" w:rsidP="009B525F">
            <w:pPr>
              <w:pStyle w:val="DefaqtoTableBody2"/>
            </w:pPr>
            <w:r>
              <w:rPr>
                <w:lang w:val="en-NZ"/>
              </w:rPr>
              <w:t>Threadneedle Investment Services Ltd</w:t>
            </w:r>
          </w:p>
        </w:tc>
        <w:tc>
          <w:tcPr>
            <w:tcW w:w="769" w:type="pct"/>
          </w:tcPr>
          <w:p w14:paraId="2E5D2704" w14:textId="77777777" w:rsidR="00F85015" w:rsidRDefault="00F85015" w:rsidP="009B525F">
            <w:pPr>
              <w:pStyle w:val="DefaqtoTableBody2"/>
              <w:jc w:val="right"/>
            </w:pPr>
            <w:r>
              <w:rPr>
                <w:lang w:val="en-NZ"/>
              </w:rPr>
              <w:t>7.30</w:t>
            </w:r>
          </w:p>
        </w:tc>
      </w:tr>
      <w:tr w:rsidR="00F85015" w14:paraId="13F09948" w14:textId="77777777" w:rsidTr="009B525F">
        <w:tc>
          <w:tcPr>
            <w:tcW w:w="2174" w:type="pct"/>
          </w:tcPr>
          <w:p w14:paraId="30861CC0" w14:textId="77777777" w:rsidR="00F85015" w:rsidRDefault="00F85015" w:rsidP="009B525F">
            <w:pPr>
              <w:pStyle w:val="DefaqtoTableBody2"/>
            </w:pPr>
            <w:r>
              <w:rPr>
                <w:lang w:val="en-NZ"/>
              </w:rPr>
              <w:t>iShares Environment &amp; Low Carbon Tilt Real Estate Index Fund (UK) D Acc (GBP)</w:t>
            </w:r>
          </w:p>
        </w:tc>
        <w:tc>
          <w:tcPr>
            <w:tcW w:w="2057" w:type="pct"/>
          </w:tcPr>
          <w:p w14:paraId="2409CE70" w14:textId="77777777" w:rsidR="00F85015" w:rsidRDefault="00F85015" w:rsidP="009B525F">
            <w:pPr>
              <w:pStyle w:val="DefaqtoTableBody2"/>
            </w:pPr>
            <w:r>
              <w:rPr>
                <w:lang w:val="en-NZ"/>
              </w:rPr>
              <w:t>BlackRock Fund Managers Limited</w:t>
            </w:r>
          </w:p>
        </w:tc>
        <w:tc>
          <w:tcPr>
            <w:tcW w:w="769" w:type="pct"/>
          </w:tcPr>
          <w:p w14:paraId="27416C9D" w14:textId="77777777" w:rsidR="00F85015" w:rsidRDefault="00F85015" w:rsidP="009B525F">
            <w:pPr>
              <w:pStyle w:val="DefaqtoTableBody2"/>
              <w:jc w:val="right"/>
            </w:pPr>
            <w:r>
              <w:rPr>
                <w:lang w:val="en-NZ"/>
              </w:rPr>
              <w:t>7.90</w:t>
            </w:r>
          </w:p>
        </w:tc>
      </w:tr>
      <w:tr w:rsidR="00F85015" w14:paraId="04BA1FDD" w14:textId="77777777" w:rsidTr="009B525F">
        <w:tc>
          <w:tcPr>
            <w:tcW w:w="2174" w:type="pct"/>
          </w:tcPr>
          <w:p w14:paraId="10351542" w14:textId="77777777" w:rsidR="00F85015" w:rsidRDefault="00F85015" w:rsidP="009B525F">
            <w:pPr>
              <w:pStyle w:val="DefaqtoTableBody2"/>
            </w:pPr>
            <w:r>
              <w:rPr>
                <w:lang w:val="en-NZ"/>
              </w:rPr>
              <w:t>Legal &amp; General All Stocks Index Linked Gilt Index Trust I Class Accumulation (GBP)</w:t>
            </w:r>
          </w:p>
        </w:tc>
        <w:tc>
          <w:tcPr>
            <w:tcW w:w="2057" w:type="pct"/>
          </w:tcPr>
          <w:p w14:paraId="5F7D3DFF" w14:textId="77777777" w:rsidR="00F85015" w:rsidRDefault="00F85015" w:rsidP="009B525F">
            <w:pPr>
              <w:pStyle w:val="DefaqtoTableBody2"/>
            </w:pPr>
            <w:r>
              <w:rPr>
                <w:lang w:val="en-NZ"/>
              </w:rPr>
              <w:t>Legal &amp; General (Unit Trust Managers) Ltd</w:t>
            </w:r>
          </w:p>
        </w:tc>
        <w:tc>
          <w:tcPr>
            <w:tcW w:w="769" w:type="pct"/>
          </w:tcPr>
          <w:p w14:paraId="62C0423E" w14:textId="77777777" w:rsidR="00F85015" w:rsidRDefault="00F85015" w:rsidP="009B525F">
            <w:pPr>
              <w:pStyle w:val="DefaqtoTableBody2"/>
              <w:jc w:val="right"/>
            </w:pPr>
            <w:r>
              <w:rPr>
                <w:lang w:val="en-NZ"/>
              </w:rPr>
              <w:t>7.70</w:t>
            </w:r>
          </w:p>
        </w:tc>
      </w:tr>
      <w:tr w:rsidR="00F85015" w14:paraId="153236E1" w14:textId="77777777" w:rsidTr="009B525F">
        <w:tc>
          <w:tcPr>
            <w:tcW w:w="2174" w:type="pct"/>
          </w:tcPr>
          <w:p w14:paraId="736524DE" w14:textId="77777777" w:rsidR="00F85015" w:rsidRDefault="00F85015" w:rsidP="009B525F">
            <w:pPr>
              <w:pStyle w:val="DefaqtoTableBody2"/>
            </w:pPr>
            <w:r>
              <w:rPr>
                <w:lang w:val="en-NZ"/>
              </w:rPr>
              <w:t>Jupiter Gold &amp; Silver Fund P2 GBP Acc (GBP)</w:t>
            </w:r>
          </w:p>
        </w:tc>
        <w:tc>
          <w:tcPr>
            <w:tcW w:w="2057" w:type="pct"/>
          </w:tcPr>
          <w:p w14:paraId="0A4452B6" w14:textId="77777777" w:rsidR="00F85015" w:rsidRDefault="00F85015" w:rsidP="009B525F">
            <w:pPr>
              <w:pStyle w:val="DefaqtoTableBody2"/>
            </w:pPr>
            <w:r>
              <w:rPr>
                <w:lang w:val="en-NZ"/>
              </w:rPr>
              <w:t>Jupiter Asset Management (Europe) Limited</w:t>
            </w:r>
          </w:p>
        </w:tc>
        <w:tc>
          <w:tcPr>
            <w:tcW w:w="769" w:type="pct"/>
          </w:tcPr>
          <w:p w14:paraId="7A25BF8B" w14:textId="77777777" w:rsidR="00F85015" w:rsidRDefault="00F85015" w:rsidP="009B525F">
            <w:pPr>
              <w:pStyle w:val="DefaqtoTableBody2"/>
              <w:jc w:val="right"/>
            </w:pPr>
            <w:r>
              <w:rPr>
                <w:lang w:val="en-NZ"/>
              </w:rPr>
              <w:t>3.90</w:t>
            </w:r>
          </w:p>
        </w:tc>
      </w:tr>
      <w:tr w:rsidR="00F85015" w14:paraId="71B38BC6" w14:textId="77777777" w:rsidTr="009B525F">
        <w:tc>
          <w:tcPr>
            <w:tcW w:w="2174" w:type="pct"/>
          </w:tcPr>
          <w:p w14:paraId="4270011F" w14:textId="77777777" w:rsidR="00F85015" w:rsidRDefault="00F85015" w:rsidP="009B525F">
            <w:pPr>
              <w:pStyle w:val="DefaqtoTableBody2"/>
            </w:pPr>
            <w:r>
              <w:rPr>
                <w:lang w:val="en-NZ"/>
              </w:rPr>
              <w:t>CT UK Commercial Property Fund 1 Acc (GBP)</w:t>
            </w:r>
          </w:p>
        </w:tc>
        <w:tc>
          <w:tcPr>
            <w:tcW w:w="2057" w:type="pct"/>
          </w:tcPr>
          <w:p w14:paraId="5DE7E29E" w14:textId="77777777" w:rsidR="00F85015" w:rsidRDefault="00F85015" w:rsidP="009B525F">
            <w:pPr>
              <w:pStyle w:val="DefaqtoTableBody2"/>
            </w:pPr>
            <w:r>
              <w:rPr>
                <w:lang w:val="en-NZ"/>
              </w:rPr>
              <w:t>Columbia Threadneedle Fund Management Limited</w:t>
            </w:r>
          </w:p>
        </w:tc>
        <w:tc>
          <w:tcPr>
            <w:tcW w:w="769" w:type="pct"/>
          </w:tcPr>
          <w:p w14:paraId="23EDB7DE" w14:textId="77777777" w:rsidR="00F85015" w:rsidRDefault="00F85015" w:rsidP="009B525F">
            <w:pPr>
              <w:pStyle w:val="DefaqtoTableBody2"/>
              <w:jc w:val="right"/>
            </w:pPr>
            <w:r>
              <w:rPr>
                <w:lang w:val="en-NZ"/>
              </w:rPr>
              <w:t>3.40</w:t>
            </w:r>
          </w:p>
        </w:tc>
      </w:tr>
    </w:tbl>
    <w:p w14:paraId="100619C0" w14:textId="77777777" w:rsidR="00F85015" w:rsidRDefault="00F85015" w:rsidP="00F85015">
      <w:pPr>
        <w:pStyle w:val="Tag"/>
        <w:rPr>
          <w:color w:val="392388"/>
        </w:rPr>
        <w:sectPr w:rsidR="00F85015" w:rsidSect="00F85015">
          <w:headerReference w:type="default" r:id="rId6"/>
          <w:footerReference w:type="default" r:id="rId7"/>
          <w:pgSz w:w="11906" w:h="16838"/>
          <w:pgMar w:top="964" w:right="640" w:bottom="376" w:left="640" w:header="300" w:footer="160" w:gutter="0"/>
          <w:cols w:space="708"/>
          <w:docGrid w:linePitch="360"/>
        </w:sectPr>
      </w:pPr>
    </w:p>
    <w:p w14:paraId="5516A71A" w14:textId="77777777" w:rsidR="00F85015" w:rsidRDefault="00F85015" w:rsidP="00F85015">
      <w:pPr>
        <w:pStyle w:val="DefaqtoHeading2-noTOC"/>
      </w:pPr>
      <w:r>
        <w:lastRenderedPageBreak/>
        <w:t>Asset allocation</w:t>
      </w:r>
    </w:p>
    <w:p w14:paraId="61156DCE" w14:textId="77777777" w:rsidR="00F85015" w:rsidRDefault="00F85015" w:rsidP="00F85015">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4751"/>
      </w:tblGrid>
      <w:tr w:rsidR="00F85015" w14:paraId="5035A1D5" w14:textId="77777777" w:rsidTr="009B525F">
        <w:trPr>
          <w:tblCellSpacing w:w="15" w:type="dxa"/>
        </w:trPr>
        <w:tc>
          <w:tcPr>
            <w:tcW w:w="1000" w:type="pct"/>
          </w:tcPr>
          <w:p w14:paraId="0E225E1E" w14:textId="77777777" w:rsidR="00F85015" w:rsidRDefault="00F85015" w:rsidP="009B525F">
            <w:r>
              <w:rPr>
                <w:noProof/>
              </w:rPr>
              <w:drawing>
                <wp:inline distT="0" distB="0" distL="0" distR="0" wp14:anchorId="51B990EB" wp14:editId="56F968C7">
                  <wp:extent cx="2667000" cy="2667000"/>
                  <wp:effectExtent l="0" t="0" r="0" b="0"/>
                  <wp:docPr id="161289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95"/>
              <w:gridCol w:w="2863"/>
              <w:gridCol w:w="498"/>
              <w:gridCol w:w="600"/>
              <w:gridCol w:w="520"/>
            </w:tblGrid>
            <w:tr w:rsidR="00F85015" w14:paraId="0A0200B6" w14:textId="77777777" w:rsidTr="009B525F">
              <w:trPr>
                <w:trHeight w:val="400"/>
                <w:tblCellSpacing w:w="15" w:type="dxa"/>
              </w:trPr>
              <w:tc>
                <w:tcPr>
                  <w:tcW w:w="120" w:type="dxa"/>
                  <w:gridSpan w:val="2"/>
                  <w:tcBorders>
                    <w:bottom w:val="single" w:sz="4" w:space="0" w:color="000000"/>
                  </w:tcBorders>
                </w:tcPr>
                <w:p w14:paraId="5781560D" w14:textId="77777777" w:rsidR="00F85015" w:rsidRDefault="00F85015" w:rsidP="009B525F">
                  <w:pPr>
                    <w:spacing w:before="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17CF108F" w14:textId="77777777" w:rsidR="00F85015" w:rsidRDefault="00F85015" w:rsidP="009B525F">
                  <w:pPr>
                    <w:spacing w:before="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7DBAFDA3" w14:textId="77777777" w:rsidR="00F85015" w:rsidRDefault="00F85015" w:rsidP="009B525F">
                  <w:pPr>
                    <w:spacing w:before="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09A13F31" w14:textId="77777777" w:rsidR="00F85015" w:rsidRDefault="00F85015" w:rsidP="009B525F">
                  <w:pPr>
                    <w:spacing w:before="0" w:line="240" w:lineRule="auto"/>
                    <w:jc w:val="right"/>
                  </w:pPr>
                  <w:r>
                    <w:rPr>
                      <w:rFonts w:ascii="Poppins" w:eastAsia="Poppins" w:hAnsi="Poppins" w:cs="Poppins"/>
                      <w:b/>
                      <w:bCs/>
                      <w:sz w:val="16"/>
                      <w:szCs w:val="16"/>
                    </w:rPr>
                    <w:t>LONG %</w:t>
                  </w:r>
                </w:p>
              </w:tc>
            </w:tr>
            <w:tr w:rsidR="00F85015" w14:paraId="5C73830B" w14:textId="77777777" w:rsidTr="009B525F">
              <w:trPr>
                <w:tblCellSpacing w:w="15" w:type="dxa"/>
              </w:trPr>
              <w:tc>
                <w:tcPr>
                  <w:tcW w:w="0" w:type="auto"/>
                  <w:vAlign w:val="center"/>
                </w:tcPr>
                <w:p w14:paraId="09E20BA7" w14:textId="77777777" w:rsidR="00F85015" w:rsidRDefault="00F85015" w:rsidP="009B525F">
                  <w:pPr>
                    <w:spacing w:before="0" w:line="240" w:lineRule="auto"/>
                  </w:pPr>
                  <w:r>
                    <w:rPr>
                      <w:rFonts w:ascii="Wingdings" w:eastAsia="Wingdings" w:hAnsi="Wingdings" w:cs="Wingdings"/>
                      <w:color w:val="8E44AD"/>
                      <w:sz w:val="16"/>
                      <w:szCs w:val="16"/>
                    </w:rPr>
                    <w:t>l</w:t>
                  </w:r>
                </w:p>
              </w:tc>
              <w:tc>
                <w:tcPr>
                  <w:tcW w:w="0" w:type="auto"/>
                  <w:vAlign w:val="center"/>
                </w:tcPr>
                <w:p w14:paraId="3FE5CEB9" w14:textId="77777777" w:rsidR="00F85015" w:rsidRDefault="00F85015" w:rsidP="009B525F">
                  <w:pPr>
                    <w:spacing w:before="0" w:line="240" w:lineRule="auto"/>
                  </w:pPr>
                  <w:r>
                    <w:rPr>
                      <w:rFonts w:ascii="Poppins" w:eastAsia="Poppins" w:hAnsi="Poppins" w:cs="Poppins"/>
                      <w:sz w:val="16"/>
                      <w:szCs w:val="16"/>
                    </w:rPr>
                    <w:t>North America Equity</w:t>
                  </w:r>
                </w:p>
              </w:tc>
              <w:tc>
                <w:tcPr>
                  <w:tcW w:w="550" w:type="pct"/>
                  <w:vAlign w:val="center"/>
                </w:tcPr>
                <w:p w14:paraId="6E386CDD" w14:textId="77777777" w:rsidR="00F85015" w:rsidRDefault="00F85015" w:rsidP="009B525F">
                  <w:pPr>
                    <w:spacing w:before="0" w:line="240" w:lineRule="auto"/>
                    <w:jc w:val="right"/>
                  </w:pPr>
                  <w:r>
                    <w:rPr>
                      <w:rFonts w:ascii="Poppins" w:eastAsia="Poppins" w:hAnsi="Poppins" w:cs="Poppins"/>
                      <w:sz w:val="16"/>
                      <w:szCs w:val="16"/>
                    </w:rPr>
                    <w:t>40.21</w:t>
                  </w:r>
                </w:p>
              </w:tc>
              <w:tc>
                <w:tcPr>
                  <w:tcW w:w="550" w:type="pct"/>
                  <w:vAlign w:val="center"/>
                </w:tcPr>
                <w:p w14:paraId="05B55C71"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19A7FBCC" w14:textId="77777777" w:rsidR="00F85015" w:rsidRDefault="00F85015" w:rsidP="009B525F">
                  <w:pPr>
                    <w:spacing w:before="0" w:line="240" w:lineRule="auto"/>
                    <w:jc w:val="right"/>
                  </w:pPr>
                  <w:r>
                    <w:rPr>
                      <w:rFonts w:ascii="Poppins" w:eastAsia="Poppins" w:hAnsi="Poppins" w:cs="Poppins"/>
                      <w:sz w:val="16"/>
                      <w:szCs w:val="16"/>
                    </w:rPr>
                    <w:t>40.21</w:t>
                  </w:r>
                </w:p>
              </w:tc>
            </w:tr>
            <w:tr w:rsidR="00F85015" w14:paraId="666628C7" w14:textId="77777777" w:rsidTr="009B525F">
              <w:trPr>
                <w:tblCellSpacing w:w="15" w:type="dxa"/>
              </w:trPr>
              <w:tc>
                <w:tcPr>
                  <w:tcW w:w="0" w:type="auto"/>
                  <w:vAlign w:val="center"/>
                </w:tcPr>
                <w:p w14:paraId="56773734" w14:textId="77777777" w:rsidR="00F85015" w:rsidRDefault="00F85015" w:rsidP="009B525F">
                  <w:pPr>
                    <w:spacing w:before="0" w:line="240" w:lineRule="auto"/>
                  </w:pPr>
                  <w:r>
                    <w:rPr>
                      <w:rFonts w:ascii="Wingdings" w:eastAsia="Wingdings" w:hAnsi="Wingdings" w:cs="Wingdings"/>
                      <w:color w:val="2C3E50"/>
                      <w:sz w:val="16"/>
                      <w:szCs w:val="16"/>
                    </w:rPr>
                    <w:t>l</w:t>
                  </w:r>
                </w:p>
              </w:tc>
              <w:tc>
                <w:tcPr>
                  <w:tcW w:w="0" w:type="auto"/>
                  <w:vAlign w:val="center"/>
                </w:tcPr>
                <w:p w14:paraId="368DA98C" w14:textId="77777777" w:rsidR="00F85015" w:rsidRDefault="00F85015" w:rsidP="009B525F">
                  <w:pPr>
                    <w:spacing w:before="0" w:line="240" w:lineRule="auto"/>
                  </w:pPr>
                  <w:r>
                    <w:rPr>
                      <w:rFonts w:ascii="Poppins" w:eastAsia="Poppins" w:hAnsi="Poppins" w:cs="Poppins"/>
                      <w:sz w:val="16"/>
                      <w:szCs w:val="16"/>
                    </w:rPr>
                    <w:t>Global Property</w:t>
                  </w:r>
                </w:p>
              </w:tc>
              <w:tc>
                <w:tcPr>
                  <w:tcW w:w="550" w:type="pct"/>
                  <w:vAlign w:val="center"/>
                </w:tcPr>
                <w:p w14:paraId="73AE29A9" w14:textId="77777777" w:rsidR="00F85015" w:rsidRDefault="00F85015" w:rsidP="009B525F">
                  <w:pPr>
                    <w:spacing w:before="0" w:line="240" w:lineRule="auto"/>
                    <w:jc w:val="right"/>
                  </w:pPr>
                  <w:r>
                    <w:rPr>
                      <w:rFonts w:ascii="Poppins" w:eastAsia="Poppins" w:hAnsi="Poppins" w:cs="Poppins"/>
                      <w:sz w:val="16"/>
                      <w:szCs w:val="16"/>
                    </w:rPr>
                    <w:t>10.64</w:t>
                  </w:r>
                </w:p>
              </w:tc>
              <w:tc>
                <w:tcPr>
                  <w:tcW w:w="550" w:type="pct"/>
                  <w:vAlign w:val="center"/>
                </w:tcPr>
                <w:p w14:paraId="7B81355F"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26E97CD1" w14:textId="77777777" w:rsidR="00F85015" w:rsidRDefault="00F85015" w:rsidP="009B525F">
                  <w:pPr>
                    <w:spacing w:before="0" w:line="240" w:lineRule="auto"/>
                    <w:jc w:val="right"/>
                  </w:pPr>
                  <w:r>
                    <w:rPr>
                      <w:rFonts w:ascii="Poppins" w:eastAsia="Poppins" w:hAnsi="Poppins" w:cs="Poppins"/>
                      <w:sz w:val="16"/>
                      <w:szCs w:val="16"/>
                    </w:rPr>
                    <w:t>10.64</w:t>
                  </w:r>
                </w:p>
              </w:tc>
            </w:tr>
            <w:tr w:rsidR="00F85015" w14:paraId="2B4E5597" w14:textId="77777777" w:rsidTr="009B525F">
              <w:trPr>
                <w:tblCellSpacing w:w="15" w:type="dxa"/>
              </w:trPr>
              <w:tc>
                <w:tcPr>
                  <w:tcW w:w="0" w:type="auto"/>
                  <w:vAlign w:val="center"/>
                </w:tcPr>
                <w:p w14:paraId="783745BD" w14:textId="77777777" w:rsidR="00F85015" w:rsidRDefault="00F85015" w:rsidP="009B525F">
                  <w:pPr>
                    <w:spacing w:before="0" w:line="240" w:lineRule="auto"/>
                  </w:pPr>
                  <w:r>
                    <w:rPr>
                      <w:rFonts w:ascii="Wingdings" w:eastAsia="Wingdings" w:hAnsi="Wingdings" w:cs="Wingdings"/>
                      <w:color w:val="727E7E"/>
                      <w:sz w:val="16"/>
                      <w:szCs w:val="16"/>
                    </w:rPr>
                    <w:t>l</w:t>
                  </w:r>
                </w:p>
              </w:tc>
              <w:tc>
                <w:tcPr>
                  <w:tcW w:w="0" w:type="auto"/>
                  <w:vAlign w:val="center"/>
                </w:tcPr>
                <w:p w14:paraId="7B7B4FA1" w14:textId="77777777" w:rsidR="00F85015" w:rsidRDefault="00F85015" w:rsidP="009B525F">
                  <w:pPr>
                    <w:spacing w:before="0" w:line="240" w:lineRule="auto"/>
                  </w:pPr>
                  <w:r>
                    <w:rPr>
                      <w:rFonts w:ascii="Poppins" w:eastAsia="Poppins" w:hAnsi="Poppins" w:cs="Poppins"/>
                      <w:sz w:val="16"/>
                      <w:szCs w:val="16"/>
                    </w:rPr>
                    <w:t>Emerging Markets Equity</w:t>
                  </w:r>
                </w:p>
              </w:tc>
              <w:tc>
                <w:tcPr>
                  <w:tcW w:w="550" w:type="pct"/>
                  <w:vAlign w:val="center"/>
                </w:tcPr>
                <w:p w14:paraId="44AAC9F3" w14:textId="77777777" w:rsidR="00F85015" w:rsidRDefault="00F85015" w:rsidP="009B525F">
                  <w:pPr>
                    <w:spacing w:before="0" w:line="240" w:lineRule="auto"/>
                    <w:jc w:val="right"/>
                  </w:pPr>
                  <w:r>
                    <w:rPr>
                      <w:rFonts w:ascii="Poppins" w:eastAsia="Poppins" w:hAnsi="Poppins" w:cs="Poppins"/>
                      <w:sz w:val="16"/>
                      <w:szCs w:val="16"/>
                    </w:rPr>
                    <w:t>10.52</w:t>
                  </w:r>
                </w:p>
              </w:tc>
              <w:tc>
                <w:tcPr>
                  <w:tcW w:w="550" w:type="pct"/>
                  <w:vAlign w:val="center"/>
                </w:tcPr>
                <w:p w14:paraId="67124FDC"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448E89EE" w14:textId="77777777" w:rsidR="00F85015" w:rsidRDefault="00F85015" w:rsidP="009B525F">
                  <w:pPr>
                    <w:spacing w:before="0" w:line="240" w:lineRule="auto"/>
                    <w:jc w:val="right"/>
                  </w:pPr>
                  <w:r>
                    <w:rPr>
                      <w:rFonts w:ascii="Poppins" w:eastAsia="Poppins" w:hAnsi="Poppins" w:cs="Poppins"/>
                      <w:sz w:val="16"/>
                      <w:szCs w:val="16"/>
                    </w:rPr>
                    <w:t>10.52</w:t>
                  </w:r>
                </w:p>
              </w:tc>
            </w:tr>
            <w:tr w:rsidR="00F85015" w14:paraId="3DE87410" w14:textId="77777777" w:rsidTr="009B525F">
              <w:trPr>
                <w:tblCellSpacing w:w="15" w:type="dxa"/>
              </w:trPr>
              <w:tc>
                <w:tcPr>
                  <w:tcW w:w="0" w:type="auto"/>
                  <w:vAlign w:val="center"/>
                </w:tcPr>
                <w:p w14:paraId="77364B6F" w14:textId="77777777" w:rsidR="00F85015" w:rsidRDefault="00F85015" w:rsidP="009B525F">
                  <w:pPr>
                    <w:spacing w:before="0" w:line="240" w:lineRule="auto"/>
                  </w:pPr>
                  <w:r>
                    <w:rPr>
                      <w:rFonts w:ascii="Wingdings" w:eastAsia="Wingdings" w:hAnsi="Wingdings" w:cs="Wingdings"/>
                      <w:color w:val="A0A5A9"/>
                      <w:sz w:val="16"/>
                      <w:szCs w:val="16"/>
                    </w:rPr>
                    <w:t>l</w:t>
                  </w:r>
                </w:p>
              </w:tc>
              <w:tc>
                <w:tcPr>
                  <w:tcW w:w="0" w:type="auto"/>
                  <w:vAlign w:val="center"/>
                </w:tcPr>
                <w:p w14:paraId="78F8C965" w14:textId="77777777" w:rsidR="00F85015" w:rsidRDefault="00F85015" w:rsidP="009B525F">
                  <w:pPr>
                    <w:spacing w:before="0" w:line="240" w:lineRule="auto"/>
                  </w:pPr>
                  <w:r>
                    <w:rPr>
                      <w:rFonts w:ascii="Poppins" w:eastAsia="Poppins" w:hAnsi="Poppins" w:cs="Poppins"/>
                      <w:sz w:val="16"/>
                      <w:szCs w:val="16"/>
                    </w:rPr>
                    <w:t>Global (ex-UK) Fixed Income</w:t>
                  </w:r>
                </w:p>
              </w:tc>
              <w:tc>
                <w:tcPr>
                  <w:tcW w:w="550" w:type="pct"/>
                  <w:vAlign w:val="center"/>
                </w:tcPr>
                <w:p w14:paraId="7B53336E" w14:textId="77777777" w:rsidR="00F85015" w:rsidRDefault="00F85015" w:rsidP="009B525F">
                  <w:pPr>
                    <w:spacing w:before="0" w:line="240" w:lineRule="auto"/>
                    <w:jc w:val="right"/>
                  </w:pPr>
                  <w:r>
                    <w:rPr>
                      <w:rFonts w:ascii="Poppins" w:eastAsia="Poppins" w:hAnsi="Poppins" w:cs="Poppins"/>
                      <w:sz w:val="16"/>
                      <w:szCs w:val="16"/>
                    </w:rPr>
                    <w:t>7.90</w:t>
                  </w:r>
                </w:p>
              </w:tc>
              <w:tc>
                <w:tcPr>
                  <w:tcW w:w="550" w:type="pct"/>
                  <w:vAlign w:val="center"/>
                </w:tcPr>
                <w:p w14:paraId="41E8FA06" w14:textId="77777777" w:rsidR="00F85015" w:rsidRDefault="00F85015" w:rsidP="009B525F">
                  <w:pPr>
                    <w:spacing w:before="0" w:line="240" w:lineRule="auto"/>
                    <w:jc w:val="right"/>
                  </w:pPr>
                  <w:r>
                    <w:rPr>
                      <w:rFonts w:ascii="Poppins" w:eastAsia="Poppins" w:hAnsi="Poppins" w:cs="Poppins"/>
                      <w:sz w:val="16"/>
                      <w:szCs w:val="16"/>
                    </w:rPr>
                    <w:t>-0.74</w:t>
                  </w:r>
                </w:p>
              </w:tc>
              <w:tc>
                <w:tcPr>
                  <w:tcW w:w="550" w:type="pct"/>
                  <w:vAlign w:val="center"/>
                </w:tcPr>
                <w:p w14:paraId="21CC83C9" w14:textId="77777777" w:rsidR="00F85015" w:rsidRDefault="00F85015" w:rsidP="009B525F">
                  <w:pPr>
                    <w:spacing w:before="0" w:line="240" w:lineRule="auto"/>
                    <w:jc w:val="right"/>
                  </w:pPr>
                  <w:r>
                    <w:rPr>
                      <w:rFonts w:ascii="Poppins" w:eastAsia="Poppins" w:hAnsi="Poppins" w:cs="Poppins"/>
                      <w:sz w:val="16"/>
                      <w:szCs w:val="16"/>
                    </w:rPr>
                    <w:t>8.64</w:t>
                  </w:r>
                </w:p>
              </w:tc>
            </w:tr>
            <w:tr w:rsidR="00F85015" w14:paraId="48EBC551" w14:textId="77777777" w:rsidTr="009B525F">
              <w:trPr>
                <w:tblCellSpacing w:w="15" w:type="dxa"/>
              </w:trPr>
              <w:tc>
                <w:tcPr>
                  <w:tcW w:w="0" w:type="auto"/>
                  <w:vAlign w:val="center"/>
                </w:tcPr>
                <w:p w14:paraId="19B94C94" w14:textId="77777777" w:rsidR="00F85015" w:rsidRDefault="00F85015" w:rsidP="009B525F">
                  <w:pPr>
                    <w:spacing w:before="0" w:line="240" w:lineRule="auto"/>
                  </w:pPr>
                  <w:r>
                    <w:rPr>
                      <w:rFonts w:ascii="Wingdings" w:eastAsia="Wingdings" w:hAnsi="Wingdings" w:cs="Wingdings"/>
                      <w:color w:val="F39C12"/>
                      <w:sz w:val="16"/>
                      <w:szCs w:val="16"/>
                    </w:rPr>
                    <w:t>l</w:t>
                  </w:r>
                </w:p>
              </w:tc>
              <w:tc>
                <w:tcPr>
                  <w:tcW w:w="0" w:type="auto"/>
                  <w:vAlign w:val="center"/>
                </w:tcPr>
                <w:p w14:paraId="74BB772B" w14:textId="77777777" w:rsidR="00F85015" w:rsidRDefault="00F85015" w:rsidP="009B525F">
                  <w:pPr>
                    <w:spacing w:before="0" w:line="240" w:lineRule="auto"/>
                  </w:pPr>
                  <w:r>
                    <w:rPr>
                      <w:rFonts w:ascii="Poppins" w:eastAsia="Poppins" w:hAnsi="Poppins" w:cs="Poppins"/>
                      <w:sz w:val="16"/>
                      <w:szCs w:val="16"/>
                    </w:rPr>
                    <w:t>Developed Pacific (ex-Japan) Equity</w:t>
                  </w:r>
                </w:p>
              </w:tc>
              <w:tc>
                <w:tcPr>
                  <w:tcW w:w="550" w:type="pct"/>
                  <w:vAlign w:val="center"/>
                </w:tcPr>
                <w:p w14:paraId="56D7AFAB" w14:textId="77777777" w:rsidR="00F85015" w:rsidRDefault="00F85015" w:rsidP="009B525F">
                  <w:pPr>
                    <w:spacing w:before="0" w:line="240" w:lineRule="auto"/>
                    <w:jc w:val="right"/>
                  </w:pPr>
                  <w:r>
                    <w:rPr>
                      <w:rFonts w:ascii="Poppins" w:eastAsia="Poppins" w:hAnsi="Poppins" w:cs="Poppins"/>
                      <w:sz w:val="16"/>
                      <w:szCs w:val="16"/>
                    </w:rPr>
                    <w:t>7.83</w:t>
                  </w:r>
                </w:p>
              </w:tc>
              <w:tc>
                <w:tcPr>
                  <w:tcW w:w="550" w:type="pct"/>
                  <w:vAlign w:val="center"/>
                </w:tcPr>
                <w:p w14:paraId="2B7B277C"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2EA69D42" w14:textId="77777777" w:rsidR="00F85015" w:rsidRDefault="00F85015" w:rsidP="009B525F">
                  <w:pPr>
                    <w:spacing w:before="0" w:line="240" w:lineRule="auto"/>
                    <w:jc w:val="right"/>
                  </w:pPr>
                  <w:r>
                    <w:rPr>
                      <w:rFonts w:ascii="Poppins" w:eastAsia="Poppins" w:hAnsi="Poppins" w:cs="Poppins"/>
                      <w:sz w:val="16"/>
                      <w:szCs w:val="16"/>
                    </w:rPr>
                    <w:t>7.83</w:t>
                  </w:r>
                </w:p>
              </w:tc>
            </w:tr>
            <w:tr w:rsidR="00F85015" w14:paraId="15593F92" w14:textId="77777777" w:rsidTr="009B525F">
              <w:trPr>
                <w:tblCellSpacing w:w="15" w:type="dxa"/>
              </w:trPr>
              <w:tc>
                <w:tcPr>
                  <w:tcW w:w="0" w:type="auto"/>
                  <w:vAlign w:val="center"/>
                </w:tcPr>
                <w:p w14:paraId="17FD9430" w14:textId="77777777" w:rsidR="00F85015" w:rsidRDefault="00F85015" w:rsidP="009B525F">
                  <w:pPr>
                    <w:spacing w:before="0" w:line="240" w:lineRule="auto"/>
                  </w:pPr>
                  <w:r>
                    <w:rPr>
                      <w:rFonts w:ascii="Wingdings" w:eastAsia="Wingdings" w:hAnsi="Wingdings" w:cs="Wingdings"/>
                      <w:color w:val="2980B9"/>
                      <w:sz w:val="16"/>
                      <w:szCs w:val="16"/>
                    </w:rPr>
                    <w:t>l</w:t>
                  </w:r>
                </w:p>
              </w:tc>
              <w:tc>
                <w:tcPr>
                  <w:tcW w:w="0" w:type="auto"/>
                  <w:vAlign w:val="center"/>
                </w:tcPr>
                <w:p w14:paraId="762AAE28" w14:textId="77777777" w:rsidR="00F85015" w:rsidRDefault="00F85015" w:rsidP="009B525F">
                  <w:pPr>
                    <w:spacing w:before="0" w:line="240" w:lineRule="auto"/>
                  </w:pPr>
                  <w:r>
                    <w:rPr>
                      <w:rFonts w:ascii="Poppins" w:eastAsia="Poppins" w:hAnsi="Poppins" w:cs="Poppins"/>
                      <w:sz w:val="16"/>
                      <w:szCs w:val="16"/>
                    </w:rPr>
                    <w:t>UK Index Linked Bonds</w:t>
                  </w:r>
                </w:p>
              </w:tc>
              <w:tc>
                <w:tcPr>
                  <w:tcW w:w="550" w:type="pct"/>
                  <w:vAlign w:val="center"/>
                </w:tcPr>
                <w:p w14:paraId="5E6821A0" w14:textId="77777777" w:rsidR="00F85015" w:rsidRDefault="00F85015" w:rsidP="009B525F">
                  <w:pPr>
                    <w:spacing w:before="0" w:line="240" w:lineRule="auto"/>
                    <w:jc w:val="right"/>
                  </w:pPr>
                  <w:r>
                    <w:rPr>
                      <w:rFonts w:ascii="Poppins" w:eastAsia="Poppins" w:hAnsi="Poppins" w:cs="Poppins"/>
                      <w:sz w:val="16"/>
                      <w:szCs w:val="16"/>
                    </w:rPr>
                    <w:t>7.39</w:t>
                  </w:r>
                </w:p>
              </w:tc>
              <w:tc>
                <w:tcPr>
                  <w:tcW w:w="550" w:type="pct"/>
                  <w:vAlign w:val="center"/>
                </w:tcPr>
                <w:p w14:paraId="5BDEE2F2"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10B5465E" w14:textId="77777777" w:rsidR="00F85015" w:rsidRDefault="00F85015" w:rsidP="009B525F">
                  <w:pPr>
                    <w:spacing w:before="0" w:line="240" w:lineRule="auto"/>
                    <w:jc w:val="right"/>
                  </w:pPr>
                  <w:r>
                    <w:rPr>
                      <w:rFonts w:ascii="Poppins" w:eastAsia="Poppins" w:hAnsi="Poppins" w:cs="Poppins"/>
                      <w:sz w:val="16"/>
                      <w:szCs w:val="16"/>
                    </w:rPr>
                    <w:t>7.39</w:t>
                  </w:r>
                </w:p>
              </w:tc>
            </w:tr>
            <w:tr w:rsidR="00F85015" w14:paraId="1B73073F" w14:textId="77777777" w:rsidTr="009B525F">
              <w:trPr>
                <w:tblCellSpacing w:w="15" w:type="dxa"/>
              </w:trPr>
              <w:tc>
                <w:tcPr>
                  <w:tcW w:w="0" w:type="auto"/>
                  <w:vAlign w:val="center"/>
                </w:tcPr>
                <w:p w14:paraId="1BE87917" w14:textId="77777777" w:rsidR="00F85015" w:rsidRDefault="00F85015" w:rsidP="009B525F">
                  <w:pPr>
                    <w:spacing w:before="0" w:line="240" w:lineRule="auto"/>
                  </w:pPr>
                  <w:r>
                    <w:rPr>
                      <w:rFonts w:ascii="Wingdings" w:eastAsia="Wingdings" w:hAnsi="Wingdings" w:cs="Wingdings"/>
                      <w:color w:val="3FC6D4"/>
                      <w:sz w:val="16"/>
                      <w:szCs w:val="16"/>
                    </w:rPr>
                    <w:t>l</w:t>
                  </w:r>
                </w:p>
              </w:tc>
              <w:tc>
                <w:tcPr>
                  <w:tcW w:w="0" w:type="auto"/>
                  <w:vAlign w:val="center"/>
                </w:tcPr>
                <w:p w14:paraId="407A31E9" w14:textId="77777777" w:rsidR="00F85015" w:rsidRDefault="00F85015" w:rsidP="009B525F">
                  <w:pPr>
                    <w:spacing w:before="0" w:line="240" w:lineRule="auto"/>
                  </w:pPr>
                  <w:r>
                    <w:rPr>
                      <w:rFonts w:ascii="Poppins" w:eastAsia="Poppins" w:hAnsi="Poppins" w:cs="Poppins"/>
                      <w:sz w:val="16"/>
                      <w:szCs w:val="16"/>
                    </w:rPr>
                    <w:t>Europe (ex-UK) Equity</w:t>
                  </w:r>
                </w:p>
              </w:tc>
              <w:tc>
                <w:tcPr>
                  <w:tcW w:w="550" w:type="pct"/>
                  <w:vAlign w:val="center"/>
                </w:tcPr>
                <w:p w14:paraId="2AD98738" w14:textId="77777777" w:rsidR="00F85015" w:rsidRDefault="00F85015" w:rsidP="009B525F">
                  <w:pPr>
                    <w:spacing w:before="0" w:line="240" w:lineRule="auto"/>
                    <w:jc w:val="right"/>
                  </w:pPr>
                  <w:r>
                    <w:rPr>
                      <w:rFonts w:ascii="Poppins" w:eastAsia="Poppins" w:hAnsi="Poppins" w:cs="Poppins"/>
                      <w:sz w:val="16"/>
                      <w:szCs w:val="16"/>
                    </w:rPr>
                    <w:t>6.97</w:t>
                  </w:r>
                </w:p>
              </w:tc>
              <w:tc>
                <w:tcPr>
                  <w:tcW w:w="550" w:type="pct"/>
                  <w:vAlign w:val="center"/>
                </w:tcPr>
                <w:p w14:paraId="7625456F"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0EE5A837" w14:textId="77777777" w:rsidR="00F85015" w:rsidRDefault="00F85015" w:rsidP="009B525F">
                  <w:pPr>
                    <w:spacing w:before="0" w:line="240" w:lineRule="auto"/>
                    <w:jc w:val="right"/>
                  </w:pPr>
                  <w:r>
                    <w:rPr>
                      <w:rFonts w:ascii="Poppins" w:eastAsia="Poppins" w:hAnsi="Poppins" w:cs="Poppins"/>
                      <w:sz w:val="16"/>
                      <w:szCs w:val="16"/>
                    </w:rPr>
                    <w:t>6.97</w:t>
                  </w:r>
                </w:p>
              </w:tc>
            </w:tr>
            <w:tr w:rsidR="00F85015" w14:paraId="116F913F" w14:textId="77777777" w:rsidTr="009B525F">
              <w:trPr>
                <w:tblCellSpacing w:w="15" w:type="dxa"/>
              </w:trPr>
              <w:tc>
                <w:tcPr>
                  <w:tcW w:w="0" w:type="auto"/>
                  <w:vAlign w:val="center"/>
                </w:tcPr>
                <w:p w14:paraId="26E9B762" w14:textId="77777777" w:rsidR="00F85015" w:rsidRDefault="00F85015" w:rsidP="009B525F">
                  <w:pPr>
                    <w:spacing w:before="0" w:line="240" w:lineRule="auto"/>
                  </w:pPr>
                  <w:r>
                    <w:rPr>
                      <w:rFonts w:ascii="Wingdings" w:eastAsia="Wingdings" w:hAnsi="Wingdings" w:cs="Wingdings"/>
                      <w:color w:val="E95F7A"/>
                      <w:sz w:val="16"/>
                      <w:szCs w:val="16"/>
                    </w:rPr>
                    <w:t>l</w:t>
                  </w:r>
                </w:p>
              </w:tc>
              <w:tc>
                <w:tcPr>
                  <w:tcW w:w="0" w:type="auto"/>
                  <w:vAlign w:val="center"/>
                </w:tcPr>
                <w:p w14:paraId="6F2CE69E" w14:textId="77777777" w:rsidR="00F85015" w:rsidRDefault="00F85015" w:rsidP="009B525F">
                  <w:pPr>
                    <w:spacing w:before="0" w:line="240" w:lineRule="auto"/>
                  </w:pPr>
                  <w:r>
                    <w:rPr>
                      <w:rFonts w:ascii="Poppins" w:eastAsia="Poppins" w:hAnsi="Poppins" w:cs="Poppins"/>
                      <w:sz w:val="16"/>
                      <w:szCs w:val="16"/>
                    </w:rPr>
                    <w:t>Commodities</w:t>
                  </w:r>
                </w:p>
              </w:tc>
              <w:tc>
                <w:tcPr>
                  <w:tcW w:w="550" w:type="pct"/>
                  <w:vAlign w:val="center"/>
                </w:tcPr>
                <w:p w14:paraId="28982832" w14:textId="77777777" w:rsidR="00F85015" w:rsidRDefault="00F85015" w:rsidP="009B525F">
                  <w:pPr>
                    <w:spacing w:before="0" w:line="240" w:lineRule="auto"/>
                    <w:jc w:val="right"/>
                  </w:pPr>
                  <w:r>
                    <w:rPr>
                      <w:rFonts w:ascii="Poppins" w:eastAsia="Poppins" w:hAnsi="Poppins" w:cs="Poppins"/>
                      <w:sz w:val="16"/>
                      <w:szCs w:val="16"/>
                    </w:rPr>
                    <w:t>3.18</w:t>
                  </w:r>
                </w:p>
              </w:tc>
              <w:tc>
                <w:tcPr>
                  <w:tcW w:w="550" w:type="pct"/>
                  <w:vAlign w:val="center"/>
                </w:tcPr>
                <w:p w14:paraId="704AD61C"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0204E91C" w14:textId="77777777" w:rsidR="00F85015" w:rsidRDefault="00F85015" w:rsidP="009B525F">
                  <w:pPr>
                    <w:spacing w:before="0" w:line="240" w:lineRule="auto"/>
                    <w:jc w:val="right"/>
                  </w:pPr>
                  <w:r>
                    <w:rPr>
                      <w:rFonts w:ascii="Poppins" w:eastAsia="Poppins" w:hAnsi="Poppins" w:cs="Poppins"/>
                      <w:sz w:val="16"/>
                      <w:szCs w:val="16"/>
                    </w:rPr>
                    <w:t>3.18</w:t>
                  </w:r>
                </w:p>
              </w:tc>
            </w:tr>
            <w:tr w:rsidR="00F85015" w14:paraId="35B69B61" w14:textId="77777777" w:rsidTr="009B525F">
              <w:trPr>
                <w:tblCellSpacing w:w="15" w:type="dxa"/>
              </w:trPr>
              <w:tc>
                <w:tcPr>
                  <w:tcW w:w="0" w:type="auto"/>
                  <w:vAlign w:val="center"/>
                </w:tcPr>
                <w:p w14:paraId="0023C89A" w14:textId="77777777" w:rsidR="00F85015" w:rsidRDefault="00F85015" w:rsidP="009B525F">
                  <w:pPr>
                    <w:spacing w:before="0" w:line="240" w:lineRule="auto"/>
                  </w:pPr>
                  <w:r>
                    <w:rPr>
                      <w:rFonts w:ascii="Wingdings" w:eastAsia="Wingdings" w:hAnsi="Wingdings" w:cs="Wingdings"/>
                      <w:color w:val="16A085"/>
                      <w:sz w:val="16"/>
                      <w:szCs w:val="16"/>
                    </w:rPr>
                    <w:t>l</w:t>
                  </w:r>
                </w:p>
              </w:tc>
              <w:tc>
                <w:tcPr>
                  <w:tcW w:w="0" w:type="auto"/>
                  <w:vAlign w:val="center"/>
                </w:tcPr>
                <w:p w14:paraId="77D37497" w14:textId="77777777" w:rsidR="00F85015" w:rsidRDefault="00F85015" w:rsidP="009B525F">
                  <w:pPr>
                    <w:spacing w:before="0" w:line="240" w:lineRule="auto"/>
                  </w:pPr>
                  <w:r>
                    <w:rPr>
                      <w:rFonts w:ascii="Poppins" w:eastAsia="Poppins" w:hAnsi="Poppins" w:cs="Poppins"/>
                      <w:sz w:val="16"/>
                      <w:szCs w:val="16"/>
                    </w:rPr>
                    <w:t>Japan Equity</w:t>
                  </w:r>
                </w:p>
              </w:tc>
              <w:tc>
                <w:tcPr>
                  <w:tcW w:w="550" w:type="pct"/>
                  <w:vAlign w:val="center"/>
                </w:tcPr>
                <w:p w14:paraId="062CAAFD" w14:textId="77777777" w:rsidR="00F85015" w:rsidRDefault="00F85015" w:rsidP="009B525F">
                  <w:pPr>
                    <w:spacing w:before="0" w:line="240" w:lineRule="auto"/>
                    <w:jc w:val="right"/>
                  </w:pPr>
                  <w:r>
                    <w:rPr>
                      <w:rFonts w:ascii="Poppins" w:eastAsia="Poppins" w:hAnsi="Poppins" w:cs="Poppins"/>
                      <w:sz w:val="16"/>
                      <w:szCs w:val="16"/>
                    </w:rPr>
                    <w:t>3.01</w:t>
                  </w:r>
                </w:p>
              </w:tc>
              <w:tc>
                <w:tcPr>
                  <w:tcW w:w="550" w:type="pct"/>
                  <w:vAlign w:val="center"/>
                </w:tcPr>
                <w:p w14:paraId="7AA85D96"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281B2DBE" w14:textId="77777777" w:rsidR="00F85015" w:rsidRDefault="00F85015" w:rsidP="009B525F">
                  <w:pPr>
                    <w:spacing w:before="0" w:line="240" w:lineRule="auto"/>
                    <w:jc w:val="right"/>
                  </w:pPr>
                  <w:r>
                    <w:rPr>
                      <w:rFonts w:ascii="Poppins" w:eastAsia="Poppins" w:hAnsi="Poppins" w:cs="Poppins"/>
                      <w:sz w:val="16"/>
                      <w:szCs w:val="16"/>
                    </w:rPr>
                    <w:t>3.01</w:t>
                  </w:r>
                </w:p>
              </w:tc>
            </w:tr>
            <w:tr w:rsidR="00F85015" w14:paraId="76493ED8" w14:textId="77777777" w:rsidTr="009B525F">
              <w:trPr>
                <w:tblCellSpacing w:w="15" w:type="dxa"/>
              </w:trPr>
              <w:tc>
                <w:tcPr>
                  <w:tcW w:w="0" w:type="auto"/>
                  <w:vAlign w:val="center"/>
                </w:tcPr>
                <w:p w14:paraId="3973AB69" w14:textId="77777777" w:rsidR="00F85015" w:rsidRDefault="00F85015" w:rsidP="009B525F">
                  <w:pPr>
                    <w:spacing w:before="0" w:line="240" w:lineRule="auto"/>
                  </w:pPr>
                  <w:r>
                    <w:rPr>
                      <w:rFonts w:ascii="Wingdings" w:eastAsia="Wingdings" w:hAnsi="Wingdings" w:cs="Wingdings"/>
                      <w:color w:val="FFE382"/>
                      <w:sz w:val="16"/>
                      <w:szCs w:val="16"/>
                    </w:rPr>
                    <w:t>l</w:t>
                  </w:r>
                </w:p>
              </w:tc>
              <w:tc>
                <w:tcPr>
                  <w:tcW w:w="0" w:type="auto"/>
                  <w:vAlign w:val="center"/>
                </w:tcPr>
                <w:p w14:paraId="2583A673" w14:textId="77777777" w:rsidR="00F85015" w:rsidRDefault="00F85015" w:rsidP="009B525F">
                  <w:pPr>
                    <w:spacing w:before="0" w:line="240" w:lineRule="auto"/>
                  </w:pPr>
                  <w:r>
                    <w:rPr>
                      <w:rFonts w:ascii="Poppins" w:eastAsia="Poppins" w:hAnsi="Poppins" w:cs="Poppins"/>
                      <w:sz w:val="16"/>
                      <w:szCs w:val="16"/>
                    </w:rPr>
                    <w:t>UK Equity</w:t>
                  </w:r>
                </w:p>
              </w:tc>
              <w:tc>
                <w:tcPr>
                  <w:tcW w:w="550" w:type="pct"/>
                  <w:vAlign w:val="center"/>
                </w:tcPr>
                <w:p w14:paraId="4695524F" w14:textId="77777777" w:rsidR="00F85015" w:rsidRDefault="00F85015" w:rsidP="009B525F">
                  <w:pPr>
                    <w:spacing w:before="0" w:line="240" w:lineRule="auto"/>
                    <w:jc w:val="right"/>
                  </w:pPr>
                  <w:r>
                    <w:rPr>
                      <w:rFonts w:ascii="Poppins" w:eastAsia="Poppins" w:hAnsi="Poppins" w:cs="Poppins"/>
                      <w:sz w:val="16"/>
                      <w:szCs w:val="16"/>
                    </w:rPr>
                    <w:t>1.95</w:t>
                  </w:r>
                </w:p>
              </w:tc>
              <w:tc>
                <w:tcPr>
                  <w:tcW w:w="550" w:type="pct"/>
                  <w:vAlign w:val="center"/>
                </w:tcPr>
                <w:p w14:paraId="698373F1"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7303DD2F" w14:textId="77777777" w:rsidR="00F85015" w:rsidRDefault="00F85015" w:rsidP="009B525F">
                  <w:pPr>
                    <w:spacing w:before="0" w:line="240" w:lineRule="auto"/>
                    <w:jc w:val="right"/>
                  </w:pPr>
                  <w:r>
                    <w:rPr>
                      <w:rFonts w:ascii="Poppins" w:eastAsia="Poppins" w:hAnsi="Poppins" w:cs="Poppins"/>
                      <w:sz w:val="16"/>
                      <w:szCs w:val="16"/>
                    </w:rPr>
                    <w:t>1.95</w:t>
                  </w:r>
                </w:p>
              </w:tc>
            </w:tr>
            <w:tr w:rsidR="00F85015" w14:paraId="7B7DB17B" w14:textId="77777777" w:rsidTr="009B525F">
              <w:trPr>
                <w:tblCellSpacing w:w="15" w:type="dxa"/>
              </w:trPr>
              <w:tc>
                <w:tcPr>
                  <w:tcW w:w="0" w:type="auto"/>
                  <w:vAlign w:val="center"/>
                </w:tcPr>
                <w:p w14:paraId="72FCDE86" w14:textId="77777777" w:rsidR="00F85015" w:rsidRDefault="00F85015" w:rsidP="009B525F">
                  <w:pPr>
                    <w:spacing w:before="0" w:line="240" w:lineRule="auto"/>
                  </w:pPr>
                  <w:r>
                    <w:rPr>
                      <w:rFonts w:ascii="Wingdings" w:eastAsia="Wingdings" w:hAnsi="Wingdings" w:cs="Wingdings"/>
                      <w:color w:val="2CABFF"/>
                      <w:sz w:val="16"/>
                      <w:szCs w:val="16"/>
                    </w:rPr>
                    <w:t>l</w:t>
                  </w:r>
                </w:p>
              </w:tc>
              <w:tc>
                <w:tcPr>
                  <w:tcW w:w="0" w:type="auto"/>
                  <w:vAlign w:val="center"/>
                </w:tcPr>
                <w:p w14:paraId="69F1B6D5" w14:textId="77777777" w:rsidR="00F85015" w:rsidRDefault="00F85015" w:rsidP="009B525F">
                  <w:pPr>
                    <w:spacing w:before="0" w:line="240" w:lineRule="auto"/>
                  </w:pPr>
                  <w:r>
                    <w:rPr>
                      <w:rFonts w:ascii="Poppins" w:eastAsia="Poppins" w:hAnsi="Poppins" w:cs="Poppins"/>
                      <w:sz w:val="16"/>
                      <w:szCs w:val="16"/>
                    </w:rPr>
                    <w:t>Cash - Short Term Money Market</w:t>
                  </w:r>
                </w:p>
              </w:tc>
              <w:tc>
                <w:tcPr>
                  <w:tcW w:w="550" w:type="pct"/>
                  <w:vAlign w:val="center"/>
                </w:tcPr>
                <w:p w14:paraId="790008D4" w14:textId="77777777" w:rsidR="00F85015" w:rsidRDefault="00F85015" w:rsidP="009B525F">
                  <w:pPr>
                    <w:spacing w:before="0" w:line="240" w:lineRule="auto"/>
                    <w:jc w:val="right"/>
                  </w:pPr>
                  <w:r>
                    <w:rPr>
                      <w:rFonts w:ascii="Poppins" w:eastAsia="Poppins" w:hAnsi="Poppins" w:cs="Poppins"/>
                      <w:sz w:val="16"/>
                      <w:szCs w:val="16"/>
                    </w:rPr>
                    <w:t>0.30</w:t>
                  </w:r>
                </w:p>
              </w:tc>
              <w:tc>
                <w:tcPr>
                  <w:tcW w:w="550" w:type="pct"/>
                  <w:vAlign w:val="center"/>
                </w:tcPr>
                <w:p w14:paraId="115FAC19" w14:textId="77777777" w:rsidR="00F85015" w:rsidRDefault="00F85015" w:rsidP="009B525F">
                  <w:pPr>
                    <w:spacing w:before="0" w:line="240" w:lineRule="auto"/>
                    <w:jc w:val="right"/>
                  </w:pPr>
                  <w:r>
                    <w:rPr>
                      <w:rFonts w:ascii="Poppins" w:eastAsia="Poppins" w:hAnsi="Poppins" w:cs="Poppins"/>
                      <w:sz w:val="16"/>
                      <w:szCs w:val="16"/>
                    </w:rPr>
                    <w:t>-0.01</w:t>
                  </w:r>
                </w:p>
              </w:tc>
              <w:tc>
                <w:tcPr>
                  <w:tcW w:w="550" w:type="pct"/>
                  <w:vAlign w:val="center"/>
                </w:tcPr>
                <w:p w14:paraId="1E59F0F5" w14:textId="77777777" w:rsidR="00F85015" w:rsidRDefault="00F85015" w:rsidP="009B525F">
                  <w:pPr>
                    <w:spacing w:before="0" w:line="240" w:lineRule="auto"/>
                    <w:jc w:val="right"/>
                  </w:pPr>
                  <w:r>
                    <w:rPr>
                      <w:rFonts w:ascii="Poppins" w:eastAsia="Poppins" w:hAnsi="Poppins" w:cs="Poppins"/>
                      <w:sz w:val="16"/>
                      <w:szCs w:val="16"/>
                    </w:rPr>
                    <w:t>0.31</w:t>
                  </w:r>
                </w:p>
              </w:tc>
            </w:tr>
            <w:tr w:rsidR="00F85015" w14:paraId="2F0834FE" w14:textId="77777777" w:rsidTr="009B525F">
              <w:trPr>
                <w:tblCellSpacing w:w="15" w:type="dxa"/>
              </w:trPr>
              <w:tc>
                <w:tcPr>
                  <w:tcW w:w="0" w:type="auto"/>
                  <w:vAlign w:val="center"/>
                </w:tcPr>
                <w:p w14:paraId="200EAAA8" w14:textId="77777777" w:rsidR="00F85015" w:rsidRDefault="00F85015" w:rsidP="009B525F">
                  <w:pPr>
                    <w:spacing w:before="0" w:line="240" w:lineRule="auto"/>
                  </w:pPr>
                  <w:r>
                    <w:rPr>
                      <w:rFonts w:ascii="Wingdings" w:eastAsia="Wingdings" w:hAnsi="Wingdings" w:cs="Wingdings"/>
                      <w:color w:val="A1D6B5"/>
                      <w:sz w:val="16"/>
                      <w:szCs w:val="16"/>
                    </w:rPr>
                    <w:t>l</w:t>
                  </w:r>
                </w:p>
              </w:tc>
              <w:tc>
                <w:tcPr>
                  <w:tcW w:w="0" w:type="auto"/>
                  <w:vAlign w:val="center"/>
                </w:tcPr>
                <w:p w14:paraId="6DB5A2F4" w14:textId="77777777" w:rsidR="00F85015" w:rsidRDefault="00F85015" w:rsidP="009B525F">
                  <w:pPr>
                    <w:spacing w:before="0" w:line="240" w:lineRule="auto"/>
                  </w:pPr>
                  <w:r>
                    <w:rPr>
                      <w:rFonts w:ascii="Poppins" w:eastAsia="Poppins" w:hAnsi="Poppins" w:cs="Poppins"/>
                      <w:sz w:val="16"/>
                      <w:szCs w:val="16"/>
                    </w:rPr>
                    <w:t>Other</w:t>
                  </w:r>
                </w:p>
              </w:tc>
              <w:tc>
                <w:tcPr>
                  <w:tcW w:w="550" w:type="pct"/>
                  <w:vAlign w:val="center"/>
                </w:tcPr>
                <w:p w14:paraId="6C39661F" w14:textId="77777777" w:rsidR="00F85015" w:rsidRDefault="00F85015" w:rsidP="009B525F">
                  <w:pPr>
                    <w:spacing w:before="0" w:line="240" w:lineRule="auto"/>
                    <w:jc w:val="right"/>
                  </w:pPr>
                  <w:r>
                    <w:rPr>
                      <w:rFonts w:ascii="Poppins" w:eastAsia="Poppins" w:hAnsi="Poppins" w:cs="Poppins"/>
                      <w:sz w:val="16"/>
                      <w:szCs w:val="16"/>
                    </w:rPr>
                    <w:t>0.10</w:t>
                  </w:r>
                </w:p>
              </w:tc>
              <w:tc>
                <w:tcPr>
                  <w:tcW w:w="550" w:type="pct"/>
                  <w:vAlign w:val="center"/>
                </w:tcPr>
                <w:p w14:paraId="710F9A49" w14:textId="77777777" w:rsidR="00F85015" w:rsidRDefault="00F85015" w:rsidP="009B525F">
                  <w:pPr>
                    <w:spacing w:before="0" w:line="240" w:lineRule="auto"/>
                    <w:jc w:val="right"/>
                  </w:pPr>
                  <w:r>
                    <w:rPr>
                      <w:rFonts w:ascii="Poppins" w:eastAsia="Poppins" w:hAnsi="Poppins" w:cs="Poppins"/>
                      <w:sz w:val="16"/>
                      <w:szCs w:val="16"/>
                    </w:rPr>
                    <w:t>0.00</w:t>
                  </w:r>
                </w:p>
              </w:tc>
              <w:tc>
                <w:tcPr>
                  <w:tcW w:w="550" w:type="pct"/>
                  <w:vAlign w:val="center"/>
                </w:tcPr>
                <w:p w14:paraId="7E9ED96D" w14:textId="77777777" w:rsidR="00F85015" w:rsidRDefault="00F85015" w:rsidP="009B525F">
                  <w:pPr>
                    <w:spacing w:before="0" w:line="240" w:lineRule="auto"/>
                    <w:jc w:val="right"/>
                  </w:pPr>
                  <w:r>
                    <w:rPr>
                      <w:rFonts w:ascii="Poppins" w:eastAsia="Poppins" w:hAnsi="Poppins" w:cs="Poppins"/>
                      <w:sz w:val="16"/>
                      <w:szCs w:val="16"/>
                    </w:rPr>
                    <w:t>0.10</w:t>
                  </w:r>
                </w:p>
              </w:tc>
            </w:tr>
          </w:tbl>
          <w:p w14:paraId="68E5BAA1" w14:textId="77777777" w:rsidR="00F85015" w:rsidRDefault="00F85015" w:rsidP="009B525F"/>
        </w:tc>
      </w:tr>
      <w:tr w:rsidR="00F85015" w14:paraId="50167572" w14:textId="77777777" w:rsidTr="009B525F">
        <w:trPr>
          <w:tblCellSpacing w:w="15" w:type="dxa"/>
        </w:trPr>
        <w:tc>
          <w:tcPr>
            <w:tcW w:w="0" w:type="auto"/>
            <w:gridSpan w:val="2"/>
          </w:tcPr>
          <w:p w14:paraId="348E3F12" w14:textId="77777777" w:rsidR="00F85015" w:rsidRDefault="00F85015" w:rsidP="009B525F">
            <w:r>
              <w:rPr>
                <w:rFonts w:ascii="Poppins" w:eastAsia="Poppins" w:hAnsi="Poppins" w:cs="Poppins"/>
                <w:sz w:val="16"/>
                <w:szCs w:val="16"/>
              </w:rPr>
              <w:t>⁽¹⁾ Due to rounding there may be a discrepancy between the Long/Short % and the Net %.</w:t>
            </w:r>
          </w:p>
        </w:tc>
      </w:tr>
    </w:tbl>
    <w:p w14:paraId="08A48370" w14:textId="77777777" w:rsidR="00F85015" w:rsidRDefault="00F85015" w:rsidP="00F85015">
      <w:pPr>
        <w:spacing w:after="280" w:afterAutospacing="1"/>
      </w:pPr>
    </w:p>
    <w:p w14:paraId="2A531E2E" w14:textId="77777777" w:rsidR="00C55C4B" w:rsidRDefault="00C55C4B"/>
    <w:sectPr w:rsidR="00C55C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CFBF4" w14:textId="77777777" w:rsidR="00DD192F" w:rsidRDefault="00DD192F" w:rsidP="00F85015">
      <w:pPr>
        <w:spacing w:before="0" w:line="240" w:lineRule="auto"/>
      </w:pPr>
      <w:r>
        <w:separator/>
      </w:r>
    </w:p>
  </w:endnote>
  <w:endnote w:type="continuationSeparator" w:id="0">
    <w:p w14:paraId="1739C7E9" w14:textId="77777777" w:rsidR="00DD192F" w:rsidRDefault="00DD192F" w:rsidP="00F8501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F85015" w14:paraId="56443494" w14:textId="77777777">
      <w:tc>
        <w:tcPr>
          <w:tcW w:w="5257" w:type="dxa"/>
        </w:tcPr>
        <w:p w14:paraId="51A706F9" w14:textId="1E93E743" w:rsidR="00F85015" w:rsidRDefault="00F85015">
          <w:pPr>
            <w:pStyle w:val="Footer"/>
            <w:spacing w:before="120"/>
            <w:rPr>
              <w:rFonts w:ascii="Poppins" w:hAnsi="Poppins" w:cs="Poppins"/>
              <w:color w:val="392388"/>
              <w:sz w:val="16"/>
              <w:szCs w:val="16"/>
            </w:rPr>
          </w:pPr>
          <w:r>
            <w:rPr>
              <w:rFonts w:ascii="Poppins" w:hAnsi="Poppins" w:cs="Poppins"/>
              <w:color w:val="392388"/>
              <w:sz w:val="16"/>
              <w:szCs w:val="16"/>
            </w:rPr>
            <w:t>Engage</w:t>
          </w:r>
          <w:r>
            <w:rPr>
              <w:rFonts w:ascii="Poppins" w:hAnsi="Poppins" w:cs="Poppins"/>
              <w:color w:val="392388"/>
              <w:sz w:val="16"/>
              <w:szCs w:val="16"/>
            </w:rPr>
            <w:br/>
            <w:t xml:space="preserve">Page </w:t>
          </w:r>
          <w:sdt>
            <w:sdtPr>
              <w:rPr>
                <w:rFonts w:ascii="Poppins" w:hAnsi="Poppins" w:cs="Poppins"/>
                <w:color w:val="392388"/>
                <w:sz w:val="16"/>
                <w:szCs w:val="16"/>
              </w:rPr>
              <w:id w:val="-1402579067"/>
              <w:docPartObj>
                <w:docPartGallery w:val="Page Numbers (Bottom of Page)"/>
                <w:docPartUniq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eastAsia="Calibri" w:hAnsi="Poppins" w:cs="Poppins"/>
                  <w:color w:val="392388"/>
                  <w:sz w:val="16"/>
                  <w:szCs w:val="16"/>
                </w:rPr>
                <w:t>3</w:t>
              </w:r>
              <w:r>
                <w:rPr>
                  <w:rFonts w:ascii="Poppins" w:hAnsi="Poppins" w:cs="Poppins"/>
                  <w:color w:val="392388"/>
                  <w:sz w:val="16"/>
                  <w:szCs w:val="16"/>
                </w:rPr>
                <w:fldChar w:fldCharType="end"/>
              </w:r>
            </w:sdtContent>
          </w:sdt>
        </w:p>
      </w:tc>
      <w:tc>
        <w:tcPr>
          <w:tcW w:w="5257" w:type="dxa"/>
        </w:tcPr>
        <w:p w14:paraId="0FC3669C" w14:textId="77777777" w:rsidR="00F85015" w:rsidRDefault="00F85015">
          <w:pPr>
            <w:pStyle w:val="Header"/>
            <w:spacing w:before="120"/>
            <w:ind w:right="21"/>
            <w:jc w:val="right"/>
            <w:rPr>
              <w:rFonts w:ascii="Poppins" w:hAnsi="Poppins" w:cs="Poppins"/>
              <w:color w:val="392388"/>
            </w:rPr>
          </w:pPr>
        </w:p>
      </w:tc>
    </w:tr>
  </w:tbl>
  <w:p w14:paraId="11A1FDAA" w14:textId="77777777" w:rsidR="00F85015" w:rsidRDefault="00F85015">
    <w:pP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019C5" w14:textId="77777777" w:rsidR="00DD192F" w:rsidRDefault="00DD192F" w:rsidP="00F85015">
      <w:pPr>
        <w:spacing w:before="0" w:line="240" w:lineRule="auto"/>
      </w:pPr>
      <w:r>
        <w:separator/>
      </w:r>
    </w:p>
  </w:footnote>
  <w:footnote w:type="continuationSeparator" w:id="0">
    <w:p w14:paraId="0F930F14" w14:textId="77777777" w:rsidR="00DD192F" w:rsidRDefault="00DD192F" w:rsidP="00F8501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F39E" w14:textId="38EE071E" w:rsidR="00F85015" w:rsidRDefault="00F85015">
    <w:pPr>
      <w:pStyle w:val="Header"/>
      <w:ind w:left="-284" w:right="-307"/>
      <w:jc w:val="right"/>
      <w:rPr>
        <w:rFonts w:ascii="Poppins" w:hAnsi="Poppins" w:cs="Poppins"/>
        <w:color w:val="39238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015"/>
    <w:rsid w:val="00000D14"/>
    <w:rsid w:val="00224AC3"/>
    <w:rsid w:val="003D2F1A"/>
    <w:rsid w:val="007D58F5"/>
    <w:rsid w:val="00C55C4B"/>
    <w:rsid w:val="00DD192F"/>
    <w:rsid w:val="00F850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BD623"/>
  <w15:chartTrackingRefBased/>
  <w15:docId w15:val="{89A0A8D6-027E-4F08-896E-D33182F1E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015"/>
    <w:pPr>
      <w:suppressAutoHyphens/>
      <w:spacing w:before="100" w:after="0" w:line="276" w:lineRule="auto"/>
    </w:pPr>
    <w:rPr>
      <w:rFonts w:ascii="Open Sans" w:eastAsia="Cambria" w:hAnsi="Open Sans" w:cs="Times New Roman"/>
      <w:kern w:val="0"/>
      <w14:ligatures w14:val="none"/>
    </w:rPr>
  </w:style>
  <w:style w:type="paragraph" w:styleId="Heading1">
    <w:name w:val="heading 1"/>
    <w:basedOn w:val="Normal"/>
    <w:next w:val="Normal"/>
    <w:link w:val="Heading1Char"/>
    <w:uiPriority w:val="9"/>
    <w:qFormat/>
    <w:rsid w:val="00F85015"/>
    <w:pPr>
      <w:keepNext/>
      <w:keepLines/>
      <w:suppressAutoHyphens w:val="0"/>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85015"/>
    <w:pPr>
      <w:keepNext/>
      <w:keepLines/>
      <w:suppressAutoHyphens w:val="0"/>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85015"/>
    <w:pPr>
      <w:keepNext/>
      <w:keepLines/>
      <w:suppressAutoHyphens w:val="0"/>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85015"/>
    <w:pPr>
      <w:keepNext/>
      <w:keepLines/>
      <w:suppressAutoHyphens w:val="0"/>
      <w:spacing w:before="80" w:after="40" w:line="259"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85015"/>
    <w:pPr>
      <w:keepNext/>
      <w:keepLines/>
      <w:suppressAutoHyphens w:val="0"/>
      <w:spacing w:before="80" w:after="40" w:line="259"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85015"/>
    <w:pPr>
      <w:keepNext/>
      <w:keepLines/>
      <w:suppressAutoHyphens w:val="0"/>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85015"/>
    <w:pPr>
      <w:keepNext/>
      <w:keepLines/>
      <w:suppressAutoHyphens w:val="0"/>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85015"/>
    <w:pPr>
      <w:keepNext/>
      <w:keepLines/>
      <w:suppressAutoHyphens w:val="0"/>
      <w:spacing w:before="0"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85015"/>
    <w:pPr>
      <w:keepNext/>
      <w:keepLines/>
      <w:suppressAutoHyphens w:val="0"/>
      <w:spacing w:before="0"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015"/>
    <w:rPr>
      <w:rFonts w:eastAsiaTheme="majorEastAsia" w:cstheme="majorBidi"/>
      <w:color w:val="272727" w:themeColor="text1" w:themeTint="D8"/>
    </w:rPr>
  </w:style>
  <w:style w:type="paragraph" w:styleId="Title">
    <w:name w:val="Title"/>
    <w:basedOn w:val="Normal"/>
    <w:next w:val="Normal"/>
    <w:link w:val="TitleChar"/>
    <w:uiPriority w:val="10"/>
    <w:qFormat/>
    <w:rsid w:val="00F85015"/>
    <w:pPr>
      <w:suppressAutoHyphens w:val="0"/>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85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015"/>
    <w:pPr>
      <w:numPr>
        <w:ilvl w:val="1"/>
      </w:numPr>
      <w:suppressAutoHyphens w:val="0"/>
      <w:spacing w:before="0"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85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015"/>
    <w:pPr>
      <w:suppressAutoHyphens w:val="0"/>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85015"/>
    <w:rPr>
      <w:i/>
      <w:iCs/>
      <w:color w:val="404040" w:themeColor="text1" w:themeTint="BF"/>
    </w:rPr>
  </w:style>
  <w:style w:type="paragraph" w:styleId="ListParagraph">
    <w:name w:val="List Paragraph"/>
    <w:basedOn w:val="Normal"/>
    <w:uiPriority w:val="34"/>
    <w:qFormat/>
    <w:rsid w:val="00F85015"/>
    <w:pPr>
      <w:suppressAutoHyphens w:val="0"/>
      <w:spacing w:before="0" w:after="160" w:line="259"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85015"/>
    <w:rPr>
      <w:i/>
      <w:iCs/>
      <w:color w:val="0F4761" w:themeColor="accent1" w:themeShade="BF"/>
    </w:rPr>
  </w:style>
  <w:style w:type="paragraph" w:styleId="IntenseQuote">
    <w:name w:val="Intense Quote"/>
    <w:basedOn w:val="Normal"/>
    <w:next w:val="Normal"/>
    <w:link w:val="IntenseQuoteChar"/>
    <w:uiPriority w:val="30"/>
    <w:qFormat/>
    <w:rsid w:val="00F85015"/>
    <w:pPr>
      <w:pBdr>
        <w:top w:val="single" w:sz="4" w:space="10" w:color="0F4761" w:themeColor="accent1" w:themeShade="BF"/>
        <w:bottom w:val="single" w:sz="4" w:space="10" w:color="0F4761" w:themeColor="accent1" w:themeShade="BF"/>
      </w:pBdr>
      <w:suppressAutoHyphens w:val="0"/>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85015"/>
    <w:rPr>
      <w:i/>
      <w:iCs/>
      <w:color w:val="0F4761" w:themeColor="accent1" w:themeShade="BF"/>
    </w:rPr>
  </w:style>
  <w:style w:type="character" w:styleId="IntenseReference">
    <w:name w:val="Intense Reference"/>
    <w:basedOn w:val="DefaultParagraphFont"/>
    <w:uiPriority w:val="32"/>
    <w:qFormat/>
    <w:rsid w:val="00F85015"/>
    <w:rPr>
      <w:b/>
      <w:bCs/>
      <w:smallCaps/>
      <w:color w:val="0F4761" w:themeColor="accent1" w:themeShade="BF"/>
      <w:spacing w:val="5"/>
    </w:rPr>
  </w:style>
  <w:style w:type="paragraph" w:styleId="Footer">
    <w:name w:val="footer"/>
    <w:basedOn w:val="Normal"/>
    <w:link w:val="FooterChar"/>
    <w:uiPriority w:val="99"/>
    <w:unhideWhenUsed/>
    <w:rsid w:val="00F85015"/>
    <w:pPr>
      <w:tabs>
        <w:tab w:val="center" w:pos="4513"/>
        <w:tab w:val="right" w:pos="9026"/>
      </w:tabs>
      <w:spacing w:before="0" w:line="240" w:lineRule="auto"/>
    </w:pPr>
  </w:style>
  <w:style w:type="character" w:customStyle="1" w:styleId="FooterChar">
    <w:name w:val="Footer Char"/>
    <w:basedOn w:val="DefaultParagraphFont"/>
    <w:link w:val="Footer"/>
    <w:uiPriority w:val="99"/>
    <w:rsid w:val="00F85015"/>
    <w:rPr>
      <w:rFonts w:ascii="Open Sans" w:eastAsia="Cambria" w:hAnsi="Open Sans" w:cs="Times New Roman"/>
      <w:kern w:val="0"/>
      <w14:ligatures w14:val="none"/>
    </w:rPr>
  </w:style>
  <w:style w:type="paragraph" w:styleId="Header">
    <w:name w:val="header"/>
    <w:basedOn w:val="Normal"/>
    <w:link w:val="HeaderChar"/>
    <w:uiPriority w:val="99"/>
    <w:unhideWhenUsed/>
    <w:rsid w:val="00F85015"/>
    <w:pPr>
      <w:tabs>
        <w:tab w:val="center" w:pos="4513"/>
        <w:tab w:val="right" w:pos="9026"/>
      </w:tabs>
      <w:spacing w:before="0" w:line="240" w:lineRule="auto"/>
    </w:pPr>
  </w:style>
  <w:style w:type="character" w:customStyle="1" w:styleId="HeaderChar">
    <w:name w:val="Header Char"/>
    <w:basedOn w:val="DefaultParagraphFont"/>
    <w:link w:val="Header"/>
    <w:uiPriority w:val="99"/>
    <w:rsid w:val="00F85015"/>
    <w:rPr>
      <w:rFonts w:ascii="Open Sans" w:eastAsia="Cambria" w:hAnsi="Open Sans" w:cs="Times New Roman"/>
      <w:kern w:val="0"/>
      <w14:ligatures w14:val="none"/>
    </w:rPr>
  </w:style>
  <w:style w:type="paragraph" w:customStyle="1" w:styleId="DefaqtoBody">
    <w:name w:val="Defaqto Body"/>
    <w:basedOn w:val="Normal"/>
    <w:link w:val="DefaqtoBodyChar"/>
    <w:qFormat/>
    <w:rsid w:val="00F85015"/>
    <w:pPr>
      <w:spacing w:before="0" w:after="160" w:line="259" w:lineRule="auto"/>
    </w:pPr>
    <w:rPr>
      <w:rFonts w:eastAsia="Open Sans"/>
      <w:color w:val="797979"/>
      <w:sz w:val="24"/>
      <w:szCs w:val="24"/>
    </w:rPr>
  </w:style>
  <w:style w:type="character" w:customStyle="1" w:styleId="DefaqtoBodyChar">
    <w:name w:val="Defaqto Body Char"/>
    <w:basedOn w:val="DefaultParagraphFont"/>
    <w:link w:val="DefaqtoBody"/>
    <w:rsid w:val="00F85015"/>
    <w:rPr>
      <w:rFonts w:ascii="Open Sans" w:eastAsia="Open Sans" w:hAnsi="Open Sans" w:cs="Times New Roman"/>
      <w:color w:val="797979"/>
      <w:kern w:val="0"/>
      <w:sz w:val="24"/>
      <w:szCs w:val="24"/>
      <w14:ligatures w14:val="none"/>
    </w:rPr>
  </w:style>
  <w:style w:type="table" w:styleId="TableGrid">
    <w:name w:val="Table Grid"/>
    <w:basedOn w:val="TableNormal"/>
    <w:uiPriority w:val="39"/>
    <w:rsid w:val="00F85015"/>
    <w:rPr>
      <w:rFonts w:ascii="Open Sans" w:eastAsia="Open Sans" w:hAnsi="Open Sans" w:cs="Times New Roman"/>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qtoTableBody2">
    <w:name w:val="Defaqto Table Body 2"/>
    <w:basedOn w:val="Normal"/>
    <w:link w:val="DefaqtoTableBody2Char"/>
    <w:qFormat/>
    <w:rsid w:val="00F85015"/>
    <w:pPr>
      <w:suppressAutoHyphens w:val="0"/>
      <w:spacing w:before="60" w:after="60" w:line="259" w:lineRule="auto"/>
    </w:pPr>
    <w:rPr>
      <w:rFonts w:ascii="Calibri" w:eastAsia="Calibri" w:hAnsi="Calibri" w:cs="Arial"/>
      <w:sz w:val="16"/>
      <w:szCs w:val="16"/>
      <w:lang w:val="en-US"/>
    </w:rPr>
  </w:style>
  <w:style w:type="paragraph" w:customStyle="1" w:styleId="DefaqtoHeading2-noTOC">
    <w:name w:val="Defaqto Heading 2 - no TOC"/>
    <w:basedOn w:val="Normal"/>
    <w:link w:val="DefaqtoHeading2-noTOCChar"/>
    <w:qFormat/>
    <w:rsid w:val="00F85015"/>
    <w:pPr>
      <w:keepNext/>
      <w:keepLines/>
      <w:spacing w:before="240" w:after="300" w:line="240" w:lineRule="auto"/>
      <w:ind w:left="2"/>
    </w:pPr>
    <w:rPr>
      <w:rFonts w:ascii="Calibri Light" w:hAnsi="Calibri Light"/>
      <w:color w:val="402B56"/>
      <w:sz w:val="52"/>
      <w:szCs w:val="52"/>
    </w:rPr>
  </w:style>
  <w:style w:type="character" w:customStyle="1" w:styleId="DefaqtoHeading2-noTOCChar">
    <w:name w:val="Defaqto Heading 2 - no TOC Char"/>
    <w:link w:val="DefaqtoHeading2-noTOC"/>
    <w:rsid w:val="00F85015"/>
    <w:rPr>
      <w:rFonts w:ascii="Calibri Light" w:eastAsia="Cambria" w:hAnsi="Calibri Light" w:cs="Times New Roman"/>
      <w:color w:val="402B56"/>
      <w:kern w:val="0"/>
      <w:sz w:val="52"/>
      <w:szCs w:val="52"/>
      <w14:ligatures w14:val="none"/>
    </w:rPr>
  </w:style>
  <w:style w:type="paragraph" w:customStyle="1" w:styleId="Defaqtosmallprint">
    <w:name w:val="Defaqto smallprint"/>
    <w:basedOn w:val="Normal"/>
    <w:link w:val="DefaqtosmallprintChar"/>
    <w:qFormat/>
    <w:rsid w:val="00F85015"/>
    <w:pPr>
      <w:keepNext/>
      <w:keepLines/>
      <w:spacing w:before="240" w:after="240" w:line="259" w:lineRule="auto"/>
    </w:pPr>
    <w:rPr>
      <w:rFonts w:ascii="Calibri" w:eastAsia="MS Gothic" w:hAnsi="Calibri"/>
      <w:color w:val="808080"/>
      <w:sz w:val="16"/>
      <w:szCs w:val="16"/>
    </w:rPr>
  </w:style>
  <w:style w:type="character" w:customStyle="1" w:styleId="DefaqtosmallprintChar">
    <w:name w:val="Defaqto smallprint Char"/>
    <w:link w:val="Defaqtosmallprint"/>
    <w:rsid w:val="00F85015"/>
    <w:rPr>
      <w:rFonts w:ascii="Calibri" w:eastAsia="MS Gothic" w:hAnsi="Calibri" w:cs="Times New Roman"/>
      <w:color w:val="808080"/>
      <w:kern w:val="0"/>
      <w:sz w:val="16"/>
      <w:szCs w:val="16"/>
      <w14:ligatures w14:val="none"/>
    </w:rPr>
  </w:style>
  <w:style w:type="table" w:customStyle="1" w:styleId="DefaqtoTable">
    <w:name w:val="Defaqto Table"/>
    <w:basedOn w:val="TableNormal"/>
    <w:uiPriority w:val="99"/>
    <w:rsid w:val="00F85015"/>
    <w:rPr>
      <w:rFonts w:ascii="Calibri" w:eastAsia="Calibri" w:hAnsi="Calibri" w:cs="Times New Roman"/>
      <w:color w:val="595959"/>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bCs/>
        <w:color w:val="FFFFFF"/>
        <w:sz w:val="24"/>
        <w:szCs w:val="24"/>
      </w:rPr>
      <w:tblPr/>
      <w:tcPr>
        <w:shd w:val="clear" w:color="auto" w:fill="402B56"/>
      </w:tcPr>
    </w:tblStylePr>
    <w:tblStylePr w:type="firstCol">
      <w:pPr>
        <w:jc w:val="left"/>
      </w:pPr>
    </w:tblStylePr>
  </w:style>
  <w:style w:type="character" w:customStyle="1" w:styleId="DefaqtoTableBody2Char">
    <w:name w:val="Defaqto Table Body 2 Char"/>
    <w:link w:val="DefaqtoTableBody2"/>
    <w:rsid w:val="00F85015"/>
    <w:rPr>
      <w:rFonts w:ascii="Calibri" w:eastAsia="Calibri" w:hAnsi="Calibri" w:cs="Arial"/>
      <w:kern w:val="0"/>
      <w:sz w:val="16"/>
      <w:szCs w:val="16"/>
      <w:lang w:val="en-US"/>
      <w14:ligatures w14:val="none"/>
    </w:rPr>
  </w:style>
  <w:style w:type="paragraph" w:customStyle="1" w:styleId="Tag">
    <w:name w:val="Tag"/>
    <w:basedOn w:val="Normal"/>
    <w:qFormat/>
    <w:rsid w:val="00F85015"/>
    <w:pPr>
      <w:spacing w:before="0" w:after="200"/>
    </w:pPr>
    <w:rPr>
      <w:rFonts w:eastAsia="Open Sans"/>
      <w:b/>
      <w:bCs/>
      <w:color w:val="CB3B6D"/>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Harrison</dc:creator>
  <cp:keywords/>
  <dc:description/>
  <cp:lastModifiedBy>Jane Harrison</cp:lastModifiedBy>
  <cp:revision>2</cp:revision>
  <dcterms:created xsi:type="dcterms:W3CDTF">2026-03-26T16:49:00Z</dcterms:created>
  <dcterms:modified xsi:type="dcterms:W3CDTF">2026-03-26T16:52:00Z</dcterms:modified>
</cp:coreProperties>
</file>