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50741" w14:textId="77777777" w:rsidR="00BB4FBB" w:rsidRDefault="00554925">
      <w:r>
        <w:rPr>
          <w:noProof/>
        </w:rPr>
        <w:drawing>
          <wp:inline distT="0" distB="0" distL="0" distR="0" wp14:anchorId="593DD29E" wp14:editId="33C5E1F3">
            <wp:extent cx="1353426" cy="340290"/>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1353426" cy="340290"/>
                    </a:xfrm>
                    <a:prstGeom prst="rect">
                      <a:avLst/>
                    </a:prstGeom>
                    <a:noFill/>
                    <a:ln>
                      <a:noFill/>
                    </a:ln>
                  </pic:spPr>
                </pic:pic>
              </a:graphicData>
            </a:graphic>
          </wp:inline>
        </w:drawing>
      </w:r>
    </w:p>
    <w:p w14:paraId="67F444B1" w14:textId="77777777" w:rsidR="00BB4FBB" w:rsidRDefault="00BB4FBB">
      <w:pPr>
        <w:pStyle w:val="DefaqtoCoverHeading-noTOC"/>
        <w:rPr>
          <w:rFonts w:cs="Poppins SemiBold"/>
          <w:b w:val="0"/>
          <w:bCs w:val="0"/>
          <w:sz w:val="62"/>
          <w:szCs w:val="62"/>
        </w:rPr>
      </w:pPr>
    </w:p>
    <w:p w14:paraId="20FC32B6" w14:textId="77777777" w:rsidR="00BB4FBB" w:rsidRDefault="00BB4FBB">
      <w:pPr>
        <w:pStyle w:val="DefaqtoCoverHeading-noTOC"/>
        <w:rPr>
          <w:rFonts w:cs="Poppins SemiBold"/>
          <w:b w:val="0"/>
          <w:bCs w:val="0"/>
          <w:sz w:val="62"/>
          <w:szCs w:val="62"/>
        </w:rPr>
      </w:pPr>
    </w:p>
    <w:p w14:paraId="063245FD" w14:textId="77777777" w:rsidR="00BB4FBB" w:rsidRDefault="00554925">
      <w:pPr>
        <w:pStyle w:val="DefaqtoCoverHeading-noTOC"/>
        <w:spacing w:after="320"/>
        <w:rPr>
          <w:rFonts w:ascii="Poppins Light" w:hAnsi="Poppins Light" w:cs="Poppins Light"/>
          <w:b w:val="0"/>
          <w:bCs w:val="0"/>
          <w:color w:val="392388"/>
          <w:sz w:val="32"/>
          <w:szCs w:val="32"/>
        </w:rPr>
      </w:pPr>
      <w:r>
        <w:rPr>
          <w:rFonts w:cs="Poppins SemiBold"/>
          <w:b w:val="0"/>
          <w:bCs w:val="0"/>
          <w:noProof/>
        </w:rPr>
        <w:t>Risk Profile</w:t>
      </w:r>
      <w:r>
        <w:rPr>
          <w:rFonts w:cs="Poppins SemiBold"/>
          <w:b w:val="0"/>
          <w:bCs w:val="0"/>
        </w:rPr>
        <w:t xml:space="preserve"> for </w:t>
      </w:r>
      <w:r>
        <w:rPr>
          <w:rFonts w:cs="Poppins SemiBold"/>
          <w:b w:val="0"/>
          <w:bCs w:val="0"/>
          <w:noProof/>
        </w:rPr>
        <w:t xml:space="preserve">Mr Kevin Stead </w:t>
      </w:r>
      <w:bookmarkStart w:id="0" w:name="_Hlk74053138"/>
    </w:p>
    <w:p w14:paraId="51B3B487" w14:textId="77777777" w:rsidR="00BB4FBB" w:rsidRDefault="00554925">
      <w:pPr>
        <w:pStyle w:val="DefaqtoCoverHeading-noTOC"/>
        <w:spacing w:after="160"/>
        <w:rPr>
          <w:rFonts w:ascii="Poppins Light" w:hAnsi="Poppins Light" w:cs="Poppins Light"/>
          <w:b w:val="0"/>
          <w:bCs w:val="0"/>
          <w:color w:val="392388"/>
          <w:sz w:val="32"/>
          <w:szCs w:val="32"/>
        </w:rPr>
      </w:pPr>
      <w:r>
        <w:rPr>
          <w:rFonts w:ascii="Poppins Light" w:hAnsi="Poppins Light" w:cs="Poppins Light"/>
          <w:b w:val="0"/>
          <w:bCs w:val="0"/>
          <w:noProof/>
          <w:color w:val="392388"/>
          <w:sz w:val="32"/>
          <w:szCs w:val="32"/>
        </w:rPr>
        <w:t>Tom Randall</w:t>
      </w:r>
      <w:bookmarkEnd w:id="0"/>
    </w:p>
    <w:p w14:paraId="76219307" w14:textId="77777777" w:rsidR="00BB4FBB" w:rsidRDefault="00554925">
      <w:pPr>
        <w:pStyle w:val="DefaqtoCoverHeading-noTOC"/>
        <w:spacing w:after="160"/>
        <w:rPr>
          <w:rFonts w:ascii="Poppins Light" w:hAnsi="Poppins Light" w:cs="Poppins Light"/>
          <w:b w:val="0"/>
          <w:bCs w:val="0"/>
          <w:color w:val="392388"/>
          <w:sz w:val="32"/>
          <w:szCs w:val="32"/>
        </w:rPr>
      </w:pPr>
      <w:r>
        <w:rPr>
          <w:rFonts w:ascii="Poppins Light" w:hAnsi="Poppins Light" w:cs="Poppins Light"/>
          <w:b w:val="0"/>
          <w:bCs w:val="0"/>
          <w:noProof/>
          <w:color w:val="392388"/>
          <w:sz w:val="32"/>
          <w:szCs w:val="32"/>
        </w:rPr>
        <w:t>TFAS Wealth Ltd</w:t>
      </w:r>
    </w:p>
    <w:p w14:paraId="01127AA5" w14:textId="77777777" w:rsidR="00BB4FBB" w:rsidRDefault="00554925">
      <w:pPr>
        <w:ind w:left="23"/>
        <w:rPr>
          <w:rFonts w:ascii="Poppins" w:hAnsi="Poppins" w:cs="Poppins"/>
          <w:sz w:val="36"/>
          <w:szCs w:val="36"/>
        </w:rPr>
      </w:pPr>
      <w:r>
        <w:rPr>
          <w:rFonts w:ascii="Poppins Light" w:hAnsi="Poppins Light" w:cs="Poppins Light"/>
          <w:noProof/>
          <w:color w:val="392388"/>
          <w:sz w:val="32"/>
          <w:szCs w:val="32"/>
        </w:rPr>
        <w:t>13 July 2026</w:t>
      </w:r>
      <w:r>
        <w:rPr>
          <w:rFonts w:ascii="Poppins" w:hAnsi="Poppins" w:cs="Poppins"/>
          <w:sz w:val="36"/>
          <w:szCs w:val="36"/>
        </w:rPr>
        <w:tab/>
      </w:r>
    </w:p>
    <w:p w14:paraId="3CF7AC3C" w14:textId="77777777" w:rsidR="00BB4FBB" w:rsidRDefault="00554925">
      <w:pPr>
        <w:rPr>
          <w:rFonts w:ascii="Poppins" w:hAnsi="Poppins" w:cs="Poppins"/>
          <w:sz w:val="36"/>
          <w:szCs w:val="36"/>
        </w:rPr>
        <w:sectPr w:rsidR="00BB4FBB">
          <w:headerReference w:type="default" r:id="rId8"/>
          <w:footerReference w:type="default" r:id="rId9"/>
          <w:footerReference w:type="first" r:id="rId10"/>
          <w:pgSz w:w="11906" w:h="16838"/>
          <w:pgMar w:top="709" w:right="640" w:bottom="376" w:left="640" w:header="200" w:footer="200" w:gutter="0"/>
          <w:pgNumType w:start="1"/>
          <w:cols w:space="720"/>
          <w:titlePg/>
          <w:docGrid w:linePitch="299"/>
        </w:sectPr>
      </w:pPr>
      <w:r>
        <w:rPr>
          <w:rFonts w:ascii="Poppins" w:hAnsi="Poppins" w:cs="Poppins"/>
          <w:noProof/>
          <w:color w:val="4A4948"/>
          <w:sz w:val="36"/>
          <w:szCs w:val="36"/>
        </w:rPr>
        <mc:AlternateContent>
          <mc:Choice Requires="wps">
            <w:drawing>
              <wp:anchor distT="0" distB="0" distL="114300" distR="114300" simplePos="0" relativeHeight="251676672" behindDoc="0" locked="0" layoutInCell="1" allowOverlap="1" wp14:anchorId="4979E5FE" wp14:editId="64791C62">
                <wp:simplePos x="0" y="0"/>
                <wp:positionH relativeFrom="margin">
                  <wp:posOffset>10973</wp:posOffset>
                </wp:positionH>
                <wp:positionV relativeFrom="topMargin">
                  <wp:posOffset>6488582</wp:posOffset>
                </wp:positionV>
                <wp:extent cx="6851460" cy="3096083"/>
                <wp:effectExtent l="0" t="0" r="6985" b="9525"/>
                <wp:wrapNone/>
                <wp:docPr id="3" name="Text Box 2"/>
                <wp:cNvGraphicFramePr/>
                <a:graphic xmlns:a="http://schemas.openxmlformats.org/drawingml/2006/main">
                  <a:graphicData uri="http://schemas.microsoft.com/office/word/2010/wordprocessingShape">
                    <wps:wsp>
                      <wps:cNvSpPr txBox="1"/>
                      <wps:spPr>
                        <a:xfrm>
                          <a:off x="0" y="0"/>
                          <a:ext cx="6851460" cy="3096083"/>
                        </a:xfrm>
                        <a:prstGeom prst="rect">
                          <a:avLst/>
                        </a:prstGeom>
                        <a:solidFill>
                          <a:srgbClr val="FFFFFF"/>
                        </a:solidFill>
                        <a:ln w="9525">
                          <a:noFill/>
                          <a:headEnd type="none" w="med" len="med"/>
                          <a:tailEnd type="none" w="med" len="med"/>
                        </a:ln>
                      </wps:spPr>
                      <wps:style>
                        <a:lnRef idx="0">
                          <a:schemeClr val="accent1"/>
                        </a:lnRef>
                        <a:fillRef idx="0">
                          <a:schemeClr val="accent1"/>
                        </a:fillRef>
                        <a:effectRef idx="0">
                          <a:schemeClr val="accent1"/>
                        </a:effectRef>
                        <a:fontRef idx="minor">
                          <a:schemeClr val="dk1"/>
                        </a:fontRef>
                      </wps:style>
                      <wps:txbx>
                        <w:txbxContent>
                          <w:p w14:paraId="69AA7019" w14:textId="77777777" w:rsidR="00BB4FBB" w:rsidRDefault="00554925">
                            <w:pPr>
                              <w:jc w:val="right"/>
                              <w:rPr>
                                <w:color w:val="392388"/>
                              </w:rPr>
                            </w:pPr>
                            <w:r>
                              <w:rPr>
                                <w:noProof/>
                              </w:rPr>
                              <w:drawing>
                                <wp:inline distT="0" distB="0" distL="0" distR="0" wp14:anchorId="70E087CD" wp14:editId="70C6AA46">
                                  <wp:extent cx="2667000" cy="1181100"/>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cstate="print"/>
                                          <a:stretch>
                                            <a:fillRect/>
                                          </a:stretch>
                                        </pic:blipFill>
                                        <pic:spPr>
                                          <a:xfrm>
                                            <a:off x="0" y="0"/>
                                            <a:ext cx="2667000" cy="1181100"/>
                                          </a:xfrm>
                                          <a:prstGeom prst="rect">
                                            <a:avLst/>
                                          </a:prstGeom>
                                        </pic:spPr>
                                      </pic:pic>
                                    </a:graphicData>
                                  </a:graphic>
                                </wp:inline>
                              </w:drawing>
                            </w:r>
                          </w:p>
                        </w:txbxContent>
                      </wps:txbx>
                      <wps:bodyPr rot="0" vert="horz" wrap="square" lIns="0" tIns="0" rIns="0" bIns="0" anchor="b" anchorCtr="0"/>
                    </wps:wsp>
                  </a:graphicData>
                </a:graphic>
                <wp14:sizeRelH relativeFrom="margin">
                  <wp14:pctWidth>0</wp14:pctWidth>
                </wp14:sizeRelH>
                <wp14:sizeRelV relativeFrom="margin">
                  <wp14:pctHeight>0</wp14:pctHeight>
                </wp14:sizeRelV>
              </wp:anchor>
            </w:drawing>
          </mc:Choice>
          <mc:Fallback>
            <w:pict>
              <v:shapetype w14:anchorId="4979E5FE" id="_x0000_t202" coordsize="21600,21600" o:spt="202" path="m,l,21600r21600,l21600,xe">
                <v:stroke joinstyle="miter"/>
                <v:path gradientshapeok="t" o:connecttype="rect"/>
              </v:shapetype>
              <v:shape id="Text Box 2" o:spid="_x0000_s1026" type="#_x0000_t202" style="position:absolute;margin-left:.85pt;margin-top:510.9pt;width:539.5pt;height:243.8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" stroked="f">
                <v:textbox inset="0,0,0,0">
                  <w:txbxContent>
                    <w:p w14:paraId="69AA7019" w14:textId="77777777" w:rsidR="00BB4FBB" w:rsidRDefault="00554925">
                      <w:pPr>
                        <w:jc w:val="right"/>
                        <w:rPr>
                          <w:color w:val="392388"/>
                        </w:rPr>
                      </w:pPr>
                      <w:r>
                        <w:rPr>
                          <w:noProof/>
                        </w:rPr>
                        <w:drawing>
                          <wp:inline distT="0" distB="0" distL="0" distR="0" wp14:anchorId="70E087CD" wp14:editId="70C6AA46">
                            <wp:extent cx="2667000" cy="1181100"/>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cstate="print"/>
                                    <a:stretch>
                                      <a:fillRect/>
                                    </a:stretch>
                                  </pic:blipFill>
                                  <pic:spPr>
                                    <a:xfrm>
                                      <a:off x="0" y="0"/>
                                      <a:ext cx="2667000" cy="1181100"/>
                                    </a:xfrm>
                                    <a:prstGeom prst="rect">
                                      <a:avLst/>
                                    </a:prstGeom>
                                  </pic:spPr>
                                </pic:pic>
                              </a:graphicData>
                            </a:graphic>
                          </wp:inline>
                        </w:drawing>
                      </w:r>
                    </w:p>
                  </w:txbxContent>
                </v:textbox>
                <w10:wrap anchorx="margin" anchory="margin"/>
              </v:shape>
            </w:pict>
          </mc:Fallback>
        </mc:AlternateContent>
      </w:r>
    </w:p>
    <w:p w14:paraId="04975EA8" w14:textId="77777777" w:rsidR="00BB4FBB" w:rsidRDefault="00554925">
      <w:pPr>
        <w:pStyle w:val="DefaqtoHeading1"/>
      </w:pPr>
      <w:r>
        <w:lastRenderedPageBreak/>
        <w:t>Risk profile</w:t>
      </w:r>
    </w:p>
    <w:p w14:paraId="3E16FE57" w14:textId="77777777" w:rsidR="00BB4FBB" w:rsidRDefault="00554925">
      <w:pPr>
        <w:pStyle w:val="DefaqtoIntroText"/>
      </w:pPr>
      <w:r>
        <w:rPr>
          <w:u w:color="000000"/>
        </w:rPr>
        <w:t>This section details how we reached an agreed risk level for this goal. It covers factors including your natural attitude to risk, capacity for loss and required return; factors used when selecting the types of investments and determining suitability.</w:t>
      </w:r>
    </w:p>
    <w:p w14:paraId="132828FF" w14:textId="77777777" w:rsidR="00BB4FBB" w:rsidRDefault="00554925">
      <w:pPr>
        <w:pStyle w:val="DefaqtoHeading2"/>
      </w:pPr>
      <w:r>
        <w:rPr>
          <w:b/>
          <w:bCs/>
          <w:u w:color="000000"/>
        </w:rPr>
        <w:t>How are risk levels used to create suitable investment portfolios?</w:t>
      </w:r>
    </w:p>
    <w:p w14:paraId="06B98CDE" w14:textId="77777777" w:rsidR="00BB4FBB" w:rsidRDefault="00554925">
      <w:pPr>
        <w:pStyle w:val="DefaqtoBody"/>
      </w:pPr>
      <w:r>
        <w:rPr>
          <w:u w:color="000000"/>
        </w:rPr>
        <w:t>The natural risk level, which is ascertained from the psychometric attitude to risk questionnaire score, is used as a starting point to discuss the actual level of risk you are willing and able to take to meet your specific investment objective.</w:t>
      </w:r>
    </w:p>
    <w:p w14:paraId="175DC60A" w14:textId="77777777" w:rsidR="00BB4FBB" w:rsidRDefault="00554925">
      <w:pPr>
        <w:pStyle w:val="DefaqtoBody"/>
      </w:pPr>
      <w:r>
        <w:rPr>
          <w:u w:color="000000"/>
        </w:rPr>
        <w:t>In the discussion we had, you were shown a projection, based initially on your natural risk level, investment amount, target and desired time horizon. We then discussed this projection and altered any factor, including the risk level, until we agreed that the right balance had been achieved. This resulted in an agreed risk level for the investment.</w:t>
      </w:r>
    </w:p>
    <w:p w14:paraId="0383399D" w14:textId="77777777" w:rsidR="00BB4FBB" w:rsidRDefault="00554925">
      <w:pPr>
        <w:pStyle w:val="DefaqtoBody"/>
      </w:pPr>
      <w:r>
        <w:rPr>
          <w:u w:color="000000"/>
        </w:rPr>
        <w:t xml:space="preserve">To project the potential outcomes, each risk level is mapped to a collection of asset classes designed to expose you to an appropriate level of risk. Projections are produced by passing the asset class breakdown for the selected risk level to a stochastic engine that uses modelling provided by Hymans Robertson to project the future performance of the combination of asset classes. </w:t>
      </w:r>
    </w:p>
    <w:p w14:paraId="5C45F68E" w14:textId="77777777" w:rsidR="00BB4FBB" w:rsidRDefault="00554925">
      <w:pPr>
        <w:pStyle w:val="DefaqtoBody"/>
      </w:pPr>
      <w:r>
        <w:rPr>
          <w:u w:color="000000"/>
        </w:rPr>
        <w:t>By using these projections and discussions, we came to an agreed risk level for your specific investment objective. A portfolio will be built to meet your agreed risk level.</w:t>
      </w:r>
    </w:p>
    <w:p w14:paraId="03107A1C" w14:textId="77777777" w:rsidR="00BB4FBB" w:rsidRDefault="00554925">
      <w:pPr>
        <w:pStyle w:val="DefaqtoBody"/>
      </w:pPr>
      <w:r>
        <w:rPr>
          <w:u w:color="000000"/>
        </w:rPr>
        <w:t>A summary of the results of this process is documented below.</w:t>
      </w:r>
    </w:p>
    <w:p w14:paraId="2A293374" w14:textId="77777777" w:rsidR="00BB4FBB" w:rsidRDefault="00554925">
      <w:r>
        <w:br w:type="page"/>
      </w:r>
    </w:p>
    <w:p w14:paraId="09A7B43A" w14:textId="77777777" w:rsidR="00BB4FBB" w:rsidRDefault="00554925">
      <w:pPr>
        <w:pStyle w:val="DefaqtoHeading2"/>
      </w:pPr>
      <w:r>
        <w:rPr>
          <w:u w:color="000000"/>
        </w:rPr>
        <w:lastRenderedPageBreak/>
        <w:t>Natural risk level</w:t>
      </w:r>
    </w:p>
    <w:p w14:paraId="01B9B957" w14:textId="77777777" w:rsidR="00BB4FBB" w:rsidRDefault="00554925">
      <w:pPr>
        <w:pStyle w:val="DefaqtoBody"/>
      </w:pPr>
      <w:r>
        <w:rPr>
          <w:u w:color="000000"/>
        </w:rPr>
        <w:t>Your natural risk level is based on the answers given in the Attitude to Risk Questionnaire which was completed on 21/05/2026. The responses can be found in the appendix</w:t>
      </w:r>
    </w:p>
    <w:p w14:paraId="4D07EEC9" w14:textId="77777777" w:rsidR="00BB4FBB" w:rsidRDefault="00554925">
      <w:pPr>
        <w:pStyle w:val="DefaqtoBody"/>
      </w:pPr>
      <w:r>
        <w:rPr>
          <w:b/>
          <w:bCs/>
          <w:u w:color="000000"/>
        </w:rPr>
        <w:t>Mr Kevin Stead</w:t>
      </w:r>
    </w:p>
    <w:tbl>
      <w:tblPr>
        <w:tblStyle w:val="DefaqtoTable-Plain"/>
        <w:tblW w:w="5000" w:type="pct"/>
        <w:tblLook w:val="01E0" w:firstRow="1" w:lastRow="1" w:firstColumn="1" w:lastColumn="1" w:noHBand="0" w:noVBand="0"/>
      </w:tblPr>
      <w:tblGrid>
        <w:gridCol w:w="2596"/>
        <w:gridCol w:w="222"/>
        <w:gridCol w:w="7799"/>
      </w:tblGrid>
      <w:tr w:rsidR="00BB4FBB" w14:paraId="16235D0B" w14:textId="77777777">
        <w:tc>
          <w:tcPr>
            <w:tcW w:w="1250" w:type="pct"/>
            <w:tcBorders>
              <w:top w:val="inset" w:sz="8" w:space="0" w:color="B0A7CF"/>
              <w:left w:val="inset" w:sz="8" w:space="0" w:color="B0A7CF"/>
              <w:bottom w:val="inset" w:sz="8" w:space="0" w:color="B0A7CF"/>
              <w:right w:val="inset" w:sz="8" w:space="0" w:color="B0A7CF"/>
            </w:tcBorders>
            <w:shd w:val="clear" w:color="auto" w:fill="FFFFFF"/>
            <w:vAlign w:val="center"/>
          </w:tcPr>
          <w:p w14:paraId="446066FE" w14:textId="77777777" w:rsidR="00BB4FBB" w:rsidRDefault="00554925">
            <w:pPr>
              <w:pStyle w:val="DefaqtoTableBody2"/>
              <w:jc w:val="center"/>
            </w:pPr>
            <w:r>
              <w:rPr>
                <w:b/>
                <w:bCs/>
                <w:sz w:val="36"/>
                <w:szCs w:val="36"/>
              </w:rPr>
              <w:t>5</w:t>
            </w:r>
            <w:r>
              <w:br/>
            </w:r>
            <w:r>
              <w:br/>
            </w:r>
            <w:r>
              <w:rPr>
                <w:b/>
                <w:bCs/>
                <w:sz w:val="24"/>
                <w:szCs w:val="24"/>
              </w:rPr>
              <w:t>Balanced</w:t>
            </w:r>
          </w:p>
        </w:tc>
        <w:tc>
          <w:tcPr>
            <w:tcW w:w="50" w:type="pct"/>
          </w:tcPr>
          <w:p w14:paraId="415C042D" w14:textId="77777777" w:rsidR="00BB4FBB" w:rsidRDefault="00554925">
            <w:pPr>
              <w:pStyle w:val="DefaqtoTableBody2"/>
            </w:pPr>
            <w:r>
              <w:t xml:space="preserve"> </w:t>
            </w:r>
          </w:p>
        </w:tc>
        <w:tc>
          <w:tcPr>
            <w:tcW w:w="3700" w:type="pct"/>
          </w:tcPr>
          <w:p w14:paraId="02190D64" w14:textId="77777777" w:rsidR="00BB4FBB" w:rsidRDefault="00554925">
            <w:pPr>
              <w:pStyle w:val="DefaqtoTableBody2"/>
            </w:pPr>
            <w:r>
              <w:rPr>
                <w:sz w:val="20"/>
                <w:szCs w:val="20"/>
              </w:rPr>
              <w:t>As a Balanced investor you do not see yourself as a particularly cautious person and have no strong positive or negative associations with the notion of taking risk.  If you have some experience of investments and a degree of understanding of financial matters then you may be suited to a Balanced approach to investing.  You may also be suited to this approach if you make investment decisions reasonably quickly and don’t tend to be particularly anxious about those decisions.  As a Balanced investor you can b</w:t>
            </w:r>
            <w:r>
              <w:rPr>
                <w:sz w:val="20"/>
                <w:szCs w:val="20"/>
              </w:rPr>
              <w:t xml:space="preserve">e inclined to look for a combination of investments with differing levels of risk and understand that you may need to take some risk to meet your investment goals. </w:t>
            </w:r>
          </w:p>
        </w:tc>
      </w:tr>
    </w:tbl>
    <w:p w14:paraId="65B52CD0" w14:textId="77777777" w:rsidR="00BB4FBB" w:rsidRDefault="00554925">
      <w:pPr>
        <w:pStyle w:val="DefaqtoHeading2"/>
      </w:pPr>
      <w:r>
        <w:rPr>
          <w:u w:color="000000"/>
        </w:rPr>
        <w:t>Agreed risk level</w:t>
      </w:r>
    </w:p>
    <w:p w14:paraId="728512C8" w14:textId="77777777" w:rsidR="00BB4FBB" w:rsidRDefault="00554925">
      <w:pPr>
        <w:pStyle w:val="DefaqtoBody"/>
      </w:pPr>
      <w:r>
        <w:rPr>
          <w:u w:color="000000"/>
        </w:rPr>
        <w:t xml:space="preserve">Following an interactive discussion, and considering your natural attitude to risk, capacity for loss and required return for your goal, we agreed a risk level. </w:t>
      </w:r>
    </w:p>
    <w:tbl>
      <w:tblPr>
        <w:tblStyle w:val="DefaqtoTable-Plain"/>
        <w:tblW w:w="5000" w:type="pct"/>
        <w:tblLook w:val="01E0" w:firstRow="1" w:lastRow="1" w:firstColumn="1" w:lastColumn="1" w:noHBand="0" w:noVBand="0"/>
      </w:tblPr>
      <w:tblGrid>
        <w:gridCol w:w="2596"/>
        <w:gridCol w:w="222"/>
        <w:gridCol w:w="7799"/>
      </w:tblGrid>
      <w:tr w:rsidR="00BB4FBB" w14:paraId="092DC620" w14:textId="77777777">
        <w:tc>
          <w:tcPr>
            <w:tcW w:w="1250" w:type="pct"/>
            <w:tcBorders>
              <w:top w:val="inset" w:sz="8" w:space="0" w:color="B0A7CF"/>
              <w:left w:val="inset" w:sz="8" w:space="0" w:color="B0A7CF"/>
              <w:bottom w:val="inset" w:sz="8" w:space="0" w:color="B0A7CF"/>
              <w:right w:val="inset" w:sz="8" w:space="0" w:color="B0A7CF"/>
            </w:tcBorders>
            <w:shd w:val="clear" w:color="auto" w:fill="FFFFFF"/>
            <w:vAlign w:val="center"/>
          </w:tcPr>
          <w:p w14:paraId="762E8015" w14:textId="77777777" w:rsidR="00BB4FBB" w:rsidRDefault="00554925">
            <w:pPr>
              <w:pStyle w:val="DefaqtoTableBody2"/>
              <w:jc w:val="center"/>
            </w:pPr>
            <w:r>
              <w:rPr>
                <w:b/>
                <w:bCs/>
                <w:sz w:val="36"/>
                <w:szCs w:val="36"/>
              </w:rPr>
              <w:t>5</w:t>
            </w:r>
            <w:r>
              <w:br/>
            </w:r>
            <w:r>
              <w:br/>
            </w:r>
            <w:r>
              <w:rPr>
                <w:b/>
                <w:bCs/>
                <w:sz w:val="24"/>
                <w:szCs w:val="24"/>
              </w:rPr>
              <w:t>Balanced</w:t>
            </w:r>
          </w:p>
        </w:tc>
        <w:tc>
          <w:tcPr>
            <w:tcW w:w="50" w:type="pct"/>
          </w:tcPr>
          <w:p w14:paraId="70F4A887" w14:textId="77777777" w:rsidR="00BB4FBB" w:rsidRDefault="00554925">
            <w:pPr>
              <w:pStyle w:val="DefaqtoTableBody2"/>
            </w:pPr>
            <w:r>
              <w:t xml:space="preserve"> </w:t>
            </w:r>
          </w:p>
        </w:tc>
        <w:tc>
          <w:tcPr>
            <w:tcW w:w="3700" w:type="pct"/>
          </w:tcPr>
          <w:p w14:paraId="74F22978" w14:textId="77777777" w:rsidR="00BB4FBB" w:rsidRDefault="00554925">
            <w:pPr>
              <w:pStyle w:val="DefaqtoTableBody2"/>
            </w:pPr>
            <w:r>
              <w:rPr>
                <w:sz w:val="20"/>
                <w:szCs w:val="20"/>
              </w:rPr>
              <w:t>As a Balanced investor you do not see yourself as a particularly cautious person and have no strong positive or negative associations with the notion of taking risk.  If you have some experience of investments and a degree of understanding of financial matters then you may be suited to a Balanced approach to investing.  You may also be suited to this approach if you make investment decisions reasonably quickly and don’t tend to be particularly anxious about those decisions.  As a Balanced investor you can b</w:t>
            </w:r>
            <w:r>
              <w:rPr>
                <w:sz w:val="20"/>
                <w:szCs w:val="20"/>
              </w:rPr>
              <w:t xml:space="preserve">e inclined to look for a combination of investments with differing levels of risk and understand that you may need to take some risk to meet your investment goals. </w:t>
            </w:r>
          </w:p>
        </w:tc>
      </w:tr>
    </w:tbl>
    <w:p w14:paraId="3C1671E6" w14:textId="77777777" w:rsidR="00BB4FBB" w:rsidRDefault="00554925">
      <w:r>
        <w:t xml:space="preserve"> </w:t>
      </w:r>
    </w:p>
    <w:p w14:paraId="441C47D7" w14:textId="77777777" w:rsidR="00BB4FBB" w:rsidRDefault="00554925">
      <w:pPr>
        <w:pStyle w:val="DefaqtoBody"/>
      </w:pPr>
      <w:r>
        <w:rPr>
          <w:u w:color="000000"/>
        </w:rPr>
        <w:t>No additional notes were recorded</w:t>
      </w:r>
    </w:p>
    <w:p w14:paraId="0BFCE14B" w14:textId="77777777" w:rsidR="00BB4FBB" w:rsidRDefault="00554925">
      <w:pPr>
        <w:pStyle w:val="DefaqtoHeading2"/>
      </w:pPr>
      <w:r>
        <w:rPr>
          <w:u w:color="000000"/>
        </w:rPr>
        <w:t>Risk level justification</w:t>
      </w:r>
    </w:p>
    <w:p w14:paraId="7F5BBA15" w14:textId="77777777" w:rsidR="00BB4FBB" w:rsidRDefault="00554925">
      <w:pPr>
        <w:pStyle w:val="DefaqtoBody"/>
      </w:pPr>
      <w:r>
        <w:rPr>
          <w:u w:color="000000"/>
        </w:rPr>
        <w:t>The projections for the agreed risk level are shown below. They are not intended to provide a guarantee of actual portfolio performance, rather to provide a way to illustrate how different risk levels affect the range of probable returns. Projections take account of an estimated annual total charge of 1.5% which is intended to represent tax wrapper, platform and fund charges as well as any ongoing advice charges. The actual charge will be dependent on the chosen tax wrapper, platform and fund portfolio. The</w:t>
      </w:r>
      <w:r>
        <w:rPr>
          <w:u w:color="000000"/>
        </w:rPr>
        <w:t xml:space="preserve"> projections model the effects of inflation; all figures are shown in real terms.</w:t>
      </w:r>
    </w:p>
    <w:p w14:paraId="7CFEAE89" w14:textId="77777777" w:rsidR="00BB4FBB" w:rsidRDefault="00554925">
      <w:pPr>
        <w:pStyle w:val="DefaqtoBody"/>
      </w:pPr>
      <w:r>
        <w:rPr>
          <w:u w:color="000000"/>
        </w:rPr>
        <w:t>The details of your investment goal are as follows:</w:t>
      </w:r>
    </w:p>
    <w:tbl>
      <w:tblPr>
        <w:tblStyle w:val="Custom1"/>
        <w:tblW w:w="5000" w:type="pct"/>
        <w:tblLook w:val="01E0" w:firstRow="1" w:lastRow="1" w:firstColumn="1" w:lastColumn="1" w:noHBand="0" w:noVBand="0"/>
      </w:tblPr>
      <w:tblGrid>
        <w:gridCol w:w="5308"/>
        <w:gridCol w:w="5309"/>
      </w:tblGrid>
      <w:tr w:rsidR="00BB4FBB" w14:paraId="1CA6AB62" w14:textId="77777777" w:rsidTr="00BB4F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0" w:type="pct"/>
          </w:tcPr>
          <w:p w14:paraId="517AC829" w14:textId="77777777" w:rsidR="00BB4FBB" w:rsidRDefault="00554925">
            <w:pPr>
              <w:pStyle w:val="DefaqtoTableBody2"/>
            </w:pPr>
            <w:r>
              <w:lastRenderedPageBreak/>
              <w:t>Investment Period</w:t>
            </w:r>
          </w:p>
        </w:tc>
        <w:tc>
          <w:tcPr>
            <w:tcW w:w="1650" w:type="pct"/>
          </w:tcPr>
          <w:p w14:paraId="6E5DB99D" w14:textId="77777777" w:rsidR="00BB4FBB" w:rsidRDefault="00554925">
            <w:pPr>
              <w:pStyle w:val="DefaqtoTableBody2"/>
              <w:cnfStyle w:val="000000100000" w:firstRow="0" w:lastRow="0" w:firstColumn="0" w:lastColumn="0" w:oddVBand="0" w:evenVBand="0" w:oddHBand="1" w:evenHBand="0" w:firstRowFirstColumn="0" w:firstRowLastColumn="0" w:lastRowFirstColumn="0" w:lastRowLastColumn="0"/>
            </w:pPr>
            <w:r>
              <w:t>33 years</w:t>
            </w:r>
          </w:p>
        </w:tc>
      </w:tr>
      <w:tr w:rsidR="00BB4FBB" w14:paraId="213FE6F4"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1097F15" w14:textId="77777777" w:rsidR="00BB4FBB" w:rsidRDefault="00554925">
            <w:pPr>
              <w:pStyle w:val="DefaqtoTableBody2"/>
            </w:pPr>
            <w:r>
              <w:t>Investment</w:t>
            </w:r>
          </w:p>
        </w:tc>
        <w:tc>
          <w:tcPr>
            <w:tcW w:w="0" w:type="auto"/>
          </w:tcPr>
          <w:p w14:paraId="245D101D" w14:textId="77777777" w:rsidR="00BB4FBB" w:rsidRDefault="00554925">
            <w:pPr>
              <w:pStyle w:val="DefaqtoTableBody2"/>
              <w:cnfStyle w:val="000000010000" w:firstRow="0" w:lastRow="0" w:firstColumn="0" w:lastColumn="0" w:oddVBand="0" w:evenVBand="0" w:oddHBand="0" w:evenHBand="1" w:firstRowFirstColumn="0" w:firstRowLastColumn="0" w:lastRowFirstColumn="0" w:lastRowLastColumn="0"/>
            </w:pPr>
            <w:r>
              <w:t>£161,559</w:t>
            </w:r>
          </w:p>
        </w:tc>
      </w:tr>
      <w:tr w:rsidR="00BB4FBB" w14:paraId="3C4D9D4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B8BDDE2" w14:textId="77777777" w:rsidR="00BB4FBB" w:rsidRDefault="00554925">
            <w:pPr>
              <w:pStyle w:val="DefaqtoTableBody2"/>
            </w:pPr>
            <w:r>
              <w:t>Regular Investment</w:t>
            </w:r>
          </w:p>
        </w:tc>
        <w:tc>
          <w:tcPr>
            <w:tcW w:w="0" w:type="auto"/>
          </w:tcPr>
          <w:p w14:paraId="2FCBE644" w14:textId="77777777" w:rsidR="00BB4FBB" w:rsidRDefault="00554925">
            <w:pPr>
              <w:pStyle w:val="DefaqtoTableBody2"/>
              <w:cnfStyle w:val="000000100000" w:firstRow="0" w:lastRow="0" w:firstColumn="0" w:lastColumn="0" w:oddVBand="0" w:evenVBand="0" w:oddHBand="1" w:evenHBand="0" w:firstRowFirstColumn="0" w:firstRowLastColumn="0" w:lastRowFirstColumn="0" w:lastRowLastColumn="0"/>
            </w:pPr>
            <w:r>
              <w:t>£0 monthly (expressed in real terms)</w:t>
            </w:r>
          </w:p>
        </w:tc>
      </w:tr>
      <w:tr w:rsidR="00BB4FBB" w14:paraId="31368B17"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896F606" w14:textId="77777777" w:rsidR="00BB4FBB" w:rsidRDefault="00554925">
            <w:pPr>
              <w:pStyle w:val="DefaqtoTableBody2"/>
            </w:pPr>
            <w:r>
              <w:t>Annual Increase</w:t>
            </w:r>
          </w:p>
        </w:tc>
        <w:tc>
          <w:tcPr>
            <w:tcW w:w="0" w:type="auto"/>
          </w:tcPr>
          <w:p w14:paraId="22690020" w14:textId="77777777" w:rsidR="00BB4FBB" w:rsidRDefault="00554925">
            <w:pPr>
              <w:pStyle w:val="DefaqtoTableBody2"/>
              <w:cnfStyle w:val="000000010000" w:firstRow="0" w:lastRow="0" w:firstColumn="0" w:lastColumn="0" w:oddVBand="0" w:evenVBand="0" w:oddHBand="0" w:evenHBand="1" w:firstRowFirstColumn="0" w:firstRowLastColumn="0" w:lastRowFirstColumn="0" w:lastRowLastColumn="0"/>
            </w:pPr>
            <w:r>
              <w:t>3% per year In Addition to Inflation</w:t>
            </w:r>
          </w:p>
        </w:tc>
      </w:tr>
    </w:tbl>
    <w:p w14:paraId="1482C56E" w14:textId="77777777" w:rsidR="00BB4FBB" w:rsidRDefault="00554925">
      <w:pPr>
        <w:pStyle w:val="DefaqtoBody"/>
      </w:pPr>
      <w:r>
        <w:rPr>
          <w:u w:color="000000"/>
        </w:rPr>
        <w:t>You may be using more than one investment to achieve this goal. Each investment will detail the initial and any regular amount invested.</w:t>
      </w:r>
    </w:p>
    <w:p w14:paraId="77DCB8CA" w14:textId="77777777" w:rsidR="00BB4FBB" w:rsidRDefault="00554925">
      <w:pPr>
        <w:pStyle w:val="DefaqtoBody"/>
      </w:pPr>
      <w:r>
        <w:rPr>
          <w:u w:color="000000"/>
        </w:rPr>
        <w:t>Projecting these details, along with the agreed risk level, produced the following graphs which were discussed and agreed with you:</w:t>
      </w:r>
    </w:p>
    <w:tbl>
      <w:tblPr>
        <w:tblW w:w="5000" w:type="pct"/>
        <w:tblCellSpacing w:w="30" w:type="dxa"/>
        <w:tblInd w:w="75" w:type="dxa"/>
        <w:tblBorders>
          <w:top w:val="nil"/>
          <w:left w:val="nil"/>
          <w:bottom w:val="nil"/>
          <w:right w:val="nil"/>
          <w:insideH w:val="nil"/>
          <w:insideV w:val="nil"/>
        </w:tblBorders>
        <w:tblLook w:val="0600" w:firstRow="0" w:lastRow="0" w:firstColumn="0" w:lastColumn="0" w:noHBand="1" w:noVBand="1"/>
      </w:tblPr>
      <w:tblGrid>
        <w:gridCol w:w="10891"/>
      </w:tblGrid>
      <w:tr w:rsidR="00BB4FBB" w14:paraId="3FBC23F7" w14:textId="77777777">
        <w:trPr>
          <w:tblCellSpacing w:w="30" w:type="dxa"/>
        </w:trPr>
        <w:tc>
          <w:tcPr>
            <w:tcW w:w="5000" w:type="pct"/>
            <w:tcBorders>
              <w:top w:val="single" w:sz="12" w:space="0" w:color="DDDDDD"/>
              <w:left w:val="single" w:sz="12" w:space="0" w:color="DDDDDD"/>
              <w:bottom w:val="single" w:sz="12" w:space="0" w:color="DDDDDD"/>
              <w:right w:val="single" w:sz="12" w:space="0" w:color="DDDDDD"/>
            </w:tcBorders>
            <w:tcMar>
              <w:top w:w="105" w:type="dxa"/>
              <w:left w:w="105" w:type="dxa"/>
              <w:bottom w:w="105" w:type="dxa"/>
              <w:right w:w="105" w:type="dxa"/>
            </w:tcMar>
            <w:vAlign w:val="center"/>
          </w:tcPr>
          <w:p w14:paraId="69AA278C" w14:textId="77777777" w:rsidR="00BB4FBB" w:rsidRDefault="00554925">
            <w:pPr>
              <w:spacing w:after="0"/>
              <w:jc w:val="center"/>
              <w:rPr>
                <w:color w:val="392388"/>
              </w:rPr>
            </w:pPr>
            <w:r>
              <w:rPr>
                <w:noProof/>
              </w:rPr>
              <w:drawing>
                <wp:inline distT="0" distB="0" distL="0" distR="0" wp14:anchorId="1542D703" wp14:editId="403F47C9">
                  <wp:extent cx="6668431" cy="4763165"/>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2" cstate="print"/>
                          <a:stretch>
                            <a:fillRect/>
                          </a:stretch>
                        </pic:blipFill>
                        <pic:spPr>
                          <a:xfrm>
                            <a:off x="0" y="0"/>
                            <a:ext cx="6668431" cy="4763165"/>
                          </a:xfrm>
                          <a:prstGeom prst="rect">
                            <a:avLst/>
                          </a:prstGeom>
                        </pic:spPr>
                      </pic:pic>
                    </a:graphicData>
                  </a:graphic>
                </wp:inline>
              </w:drawing>
            </w:r>
          </w:p>
        </w:tc>
      </w:tr>
    </w:tbl>
    <w:p w14:paraId="2FBC891B" w14:textId="77777777" w:rsidR="00BB4FBB" w:rsidRDefault="00554925">
      <w:pPr>
        <w:spacing w:after="0"/>
        <w:jc w:val="center"/>
        <w:rPr>
          <w:color w:val="392388"/>
          <w:sz w:val="24"/>
          <w:szCs w:val="24"/>
        </w:rPr>
      </w:pPr>
      <w:r>
        <w:rPr>
          <w:color w:val="392388"/>
          <w:sz w:val="24"/>
          <w:szCs w:val="24"/>
        </w:rPr>
        <w:t>Investment Projection Graph based on Agreed Risk Level</w:t>
      </w:r>
    </w:p>
    <w:p w14:paraId="6EE4AA7F" w14:textId="77777777" w:rsidR="00BB4FBB" w:rsidRDefault="00554925">
      <w:r>
        <w:t xml:space="preserve"> </w:t>
      </w:r>
    </w:p>
    <w:tbl>
      <w:tblPr>
        <w:tblW w:w="5000" w:type="pct"/>
        <w:tblCellSpacing w:w="30" w:type="dxa"/>
        <w:tblInd w:w="75" w:type="dxa"/>
        <w:tblBorders>
          <w:top w:val="nil"/>
          <w:left w:val="nil"/>
          <w:bottom w:val="nil"/>
          <w:right w:val="nil"/>
          <w:insideH w:val="nil"/>
          <w:insideV w:val="nil"/>
        </w:tblBorders>
        <w:tblLook w:val="0600" w:firstRow="0" w:lastRow="0" w:firstColumn="0" w:lastColumn="0" w:noHBand="1" w:noVBand="1"/>
      </w:tblPr>
      <w:tblGrid>
        <w:gridCol w:w="10891"/>
      </w:tblGrid>
      <w:tr w:rsidR="00BB4FBB" w14:paraId="6CA8436D" w14:textId="77777777">
        <w:trPr>
          <w:tblCellSpacing w:w="30" w:type="dxa"/>
        </w:trPr>
        <w:tc>
          <w:tcPr>
            <w:tcW w:w="5000" w:type="pct"/>
            <w:tcBorders>
              <w:top w:val="single" w:sz="12" w:space="0" w:color="DDDDDD"/>
              <w:left w:val="single" w:sz="12" w:space="0" w:color="DDDDDD"/>
              <w:bottom w:val="single" w:sz="12" w:space="0" w:color="DDDDDD"/>
              <w:right w:val="single" w:sz="12" w:space="0" w:color="DDDDDD"/>
            </w:tcBorders>
            <w:tcMar>
              <w:top w:w="105" w:type="dxa"/>
              <w:left w:w="105" w:type="dxa"/>
              <w:bottom w:w="105" w:type="dxa"/>
              <w:right w:w="105" w:type="dxa"/>
            </w:tcMar>
            <w:vAlign w:val="center"/>
          </w:tcPr>
          <w:p w14:paraId="556DB43C" w14:textId="77777777" w:rsidR="00BB4FBB" w:rsidRDefault="00554925">
            <w:pPr>
              <w:spacing w:after="0"/>
              <w:jc w:val="center"/>
              <w:rPr>
                <w:color w:val="392388"/>
              </w:rPr>
            </w:pPr>
            <w:r>
              <w:rPr>
                <w:noProof/>
              </w:rPr>
              <w:lastRenderedPageBreak/>
              <w:drawing>
                <wp:inline distT="0" distB="0" distL="0" distR="0" wp14:anchorId="56B1BE9D" wp14:editId="7BEA69A5">
                  <wp:extent cx="6668431" cy="4763165"/>
                  <wp:effectExtent l="0" t="0" r="0" b="0"/>
                  <wp:docPr id="10" name="Picture 10"/>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3" cstate="print"/>
                          <a:stretch>
                            <a:fillRect/>
                          </a:stretch>
                        </pic:blipFill>
                        <pic:spPr>
                          <a:xfrm>
                            <a:off x="0" y="0"/>
                            <a:ext cx="6668431" cy="4763165"/>
                          </a:xfrm>
                          <a:prstGeom prst="rect">
                            <a:avLst/>
                          </a:prstGeom>
                        </pic:spPr>
                      </pic:pic>
                    </a:graphicData>
                  </a:graphic>
                </wp:inline>
              </w:drawing>
            </w:r>
          </w:p>
        </w:tc>
      </w:tr>
    </w:tbl>
    <w:p w14:paraId="0E2FA071" w14:textId="77777777" w:rsidR="00BB4FBB" w:rsidRDefault="00554925">
      <w:pPr>
        <w:spacing w:after="0"/>
        <w:jc w:val="center"/>
        <w:rPr>
          <w:color w:val="392388"/>
          <w:sz w:val="24"/>
          <w:szCs w:val="24"/>
        </w:rPr>
      </w:pPr>
      <w:r>
        <w:rPr>
          <w:color w:val="392388"/>
          <w:sz w:val="24"/>
          <w:szCs w:val="24"/>
        </w:rPr>
        <w:t>Investment Risk Comparison Graph based on Agreed Risk Level</w:t>
      </w:r>
    </w:p>
    <w:p w14:paraId="542ABBA2" w14:textId="77777777" w:rsidR="00BB4FBB" w:rsidRDefault="00554925">
      <w:r>
        <w:t xml:space="preserve"> </w:t>
      </w:r>
    </w:p>
    <w:p w14:paraId="066D129E" w14:textId="77777777" w:rsidR="00BB4FBB" w:rsidRDefault="00554925">
      <w:pPr>
        <w:pStyle w:val="DefaqtoBody"/>
      </w:pPr>
      <w:r>
        <w:rPr>
          <w:u w:color="000000"/>
        </w:rPr>
        <w:t>The following areas were discussed as part of the process to agree the risk level.</w:t>
      </w:r>
    </w:p>
    <w:p w14:paraId="216FE5EE" w14:textId="77777777" w:rsidR="00BB4FBB" w:rsidRDefault="00554925">
      <w:pPr>
        <w:pStyle w:val="DefaqtoHeading3"/>
      </w:pPr>
      <w:r>
        <w:rPr>
          <w:u w:color="000000"/>
        </w:rPr>
        <w:t>Attitude to Risk</w:t>
      </w:r>
    </w:p>
    <w:p w14:paraId="5CD4AD95" w14:textId="77777777" w:rsidR="00BB4FBB" w:rsidRDefault="00554925">
      <w:pPr>
        <w:pStyle w:val="DefaqtoBody"/>
      </w:pPr>
      <w:r>
        <w:rPr>
          <w:u w:color="000000"/>
        </w:rPr>
        <w:t>This section details any addition information related to your attitude to risk. The notes recorded following any discussions were:</w:t>
      </w:r>
    </w:p>
    <w:tbl>
      <w:tblPr>
        <w:tblStyle w:val="TableGrid0"/>
        <w:tblW w:w="5000" w:type="pct"/>
        <w:tblInd w:w="0" w:type="dxa"/>
        <w:tblLook w:val="01E0" w:firstRow="1" w:lastRow="1" w:firstColumn="1" w:lastColumn="1" w:noHBand="0" w:noVBand="0"/>
      </w:tblPr>
      <w:tblGrid>
        <w:gridCol w:w="956"/>
        <w:gridCol w:w="9671"/>
      </w:tblGrid>
      <w:tr w:rsidR="00BB4FBB" w14:paraId="0ABBA939" w14:textId="77777777">
        <w:tc>
          <w:tcPr>
            <w:tcW w:w="450" w:type="pct"/>
          </w:tcPr>
          <w:p w14:paraId="661409F7" w14:textId="77777777" w:rsidR="00BB4FBB" w:rsidRDefault="00BB4FBB">
            <w:pPr>
              <w:pStyle w:val="DefaqtoBody"/>
              <w:spacing w:before="60" w:after="60"/>
            </w:pPr>
          </w:p>
        </w:tc>
        <w:tc>
          <w:tcPr>
            <w:tcW w:w="4550" w:type="pct"/>
          </w:tcPr>
          <w:p w14:paraId="29CF2498" w14:textId="77777777" w:rsidR="00BB4FBB" w:rsidRDefault="00554925">
            <w:pPr>
              <w:pStyle w:val="DefaqtoBody"/>
              <w:spacing w:before="60" w:after="60"/>
            </w:pPr>
            <w:r>
              <w:t>Kevin seems comfortable taking a balanced approach and would prefer to use medium risk investment to meet his objectives.  He understands there is ups and downs when it comes to investing and has a good basic underatnding of what investments are but not necessarily the knowledge about how they work.  Kevin thinks risk provides an opportunity for growth and is willing to take some risk with some of his assets and based on his answer he would not get anxious or uncomfortable with short term losses unless they</w:t>
            </w:r>
            <w:r>
              <w:t xml:space="preserve"> went above 20%.  However he also states he would prefer a sligh risk to his capital which maybe is nbot in line with his other answers.</w:t>
            </w:r>
          </w:p>
        </w:tc>
      </w:tr>
    </w:tbl>
    <w:p w14:paraId="5C57A68E" w14:textId="77777777" w:rsidR="00BB4FBB" w:rsidRDefault="00554925">
      <w:pPr>
        <w:pStyle w:val="DefaqtoHeading3"/>
      </w:pPr>
      <w:r>
        <w:rPr>
          <w:u w:color="000000"/>
        </w:rPr>
        <w:t>Investor Experience</w:t>
      </w:r>
    </w:p>
    <w:p w14:paraId="299D6DEE" w14:textId="77777777" w:rsidR="00BB4FBB" w:rsidRDefault="00554925">
      <w:pPr>
        <w:pStyle w:val="DefaqtoBody"/>
      </w:pPr>
      <w:r>
        <w:rPr>
          <w:u w:color="000000"/>
        </w:rPr>
        <w:t>This section details previous exposure and experience you have had with investments and financial markets. The notes recorded following the discussion were:</w:t>
      </w:r>
    </w:p>
    <w:tbl>
      <w:tblPr>
        <w:tblStyle w:val="TableGrid0"/>
        <w:tblW w:w="5000" w:type="pct"/>
        <w:tblInd w:w="0" w:type="dxa"/>
        <w:tblLook w:val="01E0" w:firstRow="1" w:lastRow="1" w:firstColumn="1" w:lastColumn="1" w:noHBand="0" w:noVBand="0"/>
      </w:tblPr>
      <w:tblGrid>
        <w:gridCol w:w="956"/>
        <w:gridCol w:w="9671"/>
      </w:tblGrid>
      <w:tr w:rsidR="00BB4FBB" w14:paraId="562E4CAC" w14:textId="77777777">
        <w:tc>
          <w:tcPr>
            <w:tcW w:w="450" w:type="pct"/>
          </w:tcPr>
          <w:p w14:paraId="178EFCDC" w14:textId="77777777" w:rsidR="00BB4FBB" w:rsidRDefault="00BB4FBB">
            <w:pPr>
              <w:pStyle w:val="DefaqtoBody"/>
              <w:spacing w:before="60" w:after="60"/>
            </w:pPr>
          </w:p>
        </w:tc>
        <w:tc>
          <w:tcPr>
            <w:tcW w:w="4550" w:type="pct"/>
          </w:tcPr>
          <w:p w14:paraId="63873CA4" w14:textId="77777777" w:rsidR="00BB4FBB" w:rsidRDefault="00554925">
            <w:pPr>
              <w:pStyle w:val="DefaqtoBody"/>
              <w:spacing w:before="60" w:after="60"/>
            </w:pPr>
            <w:r>
              <w:t>Kevin has very liittle to no understanding of more complex investments but is very comfortable with Cash Based Investment as this is what he and Angela have used to build up their personal savings with over the years.  He does have a fair degree of knowledge around Stocks &amp; Shares and soem understanding of UT/GIA's &amp; Pensions &amp; Income in Retirement in terms of what they are and how they work.  Kevin has also been invested through his pension funds but has never been involved in any investment decisions. The</w:t>
            </w:r>
            <w:r>
              <w:t>y have been business owners so are used to the risks that this brings to the table.</w:t>
            </w:r>
          </w:p>
        </w:tc>
      </w:tr>
    </w:tbl>
    <w:p w14:paraId="49404E4E" w14:textId="77777777" w:rsidR="00BB4FBB" w:rsidRDefault="00554925">
      <w:pPr>
        <w:pStyle w:val="DefaqtoHeading3"/>
      </w:pPr>
      <w:r>
        <w:rPr>
          <w:u w:color="000000"/>
        </w:rPr>
        <w:t>Capacity for loss questionnaire</w:t>
      </w:r>
    </w:p>
    <w:p w14:paraId="4308EEC9" w14:textId="77777777" w:rsidR="00BB4FBB" w:rsidRDefault="00554925">
      <w:pPr>
        <w:pStyle w:val="DefaqtoBody"/>
      </w:pPr>
      <w:r>
        <w:rPr>
          <w:u w:color="000000"/>
        </w:rPr>
        <w:t>This section details any addition information related to your capacity for loss which was based on the answers given in the Capacity for Loss Questionnaire. The notes recorded following any discussions were:</w:t>
      </w:r>
    </w:p>
    <w:tbl>
      <w:tblPr>
        <w:tblStyle w:val="TableGrid0"/>
        <w:tblW w:w="5000" w:type="pct"/>
        <w:tblInd w:w="0" w:type="dxa"/>
        <w:tblLook w:val="01E0" w:firstRow="1" w:lastRow="1" w:firstColumn="1" w:lastColumn="1" w:noHBand="0" w:noVBand="0"/>
      </w:tblPr>
      <w:tblGrid>
        <w:gridCol w:w="956"/>
        <w:gridCol w:w="9671"/>
      </w:tblGrid>
      <w:tr w:rsidR="00BB4FBB" w14:paraId="78B4DC04" w14:textId="77777777">
        <w:tc>
          <w:tcPr>
            <w:tcW w:w="450" w:type="pct"/>
          </w:tcPr>
          <w:p w14:paraId="48BD76CD" w14:textId="77777777" w:rsidR="00BB4FBB" w:rsidRDefault="00BB4FBB">
            <w:pPr>
              <w:pStyle w:val="DefaqtoBody"/>
              <w:spacing w:before="60" w:after="60"/>
            </w:pPr>
          </w:p>
        </w:tc>
        <w:tc>
          <w:tcPr>
            <w:tcW w:w="4550" w:type="pct"/>
          </w:tcPr>
          <w:p w14:paraId="278371E3" w14:textId="77777777" w:rsidR="00BB4FBB" w:rsidRDefault="00554925">
            <w:pPr>
              <w:pStyle w:val="DefaqtoBody"/>
              <w:spacing w:before="60" w:after="60"/>
            </w:pPr>
            <w:r>
              <w:t xml:space="preserve">Angela and Kevin are in a good position to meet their retirement expenditure and known lifestyle needs.  Their income need is £3,500pm and Kevin has his state pension which is approx £1,033pm.  They have approx £284,500 in comboined pension funds and approx £262,000 In Cash ISA's to help support their regular income need and any future capital lump sum needs.  Angle will get her State Pension is just over 3 years time.  Prior to this they will need £2,467 per month which is £30,000 Net pa for the first 3 a </w:t>
            </w:r>
            <w:r>
              <w:t>bit years and whn Angela gets her SP they will need circa £1,500pm which is £18,000 net each year.</w:t>
            </w:r>
            <w:r>
              <w:br/>
            </w:r>
            <w:r>
              <w:br/>
              <w:t>I would say that Kevin has a medium capacity for loss at this stage which matches the risk level he is prepared to make</w:t>
            </w:r>
          </w:p>
        </w:tc>
      </w:tr>
    </w:tbl>
    <w:p w14:paraId="4D697B64" w14:textId="77777777" w:rsidR="00BB4FBB" w:rsidRDefault="00554925">
      <w:pPr>
        <w:pStyle w:val="DefaqtoHeading3"/>
      </w:pPr>
      <w:r>
        <w:rPr>
          <w:u w:color="000000"/>
        </w:rPr>
        <w:t>Investment target</w:t>
      </w:r>
    </w:p>
    <w:p w14:paraId="62AF8192" w14:textId="77777777" w:rsidR="00BB4FBB" w:rsidRDefault="00554925">
      <w:pPr>
        <w:pStyle w:val="DefaqtoBody"/>
      </w:pPr>
      <w:r>
        <w:rPr>
          <w:u w:color="000000"/>
        </w:rPr>
        <w:t>This section details if the client is likely to achieve their desired target amount in the chosen timeframe. The notes recorded following the discussion were:</w:t>
      </w:r>
    </w:p>
    <w:tbl>
      <w:tblPr>
        <w:tblStyle w:val="TableGrid0"/>
        <w:tblW w:w="5000" w:type="pct"/>
        <w:tblInd w:w="0" w:type="dxa"/>
        <w:tblLook w:val="01E0" w:firstRow="1" w:lastRow="1" w:firstColumn="1" w:lastColumn="1" w:noHBand="0" w:noVBand="0"/>
      </w:tblPr>
      <w:tblGrid>
        <w:gridCol w:w="956"/>
        <w:gridCol w:w="9671"/>
      </w:tblGrid>
      <w:tr w:rsidR="00BB4FBB" w14:paraId="0BC663B7" w14:textId="77777777">
        <w:tc>
          <w:tcPr>
            <w:tcW w:w="450" w:type="pct"/>
          </w:tcPr>
          <w:p w14:paraId="020A9A81" w14:textId="77777777" w:rsidR="00BB4FBB" w:rsidRDefault="00BB4FBB">
            <w:pPr>
              <w:pStyle w:val="DefaqtoBody"/>
              <w:spacing w:before="60" w:after="60"/>
            </w:pPr>
          </w:p>
        </w:tc>
        <w:tc>
          <w:tcPr>
            <w:tcW w:w="4550" w:type="pct"/>
          </w:tcPr>
          <w:p w14:paraId="6BD5FFE2" w14:textId="77777777" w:rsidR="00BB4FBB" w:rsidRDefault="00554925">
            <w:pPr>
              <w:pStyle w:val="DefaqtoBody"/>
              <w:spacing w:before="60" w:after="60"/>
            </w:pPr>
            <w:r>
              <w:t>No additional notes were recorded</w:t>
            </w:r>
          </w:p>
        </w:tc>
      </w:tr>
    </w:tbl>
    <w:p w14:paraId="54EC092B" w14:textId="77777777" w:rsidR="00BB4FBB" w:rsidRDefault="00554925">
      <w:pPr>
        <w:pStyle w:val="DefaqtoHeading3"/>
      </w:pPr>
      <w:r>
        <w:rPr>
          <w:u w:color="000000"/>
        </w:rPr>
        <w:t>Agreed risk level</w:t>
      </w:r>
    </w:p>
    <w:p w14:paraId="7E289E78" w14:textId="77777777" w:rsidR="00BB4FBB" w:rsidRDefault="00554925">
      <w:pPr>
        <w:pStyle w:val="DefaqtoBody"/>
      </w:pPr>
      <w:r>
        <w:rPr>
          <w:u w:color="000000"/>
        </w:rPr>
        <w:t>This section is a summary of how the risk level was agreed. These details were recorded following the discussion:</w:t>
      </w:r>
    </w:p>
    <w:tbl>
      <w:tblPr>
        <w:tblStyle w:val="TableGrid0"/>
        <w:tblW w:w="5000" w:type="pct"/>
        <w:tblInd w:w="0" w:type="dxa"/>
        <w:tblLook w:val="01E0" w:firstRow="1" w:lastRow="1" w:firstColumn="1" w:lastColumn="1" w:noHBand="0" w:noVBand="0"/>
      </w:tblPr>
      <w:tblGrid>
        <w:gridCol w:w="956"/>
        <w:gridCol w:w="9671"/>
      </w:tblGrid>
      <w:tr w:rsidR="00BB4FBB" w14:paraId="7FD7B3C4" w14:textId="77777777">
        <w:tc>
          <w:tcPr>
            <w:tcW w:w="450" w:type="pct"/>
          </w:tcPr>
          <w:p w14:paraId="7754585A" w14:textId="77777777" w:rsidR="00BB4FBB" w:rsidRDefault="00BB4FBB">
            <w:pPr>
              <w:pStyle w:val="DefaqtoBody"/>
              <w:spacing w:before="60" w:after="60"/>
            </w:pPr>
          </w:p>
        </w:tc>
        <w:tc>
          <w:tcPr>
            <w:tcW w:w="4550" w:type="pct"/>
          </w:tcPr>
          <w:p w14:paraId="79CE7126" w14:textId="77777777" w:rsidR="00BB4FBB" w:rsidRDefault="00554925">
            <w:pPr>
              <w:pStyle w:val="DefaqtoBody"/>
              <w:spacing w:before="60" w:after="60"/>
            </w:pPr>
            <w:r>
              <w:t>No additional notes were recorded</w:t>
            </w:r>
          </w:p>
        </w:tc>
      </w:tr>
    </w:tbl>
    <w:p w14:paraId="111854E0" w14:textId="77777777" w:rsidR="00BB4FBB" w:rsidRDefault="00554925">
      <w:pPr>
        <w:pStyle w:val="DefaqtoHeading3"/>
      </w:pPr>
      <w:r>
        <w:rPr>
          <w:u w:color="000000"/>
        </w:rPr>
        <w:t>Capacity for loss for the goal</w:t>
      </w:r>
    </w:p>
    <w:p w14:paraId="6D7CD3CA" w14:textId="77777777" w:rsidR="00BB4FBB" w:rsidRDefault="00554925">
      <w:pPr>
        <w:pStyle w:val="DefaqtoBody"/>
      </w:pPr>
      <w:r>
        <w:rPr>
          <w:u w:color="000000"/>
        </w:rPr>
        <w:t>This section relates to your ability to absorb any losses or tolerate failure to achieve your target for this goal. These are typical risks associated with investing in the stock market. The notes recorded following the discussion were:</w:t>
      </w:r>
    </w:p>
    <w:tbl>
      <w:tblPr>
        <w:tblStyle w:val="TableGrid0"/>
        <w:tblW w:w="5000" w:type="pct"/>
        <w:tblInd w:w="0" w:type="dxa"/>
        <w:tblLook w:val="01E0" w:firstRow="1" w:lastRow="1" w:firstColumn="1" w:lastColumn="1" w:noHBand="0" w:noVBand="0"/>
      </w:tblPr>
      <w:tblGrid>
        <w:gridCol w:w="956"/>
        <w:gridCol w:w="9671"/>
      </w:tblGrid>
      <w:tr w:rsidR="00BB4FBB" w14:paraId="1BBB3577" w14:textId="77777777">
        <w:tc>
          <w:tcPr>
            <w:tcW w:w="450" w:type="pct"/>
          </w:tcPr>
          <w:p w14:paraId="68D5D1FC" w14:textId="77777777" w:rsidR="00BB4FBB" w:rsidRDefault="00BB4FBB">
            <w:pPr>
              <w:pStyle w:val="DefaqtoBody"/>
              <w:spacing w:before="60" w:after="60"/>
            </w:pPr>
          </w:p>
        </w:tc>
        <w:tc>
          <w:tcPr>
            <w:tcW w:w="4550" w:type="pct"/>
          </w:tcPr>
          <w:p w14:paraId="6DE59612" w14:textId="77777777" w:rsidR="00BB4FBB" w:rsidRDefault="00554925">
            <w:pPr>
              <w:pStyle w:val="DefaqtoBody"/>
              <w:spacing w:before="60" w:after="60"/>
            </w:pPr>
            <w:r>
              <w:t>No additional notes were recorded</w:t>
            </w:r>
          </w:p>
        </w:tc>
      </w:tr>
    </w:tbl>
    <w:p w14:paraId="77FED2B2" w14:textId="77777777" w:rsidR="00BB4FBB" w:rsidRDefault="00554925">
      <w:pPr>
        <w:pStyle w:val="DefaqtoHeading3"/>
      </w:pPr>
      <w:r>
        <w:rPr>
          <w:u w:color="000000"/>
        </w:rPr>
        <w:lastRenderedPageBreak/>
        <w:t>Other notes</w:t>
      </w:r>
    </w:p>
    <w:tbl>
      <w:tblPr>
        <w:tblStyle w:val="TableGrid0"/>
        <w:tblW w:w="5000" w:type="pct"/>
        <w:tblInd w:w="0" w:type="dxa"/>
        <w:tblLook w:val="01E0" w:firstRow="1" w:lastRow="1" w:firstColumn="1" w:lastColumn="1" w:noHBand="0" w:noVBand="0"/>
      </w:tblPr>
      <w:tblGrid>
        <w:gridCol w:w="956"/>
        <w:gridCol w:w="9671"/>
      </w:tblGrid>
      <w:tr w:rsidR="00BB4FBB" w14:paraId="03B6EC36" w14:textId="77777777">
        <w:tc>
          <w:tcPr>
            <w:tcW w:w="450" w:type="pct"/>
          </w:tcPr>
          <w:p w14:paraId="05E5E6E9" w14:textId="77777777" w:rsidR="00BB4FBB" w:rsidRDefault="00BB4FBB">
            <w:pPr>
              <w:pStyle w:val="DefaqtoBody"/>
              <w:spacing w:before="60" w:after="60"/>
            </w:pPr>
          </w:p>
        </w:tc>
        <w:tc>
          <w:tcPr>
            <w:tcW w:w="4550" w:type="pct"/>
          </w:tcPr>
          <w:p w14:paraId="5FD83004" w14:textId="77777777" w:rsidR="00BB4FBB" w:rsidRDefault="00554925">
            <w:pPr>
              <w:pStyle w:val="DefaqtoBody"/>
              <w:spacing w:before="60" w:after="60"/>
            </w:pPr>
            <w:r>
              <w:t>Angela and Kevin have both completed a Defaqto ATRQ as part of the Initial Advice process.  Angela came out as a Risk Level 4 and Kevin came out as a Risk Level 5 .  This does surprise me as Angela thought she would be more comfortable with investment risk when we discsused it during the initial meeting.</w:t>
            </w:r>
          </w:p>
        </w:tc>
      </w:tr>
    </w:tbl>
    <w:p w14:paraId="1B909688" w14:textId="77777777" w:rsidR="00BB4FBB" w:rsidRDefault="00BB4FBB">
      <w:pPr>
        <w:sectPr w:rsidR="00BB4FBB">
          <w:headerReference w:type="default" r:id="rId14"/>
          <w:footerReference w:type="default" r:id="rId15"/>
          <w:pgSz w:w="11907" w:h="16839" w:code="9"/>
          <w:pgMar w:top="709" w:right="640" w:bottom="376" w:left="640" w:header="200" w:footer="200" w:gutter="0"/>
          <w:cols w:space="708"/>
          <w:docGrid w:linePitch="360"/>
        </w:sectPr>
      </w:pPr>
    </w:p>
    <w:p w14:paraId="14EB9AC1" w14:textId="77777777" w:rsidR="00BB4FBB" w:rsidRDefault="00554925">
      <w:pPr>
        <w:pStyle w:val="DefaqtoHeading1"/>
      </w:pPr>
      <w:r>
        <w:lastRenderedPageBreak/>
        <w:t>Appendix</w:t>
      </w:r>
    </w:p>
    <w:p w14:paraId="2D9C8C32" w14:textId="77777777" w:rsidR="00BB4FBB" w:rsidRDefault="00554925">
      <w:pPr>
        <w:pStyle w:val="DefaqtoHeading2"/>
      </w:pPr>
      <w:r>
        <w:t>Attitude To Risk questionnaire responses for Mr Kevin Stead on 21/05/2026</w:t>
      </w:r>
    </w:p>
    <w:tbl>
      <w:tblPr>
        <w:tblStyle w:val="DefaqtoTable"/>
        <w:tblW w:w="5000" w:type="pct"/>
        <w:tblLook w:val="01E0" w:firstRow="1" w:lastRow="1" w:firstColumn="1" w:lastColumn="1" w:noHBand="0" w:noVBand="0"/>
      </w:tblPr>
      <w:tblGrid>
        <w:gridCol w:w="6262"/>
        <w:gridCol w:w="4355"/>
      </w:tblGrid>
      <w:tr w:rsidR="00BB4FBB" w14:paraId="31F87CF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9BB28D6" w14:textId="77777777" w:rsidR="00BB4FBB" w:rsidRDefault="00554925">
            <w:pPr>
              <w:pStyle w:val="DefaqtoTableBody2"/>
            </w:pPr>
            <w:r>
              <w:t>Question</w:t>
            </w:r>
          </w:p>
        </w:tc>
        <w:tc>
          <w:tcPr>
            <w:tcW w:w="0" w:type="auto"/>
          </w:tcPr>
          <w:p w14:paraId="4C1A8F4E" w14:textId="77777777" w:rsidR="00BB4FBB" w:rsidRDefault="00554925">
            <w:pPr>
              <w:pStyle w:val="DefaqtoTableBody2"/>
              <w:cnfStyle w:val="100000000000" w:firstRow="1" w:lastRow="0" w:firstColumn="0" w:lastColumn="0" w:oddVBand="0" w:evenVBand="0" w:oddHBand="0" w:evenHBand="0" w:firstRowFirstColumn="0" w:firstRowLastColumn="0" w:lastRowFirstColumn="0" w:lastRowLastColumn="0"/>
            </w:pPr>
            <w:r>
              <w:t>Response</w:t>
            </w:r>
          </w:p>
        </w:tc>
      </w:tr>
      <w:tr w:rsidR="00BB4FBB" w14:paraId="3004E4D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4DE5969" w14:textId="77777777" w:rsidR="00BB4FBB" w:rsidRDefault="00554925">
            <w:pPr>
              <w:pStyle w:val="DefaqtoTableBody2"/>
            </w:pPr>
            <w:r>
              <w:t>I would describe my investment approach as:</w:t>
            </w:r>
          </w:p>
        </w:tc>
        <w:tc>
          <w:tcPr>
            <w:tcW w:w="0" w:type="auto"/>
          </w:tcPr>
          <w:p w14:paraId="0118D08A" w14:textId="77777777" w:rsidR="00BB4FBB" w:rsidRDefault="00554925">
            <w:pPr>
              <w:pStyle w:val="DefaqtoTableBody2"/>
              <w:cnfStyle w:val="000000100000" w:firstRow="0" w:lastRow="0" w:firstColumn="0" w:lastColumn="0" w:oddVBand="0" w:evenVBand="0" w:oddHBand="1" w:evenHBand="0" w:firstRowFirstColumn="0" w:firstRowLastColumn="0" w:lastRowFirstColumn="0" w:lastRowLastColumn="0"/>
            </w:pPr>
            <w:r>
              <w:t>Balanced</w:t>
            </w:r>
          </w:p>
        </w:tc>
      </w:tr>
      <w:tr w:rsidR="00BB4FBB" w14:paraId="67A7CD5C"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6CD1555" w14:textId="77777777" w:rsidR="00BB4FBB" w:rsidRDefault="00554925">
            <w:pPr>
              <w:pStyle w:val="DefaqtoTableBody2"/>
            </w:pPr>
            <w:r>
              <w:t>If you invested £20,000 and the value fell temporarily, how much of a fall, over a 12 month period, would make you feel anxious or uncomfortable?</w:t>
            </w:r>
          </w:p>
        </w:tc>
        <w:tc>
          <w:tcPr>
            <w:tcW w:w="0" w:type="auto"/>
          </w:tcPr>
          <w:p w14:paraId="44B82672" w14:textId="77777777" w:rsidR="00BB4FBB" w:rsidRDefault="00554925">
            <w:pPr>
              <w:pStyle w:val="DefaqtoTableBody2"/>
              <w:cnfStyle w:val="000000010000" w:firstRow="0" w:lastRow="0" w:firstColumn="0" w:lastColumn="0" w:oddVBand="0" w:evenVBand="0" w:oddHBand="0" w:evenHBand="1" w:firstRowFirstColumn="0" w:firstRowLastColumn="0" w:lastRowFirstColumn="0" w:lastRowLastColumn="0"/>
            </w:pPr>
            <w:r>
              <w:t>More than £4,000</w:t>
            </w:r>
          </w:p>
        </w:tc>
      </w:tr>
      <w:tr w:rsidR="00BB4FBB" w14:paraId="35F9117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B7E3C7B" w14:textId="77777777" w:rsidR="00BB4FBB" w:rsidRDefault="00554925">
            <w:pPr>
              <w:pStyle w:val="DefaqtoTableBody2"/>
            </w:pPr>
            <w:r>
              <w:t>I associate the phrase 'investment risk' with the idea of:</w:t>
            </w:r>
          </w:p>
        </w:tc>
        <w:tc>
          <w:tcPr>
            <w:tcW w:w="0" w:type="auto"/>
          </w:tcPr>
          <w:p w14:paraId="24E31067" w14:textId="77777777" w:rsidR="00BB4FBB" w:rsidRDefault="00554925">
            <w:pPr>
              <w:pStyle w:val="DefaqtoTableBody2"/>
              <w:cnfStyle w:val="000000100000" w:firstRow="0" w:lastRow="0" w:firstColumn="0" w:lastColumn="0" w:oddVBand="0" w:evenVBand="0" w:oddHBand="1" w:evenHBand="0" w:firstRowFirstColumn="0" w:firstRowLastColumn="0" w:lastRowFirstColumn="0" w:lastRowLastColumn="0"/>
            </w:pPr>
            <w:r>
              <w:t>Opportunity</w:t>
            </w:r>
          </w:p>
        </w:tc>
      </w:tr>
      <w:tr w:rsidR="00BB4FBB" w14:paraId="122BB4C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F1FD81A" w14:textId="77777777" w:rsidR="00BB4FBB" w:rsidRDefault="00554925">
            <w:pPr>
              <w:pStyle w:val="DefaqtoTableBody2"/>
            </w:pPr>
            <w:r>
              <w:t>To see a respectable gain on my investment, I am:</w:t>
            </w:r>
          </w:p>
        </w:tc>
        <w:tc>
          <w:tcPr>
            <w:tcW w:w="0" w:type="auto"/>
          </w:tcPr>
          <w:p w14:paraId="73B21710" w14:textId="77777777" w:rsidR="00BB4FBB" w:rsidRDefault="00554925">
            <w:pPr>
              <w:pStyle w:val="DefaqtoTableBody2"/>
              <w:cnfStyle w:val="000000010000" w:firstRow="0" w:lastRow="0" w:firstColumn="0" w:lastColumn="0" w:oddVBand="0" w:evenVBand="0" w:oddHBand="0" w:evenHBand="1" w:firstRowFirstColumn="0" w:firstRowLastColumn="0" w:lastRowFirstColumn="0" w:lastRowLastColumn="0"/>
            </w:pPr>
            <w:r>
              <w:t>Happy to take some risk with a percentage of my assets</w:t>
            </w:r>
          </w:p>
        </w:tc>
      </w:tr>
      <w:tr w:rsidR="00BB4FBB" w14:paraId="0C880FA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1C3FD35" w14:textId="77777777" w:rsidR="00BB4FBB" w:rsidRDefault="00554925">
            <w:pPr>
              <w:pStyle w:val="DefaqtoTableBody2"/>
            </w:pPr>
            <w:r>
              <w:t>Compared to other people, I would describe myself as:</w:t>
            </w:r>
          </w:p>
        </w:tc>
        <w:tc>
          <w:tcPr>
            <w:tcW w:w="0" w:type="auto"/>
          </w:tcPr>
          <w:p w14:paraId="46D5A0D6" w14:textId="77777777" w:rsidR="00BB4FBB" w:rsidRDefault="00554925">
            <w:pPr>
              <w:pStyle w:val="DefaqtoTableBody2"/>
              <w:cnfStyle w:val="000000100000" w:firstRow="0" w:lastRow="0" w:firstColumn="0" w:lastColumn="0" w:oddVBand="0" w:evenVBand="0" w:oddHBand="1" w:evenHBand="0" w:firstRowFirstColumn="0" w:firstRowLastColumn="0" w:lastRowFirstColumn="0" w:lastRowLastColumn="0"/>
            </w:pPr>
            <w:r>
              <w:t>Equally cautious</w:t>
            </w:r>
          </w:p>
        </w:tc>
      </w:tr>
      <w:tr w:rsidR="00BB4FBB" w14:paraId="17C9C87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ACC5DD1" w14:textId="77777777" w:rsidR="00BB4FBB" w:rsidRDefault="00554925">
            <w:pPr>
              <w:pStyle w:val="DefaqtoTableBody2"/>
            </w:pPr>
            <w:r>
              <w:t>In seeking a return on my investment, in the short-term I’m willing to accept:</w:t>
            </w:r>
          </w:p>
        </w:tc>
        <w:tc>
          <w:tcPr>
            <w:tcW w:w="0" w:type="auto"/>
          </w:tcPr>
          <w:p w14:paraId="6D37FBF5" w14:textId="77777777" w:rsidR="00BB4FBB" w:rsidRDefault="00554925">
            <w:pPr>
              <w:pStyle w:val="DefaqtoTableBody2"/>
              <w:cnfStyle w:val="000000010000" w:firstRow="0" w:lastRow="0" w:firstColumn="0" w:lastColumn="0" w:oddVBand="0" w:evenVBand="0" w:oddHBand="0" w:evenHBand="1" w:firstRowFirstColumn="0" w:firstRowLastColumn="0" w:lastRowFirstColumn="0" w:lastRowLastColumn="0"/>
            </w:pPr>
            <w:r>
              <w:t>A slight risk of capital loss</w:t>
            </w:r>
          </w:p>
        </w:tc>
      </w:tr>
      <w:tr w:rsidR="00BB4FBB" w14:paraId="01DB95E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31C246B" w14:textId="77777777" w:rsidR="00BB4FBB" w:rsidRDefault="00554925">
            <w:pPr>
              <w:pStyle w:val="DefaqtoTableBody2"/>
            </w:pPr>
            <w:r>
              <w:t>If I thought there was a possibility of my investment losing money, I would:</w:t>
            </w:r>
          </w:p>
        </w:tc>
        <w:tc>
          <w:tcPr>
            <w:tcW w:w="0" w:type="auto"/>
          </w:tcPr>
          <w:p w14:paraId="59ADF6A2" w14:textId="77777777" w:rsidR="00BB4FBB" w:rsidRDefault="00554925">
            <w:pPr>
              <w:pStyle w:val="DefaqtoTableBody2"/>
              <w:cnfStyle w:val="000000100000" w:firstRow="0" w:lastRow="0" w:firstColumn="0" w:lastColumn="0" w:oddVBand="0" w:evenVBand="0" w:oddHBand="1" w:evenHBand="0" w:firstRowFirstColumn="0" w:firstRowLastColumn="0" w:lastRowFirstColumn="0" w:lastRowLastColumn="0"/>
            </w:pPr>
            <w:r>
              <w:t>Understand and accept that investments can fluctuate in value</w:t>
            </w:r>
          </w:p>
        </w:tc>
      </w:tr>
      <w:tr w:rsidR="00BB4FBB" w14:paraId="10BD32EC"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1335E1" w14:textId="77777777" w:rsidR="00BB4FBB" w:rsidRDefault="00554925">
            <w:pPr>
              <w:pStyle w:val="DefaqtoTableBody2"/>
            </w:pPr>
            <w:r>
              <w:t>Compared to other people, I believe the following statement best fits my understanding of investment:</w:t>
            </w:r>
          </w:p>
        </w:tc>
        <w:tc>
          <w:tcPr>
            <w:tcW w:w="0" w:type="auto"/>
          </w:tcPr>
          <w:p w14:paraId="5C06ECF4" w14:textId="77777777" w:rsidR="00BB4FBB" w:rsidRDefault="00554925">
            <w:pPr>
              <w:pStyle w:val="DefaqtoTableBody2"/>
              <w:cnfStyle w:val="000000010000" w:firstRow="0" w:lastRow="0" w:firstColumn="0" w:lastColumn="0" w:oddVBand="0" w:evenVBand="0" w:oddHBand="0" w:evenHBand="1" w:firstRowFirstColumn="0" w:firstRowLastColumn="0" w:lastRowFirstColumn="0" w:lastRowLastColumn="0"/>
            </w:pPr>
            <w:r>
              <w:t>I have a basic understanding of what investments are but limited knowledge on how they work</w:t>
            </w:r>
          </w:p>
        </w:tc>
      </w:tr>
      <w:tr w:rsidR="00BB4FBB" w14:paraId="0ECC15A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55738E3" w14:textId="77777777" w:rsidR="00BB4FBB" w:rsidRDefault="00554925">
            <w:pPr>
              <w:pStyle w:val="DefaqtoTableBody2"/>
            </w:pPr>
            <w:r>
              <w:t>If you invested £20,000 and the value fell by £3,000 over the course of a 12 month period, would you:</w:t>
            </w:r>
          </w:p>
        </w:tc>
        <w:tc>
          <w:tcPr>
            <w:tcW w:w="0" w:type="auto"/>
          </w:tcPr>
          <w:p w14:paraId="3E2E3C4C" w14:textId="77777777" w:rsidR="00BB4FBB" w:rsidRDefault="00554925">
            <w:pPr>
              <w:pStyle w:val="DefaqtoTableBody2"/>
              <w:cnfStyle w:val="000000100000" w:firstRow="0" w:lastRow="0" w:firstColumn="0" w:lastColumn="0" w:oddVBand="0" w:evenVBand="0" w:oddHBand="1" w:evenHBand="0" w:firstRowFirstColumn="0" w:firstRowLastColumn="0" w:lastRowFirstColumn="0" w:lastRowLastColumn="0"/>
            </w:pPr>
            <w:r>
              <w:t>Understand and be comfortable with the fact that long term investments can fluctuate</w:t>
            </w:r>
          </w:p>
        </w:tc>
      </w:tr>
      <w:tr w:rsidR="00BB4FBB" w14:paraId="4EEB53E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667DD5E" w14:textId="77777777" w:rsidR="00BB4FBB" w:rsidRDefault="00554925">
            <w:pPr>
              <w:pStyle w:val="DefaqtoTableBody2"/>
            </w:pPr>
            <w:r>
              <w:t>Complete this sentence: Taking risks when making investments:</w:t>
            </w:r>
          </w:p>
        </w:tc>
        <w:tc>
          <w:tcPr>
            <w:tcW w:w="0" w:type="auto"/>
          </w:tcPr>
          <w:p w14:paraId="19A44B59" w14:textId="77777777" w:rsidR="00BB4FBB" w:rsidRDefault="00554925">
            <w:pPr>
              <w:pStyle w:val="DefaqtoTableBody2"/>
              <w:cnfStyle w:val="000000010000" w:firstRow="0" w:lastRow="0" w:firstColumn="0" w:lastColumn="0" w:oddVBand="0" w:evenVBand="0" w:oddHBand="0" w:evenHBand="1" w:firstRowFirstColumn="0" w:firstRowLastColumn="0" w:lastRowFirstColumn="0" w:lastRowLastColumn="0"/>
            </w:pPr>
            <w:r>
              <w:t>Doesn't excite me</w:t>
            </w:r>
          </w:p>
        </w:tc>
      </w:tr>
      <w:tr w:rsidR="00BB4FBB" w14:paraId="5062BDA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4FE6BBB" w14:textId="77777777" w:rsidR="00BB4FBB" w:rsidRDefault="00554925">
            <w:pPr>
              <w:pStyle w:val="DefaqtoTableBody2"/>
            </w:pPr>
            <w:r>
              <w:t>When investing money to meet my objectives I would prefer to use:</w:t>
            </w:r>
          </w:p>
        </w:tc>
        <w:tc>
          <w:tcPr>
            <w:tcW w:w="0" w:type="auto"/>
          </w:tcPr>
          <w:p w14:paraId="1F77C239" w14:textId="77777777" w:rsidR="00BB4FBB" w:rsidRDefault="00554925">
            <w:pPr>
              <w:pStyle w:val="DefaqtoTableBody2"/>
              <w:cnfStyle w:val="000000100000" w:firstRow="0" w:lastRow="0" w:firstColumn="0" w:lastColumn="0" w:oddVBand="0" w:evenVBand="0" w:oddHBand="1" w:evenHBand="0" w:firstRowFirstColumn="0" w:firstRowLastColumn="0" w:lastRowFirstColumn="0" w:lastRowLastColumn="0"/>
            </w:pPr>
            <w:r>
              <w:t>Medium risk investments</w:t>
            </w:r>
          </w:p>
        </w:tc>
      </w:tr>
      <w:tr w:rsidR="00BB4FBB" w14:paraId="7B7F6B77"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128B4D" w14:textId="77777777" w:rsidR="00BB4FBB" w:rsidRDefault="00554925">
            <w:pPr>
              <w:pStyle w:val="DefaqtoTableBody2"/>
            </w:pPr>
            <w:r>
              <w:t>I understand that, in order for my investments to keep pace with inflation, I need to take some investment risk</w:t>
            </w:r>
          </w:p>
        </w:tc>
        <w:tc>
          <w:tcPr>
            <w:tcW w:w="0" w:type="auto"/>
          </w:tcPr>
          <w:p w14:paraId="1D770ECC" w14:textId="77777777" w:rsidR="00BB4FBB" w:rsidRDefault="00554925">
            <w:pPr>
              <w:pStyle w:val="DefaqtoTableBody2"/>
              <w:cnfStyle w:val="000000010000" w:firstRow="0" w:lastRow="0" w:firstColumn="0" w:lastColumn="0" w:oddVBand="0" w:evenVBand="0" w:oddHBand="0" w:evenHBand="1" w:firstRowFirstColumn="0" w:firstRowLastColumn="0" w:lastRowFirstColumn="0" w:lastRowLastColumn="0"/>
            </w:pPr>
            <w:r>
              <w:t>Agree</w:t>
            </w:r>
          </w:p>
        </w:tc>
      </w:tr>
    </w:tbl>
    <w:p w14:paraId="624ABFBF" w14:textId="77777777" w:rsidR="00BB4FBB" w:rsidRDefault="00BB4FBB">
      <w:pPr>
        <w:sectPr w:rsidR="00BB4FBB">
          <w:headerReference w:type="default" r:id="rId16"/>
          <w:footerReference w:type="default" r:id="rId17"/>
          <w:pgSz w:w="11907" w:h="16839" w:code="9"/>
          <w:pgMar w:top="709" w:right="640" w:bottom="376" w:left="640" w:header="200" w:footer="200" w:gutter="0"/>
          <w:cols w:space="708"/>
          <w:docGrid w:linePitch="360"/>
        </w:sectPr>
      </w:pPr>
    </w:p>
    <w:p w14:paraId="68AAE49E" w14:textId="77777777" w:rsidR="00BB4FBB" w:rsidRDefault="00554925">
      <w:pPr>
        <w:pStyle w:val="DefaqtoHeading2"/>
      </w:pPr>
      <w:r>
        <w:lastRenderedPageBreak/>
        <w:t>Investor Experience questionnaire responses for Mr Kevin Stead on 21/05/2026</w:t>
      </w:r>
    </w:p>
    <w:tbl>
      <w:tblPr>
        <w:tblStyle w:val="DefaqtoTable"/>
        <w:tblW w:w="5000" w:type="pct"/>
        <w:tblLook w:val="01E0" w:firstRow="1" w:lastRow="1" w:firstColumn="1" w:lastColumn="1" w:noHBand="0" w:noVBand="0"/>
      </w:tblPr>
      <w:tblGrid>
        <w:gridCol w:w="7994"/>
        <w:gridCol w:w="2623"/>
      </w:tblGrid>
      <w:tr w:rsidR="00BB4FBB" w14:paraId="0AC1EF8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F116041" w14:textId="77777777" w:rsidR="00BB4FBB" w:rsidRDefault="00554925">
            <w:pPr>
              <w:pStyle w:val="DefaqtoTableBody2"/>
            </w:pPr>
            <w:r>
              <w:t>Question</w:t>
            </w:r>
          </w:p>
        </w:tc>
        <w:tc>
          <w:tcPr>
            <w:tcW w:w="0" w:type="auto"/>
          </w:tcPr>
          <w:p w14:paraId="58A69C2A" w14:textId="77777777" w:rsidR="00BB4FBB" w:rsidRDefault="00554925">
            <w:pPr>
              <w:pStyle w:val="DefaqtoTableBody2"/>
              <w:cnfStyle w:val="100000000000" w:firstRow="1" w:lastRow="0" w:firstColumn="0" w:lastColumn="0" w:oddVBand="0" w:evenVBand="0" w:oddHBand="0" w:evenHBand="0" w:firstRowFirstColumn="0" w:firstRowLastColumn="0" w:lastRowFirstColumn="0" w:lastRowLastColumn="0"/>
            </w:pPr>
            <w:r>
              <w:t>Response</w:t>
            </w:r>
          </w:p>
        </w:tc>
      </w:tr>
      <w:tr w:rsidR="00BB4FBB" w14:paraId="35F40B6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D0E893F" w14:textId="77777777" w:rsidR="00BB4FBB" w:rsidRDefault="00554925">
            <w:pPr>
              <w:pStyle w:val="DefaqtoTableBody2"/>
            </w:pPr>
            <w:r>
              <w:t>When it comes to your experience and understanding of investing, how would you describe yourself?</w:t>
            </w:r>
          </w:p>
        </w:tc>
        <w:tc>
          <w:tcPr>
            <w:tcW w:w="0" w:type="auto"/>
          </w:tcPr>
          <w:p w14:paraId="41B41E1D" w14:textId="77777777" w:rsidR="00BB4FBB" w:rsidRDefault="00554925">
            <w:pPr>
              <w:pStyle w:val="DefaqtoTableBody2"/>
              <w:cnfStyle w:val="000000100000" w:firstRow="0" w:lastRow="0" w:firstColumn="0" w:lastColumn="0" w:oddVBand="0" w:evenVBand="0" w:oddHBand="1" w:evenHBand="0" w:firstRowFirstColumn="0" w:firstRowLastColumn="0" w:lastRowFirstColumn="0" w:lastRowLastColumn="0"/>
            </w:pPr>
            <w:r>
              <w:t>Very little understanding / knowledge</w:t>
            </w:r>
          </w:p>
        </w:tc>
      </w:tr>
      <w:tr w:rsidR="00BB4FBB" w14:paraId="738A8265"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66A2EB" w14:textId="77777777" w:rsidR="00BB4FBB" w:rsidRDefault="00554925">
            <w:pPr>
              <w:pStyle w:val="DefaqtoTableBody2"/>
            </w:pPr>
            <w:r>
              <w:t>Do you understand how Current Accounts, Savings/Deposit Accounts, Cash ISA, National Savings and Investments work and do you know the risks associated with them?</w:t>
            </w:r>
          </w:p>
        </w:tc>
        <w:tc>
          <w:tcPr>
            <w:tcW w:w="0" w:type="auto"/>
          </w:tcPr>
          <w:p w14:paraId="72850129" w14:textId="77777777" w:rsidR="00BB4FBB" w:rsidRDefault="00554925">
            <w:pPr>
              <w:pStyle w:val="DefaqtoTableBody2"/>
              <w:cnfStyle w:val="000000010000" w:firstRow="0" w:lastRow="0" w:firstColumn="0" w:lastColumn="0" w:oddVBand="0" w:evenVBand="0" w:oddHBand="0" w:evenHBand="1" w:firstRowFirstColumn="0" w:firstRowLastColumn="0" w:lastRowFirstColumn="0" w:lastRowLastColumn="0"/>
            </w:pPr>
            <w:r>
              <w:t>A fair degree of understanding / knowledge</w:t>
            </w:r>
          </w:p>
        </w:tc>
      </w:tr>
      <w:tr w:rsidR="00BB4FBB" w14:paraId="2F9AD8A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3B94A50" w14:textId="77777777" w:rsidR="00BB4FBB" w:rsidRDefault="00554925">
            <w:pPr>
              <w:pStyle w:val="DefaqtoTableBody2"/>
            </w:pPr>
            <w:r>
              <w:t>Do you understand how Unit Trusts and General Investment Accounts work and do you know the risks associated with them?</w:t>
            </w:r>
          </w:p>
        </w:tc>
        <w:tc>
          <w:tcPr>
            <w:tcW w:w="0" w:type="auto"/>
          </w:tcPr>
          <w:p w14:paraId="1664AF04" w14:textId="77777777" w:rsidR="00BB4FBB" w:rsidRDefault="00554925">
            <w:pPr>
              <w:pStyle w:val="DefaqtoTableBody2"/>
              <w:cnfStyle w:val="000000100000" w:firstRow="0" w:lastRow="0" w:firstColumn="0" w:lastColumn="0" w:oddVBand="0" w:evenVBand="0" w:oddHBand="1" w:evenHBand="0" w:firstRowFirstColumn="0" w:firstRowLastColumn="0" w:lastRowFirstColumn="0" w:lastRowLastColumn="0"/>
            </w:pPr>
            <w:r>
              <w:t>Very little understanding / knowledge</w:t>
            </w:r>
          </w:p>
        </w:tc>
      </w:tr>
      <w:tr w:rsidR="00BB4FBB" w14:paraId="3C652795"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276ABAD" w14:textId="77777777" w:rsidR="00BB4FBB" w:rsidRDefault="00554925">
            <w:pPr>
              <w:pStyle w:val="DefaqtoTableBody2"/>
            </w:pPr>
            <w:r>
              <w:t>Do you understand how stocks and shares work and do you know the risks associated with them?</w:t>
            </w:r>
          </w:p>
        </w:tc>
        <w:tc>
          <w:tcPr>
            <w:tcW w:w="0" w:type="auto"/>
          </w:tcPr>
          <w:p w14:paraId="7DA4F558" w14:textId="77777777" w:rsidR="00BB4FBB" w:rsidRDefault="00554925">
            <w:pPr>
              <w:pStyle w:val="DefaqtoTableBody2"/>
              <w:cnfStyle w:val="000000010000" w:firstRow="0" w:lastRow="0" w:firstColumn="0" w:lastColumn="0" w:oddVBand="0" w:evenVBand="0" w:oddHBand="0" w:evenHBand="1" w:firstRowFirstColumn="0" w:firstRowLastColumn="0" w:lastRowFirstColumn="0" w:lastRowLastColumn="0"/>
            </w:pPr>
            <w:r>
              <w:t>A fair degree of understanding / knowledge</w:t>
            </w:r>
          </w:p>
        </w:tc>
      </w:tr>
      <w:tr w:rsidR="00BB4FBB" w14:paraId="71F3E16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FAC474A" w14:textId="77777777" w:rsidR="00BB4FBB" w:rsidRDefault="00554925">
            <w:pPr>
              <w:pStyle w:val="DefaqtoTableBody2"/>
            </w:pPr>
            <w:r>
              <w:t>Do you understand how Enterprise Investment Schemes and Venture Capital Trusts work and do you know the risks associated with them?</w:t>
            </w:r>
          </w:p>
        </w:tc>
        <w:tc>
          <w:tcPr>
            <w:tcW w:w="0" w:type="auto"/>
          </w:tcPr>
          <w:p w14:paraId="5F379249" w14:textId="77777777" w:rsidR="00BB4FBB" w:rsidRDefault="00554925">
            <w:pPr>
              <w:pStyle w:val="DefaqtoTableBody2"/>
              <w:cnfStyle w:val="000000100000" w:firstRow="0" w:lastRow="0" w:firstColumn="0" w:lastColumn="0" w:oddVBand="0" w:evenVBand="0" w:oddHBand="1" w:evenHBand="0" w:firstRowFirstColumn="0" w:firstRowLastColumn="0" w:lastRowFirstColumn="0" w:lastRowLastColumn="0"/>
            </w:pPr>
            <w:r>
              <w:t>No understanding / knowledge</w:t>
            </w:r>
          </w:p>
        </w:tc>
      </w:tr>
      <w:tr w:rsidR="00BB4FBB" w14:paraId="238AC4A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41AC898" w14:textId="77777777" w:rsidR="00BB4FBB" w:rsidRDefault="00554925">
            <w:pPr>
              <w:pStyle w:val="DefaqtoTableBody2"/>
            </w:pPr>
            <w:r>
              <w:t>Do you understand how pension planning and income in retirement works and do you know the risks associated with them?</w:t>
            </w:r>
          </w:p>
        </w:tc>
        <w:tc>
          <w:tcPr>
            <w:tcW w:w="0" w:type="auto"/>
          </w:tcPr>
          <w:p w14:paraId="028E2E16" w14:textId="77777777" w:rsidR="00BB4FBB" w:rsidRDefault="00554925">
            <w:pPr>
              <w:pStyle w:val="DefaqtoTableBody2"/>
              <w:cnfStyle w:val="000000010000" w:firstRow="0" w:lastRow="0" w:firstColumn="0" w:lastColumn="0" w:oddVBand="0" w:evenVBand="0" w:oddHBand="0" w:evenHBand="1" w:firstRowFirstColumn="0" w:firstRowLastColumn="0" w:lastRowFirstColumn="0" w:lastRowLastColumn="0"/>
            </w:pPr>
            <w:r>
              <w:t>Very little understanding / knowledge</w:t>
            </w:r>
          </w:p>
        </w:tc>
      </w:tr>
      <w:tr w:rsidR="00BB4FBB" w14:paraId="3886986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DA81404" w14:textId="77777777" w:rsidR="00BB4FBB" w:rsidRDefault="00554925">
            <w:pPr>
              <w:pStyle w:val="DefaqtoTableBody2"/>
            </w:pPr>
            <w:r>
              <w:t>Have you invested in Current Accounts, Savings/Deposit Accounts, Cash ISA, National Savings and Investments within the last 5 years?</w:t>
            </w:r>
          </w:p>
        </w:tc>
        <w:tc>
          <w:tcPr>
            <w:tcW w:w="0" w:type="auto"/>
          </w:tcPr>
          <w:p w14:paraId="5414AEE6" w14:textId="77777777" w:rsidR="00BB4FBB" w:rsidRDefault="00554925">
            <w:pPr>
              <w:pStyle w:val="DefaqtoTableBody2"/>
              <w:cnfStyle w:val="000000100000" w:firstRow="0" w:lastRow="0" w:firstColumn="0" w:lastColumn="0" w:oddVBand="0" w:evenVBand="0" w:oddHBand="1" w:evenHBand="0" w:firstRowFirstColumn="0" w:firstRowLastColumn="0" w:lastRowFirstColumn="0" w:lastRowLastColumn="0"/>
            </w:pPr>
            <w:r>
              <w:t>Yes, by myself</w:t>
            </w:r>
          </w:p>
        </w:tc>
      </w:tr>
      <w:tr w:rsidR="00BB4FBB" w14:paraId="4B7EE69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E918202" w14:textId="77777777" w:rsidR="00BB4FBB" w:rsidRDefault="00554925">
            <w:pPr>
              <w:pStyle w:val="DefaqtoTableBody2"/>
            </w:pPr>
            <w:r>
              <w:t>Have you invested in Unit Trusts and General Investment Accounts within the last 5 years?</w:t>
            </w:r>
          </w:p>
        </w:tc>
        <w:tc>
          <w:tcPr>
            <w:tcW w:w="0" w:type="auto"/>
          </w:tcPr>
          <w:p w14:paraId="4F35515B" w14:textId="77777777" w:rsidR="00BB4FBB" w:rsidRDefault="00554925">
            <w:pPr>
              <w:pStyle w:val="DefaqtoTableBody2"/>
              <w:cnfStyle w:val="000000010000" w:firstRow="0" w:lastRow="0" w:firstColumn="0" w:lastColumn="0" w:oddVBand="0" w:evenVBand="0" w:oddHBand="0" w:evenHBand="1" w:firstRowFirstColumn="0" w:firstRowLastColumn="0" w:lastRowFirstColumn="0" w:lastRowLastColumn="0"/>
            </w:pPr>
            <w:r>
              <w:t>No</w:t>
            </w:r>
          </w:p>
        </w:tc>
      </w:tr>
      <w:tr w:rsidR="00BB4FBB" w14:paraId="75D7B42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E6173EA" w14:textId="77777777" w:rsidR="00BB4FBB" w:rsidRDefault="00554925">
            <w:pPr>
              <w:pStyle w:val="DefaqtoTableBody2"/>
            </w:pPr>
            <w:r>
              <w:t>Have you invested in stocks and shares within the last 5 years?</w:t>
            </w:r>
          </w:p>
        </w:tc>
        <w:tc>
          <w:tcPr>
            <w:tcW w:w="0" w:type="auto"/>
          </w:tcPr>
          <w:p w14:paraId="5BA8CD45" w14:textId="77777777" w:rsidR="00BB4FBB" w:rsidRDefault="00554925">
            <w:pPr>
              <w:pStyle w:val="DefaqtoTableBody2"/>
              <w:cnfStyle w:val="000000100000" w:firstRow="0" w:lastRow="0" w:firstColumn="0" w:lastColumn="0" w:oddVBand="0" w:evenVBand="0" w:oddHBand="1" w:evenHBand="0" w:firstRowFirstColumn="0" w:firstRowLastColumn="0" w:lastRowFirstColumn="0" w:lastRowLastColumn="0"/>
            </w:pPr>
            <w:r>
              <w:t>No</w:t>
            </w:r>
          </w:p>
        </w:tc>
      </w:tr>
      <w:tr w:rsidR="00BB4FBB" w14:paraId="4E3298DB"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F27C93C" w14:textId="77777777" w:rsidR="00BB4FBB" w:rsidRDefault="00554925">
            <w:pPr>
              <w:pStyle w:val="DefaqtoTableBody2"/>
            </w:pPr>
            <w:r>
              <w:t>Have you invested in Enterprise Investment Schemes and Venture Capital Trusts within the last 5 years?</w:t>
            </w:r>
          </w:p>
        </w:tc>
        <w:tc>
          <w:tcPr>
            <w:tcW w:w="0" w:type="auto"/>
          </w:tcPr>
          <w:p w14:paraId="645FE720" w14:textId="77777777" w:rsidR="00BB4FBB" w:rsidRDefault="00554925">
            <w:pPr>
              <w:pStyle w:val="DefaqtoTableBody2"/>
              <w:cnfStyle w:val="000000010000" w:firstRow="0" w:lastRow="0" w:firstColumn="0" w:lastColumn="0" w:oddVBand="0" w:evenVBand="0" w:oddHBand="0" w:evenHBand="1" w:firstRowFirstColumn="0" w:firstRowLastColumn="0" w:lastRowFirstColumn="0" w:lastRowLastColumn="0"/>
            </w:pPr>
            <w:r>
              <w:t>No</w:t>
            </w:r>
          </w:p>
        </w:tc>
      </w:tr>
      <w:tr w:rsidR="00BB4FBB" w14:paraId="757F1CA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61EE86C" w14:textId="77777777" w:rsidR="00BB4FBB" w:rsidRDefault="00554925">
            <w:pPr>
              <w:pStyle w:val="DefaqtoTableBody2"/>
            </w:pPr>
            <w:r>
              <w:t>Have you invested in pension planning and income in retirement products within the last 5 years?</w:t>
            </w:r>
          </w:p>
        </w:tc>
        <w:tc>
          <w:tcPr>
            <w:tcW w:w="0" w:type="auto"/>
          </w:tcPr>
          <w:p w14:paraId="6AC7290F" w14:textId="77777777" w:rsidR="00BB4FBB" w:rsidRDefault="00554925">
            <w:pPr>
              <w:pStyle w:val="DefaqtoTableBody2"/>
              <w:cnfStyle w:val="000000100000" w:firstRow="0" w:lastRow="0" w:firstColumn="0" w:lastColumn="0" w:oddVBand="0" w:evenVBand="0" w:oddHBand="1" w:evenHBand="0" w:firstRowFirstColumn="0" w:firstRowLastColumn="0" w:lastRowFirstColumn="0" w:lastRowLastColumn="0"/>
            </w:pPr>
            <w:r>
              <w:t>No</w:t>
            </w:r>
          </w:p>
        </w:tc>
      </w:tr>
      <w:tr w:rsidR="00BB4FBB" w14:paraId="1F0DC50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87A5A2E" w14:textId="77777777" w:rsidR="00BB4FBB" w:rsidRDefault="00554925">
            <w:pPr>
              <w:pStyle w:val="DefaqtoTableBody2"/>
            </w:pPr>
            <w:r>
              <w:t>Do you check the valuation of your investment and retirement portfolio on an annual basis?</w:t>
            </w:r>
          </w:p>
        </w:tc>
        <w:tc>
          <w:tcPr>
            <w:tcW w:w="0" w:type="auto"/>
          </w:tcPr>
          <w:p w14:paraId="78E25CC4" w14:textId="77777777" w:rsidR="00BB4FBB" w:rsidRDefault="00554925">
            <w:pPr>
              <w:pStyle w:val="DefaqtoTableBody2"/>
              <w:cnfStyle w:val="000000010000" w:firstRow="0" w:lastRow="0" w:firstColumn="0" w:lastColumn="0" w:oddVBand="0" w:evenVBand="0" w:oddHBand="0" w:evenHBand="1" w:firstRowFirstColumn="0" w:firstRowLastColumn="0" w:lastRowFirstColumn="0" w:lastRowLastColumn="0"/>
            </w:pPr>
            <w:r>
              <w:t>Yes, by myself</w:t>
            </w:r>
          </w:p>
        </w:tc>
      </w:tr>
    </w:tbl>
    <w:p w14:paraId="6E4CD198" w14:textId="77777777" w:rsidR="00BB4FBB" w:rsidRDefault="00BB4FBB">
      <w:pPr>
        <w:sectPr w:rsidR="00BB4FBB">
          <w:headerReference w:type="default" r:id="rId18"/>
          <w:footerReference w:type="default" r:id="rId19"/>
          <w:pgSz w:w="11907" w:h="16839" w:code="9"/>
          <w:pgMar w:top="709" w:right="640" w:bottom="376" w:left="640" w:header="200" w:footer="200" w:gutter="0"/>
          <w:cols w:space="708"/>
          <w:docGrid w:linePitch="360"/>
        </w:sectPr>
      </w:pPr>
    </w:p>
    <w:p w14:paraId="1411A091" w14:textId="77777777" w:rsidR="00BB4FBB" w:rsidRDefault="00554925">
      <w:pPr>
        <w:pStyle w:val="DefaqtoHeading2"/>
      </w:pPr>
      <w:r>
        <w:lastRenderedPageBreak/>
        <w:t>Capacity For Loss questionnaire responses for Mr Kevin Stead on 21/05/2026</w:t>
      </w:r>
    </w:p>
    <w:tbl>
      <w:tblPr>
        <w:tblStyle w:val="DefaqtoTable"/>
        <w:tblW w:w="5000" w:type="pct"/>
        <w:tblLook w:val="01E0" w:firstRow="1" w:lastRow="1" w:firstColumn="1" w:lastColumn="1" w:noHBand="0" w:noVBand="0"/>
      </w:tblPr>
      <w:tblGrid>
        <w:gridCol w:w="9097"/>
        <w:gridCol w:w="1520"/>
      </w:tblGrid>
      <w:tr w:rsidR="00BB4FBB" w14:paraId="470BEFC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349A755" w14:textId="77777777" w:rsidR="00BB4FBB" w:rsidRDefault="00554925">
            <w:pPr>
              <w:pStyle w:val="DefaqtoTableBody2"/>
            </w:pPr>
            <w:r>
              <w:t>Question</w:t>
            </w:r>
          </w:p>
        </w:tc>
        <w:tc>
          <w:tcPr>
            <w:tcW w:w="0" w:type="auto"/>
          </w:tcPr>
          <w:p w14:paraId="3BA51463" w14:textId="77777777" w:rsidR="00BB4FBB" w:rsidRDefault="00554925">
            <w:pPr>
              <w:pStyle w:val="DefaqtoTableBody2"/>
              <w:cnfStyle w:val="100000000000" w:firstRow="1" w:lastRow="0" w:firstColumn="0" w:lastColumn="0" w:oddVBand="0" w:evenVBand="0" w:oddHBand="0" w:evenHBand="0" w:firstRowFirstColumn="0" w:firstRowLastColumn="0" w:lastRowFirstColumn="0" w:lastRowLastColumn="0"/>
            </w:pPr>
            <w:r>
              <w:t>Response</w:t>
            </w:r>
          </w:p>
        </w:tc>
      </w:tr>
      <w:tr w:rsidR="00BB4FBB" w14:paraId="3704001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FF9D57F" w14:textId="77777777" w:rsidR="00BB4FBB" w:rsidRDefault="00554925">
            <w:pPr>
              <w:pStyle w:val="DefaqtoTableBody2"/>
            </w:pPr>
            <w:r>
              <w:t>I am investing in order to meet goals at what point in the future (my investment horizon).</w:t>
            </w:r>
          </w:p>
        </w:tc>
        <w:tc>
          <w:tcPr>
            <w:tcW w:w="0" w:type="auto"/>
          </w:tcPr>
          <w:p w14:paraId="1E8031D2" w14:textId="77777777" w:rsidR="00BB4FBB" w:rsidRDefault="00554925">
            <w:pPr>
              <w:pStyle w:val="DefaqtoTableBody2"/>
              <w:cnfStyle w:val="000000100000" w:firstRow="0" w:lastRow="0" w:firstColumn="0" w:lastColumn="0" w:oddVBand="0" w:evenVBand="0" w:oddHBand="1" w:evenHBand="0" w:firstRowFirstColumn="0" w:firstRowLastColumn="0" w:lastRowFirstColumn="0" w:lastRowLastColumn="0"/>
            </w:pPr>
            <w:r>
              <w:t>3-9 years</w:t>
            </w:r>
          </w:p>
        </w:tc>
      </w:tr>
      <w:tr w:rsidR="00BB4FBB" w14:paraId="005CEB4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F84FC34" w14:textId="77777777" w:rsidR="00BB4FBB" w:rsidRDefault="00554925">
            <w:pPr>
              <w:pStyle w:val="DefaqtoTableBody2"/>
            </w:pPr>
            <w:r>
              <w:t>I have or expect to incur significant outstanding debts during the period of my investment (e.g., mortgage or credit cards).</w:t>
            </w:r>
          </w:p>
        </w:tc>
        <w:tc>
          <w:tcPr>
            <w:tcW w:w="0" w:type="auto"/>
          </w:tcPr>
          <w:p w14:paraId="1BCC1C0D" w14:textId="77777777" w:rsidR="00BB4FBB" w:rsidRDefault="00554925">
            <w:pPr>
              <w:pStyle w:val="DefaqtoTableBody2"/>
              <w:cnfStyle w:val="000000010000" w:firstRow="0" w:lastRow="0" w:firstColumn="0" w:lastColumn="0" w:oddVBand="0" w:evenVBand="0" w:oddHBand="0" w:evenHBand="1" w:firstRowFirstColumn="0" w:firstRowLastColumn="0" w:lastRowFirstColumn="0" w:lastRowLastColumn="0"/>
            </w:pPr>
            <w:r>
              <w:t>Strongly disagree</w:t>
            </w:r>
          </w:p>
        </w:tc>
      </w:tr>
      <w:tr w:rsidR="00BB4FBB" w14:paraId="511B30E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7BBB4E1" w14:textId="77777777" w:rsidR="00BB4FBB" w:rsidRDefault="00554925">
            <w:pPr>
              <w:pStyle w:val="DefaqtoTableBody2"/>
            </w:pPr>
            <w:r>
              <w:t>My spouse or partner (or another family member) is likely to be able and willing to support me financially if circumstances require.</w:t>
            </w:r>
          </w:p>
        </w:tc>
        <w:tc>
          <w:tcPr>
            <w:tcW w:w="0" w:type="auto"/>
          </w:tcPr>
          <w:p w14:paraId="4716CF4A" w14:textId="77777777" w:rsidR="00BB4FBB" w:rsidRDefault="00554925">
            <w:pPr>
              <w:pStyle w:val="DefaqtoTableBody2"/>
              <w:cnfStyle w:val="000000100000" w:firstRow="0" w:lastRow="0" w:firstColumn="0" w:lastColumn="0" w:oddVBand="0" w:evenVBand="0" w:oddHBand="1" w:evenHBand="0" w:firstRowFirstColumn="0" w:firstRowLastColumn="0" w:lastRowFirstColumn="0" w:lastRowLastColumn="0"/>
            </w:pPr>
            <w:r>
              <w:t>Strongly disagree</w:t>
            </w:r>
          </w:p>
        </w:tc>
      </w:tr>
      <w:tr w:rsidR="00BB4FBB" w14:paraId="07CBA82B"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B2FCF1C" w14:textId="77777777" w:rsidR="00BB4FBB" w:rsidRDefault="00554925">
            <w:pPr>
              <w:pStyle w:val="DefaqtoTableBody2"/>
            </w:pPr>
            <w:r>
              <w:t>It would be relatively easy for me to cut my spending in retirement if circumstances require.</w:t>
            </w:r>
          </w:p>
        </w:tc>
        <w:tc>
          <w:tcPr>
            <w:tcW w:w="0" w:type="auto"/>
          </w:tcPr>
          <w:p w14:paraId="142919B3" w14:textId="77777777" w:rsidR="00BB4FBB" w:rsidRDefault="00554925">
            <w:pPr>
              <w:pStyle w:val="DefaqtoTableBody2"/>
              <w:cnfStyle w:val="000000010000" w:firstRow="0" w:lastRow="0" w:firstColumn="0" w:lastColumn="0" w:oddVBand="0" w:evenVBand="0" w:oddHBand="0" w:evenHBand="1" w:firstRowFirstColumn="0" w:firstRowLastColumn="0" w:lastRowFirstColumn="0" w:lastRowLastColumn="0"/>
            </w:pPr>
            <w:r>
              <w:t>Agree</w:t>
            </w:r>
          </w:p>
        </w:tc>
      </w:tr>
      <w:tr w:rsidR="00BB4FBB" w14:paraId="7357FF6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AFF3FAE" w14:textId="77777777" w:rsidR="00BB4FBB" w:rsidRDefault="00554925">
            <w:pPr>
              <w:pStyle w:val="DefaqtoTableBody2"/>
            </w:pPr>
            <w:r>
              <w:t>I am flexible about my retirement date (or other determinant of investment horizon).</w:t>
            </w:r>
          </w:p>
        </w:tc>
        <w:tc>
          <w:tcPr>
            <w:tcW w:w="0" w:type="auto"/>
          </w:tcPr>
          <w:p w14:paraId="1D3AC9AF" w14:textId="77777777" w:rsidR="00BB4FBB" w:rsidRDefault="00554925">
            <w:pPr>
              <w:pStyle w:val="DefaqtoTableBody2"/>
              <w:cnfStyle w:val="000000100000" w:firstRow="0" w:lastRow="0" w:firstColumn="0" w:lastColumn="0" w:oddVBand="0" w:evenVBand="0" w:oddHBand="1" w:evenHBand="0" w:firstRowFirstColumn="0" w:firstRowLastColumn="0" w:lastRowFirstColumn="0" w:lastRowLastColumn="0"/>
            </w:pPr>
            <w:r>
              <w:t>Strongly disagree</w:t>
            </w:r>
          </w:p>
        </w:tc>
      </w:tr>
    </w:tbl>
    <w:p w14:paraId="11ED5761" w14:textId="77777777" w:rsidR="00554925" w:rsidRDefault="00554925"/>
    <w:sectPr w:rsidR="00554925">
      <w:headerReference w:type="default" r:id="rId20"/>
      <w:footerReference w:type="default" r:id="rId21"/>
      <w:pgSz w:w="11907" w:h="16839" w:code="9"/>
      <w:pgMar w:top="709" w:right="640" w:bottom="376" w:left="640" w:header="200" w:footer="20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81EDC" w14:textId="77777777" w:rsidR="00554925" w:rsidRDefault="00554925">
      <w:pPr>
        <w:spacing w:after="0" w:line="240" w:lineRule="auto"/>
      </w:pPr>
      <w:r>
        <w:separator/>
      </w:r>
    </w:p>
  </w:endnote>
  <w:endnote w:type="continuationSeparator" w:id="0">
    <w:p w14:paraId="46991060" w14:textId="77777777" w:rsidR="00554925" w:rsidRDefault="005549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oppins SemiBold">
    <w:altName w:val="Poppins SemiBold"/>
    <w:charset w:val="00"/>
    <w:family w:val="auto"/>
    <w:pitch w:val="variable"/>
    <w:sig w:usb0="00008007" w:usb1="00000000" w:usb2="00000000" w:usb3="00000000" w:csb0="00000093" w:csb1="00000000"/>
  </w:font>
  <w:font w:name="Poppins">
    <w:altName w:val="Nirmala UI"/>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eXGyreAdventor">
    <w:altName w:val="Arial"/>
    <w:panose1 w:val="00000000000000000000"/>
    <w:charset w:val="00"/>
    <w:family w:val="modern"/>
    <w:notTrueType/>
    <w:pitch w:val="variable"/>
    <w:sig w:usb0="00000001" w:usb1="00000000" w:usb2="00000000" w:usb3="00000000" w:csb0="00000197" w:csb1="00000000"/>
  </w:font>
  <w:font w:name="MS Gothic">
    <w:altName w:val="ＭＳ ゴシック"/>
    <w:panose1 w:val="020B0609070205080204"/>
    <w:charset w:val="80"/>
    <w:family w:val="modern"/>
    <w:pitch w:val="fixed"/>
    <w:sig w:usb0="E00002FF" w:usb1="6AC7FDFB" w:usb2="08000012" w:usb3="00000000" w:csb0="0002009F" w:csb1="00000000"/>
  </w:font>
  <w:font w:name="Poppins Light">
    <w:altName w:val="Nirmala UI"/>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BB4FBB" w14:paraId="0BB4EF49" w14:textId="77777777">
      <w:tc>
        <w:tcPr>
          <w:tcW w:w="5812" w:type="dxa"/>
        </w:tcPr>
        <w:p w14:paraId="6E9D8A73" w14:textId="77777777" w:rsidR="00BB4FBB" w:rsidRDefault="00554925">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Tom Randall</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1254124529"/>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2</w:t>
              </w:r>
              <w:r>
                <w:rPr>
                  <w:rFonts w:ascii="Poppins" w:hAnsi="Poppins" w:cs="Poppins"/>
                  <w:color w:val="392388"/>
                  <w:sz w:val="16"/>
                  <w:szCs w:val="16"/>
                </w:rPr>
                <w:fldChar w:fldCharType="end"/>
              </w:r>
            </w:sdtContent>
          </w:sdt>
        </w:p>
      </w:tc>
      <w:tc>
        <w:tcPr>
          <w:tcW w:w="4678" w:type="dxa"/>
        </w:tcPr>
        <w:p w14:paraId="2CD53DE9" w14:textId="77777777" w:rsidR="00BB4FBB" w:rsidRDefault="00554925">
          <w:pPr>
            <w:pStyle w:val="Header"/>
            <w:spacing w:before="120"/>
            <w:ind w:right="21"/>
            <w:jc w:val="right"/>
            <w:rPr>
              <w:rFonts w:ascii="Poppins" w:hAnsi="Poppins" w:cs="Poppins"/>
              <w:color w:val="392388"/>
            </w:rPr>
          </w:pPr>
          <w:r>
            <w:rPr>
              <w:noProof/>
            </w:rPr>
            <w:drawing>
              <wp:inline distT="0" distB="0" distL="0" distR="0" wp14:anchorId="38696F49" wp14:editId="3FDF07C8">
                <wp:extent cx="914400" cy="190500"/>
                <wp:effectExtent l="0" t="0" r="0" b="0"/>
                <wp:docPr id="18" name="Picture 18"/>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 cstate="print"/>
                        <a:stretch>
                          <a:fillRect/>
                        </a:stretch>
                      </pic:blipFill>
                      <pic:spPr>
                        <a:xfrm>
                          <a:off x="0" y="0"/>
                          <a:ext cx="914400" cy="190500"/>
                        </a:xfrm>
                        <a:prstGeom prst="rect">
                          <a:avLst/>
                        </a:prstGeom>
                      </pic:spPr>
                    </pic:pic>
                  </a:graphicData>
                </a:graphic>
              </wp:inline>
            </w:drawing>
          </w:r>
        </w:p>
      </w:tc>
    </w:tr>
  </w:tbl>
  <w:p w14:paraId="374C7C9E" w14:textId="77777777" w:rsidR="00BB4FBB" w:rsidRDefault="00BB4FBB">
    <w:pPr>
      <w:pStyle w:val="Footer"/>
      <w:rPr>
        <w:rFonts w:ascii="Poppins" w:hAnsi="Poppins" w:cs="Poppins"/>
        <w:color w:val="39238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A43E3" w14:textId="77777777" w:rsidR="00BB4FBB" w:rsidRDefault="00554925">
    <w:pPr>
      <w:pStyle w:val="Footer"/>
      <w:rPr>
        <w:rFonts w:ascii="Poppins" w:hAnsi="Poppins" w:cs="Poppins"/>
        <w:color w:val="392388"/>
        <w:sz w:val="20"/>
        <w:szCs w:val="20"/>
      </w:rPr>
    </w:pPr>
    <w:r>
      <w:rPr>
        <w:rFonts w:ascii="Poppins" w:hAnsi="Poppins" w:cs="Poppins"/>
        <w:noProof/>
        <w:color w:val="392388"/>
        <w:sz w:val="20"/>
        <w:szCs w:val="20"/>
      </w:rPr>
      <w:t>This report was prepared with data sourced from Defaqto Engage. Whilst every attempt has been made to ensure the accuracy of the data used in this report, items can change and we advise that you check the issues most important to you if you proceed with the purchase of the selected contract.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0FD11" w14:textId="77777777" w:rsidR="00554925" w:rsidRDefault="00554925">
    <w:r>
      <w:cr/>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BB4FBB" w14:paraId="6F249600" w14:textId="77777777">
      <w:tc>
        <w:tcPr>
          <w:tcW w:w="5812" w:type="dxa"/>
        </w:tcPr>
        <w:p w14:paraId="39B5BED8" w14:textId="77777777" w:rsidR="00BB4FBB" w:rsidRDefault="00554925">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Tom Randall</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1739587288"/>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w:instrText>
              </w:r>
              <w:r>
                <w:rPr>
                  <w:rFonts w:ascii="Poppins" w:hAnsi="Poppins" w:cs="Poppins"/>
                  <w:color w:val="392388"/>
                  <w:sz w:val="16"/>
                  <w:szCs w:val="16"/>
                </w:rPr>
                <w:instrText xml:space="preserve">\* MERGEFORMAT </w:instrText>
              </w:r>
              <w:r>
                <w:rPr>
                  <w:rFonts w:ascii="Poppins" w:hAnsi="Poppins" w:cs="Poppins"/>
                  <w:color w:val="392388"/>
                  <w:sz w:val="16"/>
                  <w:szCs w:val="16"/>
                </w:rPr>
                <w:fldChar w:fldCharType="separate"/>
              </w:r>
              <w:r>
                <w:rPr>
                  <w:rFonts w:ascii="Poppins" w:hAnsi="Poppins" w:cs="Poppins"/>
                  <w:color w:val="392388"/>
                  <w:sz w:val="16"/>
                  <w:szCs w:val="16"/>
                </w:rPr>
                <w:t>7</w:t>
              </w:r>
              <w:r>
                <w:rPr>
                  <w:rFonts w:ascii="Poppins" w:hAnsi="Poppins" w:cs="Poppins"/>
                  <w:color w:val="392388"/>
                  <w:sz w:val="16"/>
                  <w:szCs w:val="16"/>
                </w:rPr>
                <w:fldChar w:fldCharType="end"/>
              </w:r>
            </w:sdtContent>
          </w:sdt>
        </w:p>
      </w:tc>
      <w:tc>
        <w:tcPr>
          <w:tcW w:w="4678" w:type="dxa"/>
        </w:tcPr>
        <w:p w14:paraId="0C6739E4" w14:textId="77777777" w:rsidR="00BB4FBB" w:rsidRDefault="00554925">
          <w:pPr>
            <w:pStyle w:val="Header"/>
            <w:spacing w:before="120"/>
            <w:ind w:right="21"/>
            <w:jc w:val="right"/>
            <w:rPr>
              <w:rFonts w:ascii="Poppins" w:hAnsi="Poppins" w:cs="Poppins"/>
              <w:color w:val="392388"/>
            </w:rPr>
          </w:pPr>
          <w:r>
            <w:rPr>
              <w:noProof/>
            </w:rPr>
            <w:drawing>
              <wp:inline distT="0" distB="0" distL="0" distR="0" wp14:anchorId="6A3A4956" wp14:editId="591C6599">
                <wp:extent cx="914400" cy="190500"/>
                <wp:effectExtent l="0" t="0" r="0" b="0"/>
                <wp:docPr id="16" name="Picture 16"/>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cstate="print"/>
                        <a:stretch>
                          <a:fillRect/>
                        </a:stretch>
                      </pic:blipFill>
                      <pic:spPr>
                        <a:xfrm>
                          <a:off x="0" y="0"/>
                          <a:ext cx="914400" cy="190500"/>
                        </a:xfrm>
                        <a:prstGeom prst="rect">
                          <a:avLst/>
                        </a:prstGeom>
                      </pic:spPr>
                    </pic:pic>
                  </a:graphicData>
                </a:graphic>
              </wp:inline>
            </w:drawing>
          </w:r>
        </w:p>
      </w:tc>
    </w:tr>
  </w:tbl>
  <w:p w14:paraId="699B645A" w14:textId="77777777" w:rsidR="00BB4FBB" w:rsidRDefault="00BB4FBB">
    <w:pPr>
      <w:pStyle w:val="Footer"/>
      <w:rPr>
        <w:rFonts w:ascii="Poppins" w:hAnsi="Poppins" w:cs="Poppins"/>
        <w:color w:val="392388"/>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BB4FBB" w14:paraId="3BAD0983" w14:textId="77777777">
      <w:tc>
        <w:tcPr>
          <w:tcW w:w="5812" w:type="dxa"/>
        </w:tcPr>
        <w:p w14:paraId="49C77F29" w14:textId="77777777" w:rsidR="00BB4FBB" w:rsidRDefault="00554925">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Tom Randall</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515273294"/>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8</w:t>
              </w:r>
              <w:r>
                <w:rPr>
                  <w:rFonts w:ascii="Poppins" w:hAnsi="Poppins" w:cs="Poppins"/>
                  <w:color w:val="392388"/>
                  <w:sz w:val="16"/>
                  <w:szCs w:val="16"/>
                </w:rPr>
                <w:fldChar w:fldCharType="end"/>
              </w:r>
            </w:sdtContent>
          </w:sdt>
        </w:p>
      </w:tc>
      <w:tc>
        <w:tcPr>
          <w:tcW w:w="4678" w:type="dxa"/>
        </w:tcPr>
        <w:p w14:paraId="05662BDA" w14:textId="77777777" w:rsidR="00BB4FBB" w:rsidRDefault="00554925">
          <w:pPr>
            <w:pStyle w:val="Header"/>
            <w:spacing w:before="120"/>
            <w:ind w:right="21"/>
            <w:jc w:val="right"/>
            <w:rPr>
              <w:rFonts w:ascii="Poppins" w:hAnsi="Poppins" w:cs="Poppins"/>
              <w:color w:val="392388"/>
            </w:rPr>
          </w:pPr>
          <w:r>
            <w:rPr>
              <w:noProof/>
            </w:rPr>
            <w:drawing>
              <wp:inline distT="0" distB="0" distL="0" distR="0" wp14:anchorId="31727400" wp14:editId="0ED9008A">
                <wp:extent cx="914400" cy="190500"/>
                <wp:effectExtent l="0" t="0" r="0" b="0"/>
                <wp:docPr id="14" name="Picture 14"/>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 cstate="print"/>
                        <a:stretch>
                          <a:fillRect/>
                        </a:stretch>
                      </pic:blipFill>
                      <pic:spPr>
                        <a:xfrm>
                          <a:off x="0" y="0"/>
                          <a:ext cx="914400" cy="190500"/>
                        </a:xfrm>
                        <a:prstGeom prst="rect">
                          <a:avLst/>
                        </a:prstGeom>
                      </pic:spPr>
                    </pic:pic>
                  </a:graphicData>
                </a:graphic>
              </wp:inline>
            </w:drawing>
          </w:r>
        </w:p>
      </w:tc>
    </w:tr>
  </w:tbl>
  <w:p w14:paraId="7852ACB8" w14:textId="77777777" w:rsidR="00BB4FBB" w:rsidRDefault="00BB4FBB">
    <w:pPr>
      <w:pStyle w:val="Footer"/>
      <w:rPr>
        <w:rFonts w:ascii="Poppins" w:hAnsi="Poppins" w:cs="Poppins"/>
        <w:color w:val="392388"/>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BB4FBB" w14:paraId="4267848F" w14:textId="77777777">
      <w:tc>
        <w:tcPr>
          <w:tcW w:w="5812" w:type="dxa"/>
        </w:tcPr>
        <w:p w14:paraId="624A76A6" w14:textId="77777777" w:rsidR="00BB4FBB" w:rsidRDefault="00554925">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Tom Randall</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1825930277"/>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9</w:t>
              </w:r>
              <w:r>
                <w:rPr>
                  <w:rFonts w:ascii="Poppins" w:hAnsi="Poppins" w:cs="Poppins"/>
                  <w:color w:val="392388"/>
                  <w:sz w:val="16"/>
                  <w:szCs w:val="16"/>
                </w:rPr>
                <w:fldChar w:fldCharType="end"/>
              </w:r>
            </w:sdtContent>
          </w:sdt>
        </w:p>
      </w:tc>
      <w:tc>
        <w:tcPr>
          <w:tcW w:w="4678" w:type="dxa"/>
        </w:tcPr>
        <w:p w14:paraId="5DB6A1BC" w14:textId="77777777" w:rsidR="00BB4FBB" w:rsidRDefault="00554925">
          <w:pPr>
            <w:pStyle w:val="Header"/>
            <w:spacing w:before="120"/>
            <w:ind w:right="21"/>
            <w:jc w:val="right"/>
            <w:rPr>
              <w:rFonts w:ascii="Poppins" w:hAnsi="Poppins" w:cs="Poppins"/>
              <w:color w:val="392388"/>
            </w:rPr>
          </w:pPr>
          <w:r>
            <w:rPr>
              <w:noProof/>
            </w:rPr>
            <w:drawing>
              <wp:inline distT="0" distB="0" distL="0" distR="0" wp14:anchorId="35F66E1F" wp14:editId="49EB79BF">
                <wp:extent cx="914400" cy="190500"/>
                <wp:effectExtent l="0" t="0" r="0" b="0"/>
                <wp:docPr id="12" name="Picture 12"/>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 cstate="print"/>
                        <a:stretch>
                          <a:fillRect/>
                        </a:stretch>
                      </pic:blipFill>
                      <pic:spPr>
                        <a:xfrm>
                          <a:off x="0" y="0"/>
                          <a:ext cx="914400" cy="190500"/>
                        </a:xfrm>
                        <a:prstGeom prst="rect">
                          <a:avLst/>
                        </a:prstGeom>
                      </pic:spPr>
                    </pic:pic>
                  </a:graphicData>
                </a:graphic>
              </wp:inline>
            </w:drawing>
          </w:r>
        </w:p>
      </w:tc>
    </w:tr>
  </w:tbl>
  <w:p w14:paraId="185544EF" w14:textId="77777777" w:rsidR="00BB4FBB" w:rsidRDefault="00BB4FBB">
    <w:pPr>
      <w:pStyle w:val="Footer"/>
      <w:rPr>
        <w:rFonts w:ascii="Poppins" w:hAnsi="Poppins" w:cs="Poppins"/>
        <w:color w:val="39238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DDA1F" w14:textId="77777777" w:rsidR="00554925" w:rsidRDefault="00554925">
      <w:pPr>
        <w:spacing w:after="0" w:line="240" w:lineRule="auto"/>
      </w:pPr>
      <w:r>
        <w:separator/>
      </w:r>
    </w:p>
  </w:footnote>
  <w:footnote w:type="continuationSeparator" w:id="0">
    <w:p w14:paraId="499170FA" w14:textId="77777777" w:rsidR="00554925" w:rsidRDefault="005549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CF68C" w14:textId="77777777" w:rsidR="00BB4FBB" w:rsidRDefault="00BB4FBB">
    <w:pPr>
      <w:pStyle w:val="Header"/>
      <w:ind w:right="-422"/>
      <w:jc w:val="right"/>
    </w:pPr>
  </w:p>
  <w:p w14:paraId="1ADB54F1" w14:textId="77777777" w:rsidR="00BB4FBB" w:rsidRDefault="00BB4F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1268E" w14:textId="77777777" w:rsidR="00554925" w:rsidRDefault="00554925">
    <w:r>
      <w:c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922BB" w14:textId="77777777" w:rsidR="00BB4FBB" w:rsidRDefault="00BB4FBB">
    <w:pPr>
      <w:pStyle w:val="Header"/>
      <w:ind w:right="-422"/>
      <w:jc w:val="right"/>
    </w:pPr>
  </w:p>
  <w:p w14:paraId="50064A8E" w14:textId="77777777" w:rsidR="00BB4FBB" w:rsidRDefault="00BB4FB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4132B" w14:textId="77777777" w:rsidR="00BB4FBB" w:rsidRDefault="00BB4FBB">
    <w:pPr>
      <w:pStyle w:val="Header"/>
      <w:ind w:right="-422"/>
      <w:jc w:val="right"/>
    </w:pPr>
  </w:p>
  <w:p w14:paraId="40601071" w14:textId="77777777" w:rsidR="00BB4FBB" w:rsidRDefault="00BB4FB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A1012" w14:textId="77777777" w:rsidR="00BB4FBB" w:rsidRDefault="00BB4FBB">
    <w:pPr>
      <w:pStyle w:val="Header"/>
      <w:ind w:right="-422"/>
      <w:jc w:val="right"/>
    </w:pPr>
    <w:bookmarkStart w:id="1" w:name="_Hlk75169875"/>
    <w:bookmarkStart w:id="2" w:name="_Hlk75169876"/>
    <w:bookmarkStart w:id="3" w:name="_Hlk75169879"/>
    <w:bookmarkStart w:id="4" w:name="_Hlk75169880"/>
  </w:p>
  <w:bookmarkEnd w:id="1"/>
  <w:bookmarkEnd w:id="2"/>
  <w:bookmarkEnd w:id="3"/>
  <w:p w14:paraId="3567684B" w14:textId="77777777" w:rsidR="00BB4FBB" w:rsidRDefault="00BB4FBB">
    <w:pPr>
      <w:pStyle w:val="Header"/>
    </w:pPr>
  </w:p>
  <w:bookmarkEnd w:id="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Q0MTSwMDY2Nzc2NLVQ0lEKTi0uzszPAykwrgUAFgfppywAAAA="/>
  </w:docVars>
  <w:rsids>
    <w:rsidRoot w:val="00A86A8E"/>
    <w:rsid w:val="000036E6"/>
    <w:rsid w:val="00010E1C"/>
    <w:rsid w:val="000145C0"/>
    <w:rsid w:val="00021E72"/>
    <w:rsid w:val="00032586"/>
    <w:rsid w:val="000345E7"/>
    <w:rsid w:val="00035002"/>
    <w:rsid w:val="00035B6E"/>
    <w:rsid w:val="000376F0"/>
    <w:rsid w:val="000416B3"/>
    <w:rsid w:val="000467A0"/>
    <w:rsid w:val="000839B8"/>
    <w:rsid w:val="000A3FDE"/>
    <w:rsid w:val="000A5A01"/>
    <w:rsid w:val="000C162B"/>
    <w:rsid w:val="000C22EF"/>
    <w:rsid w:val="000F01DB"/>
    <w:rsid w:val="000F3101"/>
    <w:rsid w:val="001015C4"/>
    <w:rsid w:val="00103C4C"/>
    <w:rsid w:val="0011040F"/>
    <w:rsid w:val="001118D3"/>
    <w:rsid w:val="00111A73"/>
    <w:rsid w:val="00112156"/>
    <w:rsid w:val="001138B0"/>
    <w:rsid w:val="00114620"/>
    <w:rsid w:val="001169B6"/>
    <w:rsid w:val="00116C95"/>
    <w:rsid w:val="001174DA"/>
    <w:rsid w:val="00120A7B"/>
    <w:rsid w:val="00121D62"/>
    <w:rsid w:val="00122992"/>
    <w:rsid w:val="001234C9"/>
    <w:rsid w:val="00127A51"/>
    <w:rsid w:val="00144D8B"/>
    <w:rsid w:val="001473F3"/>
    <w:rsid w:val="00161448"/>
    <w:rsid w:val="001615AE"/>
    <w:rsid w:val="00175DA9"/>
    <w:rsid w:val="001954AC"/>
    <w:rsid w:val="001A3A29"/>
    <w:rsid w:val="001A4B81"/>
    <w:rsid w:val="001B2B26"/>
    <w:rsid w:val="001C124D"/>
    <w:rsid w:val="001C1304"/>
    <w:rsid w:val="001C4A54"/>
    <w:rsid w:val="001D61D7"/>
    <w:rsid w:val="001E1B10"/>
    <w:rsid w:val="001E2F17"/>
    <w:rsid w:val="001F2A1D"/>
    <w:rsid w:val="002017D0"/>
    <w:rsid w:val="002053E0"/>
    <w:rsid w:val="00213759"/>
    <w:rsid w:val="002153CD"/>
    <w:rsid w:val="00222DB3"/>
    <w:rsid w:val="00223A88"/>
    <w:rsid w:val="002318E6"/>
    <w:rsid w:val="002365A2"/>
    <w:rsid w:val="00240677"/>
    <w:rsid w:val="00251D4E"/>
    <w:rsid w:val="002565E6"/>
    <w:rsid w:val="0026386B"/>
    <w:rsid w:val="0026455E"/>
    <w:rsid w:val="00276059"/>
    <w:rsid w:val="00292C63"/>
    <w:rsid w:val="00296C0F"/>
    <w:rsid w:val="002A72A2"/>
    <w:rsid w:val="002B06CD"/>
    <w:rsid w:val="002B316B"/>
    <w:rsid w:val="002B46D2"/>
    <w:rsid w:val="002C3F50"/>
    <w:rsid w:val="002D1542"/>
    <w:rsid w:val="002D27B3"/>
    <w:rsid w:val="002D64A0"/>
    <w:rsid w:val="002D73BD"/>
    <w:rsid w:val="002E1116"/>
    <w:rsid w:val="002E32DD"/>
    <w:rsid w:val="002E3329"/>
    <w:rsid w:val="002E5A0F"/>
    <w:rsid w:val="002F0796"/>
    <w:rsid w:val="002F398E"/>
    <w:rsid w:val="003030FB"/>
    <w:rsid w:val="00305795"/>
    <w:rsid w:val="00316D3E"/>
    <w:rsid w:val="00316F09"/>
    <w:rsid w:val="003171EC"/>
    <w:rsid w:val="00326735"/>
    <w:rsid w:val="003323D0"/>
    <w:rsid w:val="0033317F"/>
    <w:rsid w:val="00344A17"/>
    <w:rsid w:val="00350DAB"/>
    <w:rsid w:val="00365B97"/>
    <w:rsid w:val="00373B5E"/>
    <w:rsid w:val="00374EA7"/>
    <w:rsid w:val="00382E1A"/>
    <w:rsid w:val="003870FA"/>
    <w:rsid w:val="003A2D7B"/>
    <w:rsid w:val="003A5509"/>
    <w:rsid w:val="003B0894"/>
    <w:rsid w:val="003B41CE"/>
    <w:rsid w:val="003B5630"/>
    <w:rsid w:val="003C7426"/>
    <w:rsid w:val="003D08EA"/>
    <w:rsid w:val="003D2594"/>
    <w:rsid w:val="003E2A77"/>
    <w:rsid w:val="003F0D32"/>
    <w:rsid w:val="003F2F53"/>
    <w:rsid w:val="00400A25"/>
    <w:rsid w:val="00400B80"/>
    <w:rsid w:val="004012DE"/>
    <w:rsid w:val="00405514"/>
    <w:rsid w:val="00424DF7"/>
    <w:rsid w:val="00424ED0"/>
    <w:rsid w:val="00425471"/>
    <w:rsid w:val="00430D46"/>
    <w:rsid w:val="004310E5"/>
    <w:rsid w:val="00433A7F"/>
    <w:rsid w:val="00435E7C"/>
    <w:rsid w:val="00437ACE"/>
    <w:rsid w:val="00450296"/>
    <w:rsid w:val="0045079D"/>
    <w:rsid w:val="00451C64"/>
    <w:rsid w:val="00452543"/>
    <w:rsid w:val="004525D3"/>
    <w:rsid w:val="0045275C"/>
    <w:rsid w:val="0046398B"/>
    <w:rsid w:val="004863A6"/>
    <w:rsid w:val="00491C23"/>
    <w:rsid w:val="004928F3"/>
    <w:rsid w:val="00493904"/>
    <w:rsid w:val="00494B80"/>
    <w:rsid w:val="004B21FB"/>
    <w:rsid w:val="004B30F0"/>
    <w:rsid w:val="004B7E8F"/>
    <w:rsid w:val="004C7638"/>
    <w:rsid w:val="004D3329"/>
    <w:rsid w:val="004E7FDD"/>
    <w:rsid w:val="004F1216"/>
    <w:rsid w:val="00502EBE"/>
    <w:rsid w:val="00505830"/>
    <w:rsid w:val="00505E33"/>
    <w:rsid w:val="00514806"/>
    <w:rsid w:val="00517F02"/>
    <w:rsid w:val="005206B4"/>
    <w:rsid w:val="00521D89"/>
    <w:rsid w:val="00522005"/>
    <w:rsid w:val="005229A2"/>
    <w:rsid w:val="005245A4"/>
    <w:rsid w:val="00530591"/>
    <w:rsid w:val="0053559E"/>
    <w:rsid w:val="005364B5"/>
    <w:rsid w:val="00544AB2"/>
    <w:rsid w:val="00554925"/>
    <w:rsid w:val="00564AAD"/>
    <w:rsid w:val="00564C2D"/>
    <w:rsid w:val="005740FE"/>
    <w:rsid w:val="00584DFB"/>
    <w:rsid w:val="00591C86"/>
    <w:rsid w:val="005A17C1"/>
    <w:rsid w:val="005B27FA"/>
    <w:rsid w:val="005B330E"/>
    <w:rsid w:val="005B636A"/>
    <w:rsid w:val="005C15C1"/>
    <w:rsid w:val="005C2D44"/>
    <w:rsid w:val="005D4DAD"/>
    <w:rsid w:val="005D52F2"/>
    <w:rsid w:val="005D74D8"/>
    <w:rsid w:val="005E08E5"/>
    <w:rsid w:val="005E79B7"/>
    <w:rsid w:val="005F0058"/>
    <w:rsid w:val="005F0BEE"/>
    <w:rsid w:val="005F4FD9"/>
    <w:rsid w:val="00602C43"/>
    <w:rsid w:val="006040A7"/>
    <w:rsid w:val="00612DEF"/>
    <w:rsid w:val="006223B8"/>
    <w:rsid w:val="0062384D"/>
    <w:rsid w:val="006251AE"/>
    <w:rsid w:val="00625E85"/>
    <w:rsid w:val="00633AF4"/>
    <w:rsid w:val="00635041"/>
    <w:rsid w:val="00635240"/>
    <w:rsid w:val="006372B6"/>
    <w:rsid w:val="00643F61"/>
    <w:rsid w:val="006454BA"/>
    <w:rsid w:val="00657C51"/>
    <w:rsid w:val="00657D32"/>
    <w:rsid w:val="00660C35"/>
    <w:rsid w:val="00661163"/>
    <w:rsid w:val="006658ED"/>
    <w:rsid w:val="00667BEC"/>
    <w:rsid w:val="00682FA9"/>
    <w:rsid w:val="00683E61"/>
    <w:rsid w:val="0068553D"/>
    <w:rsid w:val="0069449F"/>
    <w:rsid w:val="006A05A3"/>
    <w:rsid w:val="006A1853"/>
    <w:rsid w:val="006A385E"/>
    <w:rsid w:val="006B47E8"/>
    <w:rsid w:val="006C05D9"/>
    <w:rsid w:val="006C1A00"/>
    <w:rsid w:val="006C642C"/>
    <w:rsid w:val="006D2779"/>
    <w:rsid w:val="006F7E8E"/>
    <w:rsid w:val="007017D2"/>
    <w:rsid w:val="00701873"/>
    <w:rsid w:val="007033EC"/>
    <w:rsid w:val="007102F1"/>
    <w:rsid w:val="00710455"/>
    <w:rsid w:val="00722FB6"/>
    <w:rsid w:val="00725AD7"/>
    <w:rsid w:val="00737FA5"/>
    <w:rsid w:val="00753007"/>
    <w:rsid w:val="0076031B"/>
    <w:rsid w:val="0077163B"/>
    <w:rsid w:val="00782671"/>
    <w:rsid w:val="00783A56"/>
    <w:rsid w:val="007859E4"/>
    <w:rsid w:val="00787FD5"/>
    <w:rsid w:val="00790AE4"/>
    <w:rsid w:val="00791970"/>
    <w:rsid w:val="007B7265"/>
    <w:rsid w:val="007C6746"/>
    <w:rsid w:val="007D35C7"/>
    <w:rsid w:val="007E42FB"/>
    <w:rsid w:val="007F0705"/>
    <w:rsid w:val="00807BCE"/>
    <w:rsid w:val="00812649"/>
    <w:rsid w:val="00830CA7"/>
    <w:rsid w:val="008405E2"/>
    <w:rsid w:val="00853CD7"/>
    <w:rsid w:val="00854987"/>
    <w:rsid w:val="00867E8A"/>
    <w:rsid w:val="008743CB"/>
    <w:rsid w:val="00877092"/>
    <w:rsid w:val="00881EFA"/>
    <w:rsid w:val="00890EA2"/>
    <w:rsid w:val="00892BCF"/>
    <w:rsid w:val="0089324D"/>
    <w:rsid w:val="00896B6C"/>
    <w:rsid w:val="008B4640"/>
    <w:rsid w:val="008C779F"/>
    <w:rsid w:val="008E3352"/>
    <w:rsid w:val="008E774C"/>
    <w:rsid w:val="00911604"/>
    <w:rsid w:val="009121EF"/>
    <w:rsid w:val="00915282"/>
    <w:rsid w:val="00916D30"/>
    <w:rsid w:val="00935991"/>
    <w:rsid w:val="00937707"/>
    <w:rsid w:val="0094484E"/>
    <w:rsid w:val="00946F0E"/>
    <w:rsid w:val="00956DA6"/>
    <w:rsid w:val="00974B87"/>
    <w:rsid w:val="00976FE7"/>
    <w:rsid w:val="00984A56"/>
    <w:rsid w:val="00985798"/>
    <w:rsid w:val="0098735A"/>
    <w:rsid w:val="00995959"/>
    <w:rsid w:val="00996DC4"/>
    <w:rsid w:val="0099756A"/>
    <w:rsid w:val="009A48A9"/>
    <w:rsid w:val="009B2538"/>
    <w:rsid w:val="009B501D"/>
    <w:rsid w:val="009C23B8"/>
    <w:rsid w:val="009C2EDA"/>
    <w:rsid w:val="009C5F48"/>
    <w:rsid w:val="009C620E"/>
    <w:rsid w:val="009C674F"/>
    <w:rsid w:val="009C7A33"/>
    <w:rsid w:val="009F3CD9"/>
    <w:rsid w:val="009F7EB2"/>
    <w:rsid w:val="00A00CF2"/>
    <w:rsid w:val="00A00E76"/>
    <w:rsid w:val="00A02015"/>
    <w:rsid w:val="00A0202A"/>
    <w:rsid w:val="00A114A7"/>
    <w:rsid w:val="00A11B04"/>
    <w:rsid w:val="00A22192"/>
    <w:rsid w:val="00A24E6A"/>
    <w:rsid w:val="00A3030D"/>
    <w:rsid w:val="00A303DD"/>
    <w:rsid w:val="00A30908"/>
    <w:rsid w:val="00A34742"/>
    <w:rsid w:val="00A3579E"/>
    <w:rsid w:val="00A43080"/>
    <w:rsid w:val="00A44727"/>
    <w:rsid w:val="00A50114"/>
    <w:rsid w:val="00A546BD"/>
    <w:rsid w:val="00A555DE"/>
    <w:rsid w:val="00A625F6"/>
    <w:rsid w:val="00A646A9"/>
    <w:rsid w:val="00A82176"/>
    <w:rsid w:val="00A83109"/>
    <w:rsid w:val="00A86A8E"/>
    <w:rsid w:val="00AA0F49"/>
    <w:rsid w:val="00AA13A2"/>
    <w:rsid w:val="00AA19F8"/>
    <w:rsid w:val="00AB1F1F"/>
    <w:rsid w:val="00AB7113"/>
    <w:rsid w:val="00AC14A8"/>
    <w:rsid w:val="00AD169C"/>
    <w:rsid w:val="00AD177F"/>
    <w:rsid w:val="00AE1800"/>
    <w:rsid w:val="00AE625A"/>
    <w:rsid w:val="00AF1B8C"/>
    <w:rsid w:val="00AF44AC"/>
    <w:rsid w:val="00AF7B17"/>
    <w:rsid w:val="00B0530B"/>
    <w:rsid w:val="00B06F89"/>
    <w:rsid w:val="00B12F3A"/>
    <w:rsid w:val="00B17E1E"/>
    <w:rsid w:val="00B23100"/>
    <w:rsid w:val="00B23BF6"/>
    <w:rsid w:val="00B3436D"/>
    <w:rsid w:val="00B41167"/>
    <w:rsid w:val="00B4137C"/>
    <w:rsid w:val="00B55896"/>
    <w:rsid w:val="00B80862"/>
    <w:rsid w:val="00B81164"/>
    <w:rsid w:val="00B82AA5"/>
    <w:rsid w:val="00B85D3F"/>
    <w:rsid w:val="00B86378"/>
    <w:rsid w:val="00B90635"/>
    <w:rsid w:val="00B97124"/>
    <w:rsid w:val="00BB4FBB"/>
    <w:rsid w:val="00BB6308"/>
    <w:rsid w:val="00BC6903"/>
    <w:rsid w:val="00BD1E10"/>
    <w:rsid w:val="00BE17E8"/>
    <w:rsid w:val="00BE4475"/>
    <w:rsid w:val="00BF1A49"/>
    <w:rsid w:val="00BF401E"/>
    <w:rsid w:val="00BF484E"/>
    <w:rsid w:val="00C01B40"/>
    <w:rsid w:val="00C05186"/>
    <w:rsid w:val="00C275E3"/>
    <w:rsid w:val="00C31AB3"/>
    <w:rsid w:val="00C41C0E"/>
    <w:rsid w:val="00C43443"/>
    <w:rsid w:val="00C45701"/>
    <w:rsid w:val="00C475A7"/>
    <w:rsid w:val="00C50FD8"/>
    <w:rsid w:val="00C52FC1"/>
    <w:rsid w:val="00C605A8"/>
    <w:rsid w:val="00C63763"/>
    <w:rsid w:val="00C66711"/>
    <w:rsid w:val="00C72032"/>
    <w:rsid w:val="00C736FD"/>
    <w:rsid w:val="00C75A06"/>
    <w:rsid w:val="00C77362"/>
    <w:rsid w:val="00C94D10"/>
    <w:rsid w:val="00C96A1C"/>
    <w:rsid w:val="00C976A0"/>
    <w:rsid w:val="00CA01FA"/>
    <w:rsid w:val="00CA16AC"/>
    <w:rsid w:val="00CA2BDF"/>
    <w:rsid w:val="00CA46F3"/>
    <w:rsid w:val="00CC0224"/>
    <w:rsid w:val="00CD0230"/>
    <w:rsid w:val="00CD07CB"/>
    <w:rsid w:val="00CD2D25"/>
    <w:rsid w:val="00CD2DE3"/>
    <w:rsid w:val="00CE0B5D"/>
    <w:rsid w:val="00CE3938"/>
    <w:rsid w:val="00CE4B1D"/>
    <w:rsid w:val="00D114C0"/>
    <w:rsid w:val="00D13FD9"/>
    <w:rsid w:val="00D34195"/>
    <w:rsid w:val="00D377E5"/>
    <w:rsid w:val="00D45EFA"/>
    <w:rsid w:val="00D51D6E"/>
    <w:rsid w:val="00D5204A"/>
    <w:rsid w:val="00D60A00"/>
    <w:rsid w:val="00D60F53"/>
    <w:rsid w:val="00D71D6E"/>
    <w:rsid w:val="00D72BF9"/>
    <w:rsid w:val="00D803FE"/>
    <w:rsid w:val="00D947AF"/>
    <w:rsid w:val="00D95DD9"/>
    <w:rsid w:val="00DA1FD4"/>
    <w:rsid w:val="00DA4618"/>
    <w:rsid w:val="00DA46B0"/>
    <w:rsid w:val="00DA5444"/>
    <w:rsid w:val="00DB2DAC"/>
    <w:rsid w:val="00DC231A"/>
    <w:rsid w:val="00DD19E9"/>
    <w:rsid w:val="00DD6EF3"/>
    <w:rsid w:val="00DD75AF"/>
    <w:rsid w:val="00DE1BEA"/>
    <w:rsid w:val="00DE7D10"/>
    <w:rsid w:val="00DF0FBE"/>
    <w:rsid w:val="00DF3891"/>
    <w:rsid w:val="00E03979"/>
    <w:rsid w:val="00E1045D"/>
    <w:rsid w:val="00E20639"/>
    <w:rsid w:val="00E4277A"/>
    <w:rsid w:val="00E466F6"/>
    <w:rsid w:val="00E5219B"/>
    <w:rsid w:val="00E52AF8"/>
    <w:rsid w:val="00E57243"/>
    <w:rsid w:val="00E61621"/>
    <w:rsid w:val="00E6190E"/>
    <w:rsid w:val="00E71336"/>
    <w:rsid w:val="00E82C61"/>
    <w:rsid w:val="00E8460B"/>
    <w:rsid w:val="00E84749"/>
    <w:rsid w:val="00E90461"/>
    <w:rsid w:val="00E92D5D"/>
    <w:rsid w:val="00E94EC1"/>
    <w:rsid w:val="00E959C7"/>
    <w:rsid w:val="00E9624B"/>
    <w:rsid w:val="00EA2E0B"/>
    <w:rsid w:val="00EA3847"/>
    <w:rsid w:val="00EA7AEF"/>
    <w:rsid w:val="00EB0DF8"/>
    <w:rsid w:val="00EB414F"/>
    <w:rsid w:val="00EC614D"/>
    <w:rsid w:val="00ED1682"/>
    <w:rsid w:val="00EF0EA3"/>
    <w:rsid w:val="00EF39C8"/>
    <w:rsid w:val="00EF75E1"/>
    <w:rsid w:val="00F00893"/>
    <w:rsid w:val="00F05388"/>
    <w:rsid w:val="00F10122"/>
    <w:rsid w:val="00F2521D"/>
    <w:rsid w:val="00F40C34"/>
    <w:rsid w:val="00F4546D"/>
    <w:rsid w:val="00F5529D"/>
    <w:rsid w:val="00F55DC3"/>
    <w:rsid w:val="00F72701"/>
    <w:rsid w:val="00F73E76"/>
    <w:rsid w:val="00F7552D"/>
    <w:rsid w:val="00F7696E"/>
    <w:rsid w:val="00F84796"/>
    <w:rsid w:val="00F85505"/>
    <w:rsid w:val="00F91C6E"/>
    <w:rsid w:val="00F935B9"/>
    <w:rsid w:val="00F94A28"/>
    <w:rsid w:val="00F95968"/>
    <w:rsid w:val="00F97ED1"/>
    <w:rsid w:val="00FA7877"/>
    <w:rsid w:val="00FC1B23"/>
    <w:rsid w:val="00FC3EA7"/>
    <w:rsid w:val="00FD3570"/>
    <w:rsid w:val="00FD39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2FAFD8"/>
  <w15:docId w15:val="{97A142A4-2469-40E1-B68D-7C6764FE7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Calibri"/>
    </w:rPr>
  </w:style>
  <w:style w:type="paragraph" w:styleId="Heading1">
    <w:name w:val="heading 1"/>
    <w:next w:val="Normal"/>
    <w:link w:val="Heading1Char"/>
    <w:uiPriority w:val="9"/>
    <w:unhideWhenUsed/>
    <w:qFormat/>
    <w:pPr>
      <w:keepNext/>
      <w:keepLines/>
      <w:spacing w:after="0"/>
      <w:ind w:left="25"/>
      <w:outlineLvl w:val="0"/>
    </w:pPr>
    <w:rPr>
      <w:rFonts w:ascii="Poppins SemiBold" w:hAnsi="Poppins SemiBold" w:cs="Calibri"/>
      <w:b/>
      <w:bCs/>
      <w:color w:val="3B2B8C"/>
      <w:sz w:val="76"/>
      <w:szCs w:val="76"/>
    </w:rPr>
  </w:style>
  <w:style w:type="paragraph" w:styleId="Heading2">
    <w:name w:val="heading 2"/>
    <w:next w:val="Normal"/>
    <w:link w:val="Heading2Char"/>
    <w:uiPriority w:val="9"/>
    <w:unhideWhenUsed/>
    <w:qFormat/>
    <w:pPr>
      <w:keepNext/>
      <w:keepLines/>
      <w:spacing w:after="161"/>
      <w:ind w:left="2"/>
      <w:outlineLvl w:val="1"/>
    </w:pPr>
    <w:rPr>
      <w:rFonts w:ascii="Poppins" w:hAnsi="Poppins" w:cs="Calibri"/>
      <w:color w:val="392388"/>
      <w:sz w:val="44"/>
      <w:szCs w:val="44"/>
    </w:rPr>
  </w:style>
  <w:style w:type="paragraph" w:styleId="Heading3">
    <w:name w:val="heading 3"/>
    <w:next w:val="Normal"/>
    <w:link w:val="Heading3Char"/>
    <w:uiPriority w:val="9"/>
    <w:unhideWhenUsed/>
    <w:qFormat/>
    <w:pPr>
      <w:keepNext/>
      <w:keepLines/>
      <w:spacing w:after="0"/>
      <w:ind w:left="17" w:hanging="10"/>
      <w:outlineLvl w:val="2"/>
    </w:pPr>
    <w:rPr>
      <w:rFonts w:ascii="Poppins" w:hAnsi="Poppins" w:cs="Calibri"/>
      <w:b/>
      <w:bCs/>
      <w:color w:val="392388"/>
      <w:sz w:val="34"/>
      <w:szCs w:val="34"/>
    </w:rPr>
  </w:style>
  <w:style w:type="paragraph" w:styleId="Heading4">
    <w:name w:val="heading 4"/>
    <w:next w:val="Normal"/>
    <w:link w:val="Heading4Char"/>
    <w:uiPriority w:val="9"/>
    <w:unhideWhenUsed/>
    <w:qFormat/>
    <w:pPr>
      <w:keepNext/>
      <w:keepLines/>
      <w:spacing w:after="0" w:line="265" w:lineRule="auto"/>
      <w:ind w:left="10" w:hanging="10"/>
      <w:outlineLvl w:val="3"/>
    </w:pPr>
    <w:rPr>
      <w:rFonts w:ascii="Poppins" w:hAnsi="Poppins" w:cs="Calibri"/>
      <w:b/>
      <w:bCs/>
      <w:color w:val="392388"/>
      <w:sz w:val="28"/>
      <w:szCs w:val="28"/>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Calibri Light" w:eastAsia="Calibri Light" w:hAnsi="Calibri Light"/>
      <w:color w:val="1C1D4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uiPriority w:val="9"/>
    <w:rPr>
      <w:rFonts w:ascii="Poppins" w:eastAsia="Calibri" w:hAnsi="Poppins" w:cs="Calibri"/>
      <w:b/>
      <w:bCs/>
      <w:color w:val="392388"/>
      <w:sz w:val="28"/>
      <w:szCs w:val="28"/>
    </w:rPr>
  </w:style>
  <w:style w:type="character" w:customStyle="1" w:styleId="Heading2Char">
    <w:name w:val="Heading 2 Char"/>
    <w:link w:val="Heading2"/>
    <w:uiPriority w:val="9"/>
    <w:rPr>
      <w:rFonts w:ascii="Poppins" w:eastAsia="Calibri" w:hAnsi="Poppins" w:cs="Calibri"/>
      <w:color w:val="392388"/>
      <w:sz w:val="44"/>
      <w:szCs w:val="44"/>
    </w:rPr>
  </w:style>
  <w:style w:type="character" w:customStyle="1" w:styleId="Heading1Char">
    <w:name w:val="Heading 1 Char"/>
    <w:link w:val="Heading1"/>
    <w:uiPriority w:val="9"/>
    <w:rPr>
      <w:rFonts w:ascii="Poppins SemiBold" w:eastAsia="Calibri" w:hAnsi="Poppins SemiBold" w:cs="Calibri"/>
      <w:b/>
      <w:bCs/>
      <w:color w:val="3B2B8C"/>
      <w:sz w:val="76"/>
      <w:szCs w:val="76"/>
    </w:rPr>
  </w:style>
  <w:style w:type="character" w:customStyle="1" w:styleId="Heading3Char">
    <w:name w:val="Heading 3 Char"/>
    <w:link w:val="Heading3"/>
    <w:uiPriority w:val="9"/>
    <w:rPr>
      <w:rFonts w:ascii="Poppins" w:eastAsia="Calibri" w:hAnsi="Poppins" w:cs="Calibri"/>
      <w:b/>
      <w:bCs/>
      <w:color w:val="392388"/>
      <w:sz w:val="34"/>
      <w:szCs w:val="34"/>
    </w:rPr>
  </w:style>
  <w:style w:type="table" w:customStyle="1" w:styleId="CSRTable4">
    <w:name w:val="CSRTable4"/>
    <w:pPr>
      <w:spacing w:after="0" w:line="240" w:lineRule="auto"/>
      <w:contextualSpacing/>
    </w:pPr>
    <w:rPr>
      <w:sz w:val="20"/>
      <w:szCs w:val="20"/>
      <w:lang w:val="en-US" w:eastAsia="en-US"/>
    </w:rPr>
    <w:tblPr>
      <w:tblStyleRowBandSize w:val="1"/>
      <w:tblStyleColBandSize w:val="1"/>
      <w:tblCellMar>
        <w:top w:w="0" w:type="dxa"/>
        <w:left w:w="0" w:type="dxa"/>
        <w:bottom w:w="0" w:type="dxa"/>
        <w:right w:w="0" w:type="dxa"/>
      </w:tblCellMar>
    </w:tblPr>
    <w:tblStylePr w:type="firstRow">
      <w:tblPr/>
      <w:tcPr>
        <w:tcBorders>
          <w:top w:val="nil"/>
          <w:left w:val="nil"/>
          <w:bottom w:val="single" w:sz="4" w:space="0" w:color="auto"/>
          <w:right w:val="nil"/>
          <w:insideH w:val="nil"/>
          <w:insideV w:val="nil"/>
        </w:tcBorders>
      </w:tcPr>
    </w:tblStylePr>
  </w:style>
  <w:style w:type="paragraph" w:styleId="Footer">
    <w:name w:val="footer"/>
    <w:basedOn w:val="Normal"/>
    <w:link w:val="FooterChar"/>
    <w:uiPriority w:val="99"/>
    <w:unhideWhenUsed/>
    <w:pPr>
      <w:tabs>
        <w:tab w:val="center" w:pos="4513"/>
        <w:tab w:val="right" w:pos="9026"/>
      </w:tabs>
      <w:spacing w:after="0" w:line="240" w:lineRule="auto"/>
    </w:pPr>
  </w:style>
  <w:style w:type="character" w:customStyle="1" w:styleId="FooterChar">
    <w:name w:val="Footer Char"/>
    <w:basedOn w:val="DefaultParagraphFont"/>
    <w:link w:val="Footer"/>
    <w:uiPriority w:val="99"/>
    <w:rPr>
      <w:rFonts w:ascii="Calibri" w:eastAsia="Calibri" w:hAnsi="Calibri" w:cs="Calibri"/>
      <w:color w:val="000000"/>
    </w:r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customStyle="1" w:styleId="HeaderChar">
    <w:name w:val="Header Char"/>
    <w:basedOn w:val="DefaultParagraphFont"/>
    <w:link w:val="Header"/>
    <w:uiPriority w:val="99"/>
    <w:rPr>
      <w:rFonts w:ascii="Calibri" w:eastAsia="Calibri" w:hAnsi="Calibri" w:cs="Calibri"/>
      <w:color w:val="000000"/>
    </w:rPr>
  </w:style>
  <w:style w:type="paragraph" w:customStyle="1" w:styleId="DefaqtoBody">
    <w:name w:val="Defaqto Body"/>
    <w:basedOn w:val="Normal"/>
    <w:link w:val="DefaqtoBodyChar"/>
    <w:qFormat/>
    <w:pPr>
      <w:spacing w:before="160" w:after="320" w:line="240" w:lineRule="auto"/>
    </w:pPr>
    <w:rPr>
      <w:rFonts w:ascii="Poppins" w:eastAsia="Cambria" w:hAnsi="Poppins" w:cs="Times New Roman"/>
      <w:color w:val="392388"/>
      <w:lang w:eastAsia="en-US"/>
    </w:rPr>
  </w:style>
  <w:style w:type="character" w:customStyle="1" w:styleId="DefaqtoBodyChar">
    <w:name w:val="Defaqto Body Char"/>
    <w:link w:val="DefaqtoBody"/>
    <w:rPr>
      <w:rFonts w:ascii="Poppins" w:eastAsia="Cambria" w:hAnsi="Poppins" w:cs="Times New Roman"/>
      <w:color w:val="392388"/>
      <w:lang w:eastAsia="en-US"/>
    </w:rPr>
  </w:style>
  <w:style w:type="paragraph" w:customStyle="1" w:styleId="DefaqtoCallout">
    <w:name w:val="Defaqto Callout"/>
    <w:link w:val="DefaqtoCalloutChar"/>
    <w:qFormat/>
    <w:pPr>
      <w:spacing w:after="0" w:line="240" w:lineRule="auto"/>
    </w:pPr>
    <w:rPr>
      <w:rFonts w:ascii="Poppins" w:eastAsia="Cambria" w:hAnsi="Poppins"/>
      <w:noProof/>
      <w:color w:val="392388"/>
      <w:sz w:val="16"/>
      <w:szCs w:val="16"/>
      <w:lang w:val="en-NZ" w:eastAsia="en-US"/>
    </w:rPr>
  </w:style>
  <w:style w:type="character" w:customStyle="1" w:styleId="DefaqtoCalloutChar">
    <w:name w:val="Defaqto Callout Char"/>
    <w:link w:val="DefaqtoCallout"/>
    <w:rPr>
      <w:rFonts w:ascii="Poppins" w:eastAsia="Cambria" w:hAnsi="Poppins" w:cs="Times New Roman"/>
      <w:noProof/>
      <w:color w:val="392388"/>
      <w:sz w:val="16"/>
      <w:szCs w:val="16"/>
      <w:lang w:val="en-NZ" w:eastAsia="en-US"/>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Calibri" w:eastAsia="Calibri" w:hAnsi="Calibri" w:cs="Calibri"/>
      <w:b/>
      <w:bCs/>
      <w:color w:val="000000"/>
      <w:sz w:val="20"/>
      <w:szCs w:val="20"/>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Calibri" w:hAnsi="Segoe UI" w:cs="Segoe UI"/>
      <w:color w:val="000000"/>
      <w:sz w:val="18"/>
      <w:szCs w:val="18"/>
    </w:rPr>
  </w:style>
  <w:style w:type="paragraph" w:styleId="NoSpacing">
    <w:name w:val="No Spacing"/>
    <w:uiPriority w:val="1"/>
    <w:qFormat/>
    <w:pPr>
      <w:spacing w:after="0" w:line="240" w:lineRule="auto"/>
    </w:pPr>
    <w:rPr>
      <w:lang w:eastAsia="en-US"/>
    </w:rPr>
  </w:style>
  <w:style w:type="table" w:styleId="TableGrid">
    <w:name w:val="Table Grid"/>
    <w:basedOn w:val="TableNormal"/>
    <w:uiPriority w:val="39"/>
    <w:pPr>
      <w:spacing w:after="0" w:line="240" w:lineRule="auto"/>
    </w:pPr>
    <w:rPr>
      <w:lang w:eastAsia="en-US"/>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paragraph" w:styleId="Revision">
    <w:name w:val="Revision"/>
    <w:uiPriority w:val="99"/>
    <w:semiHidden/>
    <w:pPr>
      <w:spacing w:after="0" w:line="240" w:lineRule="auto"/>
    </w:pPr>
    <w:rPr>
      <w:rFonts w:cs="Calibri"/>
      <w:color w:val="000000"/>
    </w:rPr>
  </w:style>
  <w:style w:type="table" w:customStyle="1" w:styleId="CSRTable1">
    <w:name w:val="CSRTable1"/>
    <w:basedOn w:val="TableNormal"/>
    <w:uiPriority w:val="99"/>
    <w:pPr>
      <w:spacing w:after="0" w:line="240" w:lineRule="auto"/>
      <w:jc w:val="right"/>
    </w:pPr>
    <w:rPr>
      <w:rFonts w:eastAsia="Times New Roman"/>
      <w:sz w:val="20"/>
      <w:szCs w:val="20"/>
      <w:lang w:eastAsia="en-US"/>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Calibri" w:hAnsi="Calibri"/>
        <w:b w:val="0"/>
        <w:bCs w:val="0"/>
        <w:sz w:val="24"/>
        <w:szCs w:val="24"/>
      </w:rPr>
      <w:tblPr/>
      <w:tcPr>
        <w:shd w:val="clear" w:color="auto" w:fill="E7E6E6"/>
      </w:tcPr>
    </w:tblStylePr>
    <w:tblStylePr w:type="firstCol">
      <w:pPr>
        <w:jc w:val="left"/>
      </w:pPr>
    </w:tblStylePr>
  </w:style>
  <w:style w:type="paragraph" w:customStyle="1" w:styleId="DefaqtoTableBody">
    <w:name w:val="Defaqto Table Body"/>
    <w:link w:val="DefaqtoTableBodyChar"/>
    <w:qFormat/>
    <w:pPr>
      <w:spacing w:after="0" w:line="240" w:lineRule="auto"/>
    </w:pPr>
    <w:rPr>
      <w:rFonts w:eastAsia="Times New Roman" w:cs="Arial"/>
      <w:sz w:val="16"/>
      <w:szCs w:val="16"/>
      <w:lang w:val="en-US" w:eastAsia="en-US"/>
    </w:rPr>
  </w:style>
  <w:style w:type="paragraph" w:customStyle="1" w:styleId="DefaqtoTableBody2">
    <w:name w:val="Defaqto Table Body 2"/>
    <w:basedOn w:val="DefaqtoTableBody"/>
    <w:link w:val="DefaqtoTableBody2Char"/>
    <w:qFormat/>
    <w:pPr>
      <w:spacing w:before="60" w:after="60"/>
    </w:pPr>
    <w:rPr>
      <w:rFonts w:ascii="Poppins" w:hAnsi="Poppins"/>
      <w:color w:val="392388"/>
    </w:rPr>
  </w:style>
  <w:style w:type="table" w:customStyle="1" w:styleId="CSRTable2">
    <w:name w:val="CSRTable2"/>
    <w:basedOn w:val="TableNormal"/>
    <w:uiPriority w:val="99"/>
    <w:pPr>
      <w:spacing w:after="0" w:line="240" w:lineRule="auto"/>
      <w:jc w:val="center"/>
    </w:pPr>
    <w:rPr>
      <w:b/>
      <w:bCs/>
      <w:sz w:val="28"/>
      <w:szCs w:val="28"/>
    </w:rPr>
    <w:tblPr>
      <w:tblStyleRowBandSize w:val="1"/>
      <w:tblStyleColBandSize w:val="1"/>
      <w:tblCellMar>
        <w:top w:w="113" w:type="dxa"/>
        <w:bottom w:w="113" w:type="dxa"/>
      </w:tblCellMar>
    </w:tblPr>
    <w:tcPr>
      <w:shd w:val="clear" w:color="auto" w:fill="E7E6E6"/>
    </w:tcPr>
    <w:tblStylePr w:type="firstRow">
      <w:tblPr/>
      <w:tcPr>
        <w:tcMar>
          <w:top w:w="284" w:type="dxa"/>
          <w:left w:w="0" w:type="nil"/>
          <w:bottom w:w="0" w:type="nil"/>
          <w:right w:w="0" w:type="nil"/>
        </w:tcMar>
      </w:tcPr>
    </w:tblStylePr>
    <w:tblStylePr w:type="lastRow">
      <w:rPr>
        <w:rFonts w:ascii="Calibri" w:hAnsi="Calibri"/>
        <w:b w:val="0"/>
        <w:bCs w:val="0"/>
        <w:sz w:val="22"/>
        <w:szCs w:val="22"/>
      </w:rPr>
      <w:tblPr/>
      <w:tcPr>
        <w:tcMar>
          <w:top w:w="0" w:type="nil"/>
          <w:left w:w="0" w:type="nil"/>
          <w:bottom w:w="284" w:type="dxa"/>
          <w:right w:w="0" w:type="nil"/>
        </w:tcMar>
      </w:tcPr>
    </w:tblStylePr>
  </w:style>
  <w:style w:type="paragraph" w:customStyle="1" w:styleId="SBParagraph">
    <w:name w:val="SB Paragraph"/>
    <w:basedOn w:val="Normal"/>
    <w:link w:val="SBParagraphChar"/>
    <w:qFormat/>
    <w:rPr>
      <w:rFonts w:cs="Times New Roman"/>
      <w:color w:val="7F7F7F"/>
      <w:sz w:val="24"/>
      <w:szCs w:val="24"/>
    </w:rPr>
  </w:style>
  <w:style w:type="paragraph" w:customStyle="1" w:styleId="Normal-spacebefore">
    <w:name w:val="Normal-spacebefore"/>
    <w:basedOn w:val="SBParagraph"/>
    <w:link w:val="Normal-spacebeforeChar"/>
    <w:qFormat/>
    <w:pPr>
      <w:spacing w:before="160" w:after="0"/>
    </w:pPr>
  </w:style>
  <w:style w:type="character" w:customStyle="1" w:styleId="SBParagraphChar">
    <w:name w:val="SB Paragraph Char"/>
    <w:basedOn w:val="DefaultParagraphFont"/>
    <w:link w:val="SBParagraph"/>
    <w:rPr>
      <w:rFonts w:ascii="Calibri" w:eastAsia="Calibri" w:hAnsi="Calibri" w:cs="Times New Roman"/>
      <w:color w:val="7F7F7F"/>
      <w:sz w:val="24"/>
      <w:szCs w:val="24"/>
    </w:rPr>
  </w:style>
  <w:style w:type="character" w:customStyle="1" w:styleId="Normal-spacebeforeChar">
    <w:name w:val="Normal-spacebefore Char"/>
    <w:basedOn w:val="SBParagraphChar"/>
    <w:link w:val="Normal-spacebefore"/>
    <w:rPr>
      <w:rFonts w:ascii="Calibri" w:eastAsia="Calibri" w:hAnsi="Calibri" w:cs="Calibri"/>
      <w:color w:val="7F7F7F"/>
      <w:sz w:val="24"/>
      <w:szCs w:val="24"/>
    </w:rPr>
  </w:style>
  <w:style w:type="paragraph" w:customStyle="1" w:styleId="RedWarningBox">
    <w:name w:val="RedWarningBox"/>
    <w:basedOn w:val="Normal"/>
    <w:link w:val="RedWarningBoxChar"/>
    <w:qFormat/>
    <w:rPr>
      <w:rFonts w:cs="Segoe UI Symbol"/>
      <w:bdr w:val="single" w:sz="4" w:space="0" w:color="FF0000"/>
    </w:rPr>
  </w:style>
  <w:style w:type="character" w:customStyle="1" w:styleId="RedWarningBoxChar">
    <w:name w:val="RedWarningBox Char"/>
    <w:basedOn w:val="DefaultParagraphFont"/>
    <w:link w:val="RedWarningBox"/>
    <w:rPr>
      <w:rFonts w:ascii="Calibri" w:eastAsia="Calibri" w:hAnsi="Calibri" w:cs="Segoe UI Symbol"/>
      <w:bdr w:val="single" w:sz="4" w:space="0" w:color="FF0000"/>
    </w:rPr>
  </w:style>
  <w:style w:type="paragraph" w:customStyle="1" w:styleId="CSRHeading4">
    <w:name w:val="CSRHeading4"/>
    <w:basedOn w:val="Heading4"/>
    <w:link w:val="CSRHeading4Char"/>
    <w:rPr>
      <w:rFonts w:ascii="Calibri Light" w:hAnsi="Calibri Light"/>
      <w:b w:val="0"/>
      <w:bCs w:val="0"/>
    </w:rPr>
  </w:style>
  <w:style w:type="character" w:customStyle="1" w:styleId="CSRHeading4Char">
    <w:name w:val="CSRHeading4 Char"/>
    <w:basedOn w:val="Heading4Char"/>
    <w:link w:val="CSRHeading4"/>
    <w:rPr>
      <w:rFonts w:ascii="Calibri Light" w:eastAsia="Calibri" w:hAnsi="Calibri Light" w:cs="Calibri"/>
      <w:b w:val="0"/>
      <w:bCs w:val="0"/>
      <w:color w:val="005392"/>
      <w:sz w:val="28"/>
      <w:szCs w:val="28"/>
    </w:rPr>
  </w:style>
  <w:style w:type="paragraph" w:customStyle="1" w:styleId="CSRTable3">
    <w:name w:val="CSRTable3"/>
    <w:basedOn w:val="Normal"/>
    <w:link w:val="CSRTable3Char"/>
    <w:qFormat/>
    <w:pPr>
      <w:spacing w:after="0" w:line="276" w:lineRule="auto"/>
    </w:pPr>
    <w:rPr>
      <w:b/>
      <w:bCs/>
      <w:sz w:val="16"/>
      <w:szCs w:val="16"/>
    </w:rPr>
  </w:style>
  <w:style w:type="character" w:customStyle="1" w:styleId="CSRTable3Char">
    <w:name w:val="CSRTable3 Char"/>
    <w:basedOn w:val="DefaultParagraphFont"/>
    <w:link w:val="CSRTable3"/>
    <w:rPr>
      <w:rFonts w:ascii="Calibri" w:eastAsia="Calibri" w:hAnsi="Calibri" w:cs="Calibri"/>
      <w:b/>
      <w:bCs/>
      <w:sz w:val="16"/>
      <w:szCs w:val="16"/>
    </w:rPr>
  </w:style>
  <w:style w:type="table" w:customStyle="1" w:styleId="TableGrid0">
    <w:name w:val="TableGrid"/>
    <w:pPr>
      <w:spacing w:after="0" w:line="240" w:lineRule="auto"/>
    </w:pPr>
    <w:tblPr>
      <w:tblStyleRowBandSize w:val="1"/>
      <w:tblStyleColBandSize w:val="1"/>
      <w:tblCellMar>
        <w:top w:w="0" w:type="dxa"/>
        <w:left w:w="0" w:type="dxa"/>
        <w:bottom w:w="0" w:type="dxa"/>
        <w:right w:w="0" w:type="dxa"/>
      </w:tblCellMar>
    </w:tblPr>
  </w:style>
  <w:style w:type="table" w:customStyle="1" w:styleId="CSRTable5">
    <w:name w:val="CSRTable5"/>
    <w:basedOn w:val="TableNormal"/>
    <w:uiPriority w:val="99"/>
    <w:pPr>
      <w:spacing w:before="40" w:after="40"/>
      <w:jc w:val="right"/>
    </w:pPr>
    <w:rPr>
      <w:sz w:val="20"/>
      <w:szCs w:val="20"/>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ascii="Calibri" w:hAnsi="Calibri"/>
        <w:b w:val="0"/>
        <w:bCs w:val="0"/>
        <w:sz w:val="24"/>
        <w:szCs w:val="24"/>
      </w:rPr>
      <w:tblPr/>
      <w:tcPr>
        <w:shd w:val="clear" w:color="auto" w:fill="E7E6E6"/>
      </w:tcPr>
    </w:tblStylePr>
    <w:tblStylePr w:type="lastRow">
      <w:rPr>
        <w:color w:val="F2F2F2"/>
      </w:rPr>
      <w:tblPr/>
      <w:tcPr>
        <w:shd w:val="clear" w:color="auto" w:fill="EE7203"/>
      </w:tcPr>
    </w:tblStylePr>
    <w:tblStylePr w:type="firstCol">
      <w:pPr>
        <w:jc w:val="left"/>
      </w:pPr>
    </w:tblStylePr>
  </w:style>
  <w:style w:type="character" w:styleId="Strong">
    <w:name w:val="Strong"/>
    <w:basedOn w:val="DefaultParagraphFont"/>
    <w:uiPriority w:val="22"/>
    <w:qFormat/>
    <w:rPr>
      <w:b/>
      <w:bCs/>
    </w:rPr>
  </w:style>
  <w:style w:type="paragraph" w:customStyle="1" w:styleId="DefaqtoStrong">
    <w:name w:val="Defaqto Strong"/>
    <w:basedOn w:val="Normal"/>
    <w:link w:val="DefaqtoStrongChar"/>
    <w:qFormat/>
    <w:rPr>
      <w:rFonts w:ascii="Poppins" w:hAnsi="Poppins"/>
      <w:b/>
      <w:bCs/>
      <w:sz w:val="20"/>
      <w:szCs w:val="20"/>
    </w:rPr>
  </w:style>
  <w:style w:type="character" w:customStyle="1" w:styleId="DefaqtoStrongChar">
    <w:name w:val="Defaqto Strong Char"/>
    <w:basedOn w:val="DefaultParagraphFont"/>
    <w:link w:val="DefaqtoStrong"/>
    <w:rPr>
      <w:rFonts w:ascii="Poppins" w:eastAsia="Calibri" w:hAnsi="Poppins" w:cs="Calibri"/>
      <w:b/>
      <w:bCs/>
      <w:sz w:val="20"/>
      <w:szCs w:val="20"/>
    </w:rPr>
  </w:style>
  <w:style w:type="paragraph" w:customStyle="1" w:styleId="DefaqtoHeading5">
    <w:name w:val="Defaqto Heading 5"/>
    <w:basedOn w:val="Normal"/>
    <w:link w:val="DefaqtoHeading5Char"/>
    <w:qFormat/>
    <w:rPr>
      <w:rFonts w:ascii="Poppins" w:hAnsi="Poppins"/>
      <w:color w:val="392388"/>
      <w:sz w:val="24"/>
      <w:szCs w:val="24"/>
    </w:rPr>
  </w:style>
  <w:style w:type="character" w:customStyle="1" w:styleId="DefaqtoHeading5Char">
    <w:name w:val="Defaqto Heading 5 Char"/>
    <w:basedOn w:val="DefaultParagraphFont"/>
    <w:link w:val="DefaqtoHeading5"/>
    <w:rPr>
      <w:rFonts w:ascii="Poppins" w:eastAsia="Calibri" w:hAnsi="Poppins" w:cs="Calibri"/>
      <w:color w:val="392388"/>
      <w:sz w:val="24"/>
      <w:szCs w:val="24"/>
    </w:rPr>
  </w:style>
  <w:style w:type="character" w:customStyle="1" w:styleId="Heading5Char">
    <w:name w:val="Heading 5 Char"/>
    <w:basedOn w:val="DefaultParagraphFont"/>
    <w:link w:val="Heading5"/>
    <w:uiPriority w:val="9"/>
    <w:semiHidden/>
    <w:rPr>
      <w:rFonts w:ascii="Calibri Light" w:eastAsia="Calibri Light" w:hAnsi="Calibri Light"/>
      <w:color w:val="1C1D42"/>
    </w:rPr>
  </w:style>
  <w:style w:type="paragraph" w:customStyle="1" w:styleId="Defaqtobody0">
    <w:name w:val="Defaqto body"/>
    <w:basedOn w:val="Normal"/>
    <w:link w:val="DefaqtobodyChar0"/>
    <w:rPr>
      <w:rFonts w:ascii="Arial" w:eastAsia="Arial" w:hAnsi="Arial" w:cs="Times New Roman"/>
      <w:color w:val="808080"/>
      <w:sz w:val="24"/>
      <w:szCs w:val="24"/>
      <w:lang w:eastAsia="en-US"/>
    </w:rPr>
  </w:style>
  <w:style w:type="character" w:customStyle="1" w:styleId="DefaqtobodyChar0">
    <w:name w:val="Defaqto body Char"/>
    <w:link w:val="Defaqtobody0"/>
    <w:rPr>
      <w:rFonts w:ascii="Arial" w:eastAsia="Arial" w:hAnsi="Arial" w:cs="Times New Roman"/>
      <w:color w:val="808080"/>
      <w:sz w:val="24"/>
      <w:szCs w:val="24"/>
      <w:lang w:eastAsia="en-US"/>
    </w:rPr>
  </w:style>
  <w:style w:type="paragraph" w:customStyle="1" w:styleId="DefaqtoCoverPageLevel1">
    <w:name w:val="Defaqto Cover Page Level 1"/>
    <w:link w:val="DefaqtoCoverPageLevel1Char"/>
    <w:qFormat/>
    <w:pPr>
      <w:tabs>
        <w:tab w:val="left" w:pos="3210"/>
      </w:tabs>
      <w:spacing w:after="0" w:line="240" w:lineRule="auto"/>
    </w:pPr>
    <w:rPr>
      <w:rFonts w:ascii="TeXGyreAdventor" w:eastAsia="Cambria" w:hAnsi="TeXGyreAdventor" w:cs="Arial"/>
      <w:color w:val="FFFFFF"/>
      <w:sz w:val="48"/>
      <w:szCs w:val="48"/>
      <w:lang w:eastAsia="en-US"/>
    </w:rPr>
  </w:style>
  <w:style w:type="character" w:customStyle="1" w:styleId="DefaqtoCoverPageLevel1Char">
    <w:name w:val="Defaqto Cover Page Level 1 Char"/>
    <w:link w:val="DefaqtoCoverPageLevel1"/>
    <w:rPr>
      <w:rFonts w:ascii="TeXGyreAdventor" w:eastAsia="Cambria" w:hAnsi="TeXGyreAdventor" w:cs="Arial"/>
      <w:color w:val="FFFFFF"/>
      <w:sz w:val="48"/>
      <w:szCs w:val="48"/>
      <w:lang w:eastAsia="en-US"/>
    </w:rPr>
  </w:style>
  <w:style w:type="paragraph" w:customStyle="1" w:styleId="DefaqtoCoverPageLevel2">
    <w:name w:val="Defaqto Cover Page Level 2"/>
    <w:basedOn w:val="DefaqtoCoverPageLevel1"/>
    <w:link w:val="DefaqtoCoverPageLevel2Char"/>
    <w:qFormat/>
    <w:pPr>
      <w:ind w:left="720"/>
    </w:pPr>
    <w:rPr>
      <w:sz w:val="32"/>
      <w:szCs w:val="32"/>
    </w:rPr>
  </w:style>
  <w:style w:type="character" w:customStyle="1" w:styleId="DefaqtoCoverPageLevel2Char">
    <w:name w:val="Defaqto Cover Page Level 2 Char"/>
    <w:link w:val="DefaqtoCoverPageLevel2"/>
    <w:rPr>
      <w:rFonts w:ascii="TeXGyreAdventor" w:eastAsia="Cambria" w:hAnsi="TeXGyreAdventor" w:cs="Arial"/>
      <w:color w:val="FFFFFF"/>
      <w:sz w:val="32"/>
      <w:szCs w:val="32"/>
      <w:lang w:eastAsia="en-US"/>
    </w:rPr>
  </w:style>
  <w:style w:type="paragraph" w:customStyle="1" w:styleId="DefaqtoHeading2">
    <w:name w:val="Defaqto Heading 2"/>
    <w:basedOn w:val="Heading2"/>
    <w:next w:val="DefaqtoBody"/>
    <w:link w:val="DefaqtoHeading2Char"/>
    <w:qFormat/>
    <w:pPr>
      <w:spacing w:before="120" w:after="320"/>
      <w:ind w:left="0"/>
    </w:pPr>
    <w:rPr>
      <w:rFonts w:ascii="Poppins SemiBold" w:eastAsia="Cambria" w:hAnsi="Poppins SemiBold" w:cs="Times New Roman"/>
      <w:sz w:val="32"/>
      <w:szCs w:val="32"/>
      <w:lang w:eastAsia="en-US"/>
    </w:rPr>
  </w:style>
  <w:style w:type="paragraph" w:customStyle="1" w:styleId="DefaqtoHeading2-noTOC">
    <w:name w:val="Defaqto Heading 2 - no TOC"/>
    <w:basedOn w:val="DefaqtoHeading2"/>
    <w:link w:val="DefaqtoHeading2-noTOCChar"/>
    <w:qFormat/>
    <w:pPr>
      <w:outlineLvl w:val="9"/>
    </w:pPr>
  </w:style>
  <w:style w:type="character" w:customStyle="1" w:styleId="DefaqtoHeading2-noTOCChar">
    <w:name w:val="Defaqto Heading 2 - no TOC Char"/>
    <w:link w:val="DefaqtoHeading2-noTOC"/>
    <w:rPr>
      <w:rFonts w:ascii="Calibri Light" w:eastAsia="Cambria" w:hAnsi="Calibri Light" w:cs="Times New Roman"/>
      <w:b/>
      <w:bCs/>
      <w:color w:val="252758"/>
      <w:sz w:val="28"/>
      <w:szCs w:val="28"/>
      <w:lang w:eastAsia="en-US"/>
    </w:rPr>
  </w:style>
  <w:style w:type="paragraph" w:customStyle="1" w:styleId="DefaqtoHeading3">
    <w:name w:val="Defaqto Heading 3"/>
    <w:basedOn w:val="Heading2"/>
    <w:next w:val="DefaqtoBody"/>
    <w:link w:val="DefaqtoHeading3Char"/>
    <w:qFormat/>
    <w:pPr>
      <w:spacing w:after="320"/>
      <w:ind w:left="0"/>
      <w:outlineLvl w:val="2"/>
    </w:pPr>
    <w:rPr>
      <w:rFonts w:ascii="Poppins SemiBold" w:hAnsi="Poppins SemiBold"/>
      <w:sz w:val="22"/>
      <w:szCs w:val="22"/>
      <w:lang w:val="en-NZ"/>
    </w:rPr>
  </w:style>
  <w:style w:type="paragraph" w:customStyle="1" w:styleId="DefaqtoHeading3-noTOC">
    <w:name w:val="Defaqto Heading 3 - no TOC"/>
    <w:basedOn w:val="DefaqtoHeading3"/>
    <w:link w:val="DefaqtoHeading3-noTOCChar"/>
    <w:qFormat/>
    <w:pPr>
      <w:outlineLvl w:val="9"/>
    </w:pPr>
  </w:style>
  <w:style w:type="character" w:customStyle="1" w:styleId="DefaqtoHeading3-noTOCChar">
    <w:name w:val="Defaqto Heading 3 - no TOC Char"/>
    <w:link w:val="DefaqtoHeading3-noTOC"/>
    <w:rPr>
      <w:rFonts w:ascii="Calibri Light" w:eastAsia="Cambria" w:hAnsi="Calibri Light" w:cs="Times New Roman"/>
      <w:b/>
      <w:bCs/>
      <w:color w:val="252758"/>
      <w:sz w:val="24"/>
      <w:szCs w:val="24"/>
      <w:lang w:val="en-NZ" w:eastAsia="en-US"/>
    </w:rPr>
  </w:style>
  <w:style w:type="paragraph" w:customStyle="1" w:styleId="DefaqtoIntroText">
    <w:name w:val="Defaqto Intro Text"/>
    <w:basedOn w:val="Heading2"/>
    <w:link w:val="DefaqtoIntroTextChar"/>
    <w:qFormat/>
    <w:pPr>
      <w:spacing w:before="400" w:after="360"/>
      <w:ind w:left="0"/>
      <w:outlineLvl w:val="9"/>
    </w:pPr>
    <w:rPr>
      <w:rFonts w:eastAsia="MS Gothic" w:cs="Times New Roman"/>
      <w:sz w:val="32"/>
      <w:szCs w:val="32"/>
      <w:lang w:eastAsia="en-US"/>
    </w:rPr>
  </w:style>
  <w:style w:type="character" w:customStyle="1" w:styleId="DefaqtoIntroTextChar">
    <w:name w:val="Defaqto Intro Text Char"/>
    <w:link w:val="DefaqtoIntroText"/>
    <w:rPr>
      <w:rFonts w:ascii="Poppins" w:eastAsia="MS Gothic" w:hAnsi="Poppins" w:cs="Times New Roman"/>
      <w:color w:val="392388"/>
      <w:sz w:val="32"/>
      <w:szCs w:val="32"/>
      <w:lang w:eastAsia="en-US"/>
    </w:rPr>
  </w:style>
  <w:style w:type="paragraph" w:customStyle="1" w:styleId="DefaqtoIntrotext0">
    <w:name w:val="Defaqto Intro text"/>
    <w:basedOn w:val="Heading2"/>
    <w:link w:val="DefaqtoIntrotextChar0"/>
    <w:pPr>
      <w:spacing w:before="400" w:after="360"/>
      <w:ind w:left="0"/>
      <w:outlineLvl w:val="9"/>
    </w:pPr>
    <w:rPr>
      <w:rFonts w:ascii="Arial" w:eastAsia="MS Gothic" w:hAnsi="Arial" w:cs="Times New Roman"/>
      <w:color w:val="00538F"/>
      <w:sz w:val="32"/>
      <w:szCs w:val="32"/>
      <w:lang w:eastAsia="en-US"/>
    </w:rPr>
  </w:style>
  <w:style w:type="character" w:customStyle="1" w:styleId="DefaqtoIntrotextChar0">
    <w:name w:val="Defaqto Intro text Char"/>
    <w:link w:val="DefaqtoIntrotext0"/>
    <w:rPr>
      <w:rFonts w:ascii="Arial" w:eastAsia="MS Gothic" w:hAnsi="Arial" w:cs="Times New Roman"/>
      <w:color w:val="00538F"/>
      <w:sz w:val="32"/>
      <w:szCs w:val="32"/>
      <w:lang w:eastAsia="en-US"/>
    </w:rPr>
  </w:style>
  <w:style w:type="paragraph" w:customStyle="1" w:styleId="DefaqtoLevel2">
    <w:name w:val="Defaqto Level 2"/>
    <w:basedOn w:val="Heading2"/>
    <w:link w:val="DefaqtoLevel2Char"/>
    <w:qFormat/>
    <w:pPr>
      <w:spacing w:before="240" w:after="240"/>
      <w:ind w:left="0"/>
    </w:pPr>
    <w:rPr>
      <w:rFonts w:ascii="Arial" w:eastAsia="MS Gothic" w:hAnsi="Arial" w:cs="Times New Roman"/>
      <w:b/>
      <w:bCs/>
      <w:color w:val="003479"/>
      <w:sz w:val="28"/>
      <w:szCs w:val="28"/>
      <w:lang w:eastAsia="en-US"/>
    </w:rPr>
  </w:style>
  <w:style w:type="character" w:customStyle="1" w:styleId="DefaqtoLevel2Char">
    <w:name w:val="Defaqto Level 2 Char"/>
    <w:link w:val="DefaqtoLevel2"/>
    <w:rPr>
      <w:rFonts w:ascii="Arial" w:eastAsia="MS Gothic" w:hAnsi="Arial" w:cs="Times New Roman"/>
      <w:b/>
      <w:bCs/>
      <w:color w:val="003479"/>
      <w:sz w:val="28"/>
      <w:szCs w:val="28"/>
      <w:lang w:eastAsia="en-US"/>
    </w:rPr>
  </w:style>
  <w:style w:type="paragraph" w:customStyle="1" w:styleId="Defaqtosmallprint">
    <w:name w:val="Defaqto smallprint"/>
    <w:basedOn w:val="Normal"/>
    <w:link w:val="DefaqtosmallprintChar"/>
    <w:qFormat/>
    <w:pPr>
      <w:keepNext/>
      <w:keepLines/>
      <w:spacing w:before="240" w:after="240"/>
    </w:pPr>
    <w:rPr>
      <w:rFonts w:ascii="Poppins" w:eastAsia="MS Gothic" w:hAnsi="Poppins" w:cs="Times New Roman"/>
      <w:color w:val="392388"/>
      <w:sz w:val="16"/>
      <w:szCs w:val="16"/>
      <w:lang w:eastAsia="en-US"/>
    </w:rPr>
  </w:style>
  <w:style w:type="character" w:customStyle="1" w:styleId="DefaqtosmallprintChar">
    <w:name w:val="Defaqto smallprint Char"/>
    <w:link w:val="Defaqtosmallprint"/>
    <w:rPr>
      <w:rFonts w:ascii="Poppins" w:eastAsia="MS Gothic" w:hAnsi="Poppins" w:cs="Times New Roman"/>
      <w:color w:val="392388"/>
      <w:sz w:val="16"/>
      <w:szCs w:val="16"/>
      <w:lang w:eastAsia="en-US"/>
    </w:rPr>
  </w:style>
  <w:style w:type="paragraph" w:customStyle="1" w:styleId="DefaqtoStyle">
    <w:name w:val="Defaqto Style"/>
    <w:basedOn w:val="Normal"/>
    <w:link w:val="DefaqtoStyleChar"/>
    <w:qFormat/>
    <w:pPr>
      <w:tabs>
        <w:tab w:val="center" w:pos="4513"/>
        <w:tab w:val="right" w:pos="9026"/>
      </w:tabs>
      <w:suppressAutoHyphens/>
      <w:spacing w:after="0" w:line="276" w:lineRule="auto"/>
      <w:ind w:right="1372"/>
    </w:pPr>
    <w:rPr>
      <w:rFonts w:ascii="Arial" w:eastAsia="Cambria" w:hAnsi="Arial" w:cs="Times New Roman"/>
      <w:color w:val="003479"/>
      <w:sz w:val="20"/>
      <w:szCs w:val="20"/>
      <w:lang w:eastAsia="en-US"/>
    </w:rPr>
  </w:style>
  <w:style w:type="character" w:customStyle="1" w:styleId="DefaqtoStyleChar">
    <w:name w:val="Defaqto Style Char"/>
    <w:link w:val="DefaqtoStyle"/>
    <w:rPr>
      <w:rFonts w:ascii="Arial" w:eastAsia="Cambria" w:hAnsi="Arial" w:cs="Times New Roman"/>
      <w:color w:val="003479"/>
      <w:sz w:val="20"/>
      <w:szCs w:val="20"/>
      <w:lang w:eastAsia="en-US"/>
    </w:rPr>
  </w:style>
  <w:style w:type="table" w:customStyle="1" w:styleId="DefaqtoTable">
    <w:name w:val="Defaqto Table"/>
    <w:basedOn w:val="TableNormal"/>
    <w:uiPriority w:val="99"/>
    <w:pPr>
      <w:spacing w:after="0" w:line="240" w:lineRule="auto"/>
    </w:pPr>
    <w:rPr>
      <w:rFonts w:ascii="Poppins" w:eastAsia="Times New Roman" w:hAnsi="Poppins"/>
      <w:lang w:eastAsia="en-US"/>
    </w:rPr>
    <w:tblPr>
      <w:tblStyleRowBandSize w:val="1"/>
      <w:tblStyleColBandSize w:val="1"/>
      <w:tblBorders>
        <w:top w:val="single" w:sz="4" w:space="0" w:color="B0A7CF"/>
        <w:left w:val="single" w:sz="4" w:space="0" w:color="B0A7CF"/>
        <w:bottom w:val="single" w:sz="4" w:space="0" w:color="B0A7CF"/>
        <w:right w:val="single" w:sz="4" w:space="0" w:color="B0A7CF"/>
        <w:insideH w:val="single" w:sz="4" w:space="0" w:color="B0A7CF"/>
        <w:insideV w:val="single" w:sz="4" w:space="0" w:color="B0A7CF"/>
      </w:tblBorders>
    </w:tblPr>
    <w:tcPr>
      <w:vAlign w:val="center"/>
    </w:tcPr>
    <w:tblStylePr w:type="firstRow">
      <w:rPr>
        <w:rFonts w:ascii="Poppins SemiBold" w:hAnsi="Poppins SemiBold"/>
        <w:b/>
        <w:bCs/>
        <w:color w:val="392388"/>
        <w:sz w:val="22"/>
        <w:szCs w:val="22"/>
      </w:rPr>
      <w:tblPr/>
      <w:tcPr>
        <w:tcBorders>
          <w:bottom w:val="single" w:sz="18" w:space="0" w:color="614FA0"/>
        </w:tcBorders>
        <w:shd w:val="clear" w:color="auto" w:fill="FFFFFF"/>
      </w:tcPr>
    </w:tblStylePr>
    <w:tblStylePr w:type="firstCol">
      <w:pPr>
        <w:jc w:val="left"/>
      </w:pPr>
    </w:tblStylePr>
    <w:tblStylePr w:type="band1Horz">
      <w:rPr>
        <w:rFonts w:ascii="Poppins" w:hAnsi="Poppins"/>
        <w:color w:val="392388"/>
        <w:sz w:val="22"/>
        <w:szCs w:val="22"/>
      </w:rPr>
      <w:tblPr/>
      <w:tcPr>
        <w:shd w:val="clear" w:color="auto" w:fill="FFFFFF"/>
      </w:tcPr>
    </w:tblStylePr>
    <w:tblStylePr w:type="band2Horz">
      <w:rPr>
        <w:rFonts w:ascii="Poppins" w:hAnsi="Poppins"/>
        <w:color w:val="392388"/>
        <w:sz w:val="22"/>
        <w:szCs w:val="22"/>
      </w:rPr>
      <w:tblPr/>
      <w:tcPr>
        <w:shd w:val="clear" w:color="auto" w:fill="EFEAFB"/>
      </w:tcPr>
    </w:tblStylePr>
  </w:style>
  <w:style w:type="character" w:customStyle="1" w:styleId="DefaqtoTableBody2Char">
    <w:name w:val="Defaqto Table Body 2 Char"/>
    <w:link w:val="DefaqtoTableBody2"/>
    <w:rPr>
      <w:rFonts w:ascii="Poppins" w:eastAsia="Times New Roman" w:hAnsi="Poppins" w:cs="Arial"/>
      <w:color w:val="392388"/>
      <w:sz w:val="16"/>
      <w:szCs w:val="16"/>
      <w:lang w:val="en-US" w:eastAsia="en-US"/>
    </w:rPr>
  </w:style>
  <w:style w:type="paragraph" w:customStyle="1" w:styleId="DefaqtoHeading1">
    <w:name w:val="Defaqto Heading 1"/>
    <w:basedOn w:val="Heading1"/>
    <w:next w:val="DefaqtoBody"/>
    <w:link w:val="DefaqtoHeading1Char"/>
    <w:qFormat/>
    <w:pPr>
      <w:spacing w:before="120" w:after="320"/>
      <w:ind w:left="0"/>
    </w:pPr>
    <w:rPr>
      <w:rFonts w:cs="Times New Roman"/>
      <w:b w:val="0"/>
      <w:bCs w:val="0"/>
      <w:sz w:val="48"/>
      <w:szCs w:val="48"/>
      <w:lang w:eastAsia="en-US"/>
    </w:rPr>
  </w:style>
  <w:style w:type="paragraph" w:customStyle="1" w:styleId="DefaqtoContentspageheading">
    <w:name w:val="Defaqto Contents page heading"/>
    <w:basedOn w:val="DefaqtoHeading1"/>
    <w:qFormat/>
    <w:pPr>
      <w:outlineLvl w:val="9"/>
    </w:pPr>
  </w:style>
  <w:style w:type="paragraph" w:customStyle="1" w:styleId="DefaqtoCoverHeading-noTOC">
    <w:name w:val="Defaqto Cover Heading - no TOC"/>
    <w:basedOn w:val="Heading1"/>
    <w:qFormat/>
    <w:pPr>
      <w:ind w:left="23"/>
      <w:outlineLvl w:val="9"/>
    </w:pPr>
    <w:rPr>
      <w:sz w:val="64"/>
      <w:szCs w:val="64"/>
    </w:rPr>
  </w:style>
  <w:style w:type="paragraph" w:customStyle="1" w:styleId="DefaqtoBodyAfterHeading">
    <w:name w:val="Defaqto Body After Heading"/>
    <w:basedOn w:val="DefaqtoBody"/>
    <w:link w:val="DefaqtoBodyAfterHeadingChar"/>
    <w:qFormat/>
    <w:pPr>
      <w:spacing w:before="0"/>
    </w:pPr>
  </w:style>
  <w:style w:type="character" w:customStyle="1" w:styleId="DefaqtoBodyAfterHeadingChar">
    <w:name w:val="Defaqto Body After Heading Char"/>
    <w:basedOn w:val="DefaqtoBodyChar"/>
    <w:link w:val="DefaqtoBodyAfterHeading"/>
    <w:rPr>
      <w:rFonts w:ascii="Calibri" w:eastAsia="Cambria" w:hAnsi="Calibri" w:cs="Times New Roman"/>
      <w:color w:val="7F7F7F"/>
      <w:sz w:val="24"/>
      <w:szCs w:val="24"/>
      <w:lang w:eastAsia="en-US"/>
    </w:rPr>
  </w:style>
  <w:style w:type="paragraph" w:customStyle="1" w:styleId="DefaqtoBodyHeading">
    <w:name w:val="Defaqto Body Heading"/>
    <w:basedOn w:val="DefaqtoIntroText"/>
    <w:link w:val="DefaqtoBodyHeadingChar"/>
    <w:qFormat/>
    <w:pPr>
      <w:spacing w:before="100" w:after="0"/>
      <w:contextualSpacing/>
    </w:pPr>
    <w:rPr>
      <w:rFonts w:eastAsia="Cambria"/>
      <w:b/>
      <w:bCs/>
      <w:color w:val="7F7F7F"/>
      <w:sz w:val="24"/>
      <w:szCs w:val="24"/>
    </w:rPr>
  </w:style>
  <w:style w:type="character" w:customStyle="1" w:styleId="DefaqtoBodyHeadingChar">
    <w:name w:val="Defaqto Body Heading Char"/>
    <w:basedOn w:val="DefaqtoIntroTextChar"/>
    <w:link w:val="DefaqtoBodyHeading"/>
    <w:rPr>
      <w:rFonts w:ascii="Calibri" w:eastAsia="Cambria" w:hAnsi="Calibri" w:cs="Times New Roman"/>
      <w:b/>
      <w:bCs/>
      <w:color w:val="7F7F7F"/>
      <w:sz w:val="24"/>
      <w:szCs w:val="24"/>
      <w:lang w:eastAsia="en-US"/>
    </w:rPr>
  </w:style>
  <w:style w:type="paragraph" w:styleId="TOC5">
    <w:name w:val="toc 5"/>
    <w:basedOn w:val="Normal"/>
    <w:next w:val="Normal"/>
    <w:uiPriority w:val="39"/>
    <w:unhideWhenUsed/>
    <w:pPr>
      <w:suppressAutoHyphens/>
      <w:spacing w:after="0" w:line="276" w:lineRule="auto"/>
      <w:ind w:left="800"/>
    </w:pPr>
    <w:rPr>
      <w:rFonts w:ascii="Poppins" w:eastAsia="Cambria" w:hAnsi="Poppins" w:cs="Arial"/>
      <w:color w:val="392388"/>
      <w:sz w:val="18"/>
      <w:szCs w:val="18"/>
      <w:lang w:eastAsia="en-US"/>
    </w:rPr>
  </w:style>
  <w:style w:type="paragraph" w:styleId="TOC6">
    <w:name w:val="toc 6"/>
    <w:basedOn w:val="Normal"/>
    <w:next w:val="Normal"/>
    <w:uiPriority w:val="39"/>
    <w:unhideWhenUsed/>
    <w:pPr>
      <w:suppressAutoHyphens/>
      <w:spacing w:after="0" w:line="276" w:lineRule="auto"/>
      <w:ind w:left="1000"/>
    </w:pPr>
    <w:rPr>
      <w:rFonts w:ascii="Poppins" w:eastAsia="Cambria" w:hAnsi="Poppins" w:cs="Arial"/>
      <w:color w:val="392388"/>
      <w:sz w:val="18"/>
      <w:szCs w:val="18"/>
      <w:lang w:eastAsia="en-US"/>
    </w:rPr>
  </w:style>
  <w:style w:type="paragraph" w:styleId="TOC7">
    <w:name w:val="toc 7"/>
    <w:basedOn w:val="Normal"/>
    <w:next w:val="Normal"/>
    <w:uiPriority w:val="39"/>
    <w:unhideWhenUsed/>
    <w:pPr>
      <w:suppressAutoHyphens/>
      <w:spacing w:after="0" w:line="276" w:lineRule="auto"/>
      <w:ind w:left="1200"/>
    </w:pPr>
    <w:rPr>
      <w:rFonts w:ascii="Poppins" w:eastAsia="Cambria" w:hAnsi="Poppins" w:cs="Arial"/>
      <w:color w:val="392388"/>
      <w:sz w:val="18"/>
      <w:szCs w:val="18"/>
      <w:lang w:eastAsia="en-US"/>
    </w:rPr>
  </w:style>
  <w:style w:type="paragraph" w:styleId="TOC8">
    <w:name w:val="toc 8"/>
    <w:basedOn w:val="Normal"/>
    <w:next w:val="Normal"/>
    <w:uiPriority w:val="39"/>
    <w:unhideWhenUsed/>
    <w:pPr>
      <w:suppressAutoHyphens/>
      <w:spacing w:after="0" w:line="276" w:lineRule="auto"/>
      <w:ind w:left="1400"/>
    </w:pPr>
    <w:rPr>
      <w:rFonts w:ascii="Poppins" w:eastAsia="Cambria" w:hAnsi="Poppins" w:cs="Arial"/>
      <w:color w:val="392388"/>
      <w:sz w:val="18"/>
      <w:szCs w:val="18"/>
      <w:lang w:eastAsia="en-US"/>
    </w:rPr>
  </w:style>
  <w:style w:type="paragraph" w:styleId="TOC9">
    <w:name w:val="toc 9"/>
    <w:basedOn w:val="Normal"/>
    <w:next w:val="Normal"/>
    <w:uiPriority w:val="39"/>
    <w:unhideWhenUsed/>
    <w:pPr>
      <w:suppressAutoHyphens/>
      <w:spacing w:after="0" w:line="276" w:lineRule="auto"/>
      <w:ind w:left="1600"/>
    </w:pPr>
    <w:rPr>
      <w:rFonts w:ascii="Poppins" w:eastAsia="Cambria" w:hAnsi="Poppins" w:cs="Arial"/>
      <w:color w:val="392388"/>
      <w:sz w:val="18"/>
      <w:szCs w:val="18"/>
      <w:lang w:eastAsia="en-US"/>
    </w:rPr>
  </w:style>
  <w:style w:type="paragraph" w:styleId="TOCHeading">
    <w:name w:val="TOC Heading"/>
    <w:basedOn w:val="Heading1"/>
    <w:next w:val="Normal"/>
    <w:uiPriority w:val="39"/>
    <w:qFormat/>
    <w:pPr>
      <w:spacing w:before="480" w:line="276" w:lineRule="auto"/>
      <w:ind w:left="0"/>
      <w:outlineLvl w:val="9"/>
    </w:pPr>
    <w:rPr>
      <w:rFonts w:ascii="Poppins" w:eastAsia="MS Gothic" w:hAnsi="Poppins" w:cs="Times New Roman"/>
      <w:color w:val="392388"/>
      <w:sz w:val="28"/>
      <w:szCs w:val="28"/>
      <w:lang w:val="en-US" w:eastAsia="en-US"/>
    </w:rPr>
  </w:style>
  <w:style w:type="table" w:customStyle="1" w:styleId="Custom1">
    <w:name w:val="Custom1"/>
    <w:basedOn w:val="TableNormal"/>
    <w:uiPriority w:val="99"/>
    <w:pPr>
      <w:spacing w:after="0" w:line="240" w:lineRule="auto"/>
    </w:pPr>
    <w:rPr>
      <w:rFonts w:ascii="Poppins" w:eastAsia="Times New Roman" w:hAnsi="Poppins"/>
      <w:color w:val="392388"/>
    </w:rPr>
    <w:tblPr>
      <w:tblStyleRowBandSize w:val="1"/>
      <w:tblStyleColBandSize w:val="1"/>
      <w:tblBorders>
        <w:top w:val="single" w:sz="4" w:space="0" w:color="B0A7CF"/>
        <w:left w:val="single" w:sz="4" w:space="0" w:color="B0A7CF"/>
        <w:bottom w:val="single" w:sz="4" w:space="0" w:color="B0A7CF"/>
        <w:right w:val="single" w:sz="4" w:space="0" w:color="B0A7CF"/>
        <w:insideH w:val="single" w:sz="4" w:space="0" w:color="B0A7CF"/>
        <w:insideV w:val="single" w:sz="4" w:space="0" w:color="B0A7CF"/>
      </w:tblBorders>
    </w:tblPr>
    <w:tcPr>
      <w:shd w:val="clear" w:color="auto" w:fill="FFFFFF"/>
    </w:tcPr>
    <w:tblStylePr w:type="firstCol">
      <w:rPr>
        <w:rFonts w:ascii="Poppins" w:hAnsi="Poppins"/>
        <w:b/>
        <w:bCs/>
        <w:sz w:val="22"/>
        <w:szCs w:val="22"/>
      </w:rPr>
      <w:tblPr/>
      <w:tcPr>
        <w:tcBorders>
          <w:top w:val="single" w:sz="4" w:space="0" w:color="B0A7CF"/>
          <w:left w:val="single" w:sz="4" w:space="0" w:color="B0A7CF"/>
          <w:bottom w:val="single" w:sz="4" w:space="0" w:color="B0A7CF"/>
          <w:right w:val="single" w:sz="18" w:space="0" w:color="614FA0"/>
          <w:insideH w:val="single" w:sz="4" w:space="0" w:color="B0A7CF"/>
          <w:insideV w:val="single" w:sz="4" w:space="0" w:color="B0A7CF"/>
          <w:tl2br w:val="nil"/>
          <w:tr2bl w:val="nil"/>
        </w:tcBorders>
      </w:tcPr>
    </w:tblStylePr>
    <w:tblStylePr w:type="band1Horz">
      <w:rPr>
        <w:rFonts w:ascii="Poppins" w:hAnsi="Poppins"/>
        <w:sz w:val="22"/>
        <w:szCs w:val="22"/>
      </w:rPr>
      <w:tblPr/>
      <w:tcPr>
        <w:shd w:val="clear" w:color="auto" w:fill="FFFFFF"/>
      </w:tcPr>
    </w:tblStylePr>
    <w:tblStylePr w:type="band2Horz">
      <w:rPr>
        <w:rFonts w:ascii="Poppins" w:hAnsi="Poppins"/>
        <w:sz w:val="22"/>
        <w:szCs w:val="22"/>
      </w:rPr>
      <w:tblPr/>
      <w:tcPr>
        <w:shd w:val="clear" w:color="auto" w:fill="EFEAFB"/>
      </w:tcPr>
    </w:tblStylePr>
  </w:style>
  <w:style w:type="table" w:customStyle="1" w:styleId="Custom2">
    <w:name w:val="Custom2"/>
    <w:basedOn w:val="TableNormal"/>
    <w:uiPriority w:val="99"/>
    <w:pPr>
      <w:spacing w:after="0" w:line="240" w:lineRule="auto"/>
    </w:pPr>
    <w:rPr>
      <w:rFonts w:ascii="Times New Roman" w:eastAsia="Times New Roman" w:hAnsi="Times New Roman"/>
      <w:sz w:val="20"/>
      <w:szCs w:val="20"/>
    </w:rPr>
    <w:tblPr>
      <w:tblStyleRowBandSize w:val="1"/>
      <w:tblStyleColBandSize w:val="1"/>
    </w:tblPr>
  </w:style>
  <w:style w:type="table" w:customStyle="1" w:styleId="Custom2b">
    <w:name w:val="Custom2b"/>
    <w:basedOn w:val="Custom2"/>
    <w:uiPriority w:val="99"/>
    <w:rPr>
      <w:color w:val="000000"/>
    </w:rPr>
    <w:tblPr/>
    <w:tcPr>
      <w:shd w:val="clear" w:color="auto" w:fill="D9D9D9"/>
    </w:tcPr>
    <w:tblStylePr w:type="firstRow">
      <w:rPr>
        <w:b/>
        <w:bCs/>
      </w:rPr>
    </w:tblStylePr>
  </w:style>
  <w:style w:type="table" w:customStyle="1" w:styleId="Custom3">
    <w:name w:val="Custom3"/>
    <w:basedOn w:val="TableNormal"/>
    <w:uiPriority w:val="99"/>
    <w:pPr>
      <w:spacing w:after="0" w:line="240" w:lineRule="auto"/>
    </w:pPr>
    <w:rPr>
      <w:rFonts w:eastAsia="Times New Roman"/>
      <w:sz w:val="20"/>
      <w:szCs w:val="20"/>
    </w:rPr>
    <w:tblPr>
      <w:tblStyleRowBandSize w:val="1"/>
      <w:tblStyleColBandSize w:val="1"/>
      <w:tblBorders>
        <w:top w:val="single" w:sz="4" w:space="0" w:color="A6A6A6"/>
        <w:left w:val="nil"/>
        <w:bottom w:val="single" w:sz="4" w:space="0" w:color="A6A6A6"/>
        <w:right w:val="nil"/>
        <w:insideH w:val="single" w:sz="4" w:space="0" w:color="A6A6A6"/>
        <w:insideV w:val="nil"/>
      </w:tblBorders>
    </w:tblPr>
    <w:tcPr>
      <w:shd w:val="clear" w:color="auto" w:fill="FFFFFF"/>
    </w:tcPr>
    <w:tblStylePr w:type="firstRow">
      <w:rPr>
        <w:b/>
        <w:bCs/>
      </w:rPr>
      <w:tblPr/>
      <w:tcPr>
        <w:tcBorders>
          <w:top w:val="single" w:sz="4" w:space="0" w:color="auto"/>
        </w:tcBorders>
        <w:shd w:val="clear" w:color="auto" w:fill="FFFFFF"/>
        <w:vAlign w:val="top"/>
      </w:tcPr>
    </w:tblStylePr>
    <w:tblStylePr w:type="band1Horz">
      <w:tblPr/>
      <w:tcPr>
        <w:shd w:val="clear" w:color="auto" w:fill="FFFFFF"/>
        <w:vAlign w:val="top"/>
      </w:tcPr>
    </w:tblStylePr>
  </w:style>
  <w:style w:type="table" w:customStyle="1" w:styleId="Custom4">
    <w:name w:val="Custom4"/>
    <w:basedOn w:val="Custom1"/>
    <w:uiPriority w:val="99"/>
    <w:tblPr>
      <w:tblBorders>
        <w:top w:val="single" w:sz="4" w:space="0" w:color="BFBFBF"/>
        <w:left w:val="nil"/>
        <w:bottom w:val="single" w:sz="4" w:space="0" w:color="BFBFBF"/>
        <w:right w:val="nil"/>
        <w:insideH w:val="single" w:sz="4" w:space="0" w:color="BFBFBF"/>
        <w:insideV w:val="nil"/>
      </w:tblBorders>
    </w:tblPr>
    <w:tblStylePr w:type="firstRow">
      <w:rPr>
        <w:b/>
        <w:bCs/>
      </w:rPr>
      <w:tblPr/>
      <w:tcPr>
        <w:tcBorders>
          <w:top w:val="single" w:sz="4" w:space="0" w:color="auto"/>
          <w:bottom w:val="single" w:sz="4" w:space="0" w:color="auto"/>
        </w:tcBorders>
        <w:vAlign w:val="top"/>
      </w:tcPr>
    </w:tblStylePr>
    <w:tblStylePr w:type="firstCol">
      <w:rPr>
        <w:rFonts w:ascii="Poppins" w:hAnsi="Poppins"/>
        <w:b w:val="0"/>
        <w:bCs w:val="0"/>
        <w:sz w:val="22"/>
        <w:szCs w:val="22"/>
      </w:rPr>
      <w:tblPr/>
      <w:tcPr>
        <w:tcBorders>
          <w:top w:val="single" w:sz="4" w:space="0" w:color="B0A7CF"/>
          <w:left w:val="single" w:sz="4" w:space="0" w:color="B0A7CF"/>
          <w:bottom w:val="single" w:sz="4" w:space="0" w:color="B0A7CF"/>
          <w:right w:val="single" w:sz="18" w:space="0" w:color="614FA0"/>
          <w:insideH w:val="single" w:sz="4" w:space="0" w:color="B0A7CF"/>
          <w:insideV w:val="single" w:sz="4" w:space="0" w:color="B0A7CF"/>
          <w:tl2br w:val="nil"/>
          <w:tr2bl w:val="nil"/>
        </w:tcBorders>
        <w:shd w:val="clear" w:color="auto" w:fill="E4E4E4"/>
      </w:tcPr>
    </w:tblStylePr>
    <w:tblStylePr w:type="band1Horz">
      <w:rPr>
        <w:rFonts w:ascii="Poppins" w:hAnsi="Poppins"/>
        <w:sz w:val="22"/>
        <w:szCs w:val="22"/>
      </w:rPr>
      <w:tblPr/>
      <w:tcPr>
        <w:shd w:val="clear" w:color="auto" w:fill="FFFFFF"/>
      </w:tcPr>
    </w:tblStylePr>
    <w:tblStylePr w:type="band2Horz">
      <w:rPr>
        <w:rFonts w:ascii="Poppins" w:hAnsi="Poppins"/>
        <w:sz w:val="22"/>
        <w:szCs w:val="22"/>
      </w:rPr>
      <w:tblPr/>
      <w:tcPr>
        <w:shd w:val="clear" w:color="auto" w:fill="EFEAFB"/>
      </w:tcPr>
    </w:tblStylePr>
  </w:style>
  <w:style w:type="table" w:customStyle="1" w:styleId="Custom5">
    <w:name w:val="Custom5"/>
    <w:basedOn w:val="Custom3"/>
    <w:uiPriority w:val="99"/>
    <w:rPr>
      <w:rFonts w:ascii="Arial" w:hAnsi="Arial"/>
      <w:sz w:val="24"/>
      <w:szCs w:val="24"/>
    </w:rPr>
    <w:tblPr>
      <w:tblBorders>
        <w:top w:val="nil"/>
        <w:bottom w:val="single" w:sz="4" w:space="0" w:color="BFBFBF"/>
        <w:insideH w:val="single" w:sz="4" w:space="0" w:color="BFBFBF"/>
      </w:tblBorders>
    </w:tblPr>
    <w:tblStylePr w:type="firstRow">
      <w:rPr>
        <w:b/>
        <w:bCs/>
      </w:rPr>
      <w:tblPr/>
      <w:tcPr>
        <w:tcBorders>
          <w:top w:val="single" w:sz="4" w:space="0" w:color="808080"/>
          <w:bottom w:val="single" w:sz="4" w:space="0" w:color="808080"/>
        </w:tcBorders>
        <w:shd w:val="clear" w:color="auto" w:fill="FFFFFF"/>
        <w:vAlign w:val="top"/>
      </w:tcPr>
    </w:tblStylePr>
    <w:tblStylePr w:type="firstCol">
      <w:pPr>
        <w:wordWrap/>
        <w:jc w:val="center"/>
      </w:pPr>
    </w:tblStylePr>
    <w:tblStylePr w:type="band1Horz">
      <w:tblPr/>
      <w:tcPr>
        <w:shd w:val="clear" w:color="auto" w:fill="FFFFFF"/>
        <w:vAlign w:val="top"/>
      </w:tcPr>
    </w:tblStylePr>
  </w:style>
  <w:style w:type="character" w:customStyle="1" w:styleId="DefaqtoTableBodyChar">
    <w:name w:val="Defaqto Table Body Char"/>
    <w:link w:val="DefaqtoTableBody"/>
    <w:rPr>
      <w:rFonts w:ascii="Calibri" w:eastAsia="Times New Roman" w:hAnsi="Calibri" w:cs="Arial"/>
      <w:sz w:val="16"/>
      <w:szCs w:val="16"/>
      <w:lang w:val="en-US" w:eastAsia="en-US"/>
    </w:rPr>
  </w:style>
  <w:style w:type="paragraph" w:styleId="TOC1">
    <w:name w:val="toc 1"/>
    <w:basedOn w:val="Normal"/>
    <w:next w:val="Normal"/>
    <w:link w:val="TOC1Char"/>
    <w:uiPriority w:val="39"/>
    <w:pPr>
      <w:tabs>
        <w:tab w:val="right" w:leader="dot" w:pos="10456"/>
      </w:tabs>
      <w:suppressAutoHyphens/>
      <w:spacing w:before="120" w:after="120" w:line="276" w:lineRule="auto"/>
    </w:pPr>
    <w:rPr>
      <w:rFonts w:ascii="Poppins" w:eastAsia="Cambria" w:hAnsi="Poppins" w:cs="Arial"/>
      <w:b/>
      <w:bCs/>
      <w:caps/>
      <w:color w:val="392388"/>
      <w:sz w:val="20"/>
      <w:szCs w:val="20"/>
      <w:lang w:eastAsia="en-US"/>
    </w:rPr>
  </w:style>
  <w:style w:type="character" w:customStyle="1" w:styleId="TOC1Char">
    <w:name w:val="TOC 1 Char"/>
    <w:link w:val="TOC1"/>
    <w:uiPriority w:val="39"/>
    <w:rPr>
      <w:rFonts w:ascii="Poppins" w:eastAsia="Cambria" w:hAnsi="Poppins" w:cs="Arial"/>
      <w:b/>
      <w:bCs/>
      <w:caps/>
      <w:color w:val="392388"/>
      <w:sz w:val="20"/>
      <w:szCs w:val="20"/>
      <w:lang w:eastAsia="en-US"/>
    </w:rPr>
  </w:style>
  <w:style w:type="paragraph" w:styleId="TOC2">
    <w:name w:val="toc 2"/>
    <w:basedOn w:val="Normal"/>
    <w:next w:val="Normal"/>
    <w:uiPriority w:val="39"/>
    <w:pPr>
      <w:suppressAutoHyphens/>
      <w:spacing w:after="0" w:line="276" w:lineRule="auto"/>
      <w:ind w:left="200"/>
    </w:pPr>
    <w:rPr>
      <w:rFonts w:ascii="Poppins" w:eastAsia="Cambria" w:hAnsi="Poppins" w:cs="Arial"/>
      <w:smallCaps/>
      <w:color w:val="392388"/>
      <w:sz w:val="20"/>
      <w:szCs w:val="20"/>
      <w:lang w:eastAsia="en-US"/>
    </w:rPr>
  </w:style>
  <w:style w:type="paragraph" w:styleId="TOC3">
    <w:name w:val="toc 3"/>
    <w:basedOn w:val="Normal"/>
    <w:next w:val="Normal"/>
    <w:uiPriority w:val="39"/>
    <w:pPr>
      <w:suppressAutoHyphens/>
      <w:spacing w:after="0" w:line="276" w:lineRule="auto"/>
      <w:ind w:left="400"/>
    </w:pPr>
    <w:rPr>
      <w:rFonts w:ascii="Poppins" w:eastAsia="Cambria" w:hAnsi="Poppins" w:cs="Arial"/>
      <w:i/>
      <w:color w:val="392388"/>
      <w:sz w:val="20"/>
      <w:szCs w:val="20"/>
      <w:lang w:eastAsia="en-US"/>
    </w:rPr>
  </w:style>
  <w:style w:type="paragraph" w:styleId="TOC4">
    <w:name w:val="toc 4"/>
    <w:basedOn w:val="Normal"/>
    <w:next w:val="Normal"/>
    <w:uiPriority w:val="39"/>
    <w:unhideWhenUsed/>
    <w:pPr>
      <w:suppressAutoHyphens/>
      <w:spacing w:after="0" w:line="276" w:lineRule="auto"/>
      <w:ind w:left="600"/>
    </w:pPr>
    <w:rPr>
      <w:rFonts w:ascii="Poppins" w:eastAsia="Cambria" w:hAnsi="Poppins" w:cs="Arial"/>
      <w:color w:val="392388"/>
      <w:sz w:val="18"/>
      <w:szCs w:val="18"/>
      <w:lang w:eastAsia="en-US"/>
    </w:rPr>
  </w:style>
  <w:style w:type="table" w:customStyle="1" w:styleId="Custom6">
    <w:name w:val="Custom6"/>
    <w:basedOn w:val="TableNormal"/>
    <w:uiPriority w:val="99"/>
    <w:pPr>
      <w:spacing w:after="0" w:line="240" w:lineRule="auto"/>
    </w:pPr>
    <w:rPr>
      <w:rFonts w:ascii="Poppins" w:eastAsia="Times New Roman" w:hAnsi="Poppins"/>
      <w:color w:val="392388"/>
      <w:sz w:val="28"/>
      <w:szCs w:val="28"/>
    </w:rPr>
    <w:tblPr>
      <w:tblStyleRowBandSize w:val="1"/>
      <w:tblStyleColBandSize w:val="1"/>
      <w:tblCellSpacing w:w="17" w:type="dxa"/>
      <w:tblBorders>
        <w:top w:val="nil"/>
        <w:left w:val="nil"/>
        <w:bottom w:val="nil"/>
        <w:right w:val="nil"/>
        <w:insideH w:val="single" w:sz="8" w:space="0" w:color="B0A7CF"/>
        <w:insideV w:val="single" w:sz="8" w:space="0" w:color="B0A7CF"/>
      </w:tblBorders>
      <w:tblCellMar>
        <w:top w:w="85" w:type="dxa"/>
        <w:left w:w="142" w:type="dxa"/>
        <w:bottom w:w="85" w:type="dxa"/>
        <w:right w:w="142" w:type="dxa"/>
      </w:tblCellMar>
    </w:tblPr>
    <w:trPr>
      <w:tblCellSpacing w:w="17" w:type="dxa"/>
    </w:trPr>
    <w:tcPr>
      <w:shd w:val="clear" w:color="auto" w:fill="FFFFFF"/>
      <w:vAlign w:val="center"/>
    </w:tcPr>
    <w:tblStylePr w:type="firstRow">
      <w:rPr>
        <w:b/>
        <w:bCs/>
      </w:rPr>
    </w:tblStylePr>
  </w:style>
  <w:style w:type="table" w:customStyle="1" w:styleId="CustomPR1">
    <w:name w:val="CustomPR1"/>
    <w:basedOn w:val="TableNormal"/>
    <w:uiPriority w:val="99"/>
    <w:pPr>
      <w:spacing w:after="0" w:line="240" w:lineRule="auto"/>
    </w:pPr>
    <w:rPr>
      <w:rFonts w:ascii="Times New Roman" w:eastAsia="Times New Roman" w:hAnsi="Times New Roman"/>
      <w:sz w:val="20"/>
      <w:szCs w:val="20"/>
    </w:rPr>
    <w:tblPr>
      <w:tblStyleRowBandSize w:val="1"/>
      <w:tblStyleColBandSize w:val="1"/>
      <w:tblBorders>
        <w:top w:val="nil"/>
        <w:left w:val="nil"/>
        <w:bottom w:val="nil"/>
        <w:right w:val="nil"/>
        <w:insideH w:val="single" w:sz="36" w:space="0" w:color="FFFFFF"/>
        <w:insideV w:val="single" w:sz="36" w:space="0" w:color="FFFFFF"/>
      </w:tblBorders>
    </w:tblPr>
  </w:style>
  <w:style w:type="table" w:customStyle="1" w:styleId="CustomPR2">
    <w:name w:val="CustomPR2"/>
    <w:basedOn w:val="TableNormal"/>
    <w:uiPriority w:val="99"/>
    <w:pPr>
      <w:spacing w:after="0" w:line="240" w:lineRule="auto"/>
    </w:pPr>
    <w:rPr>
      <w:rFonts w:eastAsia="Times New Roman"/>
      <w:sz w:val="18"/>
      <w:szCs w:val="18"/>
    </w:rPr>
    <w:tblPr>
      <w:tblStyleRowBandSize w:val="1"/>
      <w:tblStyleColBandSize w:val="1"/>
      <w:jc w:val="center"/>
      <w:tblBorders>
        <w:top w:val="single" w:sz="4" w:space="0" w:color="7F7F7F"/>
        <w:left w:val="nil"/>
        <w:bottom w:val="single" w:sz="4" w:space="0" w:color="7F7F7F"/>
        <w:right w:val="nil"/>
        <w:insideH w:val="single" w:sz="4" w:space="0" w:color="7F7F7F"/>
        <w:insideV w:val="nil"/>
      </w:tblBorders>
    </w:tblPr>
    <w:trPr>
      <w:jc w:val="center"/>
    </w:trPr>
    <w:tcPr>
      <w:tcMar>
        <w:top w:w="144" w:type="dxa"/>
        <w:left w:w="115" w:type="dxa"/>
        <w:bottom w:w="144" w:type="dxa"/>
        <w:right w:w="115" w:type="dxa"/>
      </w:tcMar>
    </w:tcPr>
    <w:tblStylePr w:type="firstRow">
      <w:rPr>
        <w:rFonts w:ascii="Calibri" w:hAnsi="Calibri"/>
        <w:b/>
        <w:bCs/>
        <w:sz w:val="16"/>
        <w:szCs w:val="16"/>
      </w:rPr>
    </w:tblStylePr>
  </w:style>
  <w:style w:type="table" w:customStyle="1" w:styleId="CustomPR3">
    <w:name w:val="CustomPR3"/>
    <w:basedOn w:val="CustomPR1"/>
    <w:uiPriority w:val="99"/>
    <w:tblPr>
      <w:tblBorders>
        <w:insideH w:val="nil"/>
        <w:insideV w:val="nil"/>
      </w:tblBorders>
    </w:tblPr>
    <w:tblStylePr w:type="firstRow">
      <w:rPr>
        <w:b/>
        <w:bCs/>
      </w:rPr>
    </w:tblStylePr>
    <w:tblStylePr w:type="lastRow">
      <w:rPr>
        <w:b/>
        <w:bCs/>
      </w:rPr>
    </w:tblStylePr>
  </w:style>
  <w:style w:type="table" w:customStyle="1" w:styleId="DefaqtoTable-Plain">
    <w:name w:val="Defaqto Table - Plain"/>
    <w:basedOn w:val="TableNormal"/>
    <w:uiPriority w:val="99"/>
    <w:pPr>
      <w:spacing w:after="0" w:line="240" w:lineRule="auto"/>
    </w:pPr>
    <w:rPr>
      <w:rFonts w:ascii="Poppins" w:eastAsia="Times New Roman" w:hAnsi="Poppins"/>
      <w:color w:val="392388"/>
      <w:sz w:val="20"/>
      <w:szCs w:val="20"/>
    </w:rPr>
    <w:tblPr>
      <w:tblStyleRowBandSize w:val="1"/>
      <w:tblStyleColBandSize w:val="1"/>
    </w:tblPr>
  </w:style>
  <w:style w:type="table" w:customStyle="1" w:styleId="CustomPR4">
    <w:name w:val="CustomPR4"/>
    <w:basedOn w:val="DefaqtoTable-Plain"/>
    <w:uiPriority w:val="99"/>
    <w:rPr>
      <w:rFonts w:ascii="Calibri" w:hAnsi="Calibri"/>
      <w:color w:val="000000"/>
    </w:rPr>
    <w:tblPr>
      <w:tblCellSpacing w:w="17" w:type="dxa"/>
      <w:tblBorders>
        <w:top w:val="nil"/>
        <w:left w:val="nil"/>
        <w:bottom w:val="nil"/>
        <w:right w:val="nil"/>
        <w:insideH w:val="nil"/>
        <w:insideV w:val="nil"/>
      </w:tblBorders>
      <w:tblCellMar>
        <w:top w:w="85" w:type="dxa"/>
        <w:left w:w="142" w:type="dxa"/>
        <w:bottom w:w="85" w:type="dxa"/>
        <w:right w:w="142" w:type="dxa"/>
      </w:tblCellMar>
    </w:tblPr>
    <w:trPr>
      <w:tblCellSpacing w:w="17" w:type="dxa"/>
    </w:trPr>
    <w:tcPr>
      <w:shd w:val="clear" w:color="auto" w:fill="D9D9D9"/>
      <w:vAlign w:val="center"/>
    </w:tcPr>
    <w:tblStylePr w:type="firstRow">
      <w:rPr>
        <w:b w:val="0"/>
        <w:bCs w:val="0"/>
      </w:rPr>
    </w:tblStylePr>
    <w:tblStylePr w:type="firstCol">
      <w:rPr>
        <w:b/>
        <w:bCs/>
      </w:rPr>
    </w:tblStylePr>
    <w:tblStylePr w:type="nwCell">
      <w:rPr>
        <w:b/>
        <w:bCs/>
      </w:rPr>
    </w:tblStylePr>
  </w:style>
  <w:style w:type="table" w:customStyle="1" w:styleId="CustomPR5">
    <w:name w:val="CustomPR5"/>
    <w:basedOn w:val="Custom4"/>
    <w:uiPriority w:val="99"/>
    <w:pPr>
      <w:spacing w:line="360" w:lineRule="auto"/>
    </w:pPr>
    <w:rPr>
      <w:rFonts w:ascii="Calibri" w:hAnsi="Calibri"/>
    </w:rPr>
    <w:tblPr>
      <w:tblBorders>
        <w:top w:val="single" w:sz="4" w:space="0" w:color="auto"/>
        <w:bottom w:val="nil"/>
        <w:insideH w:val="nil"/>
      </w:tblBorders>
    </w:tblPr>
    <w:tblStylePr w:type="firstRow">
      <w:rPr>
        <w:b/>
        <w:bCs/>
      </w:rPr>
      <w:tblPr/>
      <w:tcPr>
        <w:tcBorders>
          <w:top w:val="nil"/>
          <w:left w:val="nil"/>
          <w:bottom w:val="single" w:sz="4" w:space="0" w:color="auto"/>
          <w:right w:val="nil"/>
          <w:tl2br w:val="nil"/>
          <w:tr2bl w:val="nil"/>
        </w:tcBorders>
        <w:vAlign w:val="top"/>
      </w:tcPr>
    </w:tblStylePr>
    <w:tblStylePr w:type="firstCol">
      <w:rPr>
        <w:rFonts w:ascii="Poppins" w:hAnsi="Poppins"/>
        <w:b w:val="0"/>
        <w:bCs w:val="0"/>
        <w:sz w:val="22"/>
        <w:szCs w:val="22"/>
      </w:rPr>
      <w:tblPr/>
      <w:tcPr>
        <w:tcBorders>
          <w:top w:val="single" w:sz="4" w:space="0" w:color="B0A7CF"/>
          <w:left w:val="single" w:sz="4" w:space="0" w:color="B0A7CF"/>
          <w:bottom w:val="single" w:sz="4" w:space="0" w:color="B0A7CF"/>
          <w:right w:val="single" w:sz="18" w:space="0" w:color="614FA0"/>
          <w:insideH w:val="single" w:sz="4" w:space="0" w:color="B0A7CF"/>
          <w:insideV w:val="single" w:sz="4" w:space="0" w:color="B0A7CF"/>
          <w:tl2br w:val="nil"/>
          <w:tr2bl w:val="nil"/>
        </w:tcBorders>
        <w:shd w:val="clear" w:color="auto" w:fill="E4E4E4"/>
      </w:tcPr>
    </w:tblStylePr>
    <w:tblStylePr w:type="band1Horz">
      <w:rPr>
        <w:rFonts w:ascii="Poppins" w:hAnsi="Poppins"/>
        <w:sz w:val="22"/>
        <w:szCs w:val="22"/>
      </w:rPr>
      <w:tblPr/>
      <w:tcPr>
        <w:shd w:val="clear" w:color="auto" w:fill="FFFFFF"/>
      </w:tcPr>
    </w:tblStylePr>
    <w:tblStylePr w:type="band2Horz">
      <w:rPr>
        <w:rFonts w:ascii="Poppins" w:hAnsi="Poppins"/>
        <w:sz w:val="22"/>
        <w:szCs w:val="22"/>
      </w:rPr>
      <w:tblPr/>
      <w:tcPr>
        <w:shd w:val="clear" w:color="auto" w:fill="EFEAFB"/>
      </w:tcPr>
    </w:tblStylePr>
  </w:style>
  <w:style w:type="table" w:customStyle="1" w:styleId="DefaqtoChartBorder">
    <w:name w:val="Defaqto Chart Border"/>
    <w:basedOn w:val="TableNormal"/>
    <w:qFormat/>
    <w:pPr>
      <w:spacing w:after="0" w:line="240" w:lineRule="auto"/>
    </w:pPr>
    <w:tblPr>
      <w:tblStyleRowBandSize w:val="1"/>
      <w:tblStyleColBandSize w:val="1"/>
      <w:tblCellMar>
        <w:left w:w="0" w:type="dxa"/>
        <w:right w:w="0" w:type="dxa"/>
      </w:tblCellMar>
    </w:tblPr>
    <w:tblStylePr w:type="firstRow">
      <w:tblPr/>
      <w:tcPr>
        <w:tcBorders>
          <w:top w:val="nil"/>
          <w:left w:val="nil"/>
          <w:bottom w:val="nil"/>
          <w:right w:val="nil"/>
          <w:insideH w:val="nil"/>
          <w:insideV w:val="nil"/>
          <w:tl2br w:val="nil"/>
          <w:tr2bl w:val="nil"/>
        </w:tcBorders>
      </w:tcPr>
    </w:tblStylePr>
    <w:tblStylePr w:type="lastRow">
      <w:tblPr/>
      <w:tcPr>
        <w:tcBorders>
          <w:top w:val="nil"/>
          <w:left w:val="nil"/>
          <w:bottom w:val="nil"/>
          <w:right w:val="nil"/>
          <w:insideH w:val="nil"/>
          <w:insideV w:val="nil"/>
        </w:tcBorders>
      </w:tcPr>
    </w:tblStylePr>
    <w:tblStylePr w:type="firstCol">
      <w:tblPr/>
      <w:tcPr>
        <w:tcBorders>
          <w:top w:val="nil"/>
          <w:left w:val="nil"/>
          <w:bottom w:val="nil"/>
          <w:right w:val="nil"/>
          <w:insideH w:val="nil"/>
          <w:insideV w:val="nil"/>
          <w:tl2br w:val="nil"/>
          <w:tr2bl w:val="nil"/>
        </w:tcBorders>
      </w:tcPr>
    </w:tblStylePr>
    <w:tblStylePr w:type="nwCell">
      <w:tblPr/>
      <w:tcPr>
        <w:tcBorders>
          <w:top w:val="single" w:sz="12" w:space="0" w:color="D0CECE"/>
          <w:left w:val="single" w:sz="12" w:space="0" w:color="D0CECE"/>
          <w:bottom w:val="single" w:sz="12" w:space="0" w:color="D0CECE"/>
          <w:right w:val="single" w:sz="12" w:space="0" w:color="D0CECE"/>
        </w:tcBorders>
      </w:tcPr>
    </w:tblStylePr>
    <w:tblStylePr w:type="swCell">
      <w:pPr>
        <w:jc w:val="center"/>
      </w:pPr>
      <w:rPr>
        <w:b/>
        <w:bCs/>
      </w:rPr>
      <w:tblPr/>
      <w:tcPr>
        <w:vAlign w:val="center"/>
      </w:tcPr>
    </w:tblStylePr>
  </w:style>
  <w:style w:type="character" w:customStyle="1" w:styleId="DefaqtoHeading1Char">
    <w:name w:val="Defaqto Heading 1 Char"/>
    <w:link w:val="DefaqtoHeading1"/>
    <w:rPr>
      <w:rFonts w:ascii="Poppins SemiBold" w:eastAsia="Calibri" w:hAnsi="Poppins SemiBold" w:cs="Times New Roman"/>
      <w:color w:val="3B2B8C"/>
      <w:sz w:val="48"/>
      <w:szCs w:val="48"/>
      <w:lang w:eastAsia="en-US"/>
    </w:rPr>
  </w:style>
  <w:style w:type="paragraph" w:customStyle="1" w:styleId="DefaqtoHeading1-noTOC">
    <w:name w:val="Defaqto Heading 1 - no TOC"/>
    <w:basedOn w:val="DefaqtoHeading1"/>
    <w:qFormat/>
    <w:pPr>
      <w:spacing w:before="240" w:line="640" w:lineRule="exact"/>
      <w:outlineLvl w:val="9"/>
    </w:pPr>
    <w:rPr>
      <w:position w:val="6"/>
      <w:lang w:eastAsia="en-GB"/>
    </w:rPr>
  </w:style>
  <w:style w:type="character" w:customStyle="1" w:styleId="DefaqtoHeading2Char">
    <w:name w:val="Defaqto Heading 2 Char"/>
    <w:link w:val="DefaqtoHeading2"/>
    <w:rPr>
      <w:rFonts w:ascii="Poppins SemiBold" w:eastAsia="Cambria" w:hAnsi="Poppins SemiBold" w:cs="Times New Roman"/>
      <w:color w:val="392388"/>
      <w:sz w:val="32"/>
      <w:szCs w:val="32"/>
      <w:lang w:eastAsia="en-US"/>
    </w:rPr>
  </w:style>
  <w:style w:type="character" w:customStyle="1" w:styleId="DefaqtoHeading3Char">
    <w:name w:val="Defaqto Heading 3 Char"/>
    <w:link w:val="DefaqtoHeading3"/>
    <w:rPr>
      <w:rFonts w:ascii="Poppins SemiBold" w:eastAsia="Calibri" w:hAnsi="Poppins SemiBold" w:cs="Calibri"/>
      <w:color w:val="392388"/>
      <w:lang w:val="en-NZ"/>
    </w:rPr>
  </w:style>
  <w:style w:type="paragraph" w:customStyle="1" w:styleId="DefaqtoHeading4">
    <w:name w:val="Defaqto Heading 4"/>
    <w:basedOn w:val="DefaqtoHeading3"/>
    <w:next w:val="DefaqtoBody"/>
    <w:qFormat/>
    <w:pPr>
      <w:ind w:left="11" w:hanging="11"/>
      <w:outlineLvl w:val="3"/>
    </w:pPr>
  </w:style>
  <w:style w:type="table" w:customStyle="1" w:styleId="DefaqtoQuestionnaire">
    <w:name w:val="Defaqto Questionnaire"/>
    <w:basedOn w:val="TableNormal"/>
    <w:uiPriority w:val="99"/>
    <w:pPr>
      <w:spacing w:before="100" w:after="0" w:line="276" w:lineRule="auto"/>
    </w:pPr>
    <w:rPr>
      <w:rFonts w:ascii="Arial" w:eastAsia="Times New Roman" w:hAnsi="Arial"/>
      <w:color w:val="595959"/>
      <w:sz w:val="18"/>
      <w:szCs w:val="18"/>
    </w:rPr>
    <w:tblPr>
      <w:tblStyleRowBandSize w:val="1"/>
      <w:tblStyleColBandSize w:val="1"/>
      <w:tblBorders>
        <w:top w:val="single" w:sz="4" w:space="0" w:color="D0CECE"/>
        <w:left w:val="single" w:sz="4" w:space="0" w:color="D0CECE"/>
        <w:bottom w:val="single" w:sz="4" w:space="0" w:color="D0CECE"/>
        <w:right w:val="single" w:sz="4" w:space="0" w:color="D0CECE"/>
        <w:insideH w:val="single" w:sz="4" w:space="0" w:color="D0CECE"/>
        <w:insideV w:val="single" w:sz="4" w:space="0" w:color="D0CECE"/>
      </w:tblBorders>
    </w:tblPr>
    <w:tcPr>
      <w:shd w:val="clear" w:color="auto" w:fill="auto"/>
      <w:tcMar>
        <w:top w:w="108" w:type="dxa"/>
        <w:bottom w:w="108" w:type="dxa"/>
      </w:tcMar>
    </w:tcPr>
    <w:tblStylePr w:type="firstRow">
      <w:rPr>
        <w:rFonts w:ascii="Arial" w:hAnsi="Arial"/>
        <w:b/>
        <w:bCs/>
        <w:sz w:val="18"/>
        <w:szCs w:val="18"/>
      </w:rPr>
    </w:tblStylePr>
    <w:tblStylePr w:type="band1Horz">
      <w:rPr>
        <w:rFonts w:ascii="Arial" w:hAnsi="Arial"/>
        <w:sz w:val="18"/>
        <w:szCs w:val="18"/>
      </w:rPr>
      <w:tblPr/>
      <w:tcPr>
        <w:shd w:val="clear" w:color="auto" w:fill="E2EBCF"/>
      </w:tcPr>
    </w:tblStylePr>
    <w:tblStylePr w:type="band2Horz">
      <w:rPr>
        <w:rFonts w:ascii="Arial" w:hAnsi="Arial"/>
        <w:sz w:val="18"/>
        <w:szCs w:val="18"/>
      </w:rPr>
    </w:tblStylePr>
  </w:style>
  <w:style w:type="table" w:customStyle="1" w:styleId="DefaqtoStarRatingsTable">
    <w:name w:val="Defaqto Star Ratings Table"/>
    <w:basedOn w:val="TableNormal"/>
    <w:uiPriority w:val="99"/>
    <w:pPr>
      <w:spacing w:after="0" w:line="240" w:lineRule="auto"/>
      <w:jc w:val="center"/>
    </w:pPr>
    <w:rPr>
      <w:rFonts w:ascii="Poppins" w:hAnsi="Poppins"/>
      <w:color w:val="392388"/>
    </w:rPr>
    <w:tblPr>
      <w:tblStyleRowBandSize w:val="1"/>
      <w:tblStyleColBandSize w:val="1"/>
      <w:tblBorders>
        <w:top w:val="single" w:sz="4" w:space="0" w:color="B0A7CF"/>
        <w:left w:val="single" w:sz="4" w:space="0" w:color="B0A7CF"/>
        <w:bottom w:val="single" w:sz="4" w:space="0" w:color="B0A7CF"/>
        <w:right w:val="single" w:sz="4" w:space="0" w:color="B0A7CF"/>
      </w:tblBorders>
    </w:tblPr>
    <w:tcPr>
      <w:shd w:val="clear" w:color="auto" w:fill="auto"/>
      <w:vAlign w:val="center"/>
    </w:tcPr>
  </w:style>
  <w:style w:type="paragraph" w:customStyle="1" w:styleId="DefaqtoTableBody3">
    <w:name w:val="Defaqto Table Body 3"/>
    <w:basedOn w:val="Normal"/>
    <w:qFormat/>
    <w:pPr>
      <w:spacing w:before="60" w:after="60" w:line="240" w:lineRule="auto"/>
    </w:pPr>
    <w:rPr>
      <w:rFonts w:ascii="Arial" w:eastAsia="Times New Roman" w:hAnsi="Arial" w:cs="Arial"/>
      <w:color w:val="595959"/>
      <w:sz w:val="18"/>
      <w:szCs w:val="18"/>
      <w:lang w:val="en-US"/>
    </w:rPr>
  </w:style>
  <w:style w:type="paragraph" w:customStyle="1" w:styleId="Defaqtotableheader">
    <w:name w:val="Defaqto table header"/>
    <w:basedOn w:val="Normal"/>
    <w:link w:val="DefaqtotableheaderChar"/>
    <w:qFormat/>
    <w:pPr>
      <w:spacing w:after="0"/>
    </w:pPr>
    <w:rPr>
      <w:rFonts w:ascii="Arial" w:eastAsia="Arial" w:hAnsi="Arial" w:cs="Times New Roman"/>
      <w:color w:val="FFFFFF"/>
      <w:lang w:eastAsia="en-US"/>
    </w:rPr>
  </w:style>
  <w:style w:type="character" w:customStyle="1" w:styleId="DefaqtotableheaderChar">
    <w:name w:val="Defaqto table header Char"/>
    <w:link w:val="Defaqtotableheader"/>
    <w:rPr>
      <w:rFonts w:ascii="Arial" w:eastAsia="Arial" w:hAnsi="Arial" w:cs="Times New Roman"/>
      <w:color w:val="FFFFFF"/>
      <w:lang w:eastAsia="en-US"/>
    </w:rPr>
  </w:style>
  <w:style w:type="table" w:customStyle="1" w:styleId="DefaqtoTableOLD">
    <w:name w:val="Defaqto Table OLD"/>
    <w:basedOn w:val="TableNormal"/>
    <w:uiPriority w:val="99"/>
    <w:pPr>
      <w:spacing w:after="0" w:line="240" w:lineRule="auto"/>
    </w:pPr>
    <w:rPr>
      <w:rFonts w:eastAsia="Times New Roman"/>
      <w:sz w:val="16"/>
      <w:szCs w:val="16"/>
    </w:rPr>
    <w:tblPr>
      <w:tblStyleRowBandSize w:val="1"/>
      <w:tblStyleColBandSize w:val="1"/>
      <w:tblBorders>
        <w:top w:val="single" w:sz="4" w:space="0" w:color="7F7F7F"/>
        <w:left w:val="nil"/>
        <w:bottom w:val="single" w:sz="4" w:space="0" w:color="7F7F7F"/>
        <w:right w:val="nil"/>
        <w:insideH w:val="nil"/>
        <w:insideV w:val="nil"/>
      </w:tblBorders>
      <w:tblCellMar>
        <w:top w:w="28" w:type="dxa"/>
        <w:bottom w:w="28" w:type="dxa"/>
      </w:tblCellMar>
    </w:tblPr>
    <w:tblStylePr w:type="firstRow">
      <w:rPr>
        <w:rFonts w:ascii="Times New Roman" w:hAnsi="Times New Roman"/>
        <w:b/>
        <w:bCs/>
        <w:sz w:val="16"/>
        <w:szCs w:val="16"/>
      </w:rPr>
      <w:tblPr/>
      <w:tcPr>
        <w:tcBorders>
          <w:bottom w:val="single" w:sz="4" w:space="0" w:color="7F7F7F"/>
        </w:tcBorders>
        <w:vAlign w:val="center"/>
      </w:tcPr>
    </w:tblStylePr>
    <w:tblStylePr w:type="lastRow">
      <w:rPr>
        <w:b/>
        <w:bCs/>
      </w:rPr>
      <w:tblPr/>
      <w:tcPr>
        <w:tcBorders>
          <w:top w:val="single" w:sz="4" w:space="0" w:color="7F7F7F"/>
        </w:tcBorders>
        <w:vAlign w:val="top"/>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vAlign w:val="top"/>
      </w:tcPr>
    </w:tblStylePr>
    <w:tblStylePr w:type="band2Vert">
      <w:tblPr/>
      <w:tcPr>
        <w:tcBorders>
          <w:left w:val="single" w:sz="4" w:space="0" w:color="7F7F7F"/>
          <w:right w:val="single" w:sz="4" w:space="0" w:color="7F7F7F"/>
        </w:tcBorders>
        <w:vAlign w:val="top"/>
      </w:tcPr>
    </w:tblStylePr>
    <w:tblStylePr w:type="band1Horz">
      <w:tblPr/>
      <w:tcPr>
        <w:tcBorders>
          <w:top w:val="single" w:sz="4" w:space="0" w:color="7F7F7F"/>
          <w:bottom w:val="single" w:sz="4" w:space="0" w:color="7F7F7F"/>
        </w:tcBorders>
        <w:vAlign w:val="top"/>
      </w:tcPr>
    </w:tblStylePr>
  </w:style>
  <w:style w:type="character" w:styleId="FootnoteReference">
    <w:name w:val="footnote reference"/>
    <w:basedOn w:val="DefaultParagraphFont"/>
    <w:uiPriority w:val="99"/>
    <w:semiHidden/>
    <w:unhideWhenUsed/>
    <w:qFormat/>
    <w:rPr>
      <w:vertAlign w:val="superscript"/>
    </w:rPr>
  </w:style>
  <w:style w:type="character" w:styleId="EndnoteReference">
    <w:name w:val="endnote reference"/>
    <w:basedOn w:val="DefaultParagraphFont"/>
    <w:uiPriority w:val="99"/>
    <w:semiHidden/>
    <w:unhideWhenUsed/>
    <w:qFormat/>
    <w:rPr>
      <w:vertAlign w:val="superscript"/>
    </w:rPr>
  </w:style>
  <w:style w:type="paragraph" w:customStyle="1" w:styleId="RecommendationHeading">
    <w:name w:val="Recommendation Heading"/>
    <w:basedOn w:val="DefaqtoContentspageheading"/>
    <w:qFormat/>
    <w:pPr>
      <w:spacing w:before="240" w:line="640" w:lineRule="exact"/>
    </w:pPr>
    <w:rPr>
      <w:position w:val="6"/>
    </w:rPr>
  </w:style>
  <w:style w:type="paragraph" w:customStyle="1" w:styleId="CSRHeading2">
    <w:name w:val="CSRHeading2"/>
    <w:basedOn w:val="Heading2"/>
    <w:qFormat/>
    <w:pPr>
      <w:spacing w:after="0"/>
      <w:ind w:left="0"/>
    </w:pPr>
    <w:rPr>
      <w:rFonts w:ascii="Calibri Light" w:hAnsi="Calibri Light"/>
      <w:color w:val="005493"/>
      <w:sz w:val="76"/>
      <w:szCs w:val="76"/>
    </w:rPr>
  </w:style>
  <w:style w:type="paragraph" w:customStyle="1" w:styleId="CSRHeading3-noTOC">
    <w:name w:val="CSRHeading3 - no TOC"/>
    <w:basedOn w:val="Normal"/>
    <w:qFormat/>
    <w:pPr>
      <w:spacing w:line="256" w:lineRule="auto"/>
    </w:pPr>
    <w:rPr>
      <w:rFonts w:ascii="Calibri Light" w:hAnsi="Calibri Light"/>
      <w:color w:val="005392"/>
      <w:sz w:val="44"/>
      <w:szCs w:val="44"/>
    </w:rPr>
  </w:style>
  <w:style w:type="paragraph" w:customStyle="1" w:styleId="CSRHeading5">
    <w:name w:val="CSRHeading5"/>
    <w:basedOn w:val="Heading5"/>
    <w:qFormat/>
    <w:rPr>
      <w:color w:val="005493"/>
      <w:sz w:val="24"/>
      <w:szCs w:val="24"/>
    </w:rPr>
  </w:style>
  <w:style w:type="character" w:customStyle="1" w:styleId="CSRHeading2Char">
    <w:name w:val="CSRHeading2 Char"/>
    <w:basedOn w:val="Heading2Char"/>
    <w:qFormat/>
    <w:rPr>
      <w:rFonts w:ascii="Calibri Light" w:eastAsia="Calibri" w:hAnsi="Calibri Light" w:cs="Calibri"/>
      <w:color w:val="005493"/>
      <w:sz w:val="76"/>
      <w:szCs w:val="76"/>
    </w:rPr>
  </w:style>
  <w:style w:type="character" w:customStyle="1" w:styleId="CSRHeading3-noTOCChar">
    <w:name w:val="CSRHeading3 - no TOC Char"/>
    <w:basedOn w:val="DefaultParagraphFont"/>
    <w:qFormat/>
    <w:rPr>
      <w:rFonts w:ascii="Calibri Light" w:eastAsia="Calibri" w:hAnsi="Calibri Light"/>
      <w:color w:val="005392"/>
      <w:sz w:val="44"/>
      <w:szCs w:val="44"/>
    </w:rPr>
  </w:style>
  <w:style w:type="character" w:customStyle="1" w:styleId="CSRHeading5Char">
    <w:name w:val="CSRHeading5 Char"/>
    <w:basedOn w:val="DefaultParagraphFont"/>
    <w:qFormat/>
    <w:rPr>
      <w:rFonts w:ascii="Calibri Light" w:eastAsia="Calibri Light" w:hAnsi="Calibri Light"/>
      <w:color w:val="005493"/>
      <w:sz w:val="24"/>
      <w:szCs w:val="24"/>
    </w:rPr>
  </w:style>
  <w:style w:type="character" w:styleId="Hyperlink">
    <w:name w:val="Hyperlink"/>
    <w:basedOn w:val="DefaultParagraphFont"/>
    <w:qFormat/>
    <w:rPr>
      <w:color w:val="005493"/>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103972">
      <w:bodyDiv w:val="1"/>
      <w:marLeft w:val="0"/>
      <w:marRight w:val="0"/>
      <w:marTop w:val="0"/>
      <w:marBottom w:val="0"/>
      <w:divBdr>
        <w:top w:val="none" w:sz="0" w:space="0" w:color="auto"/>
        <w:left w:val="none" w:sz="0" w:space="0" w:color="auto"/>
        <w:bottom w:val="none" w:sz="0" w:space="0" w:color="auto"/>
        <w:right w:val="none" w:sz="0" w:space="0" w:color="auto"/>
      </w:divBdr>
    </w:div>
    <w:div w:id="428891026">
      <w:bodyDiv w:val="1"/>
      <w:marLeft w:val="0"/>
      <w:marRight w:val="0"/>
      <w:marTop w:val="0"/>
      <w:marBottom w:val="0"/>
      <w:divBdr>
        <w:top w:val="none" w:sz="0" w:space="0" w:color="auto"/>
        <w:left w:val="none" w:sz="0" w:space="0" w:color="auto"/>
        <w:bottom w:val="none" w:sz="0" w:space="0" w:color="auto"/>
        <w:right w:val="none" w:sz="0" w:space="0" w:color="auto"/>
      </w:divBdr>
    </w:div>
    <w:div w:id="716516061">
      <w:bodyDiv w:val="1"/>
      <w:marLeft w:val="0"/>
      <w:marRight w:val="0"/>
      <w:marTop w:val="0"/>
      <w:marBottom w:val="0"/>
      <w:divBdr>
        <w:top w:val="none" w:sz="0" w:space="0" w:color="auto"/>
        <w:left w:val="none" w:sz="0" w:space="0" w:color="auto"/>
        <w:bottom w:val="none" w:sz="0" w:space="0" w:color="auto"/>
        <w:right w:val="none" w:sz="0" w:space="0" w:color="auto"/>
      </w:divBdr>
    </w:div>
    <w:div w:id="760875425">
      <w:bodyDiv w:val="1"/>
      <w:marLeft w:val="0"/>
      <w:marRight w:val="0"/>
      <w:marTop w:val="0"/>
      <w:marBottom w:val="0"/>
      <w:divBdr>
        <w:top w:val="none" w:sz="0" w:space="0" w:color="auto"/>
        <w:left w:val="none" w:sz="0" w:space="0" w:color="auto"/>
        <w:bottom w:val="none" w:sz="0" w:space="0" w:color="auto"/>
        <w:right w:val="none" w:sz="0" w:space="0" w:color="auto"/>
      </w:divBdr>
    </w:div>
    <w:div w:id="793907003">
      <w:bodyDiv w:val="1"/>
      <w:marLeft w:val="0"/>
      <w:marRight w:val="0"/>
      <w:marTop w:val="0"/>
      <w:marBottom w:val="0"/>
      <w:divBdr>
        <w:top w:val="none" w:sz="0" w:space="0" w:color="auto"/>
        <w:left w:val="none" w:sz="0" w:space="0" w:color="auto"/>
        <w:bottom w:val="none" w:sz="0" w:space="0" w:color="auto"/>
        <w:right w:val="none" w:sz="0" w:space="0" w:color="auto"/>
      </w:divBdr>
    </w:div>
    <w:div w:id="821578545">
      <w:bodyDiv w:val="1"/>
      <w:marLeft w:val="0"/>
      <w:marRight w:val="0"/>
      <w:marTop w:val="0"/>
      <w:marBottom w:val="0"/>
      <w:divBdr>
        <w:top w:val="none" w:sz="0" w:space="0" w:color="auto"/>
        <w:left w:val="none" w:sz="0" w:space="0" w:color="auto"/>
        <w:bottom w:val="none" w:sz="0" w:space="0" w:color="auto"/>
        <w:right w:val="none" w:sz="0" w:space="0" w:color="auto"/>
      </w:divBdr>
    </w:div>
    <w:div w:id="1282107495">
      <w:bodyDiv w:val="1"/>
      <w:marLeft w:val="0"/>
      <w:marRight w:val="0"/>
      <w:marTop w:val="0"/>
      <w:marBottom w:val="0"/>
      <w:divBdr>
        <w:top w:val="none" w:sz="0" w:space="0" w:color="auto"/>
        <w:left w:val="none" w:sz="0" w:space="0" w:color="auto"/>
        <w:bottom w:val="none" w:sz="0" w:space="0" w:color="auto"/>
        <w:right w:val="none" w:sz="0" w:space="0" w:color="auto"/>
      </w:divBdr>
    </w:div>
    <w:div w:id="1335760845">
      <w:bodyDiv w:val="1"/>
      <w:marLeft w:val="0"/>
      <w:marRight w:val="0"/>
      <w:marTop w:val="0"/>
      <w:marBottom w:val="0"/>
      <w:divBdr>
        <w:top w:val="none" w:sz="0" w:space="0" w:color="auto"/>
        <w:left w:val="none" w:sz="0" w:space="0" w:color="auto"/>
        <w:bottom w:val="none" w:sz="0" w:space="0" w:color="auto"/>
        <w:right w:val="none" w:sz="0" w:space="0" w:color="auto"/>
      </w:divBdr>
    </w:div>
    <w:div w:id="1433010434">
      <w:bodyDiv w:val="1"/>
      <w:marLeft w:val="0"/>
      <w:marRight w:val="0"/>
      <w:marTop w:val="0"/>
      <w:marBottom w:val="0"/>
      <w:divBdr>
        <w:top w:val="none" w:sz="0" w:space="0" w:color="auto"/>
        <w:left w:val="none" w:sz="0" w:space="0" w:color="auto"/>
        <w:bottom w:val="none" w:sz="0" w:space="0" w:color="auto"/>
        <w:right w:val="none" w:sz="0" w:space="0" w:color="auto"/>
      </w:divBdr>
    </w:div>
    <w:div w:id="1435635480">
      <w:bodyDiv w:val="1"/>
      <w:marLeft w:val="0"/>
      <w:marRight w:val="0"/>
      <w:marTop w:val="0"/>
      <w:marBottom w:val="0"/>
      <w:divBdr>
        <w:top w:val="none" w:sz="0" w:space="0" w:color="auto"/>
        <w:left w:val="none" w:sz="0" w:space="0" w:color="auto"/>
        <w:bottom w:val="none" w:sz="0" w:space="0" w:color="auto"/>
        <w:right w:val="none" w:sz="0" w:space="0" w:color="auto"/>
      </w:divBdr>
    </w:div>
    <w:div w:id="1532693411">
      <w:bodyDiv w:val="1"/>
      <w:marLeft w:val="0"/>
      <w:marRight w:val="0"/>
      <w:marTop w:val="0"/>
      <w:marBottom w:val="0"/>
      <w:divBdr>
        <w:top w:val="none" w:sz="0" w:space="0" w:color="auto"/>
        <w:left w:val="none" w:sz="0" w:space="0" w:color="auto"/>
        <w:bottom w:val="none" w:sz="0" w:space="0" w:color="auto"/>
        <w:right w:val="none" w:sz="0" w:space="0" w:color="auto"/>
      </w:divBdr>
    </w:div>
    <w:div w:id="1807580747">
      <w:bodyDiv w:val="1"/>
      <w:marLeft w:val="0"/>
      <w:marRight w:val="0"/>
      <w:marTop w:val="0"/>
      <w:marBottom w:val="0"/>
      <w:divBdr>
        <w:top w:val="none" w:sz="0" w:space="0" w:color="auto"/>
        <w:left w:val="none" w:sz="0" w:space="0" w:color="auto"/>
        <w:bottom w:val="none" w:sz="0" w:space="0" w:color="auto"/>
        <w:right w:val="none" w:sz="0" w:space="0" w:color="auto"/>
      </w:divBdr>
    </w:div>
    <w:div w:id="19704348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header" Target="header4.xml"/><Relationship Id="rId26" Type="http://schemas.openxmlformats.org/officeDocument/2006/relationships/customXml" Target="../customXml/item4.xm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footer" Target="footer4.xml"/><Relationship Id="rId25"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customXml" Target="../customXml/item2.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2.xm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footer5.xml.rels><?xml version="1.0" encoding="UTF-8" standalone="yes"?>
<Relationships xmlns="http://schemas.openxmlformats.org/package/2006/relationships"><Relationship Id="rId1" Type="http://schemas.openxmlformats.org/officeDocument/2006/relationships/image" Target="media/image2.png"/></Relationships>
</file>

<file path=word/_rels/foot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Ratings colour palette 2">
      <a:dk1>
        <a:sysClr val="windowText" lastClr="000000"/>
      </a:dk1>
      <a:lt1>
        <a:sysClr val="window" lastClr="FFFFFF"/>
      </a:lt1>
      <a:dk2>
        <a:srgbClr val="44546A"/>
      </a:dk2>
      <a:lt2>
        <a:srgbClr val="E7E6E6"/>
      </a:lt2>
      <a:accent1>
        <a:srgbClr val="252758"/>
      </a:accent1>
      <a:accent2>
        <a:srgbClr val="005493"/>
      </a:accent2>
      <a:accent3>
        <a:srgbClr val="9AC1E0"/>
      </a:accent3>
      <a:accent4>
        <a:srgbClr val="4A4A49"/>
      </a:accent4>
      <a:accent5>
        <a:srgbClr val="EE7203"/>
      </a:accent5>
      <a:accent6>
        <a:srgbClr val="005493"/>
      </a:accent6>
      <a:hlink>
        <a:srgbClr val="005493"/>
      </a:hlink>
      <a:folHlink>
        <a:srgbClr val="9AC1E0"/>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914A77CEB4BD94C8AA6F864E0E1E0F0" ma:contentTypeVersion="18" ma:contentTypeDescription="Create a new document." ma:contentTypeScope="" ma:versionID="34c9bc844f93fa874cef005947d8df7f">
  <xsd:schema xmlns:xsd="http://www.w3.org/2001/XMLSchema" xmlns:xs="http://www.w3.org/2001/XMLSchema" xmlns:p="http://schemas.microsoft.com/office/2006/metadata/properties" xmlns:ns2="9406731d-9f5a-4a79-be91-b3c631be9543" xmlns:ns3="6afbcf95-dc46-4c9d-8f85-fba641a1d2ea" targetNamespace="http://schemas.microsoft.com/office/2006/metadata/properties" ma:root="true" ma:fieldsID="bca217c6d2e8a03c014f1493517b33c6" ns2:_="" ns3:_="">
    <xsd:import namespace="9406731d-9f5a-4a79-be91-b3c631be9543"/>
    <xsd:import namespace="6afbcf95-dc46-4c9d-8f85-fba641a1d2e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06731d-9f5a-4a79-be91-b3c631be95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f2afa00-c010-483a-81d7-5ec2d9895e8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afbcf95-dc46-4c9d-8f85-fba641a1d2ea"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641ea8e-a4ed-4b4e-98f0-2bab0db2d818}" ma:internalName="TaxCatchAll" ma:showField="CatchAllData" ma:web="6afbcf95-dc46-4c9d-8f85-fba641a1d2e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406731d-9f5a-4a79-be91-b3c631be9543">
      <Terms xmlns="http://schemas.microsoft.com/office/infopath/2007/PartnerControls"/>
    </lcf76f155ced4ddcb4097134ff3c332f>
    <TaxCatchAll xmlns="6afbcf95-dc46-4c9d-8f85-fba641a1d2ea" xsi:nil="true"/>
  </documentManagement>
</p:properties>
</file>

<file path=customXml/itemProps1.xml><?xml version="1.0" encoding="utf-8"?>
<ds:datastoreItem xmlns:ds="http://schemas.openxmlformats.org/officeDocument/2006/customXml" ds:itemID="{C6DCAE27-1D02-4879-A4B7-CBE5F898DA22}">
  <ds:schemaRefs>
    <ds:schemaRef ds:uri="http://schemas.openxmlformats.org/officeDocument/2006/bibliography"/>
  </ds:schemaRefs>
</ds:datastoreItem>
</file>

<file path=customXml/itemProps2.xml><?xml version="1.0" encoding="utf-8"?>
<ds:datastoreItem xmlns:ds="http://schemas.openxmlformats.org/officeDocument/2006/customXml" ds:itemID="{9AAAA54A-0A1E-42D3-946B-A41AC9F23426}"/>
</file>

<file path=customXml/itemProps3.xml><?xml version="1.0" encoding="utf-8"?>
<ds:datastoreItem xmlns:ds="http://schemas.openxmlformats.org/officeDocument/2006/customXml" ds:itemID="{EE0DF610-B574-42CA-936B-9B9810FA86D7}"/>
</file>

<file path=customXml/itemProps4.xml><?xml version="1.0" encoding="utf-8"?>
<ds:datastoreItem xmlns:ds="http://schemas.openxmlformats.org/officeDocument/2006/customXml" ds:itemID="{0E7F2838-B62C-47CB-A9D1-5C6E7DAF5CEE}"/>
</file>

<file path=docProps/app.xml><?xml version="1.0" encoding="utf-8"?>
<Properties xmlns="http://schemas.openxmlformats.org/officeDocument/2006/extended-properties" xmlns:vt="http://schemas.openxmlformats.org/officeDocument/2006/docPropsVTypes">
  <Template>Normal</Template>
  <TotalTime>2</TotalTime>
  <Pages>10</Pages>
  <Words>1816</Words>
  <Characters>10355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Alexander Rees</dc:creator>
  <cp:lastModifiedBy>Tom Randall</cp:lastModifiedBy>
  <cp:revision>2</cp:revision>
  <dcterms:created xsi:type="dcterms:W3CDTF">2026-07-21T14:00:00Z</dcterms:created>
  <dcterms:modified xsi:type="dcterms:W3CDTF">2026-07-21T14:00:00Z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0x010100E914A77CEB4BD94C8AA6F864E0E1E0F0</vt:lpwstr>
  </property>
</Properties>
</file>