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16.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header29.xml" ContentType="application/vnd.openxmlformats-officedocument.wordprocessingml.head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header26.xml" ContentType="application/vnd.openxmlformats-officedocument.wordprocessingml.header+xml"/>
  <Override PartName="/word/footer27.xml" ContentType="application/vnd.openxmlformats-officedocument.wordprocessingml.footer+xml"/>
  <Override PartName="/word/header27.xml" ContentType="application/vnd.openxmlformats-officedocument.wordprocessingml.header+xml"/>
  <Override PartName="/word/footer28.xml" ContentType="application/vnd.openxmlformats-officedocument.wordprocessingml.footer+xml"/>
  <Override PartName="/word/header28.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0B4EC" w14:textId="77777777" w:rsidR="00A561E0" w:rsidRDefault="00854BE4">
      <w:r>
        <w:rPr>
          <w:noProof/>
        </w:rPr>
        <w:drawing>
          <wp:inline distT="0" distB="0" distL="0" distR="0" wp14:anchorId="30484BB3" wp14:editId="608CCD25">
            <wp:extent cx="1353426" cy="340290"/>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1353426" cy="340290"/>
                    </a:xfrm>
                    <a:prstGeom prst="rect">
                      <a:avLst/>
                    </a:prstGeom>
                    <a:noFill/>
                    <a:ln>
                      <a:noFill/>
                    </a:ln>
                  </pic:spPr>
                </pic:pic>
              </a:graphicData>
            </a:graphic>
          </wp:inline>
        </w:drawing>
      </w:r>
    </w:p>
    <w:p w14:paraId="23E9A6E4" w14:textId="77777777" w:rsidR="00A561E0" w:rsidRDefault="00A561E0">
      <w:pPr>
        <w:pStyle w:val="DefaqtoCoverHeading-noTOC"/>
        <w:rPr>
          <w:rFonts w:cs="Poppins SemiBold"/>
          <w:b w:val="0"/>
          <w:bCs w:val="0"/>
          <w:sz w:val="62"/>
          <w:szCs w:val="62"/>
        </w:rPr>
      </w:pPr>
    </w:p>
    <w:p w14:paraId="55B4348C" w14:textId="77777777" w:rsidR="00A561E0" w:rsidRDefault="00A561E0">
      <w:pPr>
        <w:pStyle w:val="DefaqtoCoverHeading-noTOC"/>
        <w:rPr>
          <w:rFonts w:cs="Poppins SemiBold"/>
          <w:b w:val="0"/>
          <w:bCs w:val="0"/>
          <w:sz w:val="62"/>
          <w:szCs w:val="62"/>
        </w:rPr>
      </w:pPr>
    </w:p>
    <w:p w14:paraId="7D50AFC7" w14:textId="77777777" w:rsidR="00A561E0" w:rsidRDefault="00854BE4">
      <w:pPr>
        <w:pStyle w:val="DefaqtoCoverHeading-noTOC"/>
        <w:spacing w:after="320"/>
        <w:rPr>
          <w:rFonts w:ascii="Poppins Light" w:hAnsi="Poppins Light" w:cs="Poppins Light"/>
          <w:b w:val="0"/>
          <w:bCs w:val="0"/>
          <w:color w:val="392388"/>
          <w:sz w:val="32"/>
          <w:szCs w:val="32"/>
        </w:rPr>
      </w:pPr>
      <w:r>
        <w:rPr>
          <w:rFonts w:cs="Poppins SemiBold"/>
          <w:b w:val="0"/>
          <w:bCs w:val="0"/>
        </w:rPr>
        <w:t xml:space="preserve">Summary for </w:t>
      </w:r>
      <w:r>
        <w:rPr>
          <w:rFonts w:cs="Poppins SemiBold"/>
          <w:b w:val="0"/>
          <w:bCs w:val="0"/>
          <w:noProof/>
        </w:rPr>
        <w:t xml:space="preserve">Mr Anthony Barnes </w:t>
      </w:r>
      <w:bookmarkStart w:id="0" w:name="_Hlk74053138"/>
    </w:p>
    <w:p w14:paraId="1B746C17" w14:textId="77777777" w:rsidR="00A561E0" w:rsidRDefault="00854BE4">
      <w:pPr>
        <w:pStyle w:val="DefaqtoCoverHeading-noTOC"/>
        <w:spacing w:after="160"/>
        <w:rPr>
          <w:rFonts w:ascii="Poppins Light" w:hAnsi="Poppins Light" w:cs="Poppins Light"/>
          <w:b w:val="0"/>
          <w:bCs w:val="0"/>
          <w:color w:val="392388"/>
          <w:sz w:val="32"/>
          <w:szCs w:val="32"/>
        </w:rPr>
      </w:pPr>
      <w:r>
        <w:rPr>
          <w:rFonts w:ascii="Poppins Light" w:hAnsi="Poppins Light" w:cs="Poppins Light"/>
          <w:b w:val="0"/>
          <w:bCs w:val="0"/>
          <w:noProof/>
          <w:color w:val="392388"/>
          <w:sz w:val="32"/>
          <w:szCs w:val="32"/>
        </w:rPr>
        <w:t>Thomas Redmond</w:t>
      </w:r>
      <w:bookmarkEnd w:id="0"/>
    </w:p>
    <w:p w14:paraId="5C637F80" w14:textId="77777777" w:rsidR="00A561E0" w:rsidRDefault="00854BE4">
      <w:pPr>
        <w:pStyle w:val="DefaqtoCoverHeading-noTOC"/>
        <w:spacing w:after="160"/>
        <w:rPr>
          <w:rFonts w:ascii="Poppins Light" w:hAnsi="Poppins Light" w:cs="Poppins Light"/>
          <w:b w:val="0"/>
          <w:bCs w:val="0"/>
          <w:color w:val="392388"/>
          <w:sz w:val="32"/>
          <w:szCs w:val="32"/>
        </w:rPr>
      </w:pPr>
      <w:r>
        <w:rPr>
          <w:rFonts w:ascii="Poppins Light" w:hAnsi="Poppins Light" w:cs="Poppins Light"/>
          <w:b w:val="0"/>
          <w:bCs w:val="0"/>
          <w:noProof/>
          <w:color w:val="392388"/>
          <w:sz w:val="32"/>
          <w:szCs w:val="32"/>
        </w:rPr>
        <w:t>TFAS Wealth Ltd</w:t>
      </w:r>
    </w:p>
    <w:p w14:paraId="701F46D6" w14:textId="77777777" w:rsidR="00A561E0" w:rsidRDefault="00854BE4">
      <w:pPr>
        <w:ind w:left="23"/>
        <w:rPr>
          <w:rFonts w:ascii="Poppins" w:hAnsi="Poppins" w:cs="Poppins"/>
          <w:sz w:val="36"/>
          <w:szCs w:val="36"/>
        </w:rPr>
      </w:pPr>
      <w:r>
        <w:rPr>
          <w:rFonts w:ascii="Poppins Light" w:hAnsi="Poppins Light" w:cs="Poppins Light"/>
          <w:noProof/>
          <w:color w:val="392388"/>
          <w:sz w:val="32"/>
          <w:szCs w:val="32"/>
        </w:rPr>
        <w:t>03 December 2025</w:t>
      </w:r>
      <w:r>
        <w:rPr>
          <w:rFonts w:ascii="Poppins" w:hAnsi="Poppins" w:cs="Poppins"/>
          <w:sz w:val="36"/>
          <w:szCs w:val="36"/>
        </w:rPr>
        <w:tab/>
      </w:r>
    </w:p>
    <w:p w14:paraId="7AED6AD0" w14:textId="77777777" w:rsidR="00A561E0" w:rsidRDefault="00854BE4">
      <w:pPr>
        <w:rPr>
          <w:rFonts w:ascii="Poppins" w:hAnsi="Poppins" w:cs="Poppins"/>
          <w:sz w:val="36"/>
          <w:szCs w:val="36"/>
        </w:rPr>
        <w:sectPr w:rsidR="00A561E0">
          <w:headerReference w:type="default" r:id="rId8"/>
          <w:footerReference w:type="default" r:id="rId9"/>
          <w:footerReference w:type="first" r:id="rId10"/>
          <w:pgSz w:w="11906" w:h="16838"/>
          <w:pgMar w:top="709" w:right="640" w:bottom="376" w:left="640" w:header="200" w:footer="200" w:gutter="0"/>
          <w:pgNumType w:start="1"/>
          <w:cols w:space="720"/>
          <w:titlePg/>
          <w:docGrid w:linePitch="299"/>
        </w:sectPr>
      </w:pPr>
      <w:r>
        <w:rPr>
          <w:rFonts w:ascii="Poppins" w:hAnsi="Poppins" w:cs="Poppins"/>
          <w:noProof/>
          <w:color w:val="4A4948"/>
          <w:sz w:val="36"/>
          <w:szCs w:val="36"/>
        </w:rPr>
        <mc:AlternateContent>
          <mc:Choice Requires="wps">
            <w:drawing>
              <wp:anchor distT="0" distB="0" distL="114300" distR="114300" simplePos="0" relativeHeight="251657216" behindDoc="0" locked="0" layoutInCell="1" allowOverlap="1" wp14:anchorId="14A6EA59" wp14:editId="62790D01">
                <wp:simplePos x="0" y="0"/>
                <wp:positionH relativeFrom="margin">
                  <wp:posOffset>10973</wp:posOffset>
                </wp:positionH>
                <wp:positionV relativeFrom="topMargin">
                  <wp:posOffset>6488582</wp:posOffset>
                </wp:positionV>
                <wp:extent cx="6851460" cy="3096083"/>
                <wp:effectExtent l="0" t="0" r="6985" b="9525"/>
                <wp:wrapNone/>
                <wp:docPr id="3" name="Text Box 2"/>
                <wp:cNvGraphicFramePr/>
                <a:graphic xmlns:a="http://schemas.openxmlformats.org/drawingml/2006/main">
                  <a:graphicData uri="http://schemas.microsoft.com/office/word/2010/wordprocessingShape">
                    <wps:wsp>
                      <wps:cNvSpPr txBox="1"/>
                      <wps:spPr>
                        <a:xfrm>
                          <a:off x="0" y="0"/>
                          <a:ext cx="6851460" cy="3096083"/>
                        </a:xfrm>
                        <a:prstGeom prst="rect">
                          <a:avLst/>
                        </a:prstGeom>
                        <a:solidFill>
                          <a:srgbClr val="FFFFFF"/>
                        </a:solidFill>
                        <a:ln w="9525">
                          <a:noFill/>
                          <a:headEnd type="none" w="med" len="med"/>
                          <a:tailEnd type="none" w="med" len="med"/>
                        </a:ln>
                      </wps:spPr>
                      <wps:style>
                        <a:lnRef idx="0">
                          <a:schemeClr val="accent1"/>
                        </a:lnRef>
                        <a:fillRef idx="0">
                          <a:schemeClr val="accent1"/>
                        </a:fillRef>
                        <a:effectRef idx="0">
                          <a:schemeClr val="accent1"/>
                        </a:effectRef>
                        <a:fontRef idx="minor">
                          <a:schemeClr val="dk1"/>
                        </a:fontRef>
                      </wps:style>
                      <wps:txbx>
                        <w:txbxContent>
                          <w:p w14:paraId="115140D1" w14:textId="77777777" w:rsidR="00A561E0" w:rsidRDefault="00854BE4">
                            <w:pPr>
                              <w:jc w:val="right"/>
                              <w:rPr>
                                <w:color w:val="392388"/>
                              </w:rPr>
                            </w:pPr>
                            <w:r>
                              <w:rPr>
                                <w:noProof/>
                              </w:rPr>
                              <w:drawing>
                                <wp:inline distT="0" distB="0" distL="0" distR="0" wp14:anchorId="1EB6C6C2" wp14:editId="64F3D332">
                                  <wp:extent cx="2667000" cy="11811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stretch>
                                            <a:fillRect/>
                                          </a:stretch>
                                        </pic:blipFill>
                                        <pic:spPr>
                                          <a:xfrm>
                                            <a:off x="0" y="0"/>
                                            <a:ext cx="2667000" cy="1181100"/>
                                          </a:xfrm>
                                          <a:prstGeom prst="rect">
                                            <a:avLst/>
                                          </a:prstGeom>
                                        </pic:spPr>
                                      </pic:pic>
                                    </a:graphicData>
                                  </a:graphic>
                                </wp:inline>
                              </w:drawing>
                            </w:r>
                          </w:p>
                        </w:txbxContent>
                      </wps:txbx>
                      <wps:bodyPr rot="0" vert="horz" wrap="square" lIns="0" tIns="0" rIns="0" bIns="0" anchor="b" anchorCtr="0"/>
                    </wps:ws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v:rect style="width:539.49pt;height:243.79pt;position:absolute;mso-position-horizontal-relative:margin;margin-left:0.86pt;mso-position-vertical-relative:top-margin-area;margin-top:510.91pt;mso-wrap-style:square;mso-wrap-distance-left:9pt;mso-wrap-distance-top:0pt;mso-wrap-distance-right:9pt;mso-wrap-distance-bottom:0pt;z-index:251676672;mso-wrap-style:square;v-text-anchor:bottom;visibility:visible" fillcolor="#FFFFFF" stroked="false" strokeweight="0.75pt">
                <v:textbox inset="0pt,0pt,0pt,0pt">
                  <w:txbxContent>
                    <w:p>
                      <w:pPr>
                        <w:jc w:val="right"/>
                        <w:rPr>
                          <w:color w:val="392388"/>
                        </w:rPr>
                      </w:pPr>
                      <w:r>
                        <w:drawing>
                          <wp:inline>
                            <wp:extent cx="2667000" cy="1181100"/>
                            <wp:docPr id="6" name="Picture 4"/>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2"/>
                                    <a:stretch xmlns:a="http://schemas.openxmlformats.org/drawingml/2006/main">
                                      <a:fillRect/>
                                    </a:stretch>
                                  </pic:blipFill>
                                  <pic:spPr>
                                    <a:xfrm>
                                      <a:off x="0" y="0"/>
                                      <a:ext cx="2667000" cy="1181100"/>
                                    </a:xfrm>
                                    <a:prstGeom prst="rect">
                                      <a:avLst/>
                                    </a:prstGeom>
                                  </pic:spPr>
                                </pic:pic>
                              </a:graphicData>
                            </a:graphic>
                          </wp:inline>
                        </w:drawing>
                      </w:r>
                    </w:p>
                  </w:txbxContent>
                </v:textbox>
                <w10:wrap type="none" side="both"/>
              </v:rect>
            </w:pict>
          </mc:Fallback>
        </mc:AlternateContent>
      </w:r>
    </w:p>
    <w:p w14:paraId="01279D23" w14:textId="77777777" w:rsidR="00A561E0" w:rsidRDefault="00854BE4">
      <w:pPr>
        <w:pStyle w:val="DefaqtoHeading1-noTOC"/>
      </w:pPr>
      <w:r>
        <w:lastRenderedPageBreak/>
        <w:t>Recommendation</w:t>
      </w:r>
    </w:p>
    <w:p w14:paraId="67C3E6A8" w14:textId="77777777" w:rsidR="00A561E0" w:rsidRDefault="00854BE4">
      <w:pPr>
        <w:pStyle w:val="DefaqtoIntroText"/>
        <w:rPr>
          <w:rFonts w:cs="Poppins"/>
          <w:lang w:val="en-NZ"/>
        </w:rPr>
      </w:pPr>
      <w:r>
        <w:rPr>
          <w:b/>
          <w:bCs/>
        </w:rPr>
        <w:t>Investment:</w:t>
      </w:r>
      <w:r>
        <w:t xml:space="preserve"> £20,000 then £0 monthly</w:t>
      </w:r>
    </w:p>
    <w:p w14:paraId="6174BBE8" w14:textId="77777777" w:rsidR="00A561E0" w:rsidRDefault="00A561E0">
      <w:pPr>
        <w:pStyle w:val="DefaqtoBody"/>
      </w:pPr>
    </w:p>
    <w:p w14:paraId="5659A8C5" w14:textId="77777777" w:rsidR="00A561E0" w:rsidRDefault="00854BE4">
      <w:pPr>
        <w:pStyle w:val="DefaqtoBody"/>
      </w:pPr>
      <w:r>
        <w:t xml:space="preserve">The agreed risk level considered your natural attitude to risk, capacity for loss and required return for your goal. </w:t>
      </w:r>
    </w:p>
    <w:tbl>
      <w:tblPr>
        <w:tblW w:w="0" w:type="auto"/>
        <w:tblCellSpacing w:w="22" w:type="dxa"/>
        <w:tblBorders>
          <w:top w:val="nil"/>
          <w:left w:val="nil"/>
          <w:bottom w:val="nil"/>
          <w:right w:val="nil"/>
          <w:insideH w:val="nil"/>
          <w:insideV w:val="nil"/>
        </w:tblBorders>
        <w:tblLayout w:type="fixed"/>
        <w:tblLook w:val="04A0" w:firstRow="1" w:lastRow="0" w:firstColumn="1" w:lastColumn="0" w:noHBand="0" w:noVBand="1"/>
      </w:tblPr>
      <w:tblGrid>
        <w:gridCol w:w="3660"/>
      </w:tblGrid>
      <w:tr w:rsidR="00A561E0" w14:paraId="17F3DEDF" w14:textId="77777777">
        <w:trPr>
          <w:tblCellSpacing w:w="22" w:type="dxa"/>
        </w:trPr>
        <w:tc>
          <w:tcPr>
            <w:tcW w:w="3572" w:type="dxa"/>
            <w:tcBorders>
              <w:top w:val="single" w:sz="4" w:space="0" w:color="B0A7CF"/>
              <w:left w:val="single" w:sz="4" w:space="0" w:color="B0A7CF"/>
              <w:bottom w:val="single" w:sz="4" w:space="0" w:color="B0A7CF"/>
              <w:right w:val="single" w:sz="4" w:space="0" w:color="B0A7CF"/>
            </w:tcBorders>
          </w:tcPr>
          <w:p w14:paraId="48AC6036" w14:textId="77777777" w:rsidR="00A561E0" w:rsidRDefault="00854BE4">
            <w:pPr>
              <w:pStyle w:val="DefaqtoBody"/>
              <w:spacing w:before="240" w:after="240"/>
              <w:jc w:val="center"/>
              <w:rPr>
                <w:rFonts w:cs="Poppins"/>
              </w:rPr>
            </w:pPr>
            <w:r>
              <w:rPr>
                <w:rFonts w:cs="Poppins"/>
                <w:b/>
                <w:bCs/>
                <w:sz w:val="48"/>
                <w:szCs w:val="48"/>
              </w:rPr>
              <w:t>4</w:t>
            </w:r>
            <w:r>
              <w:rPr>
                <w:rFonts w:cs="Poppins"/>
                <w:b/>
                <w:bCs/>
                <w:sz w:val="48"/>
                <w:szCs w:val="48"/>
              </w:rPr>
              <w:br/>
            </w:r>
            <w:r>
              <w:rPr>
                <w:rFonts w:cs="Poppins"/>
                <w:sz w:val="20"/>
                <w:szCs w:val="20"/>
              </w:rPr>
              <w:t>Agreed risk level</w:t>
            </w:r>
            <w:r>
              <w:rPr>
                <w:rFonts w:cs="Poppins"/>
                <w:b/>
                <w:bCs/>
                <w:sz w:val="20"/>
                <w:szCs w:val="20"/>
                <w:vertAlign w:val="superscript"/>
                <w:lang w:val="en-NZ"/>
              </w:rPr>
              <w:t>[1]</w:t>
            </w:r>
          </w:p>
        </w:tc>
      </w:tr>
    </w:tbl>
    <w:p w14:paraId="01B9D008" w14:textId="77777777" w:rsidR="00A561E0" w:rsidRDefault="00854BE4">
      <w:pPr>
        <w:pStyle w:val="Defaqtosmallprint"/>
        <w:rPr>
          <w:rFonts w:ascii="Lucida Sans" w:hAnsi="Lucida Sans"/>
          <w:lang w:val="en-NZ"/>
        </w:rPr>
      </w:pPr>
      <w:r>
        <w:rPr>
          <w:rFonts w:ascii="Calibri" w:hAnsi="Calibri" w:cs="Calibri"/>
          <w:lang w:val="en-NZ"/>
        </w:rPr>
        <w:t>[1] As a Cautious Balanced investor you tend to see yourself as quite a cautious person and are inclined to view risk negatively rather than as a source of opportunity.  If you have limited or moderate experience of investments and do not find financial matters particularly easy to understand then you may be suited to a Cautious Balanced approach to investing.  You may also be suited to this approach if you take some time to make investment decisions and tend to be somewhat anxious about those decisions.  A</w:t>
      </w:r>
      <w:r>
        <w:rPr>
          <w:rFonts w:ascii="Calibri" w:hAnsi="Calibri" w:cs="Calibri"/>
          <w:lang w:val="en-NZ"/>
        </w:rPr>
        <w:t xml:space="preserve">s a Cautious Balanced investor you are inclined to look for safer investments, although you may consider taking some risk in exchange for increased potential returns. </w:t>
      </w:r>
    </w:p>
    <w:p w14:paraId="506E6D2A" w14:textId="77777777" w:rsidR="00A561E0" w:rsidRDefault="00854BE4">
      <w:pPr>
        <w:pStyle w:val="DefaqtoHeading2-noTOC"/>
      </w:pPr>
      <w:r>
        <w:rPr>
          <w:lang w:val="en-NZ"/>
        </w:rPr>
        <w:t>Investments</w:t>
      </w:r>
    </w:p>
    <w:tbl>
      <w:tblPr>
        <w:tblStyle w:val="DefaqtoTable"/>
        <w:tblW w:w="5000" w:type="pct"/>
        <w:tblLayout w:type="fixed"/>
        <w:tblLook w:val="0420" w:firstRow="1" w:lastRow="0" w:firstColumn="0" w:lastColumn="0" w:noHBand="0" w:noVBand="1"/>
      </w:tblPr>
      <w:tblGrid>
        <w:gridCol w:w="4616"/>
        <w:gridCol w:w="4367"/>
        <w:gridCol w:w="1633"/>
      </w:tblGrid>
      <w:tr w:rsidR="00A561E0" w14:paraId="788DE4C0" w14:textId="77777777" w:rsidTr="00A561E0">
        <w:trPr>
          <w:cnfStyle w:val="100000000000" w:firstRow="1" w:lastRow="0" w:firstColumn="0" w:lastColumn="0" w:oddVBand="0" w:evenVBand="0" w:oddHBand="0" w:evenHBand="0" w:firstRowFirstColumn="0" w:firstRowLastColumn="0" w:lastRowFirstColumn="0" w:lastRowLastColumn="0"/>
        </w:trPr>
        <w:tc>
          <w:tcPr>
            <w:tcW w:w="2174" w:type="pct"/>
          </w:tcPr>
          <w:p w14:paraId="375ECF2F" w14:textId="77777777" w:rsidR="00A561E0" w:rsidRDefault="00854BE4">
            <w:pPr>
              <w:pStyle w:val="DefaqtoTableBody2"/>
              <w:rPr>
                <w:b w:val="0"/>
                <w:bCs w:val="0"/>
              </w:rPr>
            </w:pPr>
            <w:bookmarkStart w:id="1" w:name="OLE_LINK5"/>
            <w:bookmarkStart w:id="2" w:name="OLE_LINK6"/>
            <w:r>
              <w:t>Investment</w:t>
            </w:r>
          </w:p>
        </w:tc>
        <w:tc>
          <w:tcPr>
            <w:tcW w:w="2057" w:type="pct"/>
          </w:tcPr>
          <w:p w14:paraId="4B3F1045" w14:textId="77777777" w:rsidR="00A561E0" w:rsidRDefault="00854BE4">
            <w:pPr>
              <w:pStyle w:val="DefaqtoTableBody2"/>
              <w:rPr>
                <w:b w:val="0"/>
                <w:bCs w:val="0"/>
              </w:rPr>
            </w:pPr>
            <w:r>
              <w:t>Provider</w:t>
            </w:r>
            <w:r>
              <w:tab/>
            </w:r>
          </w:p>
        </w:tc>
        <w:tc>
          <w:tcPr>
            <w:tcW w:w="769" w:type="pct"/>
          </w:tcPr>
          <w:p w14:paraId="4D600ADF" w14:textId="77777777" w:rsidR="00A561E0" w:rsidRDefault="00854BE4">
            <w:pPr>
              <w:pStyle w:val="DefaqtoTableBody2"/>
              <w:jc w:val="right"/>
              <w:rPr>
                <w:b w:val="0"/>
                <w:bCs w:val="0"/>
              </w:rPr>
            </w:pPr>
            <w:r>
              <w:t>% Invested</w:t>
            </w:r>
          </w:p>
        </w:tc>
      </w:tr>
      <w:tr w:rsidR="00A561E0" w14:paraId="7F47A1FE" w14:textId="77777777" w:rsidTr="00A561E0">
        <w:trPr>
          <w:cnfStyle w:val="000000100000" w:firstRow="0" w:lastRow="0" w:firstColumn="0" w:lastColumn="0" w:oddVBand="0" w:evenVBand="0" w:oddHBand="1" w:evenHBand="0" w:firstRowFirstColumn="0" w:firstRowLastColumn="0" w:lastRowFirstColumn="0" w:lastRowLastColumn="0"/>
        </w:trPr>
        <w:tc>
          <w:tcPr>
            <w:tcW w:w="2174" w:type="pct"/>
          </w:tcPr>
          <w:p w14:paraId="768D8E7C" w14:textId="77777777" w:rsidR="00A561E0" w:rsidRDefault="00854BE4">
            <w:pPr>
              <w:pStyle w:val="DefaqtoTableBody2"/>
            </w:pPr>
            <w:r>
              <w:rPr>
                <w:lang w:val="en-NZ"/>
              </w:rPr>
              <w:t>CT Universal MAP Cautious Fund C Acc (GBP)</w:t>
            </w:r>
          </w:p>
        </w:tc>
        <w:tc>
          <w:tcPr>
            <w:tcW w:w="2057" w:type="pct"/>
          </w:tcPr>
          <w:p w14:paraId="2FA02B40" w14:textId="77777777" w:rsidR="00A561E0" w:rsidRDefault="00854BE4">
            <w:pPr>
              <w:pStyle w:val="DefaqtoTableBody2"/>
            </w:pPr>
            <w:r>
              <w:rPr>
                <w:lang w:val="en-NZ"/>
              </w:rPr>
              <w:t>Columbia Threadneedle Fund Management Limited</w:t>
            </w:r>
          </w:p>
        </w:tc>
        <w:tc>
          <w:tcPr>
            <w:tcW w:w="769" w:type="pct"/>
          </w:tcPr>
          <w:p w14:paraId="2EA80800" w14:textId="77777777" w:rsidR="00A561E0" w:rsidRDefault="00854BE4">
            <w:pPr>
              <w:pStyle w:val="DefaqtoTableBody2"/>
              <w:jc w:val="right"/>
            </w:pPr>
            <w:r>
              <w:rPr>
                <w:lang w:val="en-NZ"/>
              </w:rPr>
              <w:t>100.00</w:t>
            </w:r>
            <w:bookmarkStart w:id="3" w:name="OLE_LINK7"/>
            <w:bookmarkEnd w:id="3"/>
          </w:p>
        </w:tc>
      </w:tr>
      <w:bookmarkEnd w:id="1"/>
      <w:bookmarkEnd w:id="2"/>
    </w:tbl>
    <w:p w14:paraId="7A1E7DBD" w14:textId="77777777" w:rsidR="00A561E0" w:rsidRDefault="00A561E0">
      <w:pPr>
        <w:pStyle w:val="Tag"/>
        <w:rPr>
          <w:color w:val="392388"/>
        </w:rPr>
      </w:pPr>
    </w:p>
    <w:p w14:paraId="7ECAAE39" w14:textId="77777777" w:rsidR="00A561E0" w:rsidRDefault="00854BE4">
      <w:pPr>
        <w:pStyle w:val="DefaqtoHeading3-noTOC"/>
      </w:pPr>
      <w:r>
        <w:t>MiFID II pre-sale cost disclosure (ex-ante/estimated costs)</w:t>
      </w:r>
    </w:p>
    <w:p w14:paraId="408AB692" w14:textId="77777777" w:rsidR="00A561E0" w:rsidRDefault="00854BE4">
      <w:pPr>
        <w:pStyle w:val="DefaqtoBody"/>
      </w:pPr>
      <w:r>
        <w:t>The below table illustrates the ex-ante MiFID II pre-sale cost disclosures for funds in scope of MiFID II which excludes Life &amp; Pension funds. One off costs reflect the maximum entry and exit costs that the fund manager has stated they can charge over the period the fund is held. Where costs are on-going, such costs reflect a 12 month period.</w:t>
      </w:r>
    </w:p>
    <w:p w14:paraId="248ACE3E" w14:textId="77777777" w:rsidR="00A561E0" w:rsidRDefault="00854BE4">
      <w:pPr>
        <w:pStyle w:val="DefaqtoBody"/>
      </w:pPr>
      <w:r>
        <w:rPr>
          <w:b/>
          <w:bCs/>
        </w:rPr>
        <w:t>One-Off Costs</w:t>
      </w:r>
      <w:r>
        <w:t xml:space="preserve"> - Maximum costs incurred when entering or exiting the fund. These costs might be waived by the fund manager or distributor. One-Off Costs include: Initial Charge; Maximum Entry Cost Acquired; Maximum Exit Fee; and Maximum Exit Cost Acquired.</w:t>
      </w:r>
    </w:p>
    <w:p w14:paraId="7C16D3C5" w14:textId="77777777" w:rsidR="00A561E0" w:rsidRDefault="00854BE4">
      <w:pPr>
        <w:pStyle w:val="DefaqtoBody"/>
      </w:pPr>
      <w:r>
        <w:rPr>
          <w:b/>
          <w:bCs/>
        </w:rPr>
        <w:t>Ongoing Costs</w:t>
      </w:r>
      <w:r>
        <w:t xml:space="preserve"> - The Annual Management Charge and other fund expenses for example, custodian fees; audit fees; legal fees; marketing distribution; and costs of underlying investments.</w:t>
      </w:r>
    </w:p>
    <w:p w14:paraId="12C73610" w14:textId="77777777" w:rsidR="00A561E0" w:rsidRDefault="00854BE4">
      <w:pPr>
        <w:pStyle w:val="DefaqtoBody"/>
      </w:pPr>
      <w:r>
        <w:rPr>
          <w:b/>
          <w:bCs/>
        </w:rPr>
        <w:lastRenderedPageBreak/>
        <w:t>Transaction Costs</w:t>
      </w:r>
      <w:r>
        <w:t xml:space="preserve"> - Costs incurred when buying or selling underlying investments. Includes both explicit costs for example dealing commission and can include implicit costs, for example slippage.</w:t>
      </w:r>
    </w:p>
    <w:p w14:paraId="7F71C346" w14:textId="77777777" w:rsidR="00A561E0" w:rsidRDefault="00854BE4">
      <w:pPr>
        <w:pStyle w:val="DefaqtoBody"/>
      </w:pPr>
      <w:r>
        <w:rPr>
          <w:b/>
          <w:bCs/>
        </w:rPr>
        <w:t>Incidental Costs</w:t>
      </w:r>
      <w:r>
        <w:t xml:space="preserve"> - The impact of any performance fee.</w:t>
      </w:r>
    </w:p>
    <w:tbl>
      <w:tblPr>
        <w:tblStyle w:val="DefaqtoTable"/>
        <w:tblW w:w="4985" w:type="pct"/>
        <w:tblLayout w:type="fixed"/>
        <w:tblLook w:val="0420" w:firstRow="1" w:lastRow="0" w:firstColumn="0" w:lastColumn="0" w:noHBand="0" w:noVBand="1"/>
      </w:tblPr>
      <w:tblGrid>
        <w:gridCol w:w="1808"/>
        <w:gridCol w:w="1842"/>
        <w:gridCol w:w="1842"/>
        <w:gridCol w:w="1698"/>
        <w:gridCol w:w="1698"/>
        <w:gridCol w:w="1696"/>
      </w:tblGrid>
      <w:tr w:rsidR="00A561E0" w14:paraId="660B0622" w14:textId="77777777" w:rsidTr="00A561E0">
        <w:trPr>
          <w:cnfStyle w:val="100000000000" w:firstRow="1" w:lastRow="0" w:firstColumn="0" w:lastColumn="0" w:oddVBand="0" w:evenVBand="0" w:oddHBand="0" w:evenHBand="0" w:firstRowFirstColumn="0" w:firstRowLastColumn="0" w:lastRowFirstColumn="0" w:lastRowLastColumn="0"/>
          <w:trHeight w:val="217"/>
        </w:trPr>
        <w:tc>
          <w:tcPr>
            <w:tcW w:w="854" w:type="pct"/>
          </w:tcPr>
          <w:p w14:paraId="4A5D4EDD" w14:textId="77777777" w:rsidR="00A561E0" w:rsidRDefault="00854BE4">
            <w:pPr>
              <w:pStyle w:val="DefaqtoTableBody2"/>
            </w:pPr>
            <w:r>
              <w:t>Fund name</w:t>
            </w:r>
          </w:p>
        </w:tc>
        <w:tc>
          <w:tcPr>
            <w:tcW w:w="870" w:type="pct"/>
          </w:tcPr>
          <w:p w14:paraId="78A746A1" w14:textId="77777777" w:rsidR="00A561E0" w:rsidRDefault="00854BE4">
            <w:pPr>
              <w:pStyle w:val="DefaqtoTableBody2"/>
            </w:pPr>
            <w:r>
              <w:t>One-Off Costs*</w:t>
            </w:r>
          </w:p>
        </w:tc>
        <w:tc>
          <w:tcPr>
            <w:tcW w:w="870" w:type="pct"/>
          </w:tcPr>
          <w:p w14:paraId="444D803B" w14:textId="77777777" w:rsidR="00A561E0" w:rsidRDefault="00854BE4">
            <w:pPr>
              <w:pStyle w:val="DefaqtoTableBody2"/>
            </w:pPr>
            <w:r>
              <w:t>Ongoing Costs</w:t>
            </w:r>
          </w:p>
        </w:tc>
        <w:tc>
          <w:tcPr>
            <w:tcW w:w="802" w:type="pct"/>
          </w:tcPr>
          <w:p w14:paraId="6C3D2714" w14:textId="77777777" w:rsidR="00A561E0" w:rsidRDefault="00854BE4">
            <w:pPr>
              <w:pStyle w:val="DefaqtoTableBody2"/>
            </w:pPr>
            <w:r>
              <w:t>Transaction Costs</w:t>
            </w:r>
          </w:p>
        </w:tc>
        <w:tc>
          <w:tcPr>
            <w:tcW w:w="802" w:type="pct"/>
          </w:tcPr>
          <w:p w14:paraId="01112DB2" w14:textId="77777777" w:rsidR="00A561E0" w:rsidRDefault="00854BE4">
            <w:pPr>
              <w:pStyle w:val="DefaqtoTableBody2"/>
            </w:pPr>
            <w:r>
              <w:t>Incidental Costs</w:t>
            </w:r>
          </w:p>
        </w:tc>
        <w:tc>
          <w:tcPr>
            <w:tcW w:w="801" w:type="pct"/>
          </w:tcPr>
          <w:p w14:paraId="0B12A9DC" w14:textId="77777777" w:rsidR="00A561E0" w:rsidRDefault="00854BE4">
            <w:pPr>
              <w:pStyle w:val="DefaqtoTableBody2"/>
            </w:pPr>
            <w:r>
              <w:t>Total</w:t>
            </w:r>
          </w:p>
        </w:tc>
      </w:tr>
      <w:tr w:rsidR="00A561E0" w14:paraId="33068BBD" w14:textId="77777777" w:rsidTr="00A561E0">
        <w:trPr>
          <w:cnfStyle w:val="000000100000" w:firstRow="0" w:lastRow="0" w:firstColumn="0" w:lastColumn="0" w:oddVBand="0" w:evenVBand="0" w:oddHBand="1" w:evenHBand="0" w:firstRowFirstColumn="0" w:firstRowLastColumn="0" w:lastRowFirstColumn="0" w:lastRowLastColumn="0"/>
          <w:trHeight w:val="441"/>
        </w:trPr>
        <w:tc>
          <w:tcPr>
            <w:tcW w:w="854" w:type="pct"/>
          </w:tcPr>
          <w:p w14:paraId="4FF727F2" w14:textId="77777777" w:rsidR="00A561E0" w:rsidRDefault="00854BE4">
            <w:pPr>
              <w:pStyle w:val="DefaqtoTableBody2"/>
            </w:pPr>
            <w:r>
              <w:t>CT Universal MAP Cautious Fund C Acc</w:t>
            </w:r>
          </w:p>
        </w:tc>
        <w:tc>
          <w:tcPr>
            <w:tcW w:w="870" w:type="pct"/>
          </w:tcPr>
          <w:p w14:paraId="57C44C20" w14:textId="77777777" w:rsidR="00A561E0" w:rsidRDefault="00854BE4">
            <w:pPr>
              <w:pStyle w:val="DefaqtoTableBody2"/>
            </w:pPr>
            <w:r>
              <w:t>-</w:t>
            </w:r>
          </w:p>
          <w:p w14:paraId="20A93FF8" w14:textId="77777777" w:rsidR="00A561E0" w:rsidRDefault="00A561E0">
            <w:pPr>
              <w:pStyle w:val="DefaqtoTableBody2"/>
            </w:pPr>
          </w:p>
        </w:tc>
        <w:tc>
          <w:tcPr>
            <w:tcW w:w="870" w:type="pct"/>
          </w:tcPr>
          <w:p w14:paraId="1807C67E" w14:textId="77777777" w:rsidR="00A561E0" w:rsidRDefault="00854BE4">
            <w:pPr>
              <w:pStyle w:val="DefaqtoTableBody2"/>
            </w:pPr>
            <w:r>
              <w:t>£58.00</w:t>
            </w:r>
          </w:p>
          <w:p w14:paraId="7D56887E" w14:textId="77777777" w:rsidR="00A561E0" w:rsidRDefault="00854BE4">
            <w:pPr>
              <w:pStyle w:val="DefaqtoTableBody2"/>
            </w:pPr>
            <w:r>
              <w:t>(0.29%)</w:t>
            </w:r>
          </w:p>
        </w:tc>
        <w:tc>
          <w:tcPr>
            <w:tcW w:w="802" w:type="pct"/>
          </w:tcPr>
          <w:p w14:paraId="7BBF36DE" w14:textId="77777777" w:rsidR="00A561E0" w:rsidRDefault="00854BE4">
            <w:pPr>
              <w:pStyle w:val="DefaqtoTableBody2"/>
            </w:pPr>
            <w:r>
              <w:t>£44.42</w:t>
            </w:r>
          </w:p>
          <w:p w14:paraId="71A8CE78" w14:textId="77777777" w:rsidR="00A561E0" w:rsidRDefault="00854BE4">
            <w:pPr>
              <w:pStyle w:val="DefaqtoTableBody2"/>
            </w:pPr>
            <w:r>
              <w:t>(0.22%)</w:t>
            </w:r>
          </w:p>
        </w:tc>
        <w:tc>
          <w:tcPr>
            <w:tcW w:w="802" w:type="pct"/>
          </w:tcPr>
          <w:p w14:paraId="7405BA1E" w14:textId="77777777" w:rsidR="00A561E0" w:rsidRDefault="00854BE4">
            <w:pPr>
              <w:pStyle w:val="DefaqtoTableBody2"/>
            </w:pPr>
            <w:r>
              <w:t>-</w:t>
            </w:r>
          </w:p>
          <w:p w14:paraId="1AC1F9BA" w14:textId="77777777" w:rsidR="00A561E0" w:rsidRDefault="00A561E0">
            <w:pPr>
              <w:pStyle w:val="DefaqtoTableBody2"/>
            </w:pPr>
          </w:p>
        </w:tc>
        <w:tc>
          <w:tcPr>
            <w:tcW w:w="801" w:type="pct"/>
          </w:tcPr>
          <w:p w14:paraId="1E960C8B" w14:textId="77777777" w:rsidR="00A561E0" w:rsidRDefault="00854BE4">
            <w:pPr>
              <w:pStyle w:val="DefaqtoTableBody2"/>
            </w:pPr>
            <w:r>
              <w:t>£102.42</w:t>
            </w:r>
          </w:p>
          <w:p w14:paraId="7D6BFE45" w14:textId="77777777" w:rsidR="00A561E0" w:rsidRDefault="00854BE4">
            <w:pPr>
              <w:pStyle w:val="DefaqtoTableBody2"/>
            </w:pPr>
            <w:r>
              <w:t>(0.51%)</w:t>
            </w:r>
          </w:p>
        </w:tc>
      </w:tr>
      <w:tr w:rsidR="00A561E0" w14:paraId="3AA8321A" w14:textId="77777777" w:rsidTr="00A561E0">
        <w:trPr>
          <w:cnfStyle w:val="000000010000" w:firstRow="0" w:lastRow="0" w:firstColumn="0" w:lastColumn="0" w:oddVBand="0" w:evenVBand="0" w:oddHBand="0" w:evenHBand="1" w:firstRowFirstColumn="0" w:firstRowLastColumn="0" w:lastRowFirstColumn="0" w:lastRowLastColumn="0"/>
          <w:trHeight w:val="441"/>
        </w:trPr>
        <w:tc>
          <w:tcPr>
            <w:tcW w:w="854" w:type="pct"/>
          </w:tcPr>
          <w:p w14:paraId="1D2B9014" w14:textId="77777777" w:rsidR="00A561E0" w:rsidRDefault="00854BE4">
            <w:pPr>
              <w:pStyle w:val="DefaqtoTableBody"/>
              <w:rPr>
                <w:b/>
                <w:bCs/>
              </w:rPr>
            </w:pPr>
            <w:r>
              <w:rPr>
                <w:lang w:val="en-NZ"/>
              </w:rPr>
              <w:t>Total aggregated fund costs:</w:t>
            </w:r>
          </w:p>
        </w:tc>
        <w:tc>
          <w:tcPr>
            <w:tcW w:w="870" w:type="pct"/>
          </w:tcPr>
          <w:p w14:paraId="2B430E82" w14:textId="77777777" w:rsidR="00A561E0" w:rsidRDefault="00854BE4">
            <w:pPr>
              <w:pStyle w:val="DefaqtoTableBody"/>
              <w:rPr>
                <w:b/>
                <w:bCs/>
                <w:lang w:val="en-NZ"/>
              </w:rPr>
            </w:pPr>
            <w:r>
              <w:rPr>
                <w:lang w:val="en-NZ"/>
              </w:rPr>
              <w:t>£0.00</w:t>
            </w:r>
          </w:p>
          <w:p w14:paraId="46905064" w14:textId="77777777" w:rsidR="00A561E0" w:rsidRDefault="00854BE4">
            <w:pPr>
              <w:pStyle w:val="DefaqtoTableBody"/>
              <w:rPr>
                <w:b/>
                <w:bCs/>
              </w:rPr>
            </w:pPr>
            <w:r>
              <w:rPr>
                <w:lang w:val="en-NZ"/>
              </w:rPr>
              <w:t>(0.00%)</w:t>
            </w:r>
          </w:p>
        </w:tc>
        <w:tc>
          <w:tcPr>
            <w:tcW w:w="870" w:type="pct"/>
          </w:tcPr>
          <w:p w14:paraId="2968EAE4" w14:textId="77777777" w:rsidR="00A561E0" w:rsidRDefault="00854BE4">
            <w:pPr>
              <w:pStyle w:val="DefaqtoTableBody"/>
              <w:rPr>
                <w:b/>
                <w:bCs/>
                <w:lang w:val="en-NZ"/>
              </w:rPr>
            </w:pPr>
            <w:r>
              <w:rPr>
                <w:lang w:val="en-NZ"/>
              </w:rPr>
              <w:t>£58.00</w:t>
            </w:r>
          </w:p>
          <w:p w14:paraId="3907E925" w14:textId="77777777" w:rsidR="00A561E0" w:rsidRDefault="00854BE4">
            <w:pPr>
              <w:pStyle w:val="DefaqtoTableBody"/>
              <w:rPr>
                <w:b/>
                <w:bCs/>
              </w:rPr>
            </w:pPr>
            <w:r>
              <w:rPr>
                <w:lang w:val="en-NZ"/>
              </w:rPr>
              <w:t>(0.29%)</w:t>
            </w:r>
          </w:p>
        </w:tc>
        <w:tc>
          <w:tcPr>
            <w:tcW w:w="802" w:type="pct"/>
          </w:tcPr>
          <w:p w14:paraId="7F8812BE" w14:textId="77777777" w:rsidR="00A561E0" w:rsidRDefault="00854BE4">
            <w:pPr>
              <w:pStyle w:val="DefaqtoTableBody"/>
              <w:rPr>
                <w:b/>
                <w:bCs/>
                <w:lang w:val="en-NZ"/>
              </w:rPr>
            </w:pPr>
            <w:r>
              <w:rPr>
                <w:lang w:val="en-NZ"/>
              </w:rPr>
              <w:t>£44.42</w:t>
            </w:r>
          </w:p>
          <w:p w14:paraId="22440F37" w14:textId="77777777" w:rsidR="00A561E0" w:rsidRDefault="00854BE4">
            <w:pPr>
              <w:pStyle w:val="DefaqtoTableBody"/>
              <w:rPr>
                <w:b/>
                <w:bCs/>
                <w:lang w:val="en-NZ"/>
              </w:rPr>
            </w:pPr>
            <w:r>
              <w:rPr>
                <w:lang w:val="en-NZ"/>
              </w:rPr>
              <w:t>(0.22%)</w:t>
            </w:r>
          </w:p>
        </w:tc>
        <w:tc>
          <w:tcPr>
            <w:tcW w:w="802" w:type="pct"/>
          </w:tcPr>
          <w:p w14:paraId="28088520" w14:textId="77777777" w:rsidR="00A561E0" w:rsidRDefault="00854BE4">
            <w:pPr>
              <w:pStyle w:val="DefaqtoTableBody"/>
              <w:rPr>
                <w:b/>
                <w:bCs/>
                <w:lang w:val="en-NZ"/>
              </w:rPr>
            </w:pPr>
            <w:r>
              <w:rPr>
                <w:lang w:val="en-NZ"/>
              </w:rPr>
              <w:t>£0.00</w:t>
            </w:r>
          </w:p>
          <w:p w14:paraId="69E7F5CA" w14:textId="77777777" w:rsidR="00A561E0" w:rsidRDefault="00854BE4">
            <w:pPr>
              <w:pStyle w:val="DefaqtoTableBody"/>
              <w:rPr>
                <w:b/>
                <w:bCs/>
                <w:lang w:val="en-NZ"/>
              </w:rPr>
            </w:pPr>
            <w:r>
              <w:rPr>
                <w:lang w:val="en-NZ"/>
              </w:rPr>
              <w:t>(0.00%)</w:t>
            </w:r>
          </w:p>
        </w:tc>
        <w:tc>
          <w:tcPr>
            <w:tcW w:w="801" w:type="pct"/>
          </w:tcPr>
          <w:p w14:paraId="02CD2612" w14:textId="77777777" w:rsidR="00A561E0" w:rsidRDefault="00854BE4">
            <w:pPr>
              <w:pStyle w:val="DefaqtoTableBody"/>
              <w:rPr>
                <w:b/>
                <w:bCs/>
                <w:lang w:val="en-NZ"/>
              </w:rPr>
            </w:pPr>
            <w:r>
              <w:rPr>
                <w:lang w:val="en-NZ"/>
              </w:rPr>
              <w:t>£102.42</w:t>
            </w:r>
          </w:p>
          <w:p w14:paraId="133A324B" w14:textId="77777777" w:rsidR="00A561E0" w:rsidRDefault="00854BE4">
            <w:pPr>
              <w:pStyle w:val="DefaqtoTableBody"/>
              <w:rPr>
                <w:b/>
                <w:bCs/>
                <w:lang w:val="en-NZ"/>
              </w:rPr>
            </w:pPr>
            <w:r>
              <w:rPr>
                <w:lang w:val="en-NZ"/>
              </w:rPr>
              <w:t>(0.51%)</w:t>
            </w:r>
          </w:p>
        </w:tc>
      </w:tr>
    </w:tbl>
    <w:p w14:paraId="6196EB88" w14:textId="77777777" w:rsidR="00A561E0" w:rsidRDefault="00854BE4">
      <w:pPr>
        <w:pStyle w:val="Defaqtosmallprint"/>
        <w:rPr>
          <w:b/>
          <w:bCs/>
        </w:rPr>
        <w:sectPr w:rsidR="00A561E0">
          <w:headerReference w:type="default" r:id="rId12"/>
          <w:footerReference w:type="default" r:id="rId13"/>
          <w:pgSz w:w="11906" w:h="16838"/>
          <w:pgMar w:top="709" w:right="640" w:bottom="376" w:left="640" w:header="200" w:footer="200" w:gutter="0"/>
          <w:cols w:space="708"/>
          <w:docGrid w:linePitch="360"/>
        </w:sectPr>
      </w:pPr>
      <w:r>
        <w:t>* ’One-Off Costs’ represent the maximum costs that can be incurred when entering or exiting the fund and might be waived by the fund manager or distributor.</w:t>
      </w:r>
    </w:p>
    <w:p w14:paraId="75D6A34F" w14:textId="77777777" w:rsidR="00A561E0" w:rsidRDefault="00854BE4">
      <w:pPr>
        <w:pStyle w:val="DefaqtoHeading2-noTOC"/>
      </w:pPr>
      <w:r>
        <w:lastRenderedPageBreak/>
        <w:t>Asset allocation</w:t>
      </w:r>
    </w:p>
    <w:p w14:paraId="464404E9" w14:textId="77777777" w:rsidR="00A561E0" w:rsidRDefault="00A561E0">
      <w:pPr>
        <w:rPr>
          <w:color w:val="392388"/>
          <w:lang w:val="en-NZ"/>
        </w:rPr>
      </w:pPr>
    </w:p>
    <w:tbl>
      <w:tblPr>
        <w:tblW w:w="5000" w:type="pct"/>
        <w:tblCellSpacing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4275"/>
        <w:gridCol w:w="6351"/>
      </w:tblGrid>
      <w:tr w:rsidR="00A561E0" w14:paraId="0EB988D2" w14:textId="77777777">
        <w:trPr>
          <w:tblCellSpacing w:w="15" w:type="dxa"/>
        </w:trPr>
        <w:tc>
          <w:tcPr>
            <w:tcW w:w="1000" w:type="pct"/>
          </w:tcPr>
          <w:p w14:paraId="3A7D382F" w14:textId="77777777" w:rsidR="00A561E0" w:rsidRDefault="00854BE4">
            <w:pPr>
              <w:spacing w:after="0"/>
            </w:pPr>
            <w:r>
              <w:pict w14:anchorId="58F4D3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10pt;height:210pt;visibility:visible">
                  <v:imagedata r:id="rId14" o:title=""/>
                </v:shape>
              </w:pict>
            </w:r>
            <w:r>
              <w:rPr>
                <w:rFonts w:ascii="Poppins" w:eastAsia="Poppins" w:hAnsi="Poppins" w:cs="Poppins"/>
                <w:sz w:val="16"/>
                <w:szCs w:val="16"/>
              </w:rPr>
              <w:t xml:space="preserve"> </w:t>
            </w:r>
          </w:p>
        </w:tc>
        <w:tc>
          <w:tcPr>
            <w:tcW w:w="0" w:type="auto"/>
          </w:tcPr>
          <w:tbl>
            <w:tblPr>
              <w:tblW w:w="5000" w:type="pct"/>
              <w:tblCellSpacing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242"/>
              <w:gridCol w:w="3916"/>
              <w:gridCol w:w="701"/>
              <w:gridCol w:w="701"/>
              <w:gridCol w:w="716"/>
            </w:tblGrid>
            <w:tr w:rsidR="00A561E0" w14:paraId="25B9AE11" w14:textId="77777777">
              <w:trPr>
                <w:trHeight w:val="400"/>
                <w:tblCellSpacing w:w="15" w:type="dxa"/>
              </w:trPr>
              <w:tc>
                <w:tcPr>
                  <w:tcW w:w="120" w:type="dxa"/>
                  <w:gridSpan w:val="2"/>
                  <w:tcBorders>
                    <w:bottom w:val="single" w:sz="4" w:space="0" w:color="000000"/>
                  </w:tcBorders>
                </w:tcPr>
                <w:p w14:paraId="70E13F3C" w14:textId="77777777" w:rsidR="00A561E0" w:rsidRDefault="00854BE4">
                  <w:pPr>
                    <w:spacing w:after="0" w:line="240" w:lineRule="auto"/>
                  </w:pPr>
                  <w:r>
                    <w:rPr>
                      <w:rFonts w:ascii="Poppins" w:eastAsia="Poppins" w:hAnsi="Poppins" w:cs="Poppins"/>
                      <w:b/>
                      <w:bCs/>
                      <w:sz w:val="16"/>
                      <w:szCs w:val="16"/>
                    </w:rPr>
                    <w:t>ASSET ALLOCATION⁽¹⁾</w:t>
                  </w:r>
                </w:p>
              </w:tc>
              <w:tc>
                <w:tcPr>
                  <w:tcW w:w="550" w:type="pct"/>
                  <w:tcBorders>
                    <w:bottom w:val="single" w:sz="4" w:space="0" w:color="000000"/>
                  </w:tcBorders>
                </w:tcPr>
                <w:p w14:paraId="0C43CAAD" w14:textId="77777777" w:rsidR="00A561E0" w:rsidRDefault="00854BE4">
                  <w:pPr>
                    <w:spacing w:after="0" w:line="240" w:lineRule="auto"/>
                    <w:jc w:val="right"/>
                  </w:pPr>
                  <w:r>
                    <w:rPr>
                      <w:rFonts w:ascii="Poppins" w:eastAsia="Poppins" w:hAnsi="Poppins" w:cs="Poppins"/>
                      <w:b/>
                      <w:bCs/>
                      <w:sz w:val="16"/>
                      <w:szCs w:val="16"/>
                    </w:rPr>
                    <w:t xml:space="preserve">NET %⁽²⁾ </w:t>
                  </w:r>
                </w:p>
              </w:tc>
              <w:tc>
                <w:tcPr>
                  <w:tcW w:w="550" w:type="pct"/>
                  <w:tcBorders>
                    <w:bottom w:val="single" w:sz="4" w:space="0" w:color="000000"/>
                  </w:tcBorders>
                </w:tcPr>
                <w:p w14:paraId="1FC2F54A" w14:textId="77777777" w:rsidR="00A561E0" w:rsidRDefault="00854BE4">
                  <w:pPr>
                    <w:spacing w:after="0" w:line="240" w:lineRule="auto"/>
                    <w:jc w:val="right"/>
                  </w:pPr>
                  <w:r>
                    <w:rPr>
                      <w:rFonts w:ascii="Poppins" w:eastAsia="Poppins" w:hAnsi="Poppins" w:cs="Poppins"/>
                      <w:b/>
                      <w:bCs/>
                      <w:sz w:val="16"/>
                      <w:szCs w:val="16"/>
                    </w:rPr>
                    <w:t>SHORT %</w:t>
                  </w:r>
                </w:p>
              </w:tc>
              <w:tc>
                <w:tcPr>
                  <w:tcW w:w="550" w:type="pct"/>
                  <w:tcBorders>
                    <w:bottom w:val="single" w:sz="4" w:space="0" w:color="000000"/>
                  </w:tcBorders>
                </w:tcPr>
                <w:p w14:paraId="1548D254" w14:textId="77777777" w:rsidR="00A561E0" w:rsidRDefault="00854BE4">
                  <w:pPr>
                    <w:spacing w:after="0" w:line="240" w:lineRule="auto"/>
                    <w:jc w:val="right"/>
                  </w:pPr>
                  <w:r>
                    <w:rPr>
                      <w:rFonts w:ascii="Poppins" w:eastAsia="Poppins" w:hAnsi="Poppins" w:cs="Poppins"/>
                      <w:b/>
                      <w:bCs/>
                      <w:sz w:val="16"/>
                      <w:szCs w:val="16"/>
                    </w:rPr>
                    <w:t>LONG %</w:t>
                  </w:r>
                </w:p>
              </w:tc>
            </w:tr>
            <w:tr w:rsidR="00A561E0" w14:paraId="3E5EF1AC" w14:textId="77777777">
              <w:trPr>
                <w:tblCellSpacing w:w="15" w:type="dxa"/>
              </w:trPr>
              <w:tc>
                <w:tcPr>
                  <w:tcW w:w="0" w:type="auto"/>
                  <w:vAlign w:val="center"/>
                </w:tcPr>
                <w:p w14:paraId="5F579BF0" w14:textId="77777777" w:rsidR="00A561E0" w:rsidRDefault="00854BE4">
                  <w:pPr>
                    <w:spacing w:after="0" w:line="240" w:lineRule="auto"/>
                  </w:pPr>
                  <w:r>
                    <w:rPr>
                      <w:rFonts w:ascii="Wingdings" w:eastAsia="Wingdings" w:hAnsi="Wingdings" w:cs="Wingdings"/>
                      <w:color w:val="A0A5A9"/>
                      <w:sz w:val="16"/>
                      <w:szCs w:val="16"/>
                    </w:rPr>
                    <w:t>l</w:t>
                  </w:r>
                </w:p>
              </w:tc>
              <w:tc>
                <w:tcPr>
                  <w:tcW w:w="0" w:type="auto"/>
                  <w:vAlign w:val="center"/>
                </w:tcPr>
                <w:p w14:paraId="3F063741" w14:textId="77777777" w:rsidR="00A561E0" w:rsidRDefault="00854BE4">
                  <w:pPr>
                    <w:spacing w:after="0" w:line="240" w:lineRule="auto"/>
                  </w:pPr>
                  <w:r>
                    <w:rPr>
                      <w:rFonts w:ascii="Poppins" w:eastAsia="Poppins" w:hAnsi="Poppins" w:cs="Poppins"/>
                      <w:sz w:val="16"/>
                      <w:szCs w:val="16"/>
                    </w:rPr>
                    <w:t>Global (ex-UK) Fixed Income</w:t>
                  </w:r>
                </w:p>
              </w:tc>
              <w:tc>
                <w:tcPr>
                  <w:tcW w:w="550" w:type="pct"/>
                  <w:vAlign w:val="center"/>
                </w:tcPr>
                <w:p w14:paraId="6C82961F" w14:textId="77777777" w:rsidR="00A561E0" w:rsidRDefault="00854BE4">
                  <w:pPr>
                    <w:spacing w:after="0" w:line="240" w:lineRule="auto"/>
                    <w:jc w:val="right"/>
                  </w:pPr>
                  <w:r>
                    <w:rPr>
                      <w:rFonts w:ascii="Poppins" w:eastAsia="Poppins" w:hAnsi="Poppins" w:cs="Poppins"/>
                      <w:sz w:val="16"/>
                      <w:szCs w:val="16"/>
                    </w:rPr>
                    <w:t>39.94</w:t>
                  </w:r>
                </w:p>
              </w:tc>
              <w:tc>
                <w:tcPr>
                  <w:tcW w:w="550" w:type="pct"/>
                  <w:vAlign w:val="center"/>
                </w:tcPr>
                <w:p w14:paraId="68C61779" w14:textId="77777777" w:rsidR="00A561E0" w:rsidRDefault="00854BE4">
                  <w:pPr>
                    <w:spacing w:after="0" w:line="240" w:lineRule="auto"/>
                    <w:jc w:val="right"/>
                  </w:pPr>
                  <w:r>
                    <w:rPr>
                      <w:rFonts w:ascii="Poppins" w:eastAsia="Poppins" w:hAnsi="Poppins" w:cs="Poppins"/>
                      <w:sz w:val="16"/>
                      <w:szCs w:val="16"/>
                    </w:rPr>
                    <w:t>-5.57</w:t>
                  </w:r>
                </w:p>
              </w:tc>
              <w:tc>
                <w:tcPr>
                  <w:tcW w:w="550" w:type="pct"/>
                  <w:vAlign w:val="center"/>
                </w:tcPr>
                <w:p w14:paraId="127F72AC" w14:textId="77777777" w:rsidR="00A561E0" w:rsidRDefault="00854BE4">
                  <w:pPr>
                    <w:spacing w:after="0" w:line="240" w:lineRule="auto"/>
                    <w:jc w:val="right"/>
                  </w:pPr>
                  <w:r>
                    <w:rPr>
                      <w:rFonts w:ascii="Poppins" w:eastAsia="Poppins" w:hAnsi="Poppins" w:cs="Poppins"/>
                      <w:sz w:val="16"/>
                      <w:szCs w:val="16"/>
                    </w:rPr>
                    <w:t>45.51</w:t>
                  </w:r>
                </w:p>
              </w:tc>
            </w:tr>
            <w:tr w:rsidR="00A561E0" w14:paraId="4EF84747" w14:textId="77777777">
              <w:trPr>
                <w:tblCellSpacing w:w="15" w:type="dxa"/>
              </w:trPr>
              <w:tc>
                <w:tcPr>
                  <w:tcW w:w="0" w:type="auto"/>
                  <w:vAlign w:val="center"/>
                </w:tcPr>
                <w:p w14:paraId="5B6A2E5F" w14:textId="77777777" w:rsidR="00A561E0" w:rsidRDefault="00854BE4">
                  <w:pPr>
                    <w:spacing w:after="0" w:line="240" w:lineRule="auto"/>
                  </w:pPr>
                  <w:r>
                    <w:rPr>
                      <w:rFonts w:ascii="Wingdings" w:eastAsia="Wingdings" w:hAnsi="Wingdings" w:cs="Wingdings"/>
                      <w:color w:val="8E44AD"/>
                      <w:sz w:val="16"/>
                      <w:szCs w:val="16"/>
                    </w:rPr>
                    <w:t>l</w:t>
                  </w:r>
                </w:p>
              </w:tc>
              <w:tc>
                <w:tcPr>
                  <w:tcW w:w="0" w:type="auto"/>
                  <w:vAlign w:val="center"/>
                </w:tcPr>
                <w:p w14:paraId="1381D904" w14:textId="77777777" w:rsidR="00A561E0" w:rsidRDefault="00854BE4">
                  <w:pPr>
                    <w:spacing w:after="0" w:line="240" w:lineRule="auto"/>
                  </w:pPr>
                  <w:r>
                    <w:rPr>
                      <w:rFonts w:ascii="Poppins" w:eastAsia="Poppins" w:hAnsi="Poppins" w:cs="Poppins"/>
                      <w:sz w:val="16"/>
                      <w:szCs w:val="16"/>
                    </w:rPr>
                    <w:t>North America Equity</w:t>
                  </w:r>
                </w:p>
              </w:tc>
              <w:tc>
                <w:tcPr>
                  <w:tcW w:w="550" w:type="pct"/>
                  <w:vAlign w:val="center"/>
                </w:tcPr>
                <w:p w14:paraId="776F3482" w14:textId="77777777" w:rsidR="00A561E0" w:rsidRDefault="00854BE4">
                  <w:pPr>
                    <w:spacing w:after="0" w:line="240" w:lineRule="auto"/>
                    <w:jc w:val="right"/>
                  </w:pPr>
                  <w:r>
                    <w:rPr>
                      <w:rFonts w:ascii="Poppins" w:eastAsia="Poppins" w:hAnsi="Poppins" w:cs="Poppins"/>
                      <w:sz w:val="16"/>
                      <w:szCs w:val="16"/>
                    </w:rPr>
                    <w:t>22.30</w:t>
                  </w:r>
                </w:p>
              </w:tc>
              <w:tc>
                <w:tcPr>
                  <w:tcW w:w="550" w:type="pct"/>
                  <w:vAlign w:val="center"/>
                </w:tcPr>
                <w:p w14:paraId="003E5910" w14:textId="77777777" w:rsidR="00A561E0" w:rsidRDefault="00854BE4">
                  <w:pPr>
                    <w:spacing w:after="0" w:line="240" w:lineRule="auto"/>
                    <w:jc w:val="right"/>
                  </w:pPr>
                  <w:r>
                    <w:rPr>
                      <w:rFonts w:ascii="Poppins" w:eastAsia="Poppins" w:hAnsi="Poppins" w:cs="Poppins"/>
                      <w:sz w:val="16"/>
                      <w:szCs w:val="16"/>
                    </w:rPr>
                    <w:t>0.00</w:t>
                  </w:r>
                </w:p>
              </w:tc>
              <w:tc>
                <w:tcPr>
                  <w:tcW w:w="550" w:type="pct"/>
                  <w:vAlign w:val="center"/>
                </w:tcPr>
                <w:p w14:paraId="72EB7BC6" w14:textId="77777777" w:rsidR="00A561E0" w:rsidRDefault="00854BE4">
                  <w:pPr>
                    <w:spacing w:after="0" w:line="240" w:lineRule="auto"/>
                    <w:jc w:val="right"/>
                  </w:pPr>
                  <w:r>
                    <w:rPr>
                      <w:rFonts w:ascii="Poppins" w:eastAsia="Poppins" w:hAnsi="Poppins" w:cs="Poppins"/>
                      <w:sz w:val="16"/>
                      <w:szCs w:val="16"/>
                    </w:rPr>
                    <w:t>22.30</w:t>
                  </w:r>
                </w:p>
              </w:tc>
            </w:tr>
            <w:tr w:rsidR="00A561E0" w14:paraId="0100D3AD" w14:textId="77777777">
              <w:trPr>
                <w:tblCellSpacing w:w="15" w:type="dxa"/>
              </w:trPr>
              <w:tc>
                <w:tcPr>
                  <w:tcW w:w="0" w:type="auto"/>
                  <w:vAlign w:val="center"/>
                </w:tcPr>
                <w:p w14:paraId="25D349AF" w14:textId="77777777" w:rsidR="00A561E0" w:rsidRDefault="00854BE4">
                  <w:pPr>
                    <w:spacing w:after="0" w:line="240" w:lineRule="auto"/>
                  </w:pPr>
                  <w:r>
                    <w:rPr>
                      <w:rFonts w:ascii="Wingdings" w:eastAsia="Wingdings" w:hAnsi="Wingdings" w:cs="Wingdings"/>
                      <w:color w:val="FFE382"/>
                      <w:sz w:val="16"/>
                      <w:szCs w:val="16"/>
                    </w:rPr>
                    <w:t>l</w:t>
                  </w:r>
                </w:p>
              </w:tc>
              <w:tc>
                <w:tcPr>
                  <w:tcW w:w="0" w:type="auto"/>
                  <w:vAlign w:val="center"/>
                </w:tcPr>
                <w:p w14:paraId="35BE7EB7" w14:textId="77777777" w:rsidR="00A561E0" w:rsidRDefault="00854BE4">
                  <w:pPr>
                    <w:spacing w:after="0" w:line="240" w:lineRule="auto"/>
                  </w:pPr>
                  <w:r>
                    <w:rPr>
                      <w:rFonts w:ascii="Poppins" w:eastAsia="Poppins" w:hAnsi="Poppins" w:cs="Poppins"/>
                      <w:sz w:val="16"/>
                      <w:szCs w:val="16"/>
                    </w:rPr>
                    <w:t>UK Equity</w:t>
                  </w:r>
                </w:p>
              </w:tc>
              <w:tc>
                <w:tcPr>
                  <w:tcW w:w="550" w:type="pct"/>
                  <w:vAlign w:val="center"/>
                </w:tcPr>
                <w:p w14:paraId="680FF889" w14:textId="77777777" w:rsidR="00A561E0" w:rsidRDefault="00854BE4">
                  <w:pPr>
                    <w:spacing w:after="0" w:line="240" w:lineRule="auto"/>
                    <w:jc w:val="right"/>
                  </w:pPr>
                  <w:r>
                    <w:rPr>
                      <w:rFonts w:ascii="Poppins" w:eastAsia="Poppins" w:hAnsi="Poppins" w:cs="Poppins"/>
                      <w:sz w:val="16"/>
                      <w:szCs w:val="16"/>
                    </w:rPr>
                    <w:t>12.02</w:t>
                  </w:r>
                </w:p>
              </w:tc>
              <w:tc>
                <w:tcPr>
                  <w:tcW w:w="550" w:type="pct"/>
                  <w:vAlign w:val="center"/>
                </w:tcPr>
                <w:p w14:paraId="47BE999A" w14:textId="77777777" w:rsidR="00A561E0" w:rsidRDefault="00854BE4">
                  <w:pPr>
                    <w:spacing w:after="0" w:line="240" w:lineRule="auto"/>
                    <w:jc w:val="right"/>
                  </w:pPr>
                  <w:r>
                    <w:rPr>
                      <w:rFonts w:ascii="Poppins" w:eastAsia="Poppins" w:hAnsi="Poppins" w:cs="Poppins"/>
                      <w:sz w:val="16"/>
                      <w:szCs w:val="16"/>
                    </w:rPr>
                    <w:t>0.00</w:t>
                  </w:r>
                </w:p>
              </w:tc>
              <w:tc>
                <w:tcPr>
                  <w:tcW w:w="550" w:type="pct"/>
                  <w:vAlign w:val="center"/>
                </w:tcPr>
                <w:p w14:paraId="7617901E" w14:textId="77777777" w:rsidR="00A561E0" w:rsidRDefault="00854BE4">
                  <w:pPr>
                    <w:spacing w:after="0" w:line="240" w:lineRule="auto"/>
                    <w:jc w:val="right"/>
                  </w:pPr>
                  <w:r>
                    <w:rPr>
                      <w:rFonts w:ascii="Poppins" w:eastAsia="Poppins" w:hAnsi="Poppins" w:cs="Poppins"/>
                      <w:sz w:val="16"/>
                      <w:szCs w:val="16"/>
                    </w:rPr>
                    <w:t>12.02</w:t>
                  </w:r>
                </w:p>
              </w:tc>
            </w:tr>
            <w:tr w:rsidR="00A561E0" w14:paraId="4BE2425E" w14:textId="77777777">
              <w:trPr>
                <w:tblCellSpacing w:w="15" w:type="dxa"/>
              </w:trPr>
              <w:tc>
                <w:tcPr>
                  <w:tcW w:w="0" w:type="auto"/>
                  <w:vAlign w:val="center"/>
                </w:tcPr>
                <w:p w14:paraId="17C5423B" w14:textId="77777777" w:rsidR="00A561E0" w:rsidRDefault="00854BE4">
                  <w:pPr>
                    <w:spacing w:after="0" w:line="240" w:lineRule="auto"/>
                  </w:pPr>
                  <w:r>
                    <w:rPr>
                      <w:rFonts w:ascii="Wingdings" w:eastAsia="Wingdings" w:hAnsi="Wingdings" w:cs="Wingdings"/>
                      <w:color w:val="D35400"/>
                      <w:sz w:val="16"/>
                      <w:szCs w:val="16"/>
                    </w:rPr>
                    <w:t>l</w:t>
                  </w:r>
                </w:p>
              </w:tc>
              <w:tc>
                <w:tcPr>
                  <w:tcW w:w="0" w:type="auto"/>
                  <w:vAlign w:val="center"/>
                </w:tcPr>
                <w:p w14:paraId="058A95A0" w14:textId="77777777" w:rsidR="00A561E0" w:rsidRDefault="00854BE4">
                  <w:pPr>
                    <w:spacing w:after="0" w:line="240" w:lineRule="auto"/>
                  </w:pPr>
                  <w:r>
                    <w:rPr>
                      <w:rFonts w:ascii="Poppins" w:eastAsia="Poppins" w:hAnsi="Poppins" w:cs="Poppins"/>
                      <w:sz w:val="16"/>
                      <w:szCs w:val="16"/>
                    </w:rPr>
                    <w:t>UK Government Bonds</w:t>
                  </w:r>
                </w:p>
              </w:tc>
              <w:tc>
                <w:tcPr>
                  <w:tcW w:w="550" w:type="pct"/>
                  <w:vAlign w:val="center"/>
                </w:tcPr>
                <w:p w14:paraId="309ABEFB" w14:textId="77777777" w:rsidR="00A561E0" w:rsidRDefault="00854BE4">
                  <w:pPr>
                    <w:spacing w:after="0" w:line="240" w:lineRule="auto"/>
                    <w:jc w:val="right"/>
                  </w:pPr>
                  <w:r>
                    <w:rPr>
                      <w:rFonts w:ascii="Poppins" w:eastAsia="Poppins" w:hAnsi="Poppins" w:cs="Poppins"/>
                      <w:sz w:val="16"/>
                      <w:szCs w:val="16"/>
                    </w:rPr>
                    <w:t>8.84</w:t>
                  </w:r>
                </w:p>
              </w:tc>
              <w:tc>
                <w:tcPr>
                  <w:tcW w:w="550" w:type="pct"/>
                  <w:vAlign w:val="center"/>
                </w:tcPr>
                <w:p w14:paraId="3B9D6695" w14:textId="77777777" w:rsidR="00A561E0" w:rsidRDefault="00854BE4">
                  <w:pPr>
                    <w:spacing w:after="0" w:line="240" w:lineRule="auto"/>
                    <w:jc w:val="right"/>
                  </w:pPr>
                  <w:r>
                    <w:rPr>
                      <w:rFonts w:ascii="Poppins" w:eastAsia="Poppins" w:hAnsi="Poppins" w:cs="Poppins"/>
                      <w:sz w:val="16"/>
                      <w:szCs w:val="16"/>
                    </w:rPr>
                    <w:t>0.00</w:t>
                  </w:r>
                </w:p>
              </w:tc>
              <w:tc>
                <w:tcPr>
                  <w:tcW w:w="550" w:type="pct"/>
                  <w:vAlign w:val="center"/>
                </w:tcPr>
                <w:p w14:paraId="20753796" w14:textId="77777777" w:rsidR="00A561E0" w:rsidRDefault="00854BE4">
                  <w:pPr>
                    <w:spacing w:after="0" w:line="240" w:lineRule="auto"/>
                    <w:jc w:val="right"/>
                  </w:pPr>
                  <w:r>
                    <w:rPr>
                      <w:rFonts w:ascii="Poppins" w:eastAsia="Poppins" w:hAnsi="Poppins" w:cs="Poppins"/>
                      <w:sz w:val="16"/>
                      <w:szCs w:val="16"/>
                    </w:rPr>
                    <w:t>8.84</w:t>
                  </w:r>
                </w:p>
              </w:tc>
            </w:tr>
            <w:tr w:rsidR="00A561E0" w14:paraId="3B84FCD3" w14:textId="77777777">
              <w:trPr>
                <w:tblCellSpacing w:w="15" w:type="dxa"/>
              </w:trPr>
              <w:tc>
                <w:tcPr>
                  <w:tcW w:w="0" w:type="auto"/>
                  <w:vAlign w:val="center"/>
                </w:tcPr>
                <w:p w14:paraId="4218F7ED" w14:textId="77777777" w:rsidR="00A561E0" w:rsidRDefault="00854BE4">
                  <w:pPr>
                    <w:spacing w:after="0" w:line="240" w:lineRule="auto"/>
                  </w:pPr>
                  <w:r>
                    <w:rPr>
                      <w:rFonts w:ascii="Wingdings" w:eastAsia="Wingdings" w:hAnsi="Wingdings" w:cs="Wingdings"/>
                      <w:color w:val="2980B9"/>
                      <w:sz w:val="16"/>
                      <w:szCs w:val="16"/>
                    </w:rPr>
                    <w:t>l</w:t>
                  </w:r>
                </w:p>
              </w:tc>
              <w:tc>
                <w:tcPr>
                  <w:tcW w:w="0" w:type="auto"/>
                  <w:vAlign w:val="center"/>
                </w:tcPr>
                <w:p w14:paraId="52EC0887" w14:textId="77777777" w:rsidR="00A561E0" w:rsidRDefault="00854BE4">
                  <w:pPr>
                    <w:spacing w:after="0" w:line="240" w:lineRule="auto"/>
                  </w:pPr>
                  <w:r>
                    <w:rPr>
                      <w:rFonts w:ascii="Poppins" w:eastAsia="Poppins" w:hAnsi="Poppins" w:cs="Poppins"/>
                      <w:sz w:val="16"/>
                      <w:szCs w:val="16"/>
                    </w:rPr>
                    <w:t>UK Index Linked Bonds</w:t>
                  </w:r>
                </w:p>
              </w:tc>
              <w:tc>
                <w:tcPr>
                  <w:tcW w:w="550" w:type="pct"/>
                  <w:vAlign w:val="center"/>
                </w:tcPr>
                <w:p w14:paraId="440FFD2F" w14:textId="77777777" w:rsidR="00A561E0" w:rsidRDefault="00854BE4">
                  <w:pPr>
                    <w:spacing w:after="0" w:line="240" w:lineRule="auto"/>
                    <w:jc w:val="right"/>
                  </w:pPr>
                  <w:r>
                    <w:rPr>
                      <w:rFonts w:ascii="Poppins" w:eastAsia="Poppins" w:hAnsi="Poppins" w:cs="Poppins"/>
                      <w:sz w:val="16"/>
                      <w:szCs w:val="16"/>
                    </w:rPr>
                    <w:t>4.14</w:t>
                  </w:r>
                </w:p>
              </w:tc>
              <w:tc>
                <w:tcPr>
                  <w:tcW w:w="550" w:type="pct"/>
                  <w:vAlign w:val="center"/>
                </w:tcPr>
                <w:p w14:paraId="3470BB42" w14:textId="77777777" w:rsidR="00A561E0" w:rsidRDefault="00854BE4">
                  <w:pPr>
                    <w:spacing w:after="0" w:line="240" w:lineRule="auto"/>
                    <w:jc w:val="right"/>
                  </w:pPr>
                  <w:r>
                    <w:rPr>
                      <w:rFonts w:ascii="Poppins" w:eastAsia="Poppins" w:hAnsi="Poppins" w:cs="Poppins"/>
                      <w:sz w:val="16"/>
                      <w:szCs w:val="16"/>
                    </w:rPr>
                    <w:t>0.00</w:t>
                  </w:r>
                </w:p>
              </w:tc>
              <w:tc>
                <w:tcPr>
                  <w:tcW w:w="550" w:type="pct"/>
                  <w:vAlign w:val="center"/>
                </w:tcPr>
                <w:p w14:paraId="63CC9BE1" w14:textId="77777777" w:rsidR="00A561E0" w:rsidRDefault="00854BE4">
                  <w:pPr>
                    <w:spacing w:after="0" w:line="240" w:lineRule="auto"/>
                    <w:jc w:val="right"/>
                  </w:pPr>
                  <w:r>
                    <w:rPr>
                      <w:rFonts w:ascii="Poppins" w:eastAsia="Poppins" w:hAnsi="Poppins" w:cs="Poppins"/>
                      <w:sz w:val="16"/>
                      <w:szCs w:val="16"/>
                    </w:rPr>
                    <w:t>4.14</w:t>
                  </w:r>
                </w:p>
              </w:tc>
            </w:tr>
            <w:tr w:rsidR="00A561E0" w14:paraId="5AC349A1" w14:textId="77777777">
              <w:trPr>
                <w:tblCellSpacing w:w="15" w:type="dxa"/>
              </w:trPr>
              <w:tc>
                <w:tcPr>
                  <w:tcW w:w="0" w:type="auto"/>
                  <w:vAlign w:val="center"/>
                </w:tcPr>
                <w:p w14:paraId="77E40EAE" w14:textId="77777777" w:rsidR="00A561E0" w:rsidRDefault="00854BE4">
                  <w:pPr>
                    <w:spacing w:after="0" w:line="240" w:lineRule="auto"/>
                  </w:pPr>
                  <w:r>
                    <w:rPr>
                      <w:rFonts w:ascii="Wingdings" w:eastAsia="Wingdings" w:hAnsi="Wingdings" w:cs="Wingdings"/>
                      <w:color w:val="3FC6D4"/>
                      <w:sz w:val="16"/>
                      <w:szCs w:val="16"/>
                    </w:rPr>
                    <w:t>l</w:t>
                  </w:r>
                </w:p>
              </w:tc>
              <w:tc>
                <w:tcPr>
                  <w:tcW w:w="0" w:type="auto"/>
                  <w:vAlign w:val="center"/>
                </w:tcPr>
                <w:p w14:paraId="031415DC" w14:textId="77777777" w:rsidR="00A561E0" w:rsidRDefault="00854BE4">
                  <w:pPr>
                    <w:spacing w:after="0" w:line="240" w:lineRule="auto"/>
                  </w:pPr>
                  <w:r>
                    <w:rPr>
                      <w:rFonts w:ascii="Poppins" w:eastAsia="Poppins" w:hAnsi="Poppins" w:cs="Poppins"/>
                      <w:sz w:val="16"/>
                      <w:szCs w:val="16"/>
                    </w:rPr>
                    <w:t>Europe (ex-UK) Equity</w:t>
                  </w:r>
                </w:p>
              </w:tc>
              <w:tc>
                <w:tcPr>
                  <w:tcW w:w="550" w:type="pct"/>
                  <w:vAlign w:val="center"/>
                </w:tcPr>
                <w:p w14:paraId="34975B16" w14:textId="77777777" w:rsidR="00A561E0" w:rsidRDefault="00854BE4">
                  <w:pPr>
                    <w:spacing w:after="0" w:line="240" w:lineRule="auto"/>
                    <w:jc w:val="right"/>
                  </w:pPr>
                  <w:r>
                    <w:rPr>
                      <w:rFonts w:ascii="Poppins" w:eastAsia="Poppins" w:hAnsi="Poppins" w:cs="Poppins"/>
                      <w:sz w:val="16"/>
                      <w:szCs w:val="16"/>
                    </w:rPr>
                    <w:t>4.04</w:t>
                  </w:r>
                </w:p>
              </w:tc>
              <w:tc>
                <w:tcPr>
                  <w:tcW w:w="550" w:type="pct"/>
                  <w:vAlign w:val="center"/>
                </w:tcPr>
                <w:p w14:paraId="2D8E1D62" w14:textId="77777777" w:rsidR="00A561E0" w:rsidRDefault="00854BE4">
                  <w:pPr>
                    <w:spacing w:after="0" w:line="240" w:lineRule="auto"/>
                    <w:jc w:val="right"/>
                  </w:pPr>
                  <w:r>
                    <w:rPr>
                      <w:rFonts w:ascii="Poppins" w:eastAsia="Poppins" w:hAnsi="Poppins" w:cs="Poppins"/>
                      <w:sz w:val="16"/>
                      <w:szCs w:val="16"/>
                    </w:rPr>
                    <w:t>0.00</w:t>
                  </w:r>
                </w:p>
              </w:tc>
              <w:tc>
                <w:tcPr>
                  <w:tcW w:w="550" w:type="pct"/>
                  <w:vAlign w:val="center"/>
                </w:tcPr>
                <w:p w14:paraId="400A0088" w14:textId="77777777" w:rsidR="00A561E0" w:rsidRDefault="00854BE4">
                  <w:pPr>
                    <w:spacing w:after="0" w:line="240" w:lineRule="auto"/>
                    <w:jc w:val="right"/>
                  </w:pPr>
                  <w:r>
                    <w:rPr>
                      <w:rFonts w:ascii="Poppins" w:eastAsia="Poppins" w:hAnsi="Poppins" w:cs="Poppins"/>
                      <w:sz w:val="16"/>
                      <w:szCs w:val="16"/>
                    </w:rPr>
                    <w:t>4.04</w:t>
                  </w:r>
                </w:p>
              </w:tc>
            </w:tr>
            <w:tr w:rsidR="00A561E0" w14:paraId="74521F0D" w14:textId="77777777">
              <w:trPr>
                <w:tblCellSpacing w:w="15" w:type="dxa"/>
              </w:trPr>
              <w:tc>
                <w:tcPr>
                  <w:tcW w:w="0" w:type="auto"/>
                  <w:vAlign w:val="center"/>
                </w:tcPr>
                <w:p w14:paraId="10EC98BB" w14:textId="77777777" w:rsidR="00A561E0" w:rsidRDefault="00854BE4">
                  <w:pPr>
                    <w:spacing w:after="0" w:line="240" w:lineRule="auto"/>
                  </w:pPr>
                  <w:r>
                    <w:rPr>
                      <w:rFonts w:ascii="Wingdings" w:eastAsia="Wingdings" w:hAnsi="Wingdings" w:cs="Wingdings"/>
                      <w:color w:val="C0392B"/>
                      <w:sz w:val="16"/>
                      <w:szCs w:val="16"/>
                    </w:rPr>
                    <w:t>l</w:t>
                  </w:r>
                </w:p>
              </w:tc>
              <w:tc>
                <w:tcPr>
                  <w:tcW w:w="0" w:type="auto"/>
                  <w:vAlign w:val="center"/>
                </w:tcPr>
                <w:p w14:paraId="5FABFF58" w14:textId="77777777" w:rsidR="00A561E0" w:rsidRDefault="00854BE4">
                  <w:pPr>
                    <w:spacing w:after="0" w:line="240" w:lineRule="auto"/>
                  </w:pPr>
                  <w:r>
                    <w:rPr>
                      <w:rFonts w:ascii="Poppins" w:eastAsia="Poppins" w:hAnsi="Poppins" w:cs="Poppins"/>
                      <w:sz w:val="16"/>
                      <w:szCs w:val="16"/>
                    </w:rPr>
                    <w:t>UK Corporate Bonds</w:t>
                  </w:r>
                </w:p>
              </w:tc>
              <w:tc>
                <w:tcPr>
                  <w:tcW w:w="550" w:type="pct"/>
                  <w:vAlign w:val="center"/>
                </w:tcPr>
                <w:p w14:paraId="646FC2C3" w14:textId="77777777" w:rsidR="00A561E0" w:rsidRDefault="00854BE4">
                  <w:pPr>
                    <w:spacing w:after="0" w:line="240" w:lineRule="auto"/>
                    <w:jc w:val="right"/>
                  </w:pPr>
                  <w:r>
                    <w:rPr>
                      <w:rFonts w:ascii="Poppins" w:eastAsia="Poppins" w:hAnsi="Poppins" w:cs="Poppins"/>
                      <w:sz w:val="16"/>
                      <w:szCs w:val="16"/>
                    </w:rPr>
                    <w:t>2.90</w:t>
                  </w:r>
                </w:p>
              </w:tc>
              <w:tc>
                <w:tcPr>
                  <w:tcW w:w="550" w:type="pct"/>
                  <w:vAlign w:val="center"/>
                </w:tcPr>
                <w:p w14:paraId="2E8F8CFB" w14:textId="77777777" w:rsidR="00A561E0" w:rsidRDefault="00854BE4">
                  <w:pPr>
                    <w:spacing w:after="0" w:line="240" w:lineRule="auto"/>
                    <w:jc w:val="right"/>
                  </w:pPr>
                  <w:r>
                    <w:rPr>
                      <w:rFonts w:ascii="Poppins" w:eastAsia="Poppins" w:hAnsi="Poppins" w:cs="Poppins"/>
                      <w:sz w:val="16"/>
                      <w:szCs w:val="16"/>
                    </w:rPr>
                    <w:t>0.00</w:t>
                  </w:r>
                </w:p>
              </w:tc>
              <w:tc>
                <w:tcPr>
                  <w:tcW w:w="550" w:type="pct"/>
                  <w:vAlign w:val="center"/>
                </w:tcPr>
                <w:p w14:paraId="5420405D" w14:textId="77777777" w:rsidR="00A561E0" w:rsidRDefault="00854BE4">
                  <w:pPr>
                    <w:spacing w:after="0" w:line="240" w:lineRule="auto"/>
                    <w:jc w:val="right"/>
                  </w:pPr>
                  <w:r>
                    <w:rPr>
                      <w:rFonts w:ascii="Poppins" w:eastAsia="Poppins" w:hAnsi="Poppins" w:cs="Poppins"/>
                      <w:sz w:val="16"/>
                      <w:szCs w:val="16"/>
                    </w:rPr>
                    <w:t>2.90</w:t>
                  </w:r>
                </w:p>
              </w:tc>
            </w:tr>
            <w:tr w:rsidR="00A561E0" w14:paraId="30F6A50C" w14:textId="77777777">
              <w:trPr>
                <w:tblCellSpacing w:w="15" w:type="dxa"/>
              </w:trPr>
              <w:tc>
                <w:tcPr>
                  <w:tcW w:w="0" w:type="auto"/>
                  <w:vAlign w:val="center"/>
                </w:tcPr>
                <w:p w14:paraId="0D7E2BD0" w14:textId="77777777" w:rsidR="00A561E0" w:rsidRDefault="00854BE4">
                  <w:pPr>
                    <w:spacing w:after="0" w:line="240" w:lineRule="auto"/>
                  </w:pPr>
                  <w:r>
                    <w:rPr>
                      <w:rFonts w:ascii="Wingdings" w:eastAsia="Wingdings" w:hAnsi="Wingdings" w:cs="Wingdings"/>
                      <w:color w:val="727E7E"/>
                      <w:sz w:val="16"/>
                      <w:szCs w:val="16"/>
                    </w:rPr>
                    <w:t>l</w:t>
                  </w:r>
                </w:p>
              </w:tc>
              <w:tc>
                <w:tcPr>
                  <w:tcW w:w="0" w:type="auto"/>
                  <w:vAlign w:val="center"/>
                </w:tcPr>
                <w:p w14:paraId="3C63883B" w14:textId="77777777" w:rsidR="00A561E0" w:rsidRDefault="00854BE4">
                  <w:pPr>
                    <w:spacing w:after="0" w:line="240" w:lineRule="auto"/>
                  </w:pPr>
                  <w:r>
                    <w:rPr>
                      <w:rFonts w:ascii="Poppins" w:eastAsia="Poppins" w:hAnsi="Poppins" w:cs="Poppins"/>
                      <w:sz w:val="16"/>
                      <w:szCs w:val="16"/>
                    </w:rPr>
                    <w:t>Emerging Markets Equity</w:t>
                  </w:r>
                </w:p>
              </w:tc>
              <w:tc>
                <w:tcPr>
                  <w:tcW w:w="550" w:type="pct"/>
                  <w:vAlign w:val="center"/>
                </w:tcPr>
                <w:p w14:paraId="516E05B7" w14:textId="77777777" w:rsidR="00A561E0" w:rsidRDefault="00854BE4">
                  <w:pPr>
                    <w:spacing w:after="0" w:line="240" w:lineRule="auto"/>
                    <w:jc w:val="right"/>
                  </w:pPr>
                  <w:r>
                    <w:rPr>
                      <w:rFonts w:ascii="Poppins" w:eastAsia="Poppins" w:hAnsi="Poppins" w:cs="Poppins"/>
                      <w:sz w:val="16"/>
                      <w:szCs w:val="16"/>
                    </w:rPr>
                    <w:t>2.69</w:t>
                  </w:r>
                </w:p>
              </w:tc>
              <w:tc>
                <w:tcPr>
                  <w:tcW w:w="550" w:type="pct"/>
                  <w:vAlign w:val="center"/>
                </w:tcPr>
                <w:p w14:paraId="04DE25DC" w14:textId="77777777" w:rsidR="00A561E0" w:rsidRDefault="00854BE4">
                  <w:pPr>
                    <w:spacing w:after="0" w:line="240" w:lineRule="auto"/>
                    <w:jc w:val="right"/>
                  </w:pPr>
                  <w:r>
                    <w:rPr>
                      <w:rFonts w:ascii="Poppins" w:eastAsia="Poppins" w:hAnsi="Poppins" w:cs="Poppins"/>
                      <w:sz w:val="16"/>
                      <w:szCs w:val="16"/>
                    </w:rPr>
                    <w:t>0.00</w:t>
                  </w:r>
                </w:p>
              </w:tc>
              <w:tc>
                <w:tcPr>
                  <w:tcW w:w="550" w:type="pct"/>
                  <w:vAlign w:val="center"/>
                </w:tcPr>
                <w:p w14:paraId="595F1D5F" w14:textId="77777777" w:rsidR="00A561E0" w:rsidRDefault="00854BE4">
                  <w:pPr>
                    <w:spacing w:after="0" w:line="240" w:lineRule="auto"/>
                    <w:jc w:val="right"/>
                  </w:pPr>
                  <w:r>
                    <w:rPr>
                      <w:rFonts w:ascii="Poppins" w:eastAsia="Poppins" w:hAnsi="Poppins" w:cs="Poppins"/>
                      <w:sz w:val="16"/>
                      <w:szCs w:val="16"/>
                    </w:rPr>
                    <w:t>2.69</w:t>
                  </w:r>
                </w:p>
              </w:tc>
            </w:tr>
            <w:tr w:rsidR="00A561E0" w14:paraId="49621882" w14:textId="77777777">
              <w:trPr>
                <w:tblCellSpacing w:w="15" w:type="dxa"/>
              </w:trPr>
              <w:tc>
                <w:tcPr>
                  <w:tcW w:w="0" w:type="auto"/>
                  <w:vAlign w:val="center"/>
                </w:tcPr>
                <w:p w14:paraId="0126878B" w14:textId="77777777" w:rsidR="00A561E0" w:rsidRDefault="00854BE4">
                  <w:pPr>
                    <w:spacing w:after="0" w:line="240" w:lineRule="auto"/>
                  </w:pPr>
                  <w:r>
                    <w:rPr>
                      <w:rFonts w:ascii="Wingdings" w:eastAsia="Wingdings" w:hAnsi="Wingdings" w:cs="Wingdings"/>
                      <w:color w:val="F39C12"/>
                      <w:sz w:val="16"/>
                      <w:szCs w:val="16"/>
                    </w:rPr>
                    <w:t>l</w:t>
                  </w:r>
                </w:p>
              </w:tc>
              <w:tc>
                <w:tcPr>
                  <w:tcW w:w="0" w:type="auto"/>
                  <w:vAlign w:val="center"/>
                </w:tcPr>
                <w:p w14:paraId="3E2A8C3B" w14:textId="77777777" w:rsidR="00A561E0" w:rsidRDefault="00854BE4">
                  <w:pPr>
                    <w:spacing w:after="0" w:line="240" w:lineRule="auto"/>
                  </w:pPr>
                  <w:r>
                    <w:rPr>
                      <w:rFonts w:ascii="Poppins" w:eastAsia="Poppins" w:hAnsi="Poppins" w:cs="Poppins"/>
                      <w:sz w:val="16"/>
                      <w:szCs w:val="16"/>
                    </w:rPr>
                    <w:t>Developed Pacific (ex-Japan) Equity</w:t>
                  </w:r>
                </w:p>
              </w:tc>
              <w:tc>
                <w:tcPr>
                  <w:tcW w:w="550" w:type="pct"/>
                  <w:vAlign w:val="center"/>
                </w:tcPr>
                <w:p w14:paraId="015277C6" w14:textId="77777777" w:rsidR="00A561E0" w:rsidRDefault="00854BE4">
                  <w:pPr>
                    <w:spacing w:after="0" w:line="240" w:lineRule="auto"/>
                    <w:jc w:val="right"/>
                  </w:pPr>
                  <w:r>
                    <w:rPr>
                      <w:rFonts w:ascii="Poppins" w:eastAsia="Poppins" w:hAnsi="Poppins" w:cs="Poppins"/>
                      <w:sz w:val="16"/>
                      <w:szCs w:val="16"/>
                    </w:rPr>
                    <w:t>1.66</w:t>
                  </w:r>
                </w:p>
              </w:tc>
              <w:tc>
                <w:tcPr>
                  <w:tcW w:w="550" w:type="pct"/>
                  <w:vAlign w:val="center"/>
                </w:tcPr>
                <w:p w14:paraId="53C998AE" w14:textId="77777777" w:rsidR="00A561E0" w:rsidRDefault="00854BE4">
                  <w:pPr>
                    <w:spacing w:after="0" w:line="240" w:lineRule="auto"/>
                    <w:jc w:val="right"/>
                  </w:pPr>
                  <w:r>
                    <w:rPr>
                      <w:rFonts w:ascii="Poppins" w:eastAsia="Poppins" w:hAnsi="Poppins" w:cs="Poppins"/>
                      <w:sz w:val="16"/>
                      <w:szCs w:val="16"/>
                    </w:rPr>
                    <w:t>0.00</w:t>
                  </w:r>
                </w:p>
              </w:tc>
              <w:tc>
                <w:tcPr>
                  <w:tcW w:w="550" w:type="pct"/>
                  <w:vAlign w:val="center"/>
                </w:tcPr>
                <w:p w14:paraId="77F33C6D" w14:textId="77777777" w:rsidR="00A561E0" w:rsidRDefault="00854BE4">
                  <w:pPr>
                    <w:spacing w:after="0" w:line="240" w:lineRule="auto"/>
                    <w:jc w:val="right"/>
                  </w:pPr>
                  <w:r>
                    <w:rPr>
                      <w:rFonts w:ascii="Poppins" w:eastAsia="Poppins" w:hAnsi="Poppins" w:cs="Poppins"/>
                      <w:sz w:val="16"/>
                      <w:szCs w:val="16"/>
                    </w:rPr>
                    <w:t>1.66</w:t>
                  </w:r>
                </w:p>
              </w:tc>
            </w:tr>
            <w:tr w:rsidR="00A561E0" w14:paraId="27B91505" w14:textId="77777777">
              <w:trPr>
                <w:tblCellSpacing w:w="15" w:type="dxa"/>
              </w:trPr>
              <w:tc>
                <w:tcPr>
                  <w:tcW w:w="0" w:type="auto"/>
                  <w:vAlign w:val="center"/>
                </w:tcPr>
                <w:p w14:paraId="53531741" w14:textId="77777777" w:rsidR="00A561E0" w:rsidRDefault="00854BE4">
                  <w:pPr>
                    <w:spacing w:after="0" w:line="240" w:lineRule="auto"/>
                  </w:pPr>
                  <w:r>
                    <w:rPr>
                      <w:rFonts w:ascii="Wingdings" w:eastAsia="Wingdings" w:hAnsi="Wingdings" w:cs="Wingdings"/>
                      <w:color w:val="16A085"/>
                      <w:sz w:val="16"/>
                      <w:szCs w:val="16"/>
                    </w:rPr>
                    <w:t>l</w:t>
                  </w:r>
                </w:p>
              </w:tc>
              <w:tc>
                <w:tcPr>
                  <w:tcW w:w="0" w:type="auto"/>
                  <w:vAlign w:val="center"/>
                </w:tcPr>
                <w:p w14:paraId="35B00543" w14:textId="77777777" w:rsidR="00A561E0" w:rsidRDefault="00854BE4">
                  <w:pPr>
                    <w:spacing w:after="0" w:line="240" w:lineRule="auto"/>
                  </w:pPr>
                  <w:r>
                    <w:rPr>
                      <w:rFonts w:ascii="Poppins" w:eastAsia="Poppins" w:hAnsi="Poppins" w:cs="Poppins"/>
                      <w:sz w:val="16"/>
                      <w:szCs w:val="16"/>
                    </w:rPr>
                    <w:t>Japan Equity</w:t>
                  </w:r>
                </w:p>
              </w:tc>
              <w:tc>
                <w:tcPr>
                  <w:tcW w:w="550" w:type="pct"/>
                  <w:vAlign w:val="center"/>
                </w:tcPr>
                <w:p w14:paraId="3CC69D5A" w14:textId="77777777" w:rsidR="00A561E0" w:rsidRDefault="00854BE4">
                  <w:pPr>
                    <w:spacing w:after="0" w:line="240" w:lineRule="auto"/>
                    <w:jc w:val="right"/>
                  </w:pPr>
                  <w:r>
                    <w:rPr>
                      <w:rFonts w:ascii="Poppins" w:eastAsia="Poppins" w:hAnsi="Poppins" w:cs="Poppins"/>
                      <w:sz w:val="16"/>
                      <w:szCs w:val="16"/>
                    </w:rPr>
                    <w:t>1.31</w:t>
                  </w:r>
                </w:p>
              </w:tc>
              <w:tc>
                <w:tcPr>
                  <w:tcW w:w="550" w:type="pct"/>
                  <w:vAlign w:val="center"/>
                </w:tcPr>
                <w:p w14:paraId="2A8F6083" w14:textId="77777777" w:rsidR="00A561E0" w:rsidRDefault="00854BE4">
                  <w:pPr>
                    <w:spacing w:after="0" w:line="240" w:lineRule="auto"/>
                    <w:jc w:val="right"/>
                  </w:pPr>
                  <w:r>
                    <w:rPr>
                      <w:rFonts w:ascii="Poppins" w:eastAsia="Poppins" w:hAnsi="Poppins" w:cs="Poppins"/>
                      <w:sz w:val="16"/>
                      <w:szCs w:val="16"/>
                    </w:rPr>
                    <w:t>0.00</w:t>
                  </w:r>
                </w:p>
              </w:tc>
              <w:tc>
                <w:tcPr>
                  <w:tcW w:w="550" w:type="pct"/>
                  <w:vAlign w:val="center"/>
                </w:tcPr>
                <w:p w14:paraId="59763AC2" w14:textId="77777777" w:rsidR="00A561E0" w:rsidRDefault="00854BE4">
                  <w:pPr>
                    <w:spacing w:after="0" w:line="240" w:lineRule="auto"/>
                    <w:jc w:val="right"/>
                  </w:pPr>
                  <w:r>
                    <w:rPr>
                      <w:rFonts w:ascii="Poppins" w:eastAsia="Poppins" w:hAnsi="Poppins" w:cs="Poppins"/>
                      <w:sz w:val="16"/>
                      <w:szCs w:val="16"/>
                    </w:rPr>
                    <w:t>1.31</w:t>
                  </w:r>
                </w:p>
              </w:tc>
            </w:tr>
            <w:tr w:rsidR="00A561E0" w14:paraId="739DF942" w14:textId="77777777">
              <w:trPr>
                <w:tblCellSpacing w:w="15" w:type="dxa"/>
              </w:trPr>
              <w:tc>
                <w:tcPr>
                  <w:tcW w:w="0" w:type="auto"/>
                  <w:vAlign w:val="center"/>
                </w:tcPr>
                <w:p w14:paraId="026833EA" w14:textId="77777777" w:rsidR="00A561E0" w:rsidRDefault="00854BE4">
                  <w:pPr>
                    <w:spacing w:after="0" w:line="240" w:lineRule="auto"/>
                  </w:pPr>
                  <w:r>
                    <w:rPr>
                      <w:rFonts w:ascii="Wingdings" w:eastAsia="Wingdings" w:hAnsi="Wingdings" w:cs="Wingdings"/>
                      <w:color w:val="2CABFF"/>
                      <w:sz w:val="16"/>
                      <w:szCs w:val="16"/>
                    </w:rPr>
                    <w:t>l</w:t>
                  </w:r>
                </w:p>
              </w:tc>
              <w:tc>
                <w:tcPr>
                  <w:tcW w:w="0" w:type="auto"/>
                  <w:vAlign w:val="center"/>
                </w:tcPr>
                <w:p w14:paraId="729C5C57" w14:textId="77777777" w:rsidR="00A561E0" w:rsidRDefault="00854BE4">
                  <w:pPr>
                    <w:spacing w:after="0" w:line="240" w:lineRule="auto"/>
                  </w:pPr>
                  <w:r>
                    <w:rPr>
                      <w:rFonts w:ascii="Poppins" w:eastAsia="Poppins" w:hAnsi="Poppins" w:cs="Poppins"/>
                      <w:sz w:val="16"/>
                      <w:szCs w:val="16"/>
                    </w:rPr>
                    <w:t>Cash - Short Term Money Market</w:t>
                  </w:r>
                </w:p>
              </w:tc>
              <w:tc>
                <w:tcPr>
                  <w:tcW w:w="550" w:type="pct"/>
                  <w:vAlign w:val="center"/>
                </w:tcPr>
                <w:p w14:paraId="738F689F" w14:textId="77777777" w:rsidR="00A561E0" w:rsidRDefault="00854BE4">
                  <w:pPr>
                    <w:spacing w:after="0" w:line="240" w:lineRule="auto"/>
                    <w:jc w:val="right"/>
                  </w:pPr>
                  <w:r>
                    <w:rPr>
                      <w:rFonts w:ascii="Poppins" w:eastAsia="Poppins" w:hAnsi="Poppins" w:cs="Poppins"/>
                      <w:sz w:val="16"/>
                      <w:szCs w:val="16"/>
                    </w:rPr>
                    <w:t>0.21</w:t>
                  </w:r>
                </w:p>
              </w:tc>
              <w:tc>
                <w:tcPr>
                  <w:tcW w:w="550" w:type="pct"/>
                  <w:vAlign w:val="center"/>
                </w:tcPr>
                <w:p w14:paraId="5FAD85A2" w14:textId="77777777" w:rsidR="00A561E0" w:rsidRDefault="00854BE4">
                  <w:pPr>
                    <w:spacing w:after="0" w:line="240" w:lineRule="auto"/>
                    <w:jc w:val="right"/>
                  </w:pPr>
                  <w:r>
                    <w:rPr>
                      <w:rFonts w:ascii="Poppins" w:eastAsia="Poppins" w:hAnsi="Poppins" w:cs="Poppins"/>
                      <w:sz w:val="16"/>
                      <w:szCs w:val="16"/>
                    </w:rPr>
                    <w:t>-0.01</w:t>
                  </w:r>
                </w:p>
              </w:tc>
              <w:tc>
                <w:tcPr>
                  <w:tcW w:w="550" w:type="pct"/>
                  <w:vAlign w:val="center"/>
                </w:tcPr>
                <w:p w14:paraId="1EEC8B05" w14:textId="77777777" w:rsidR="00A561E0" w:rsidRDefault="00854BE4">
                  <w:pPr>
                    <w:spacing w:after="0" w:line="240" w:lineRule="auto"/>
                    <w:jc w:val="right"/>
                  </w:pPr>
                  <w:r>
                    <w:rPr>
                      <w:rFonts w:ascii="Poppins" w:eastAsia="Poppins" w:hAnsi="Poppins" w:cs="Poppins"/>
                      <w:sz w:val="16"/>
                      <w:szCs w:val="16"/>
                    </w:rPr>
                    <w:t>0.22</w:t>
                  </w:r>
                </w:p>
              </w:tc>
            </w:tr>
            <w:tr w:rsidR="00A561E0" w14:paraId="2D3E474E" w14:textId="77777777">
              <w:trPr>
                <w:tblCellSpacing w:w="15" w:type="dxa"/>
              </w:trPr>
              <w:tc>
                <w:tcPr>
                  <w:tcW w:w="0" w:type="auto"/>
                  <w:vAlign w:val="center"/>
                </w:tcPr>
                <w:p w14:paraId="0E704CE5" w14:textId="77777777" w:rsidR="00A561E0" w:rsidRDefault="00854BE4">
                  <w:pPr>
                    <w:spacing w:after="0" w:line="240" w:lineRule="auto"/>
                  </w:pPr>
                  <w:r>
                    <w:rPr>
                      <w:rFonts w:ascii="Wingdings" w:eastAsia="Wingdings" w:hAnsi="Wingdings" w:cs="Wingdings"/>
                      <w:color w:val="A1D6B5"/>
                      <w:sz w:val="16"/>
                      <w:szCs w:val="16"/>
                    </w:rPr>
                    <w:t>l</w:t>
                  </w:r>
                </w:p>
              </w:tc>
              <w:tc>
                <w:tcPr>
                  <w:tcW w:w="0" w:type="auto"/>
                  <w:vAlign w:val="center"/>
                </w:tcPr>
                <w:p w14:paraId="0542A0AC" w14:textId="77777777" w:rsidR="00A561E0" w:rsidRDefault="00854BE4">
                  <w:pPr>
                    <w:spacing w:after="0" w:line="240" w:lineRule="auto"/>
                  </w:pPr>
                  <w:r>
                    <w:rPr>
                      <w:rFonts w:ascii="Poppins" w:eastAsia="Poppins" w:hAnsi="Poppins" w:cs="Poppins"/>
                      <w:sz w:val="16"/>
                      <w:szCs w:val="16"/>
                    </w:rPr>
                    <w:t>Other</w:t>
                  </w:r>
                </w:p>
              </w:tc>
              <w:tc>
                <w:tcPr>
                  <w:tcW w:w="550" w:type="pct"/>
                  <w:vAlign w:val="center"/>
                </w:tcPr>
                <w:p w14:paraId="681A91CA" w14:textId="77777777" w:rsidR="00A561E0" w:rsidRDefault="00854BE4">
                  <w:pPr>
                    <w:spacing w:after="0" w:line="240" w:lineRule="auto"/>
                    <w:jc w:val="right"/>
                  </w:pPr>
                  <w:r>
                    <w:rPr>
                      <w:rFonts w:ascii="Poppins" w:eastAsia="Poppins" w:hAnsi="Poppins" w:cs="Poppins"/>
                      <w:sz w:val="16"/>
                      <w:szCs w:val="16"/>
                    </w:rPr>
                    <w:t>-0.04</w:t>
                  </w:r>
                </w:p>
              </w:tc>
              <w:tc>
                <w:tcPr>
                  <w:tcW w:w="550" w:type="pct"/>
                  <w:vAlign w:val="center"/>
                </w:tcPr>
                <w:p w14:paraId="5E57F222" w14:textId="77777777" w:rsidR="00A561E0" w:rsidRDefault="00854BE4">
                  <w:pPr>
                    <w:spacing w:after="0" w:line="240" w:lineRule="auto"/>
                    <w:jc w:val="right"/>
                  </w:pPr>
                  <w:r>
                    <w:rPr>
                      <w:rFonts w:ascii="Poppins" w:eastAsia="Poppins" w:hAnsi="Poppins" w:cs="Poppins"/>
                      <w:sz w:val="16"/>
                      <w:szCs w:val="16"/>
                    </w:rPr>
                    <w:t>-40.12</w:t>
                  </w:r>
                </w:p>
              </w:tc>
              <w:tc>
                <w:tcPr>
                  <w:tcW w:w="550" w:type="pct"/>
                  <w:vAlign w:val="center"/>
                </w:tcPr>
                <w:p w14:paraId="6EF0F6F0" w14:textId="77777777" w:rsidR="00A561E0" w:rsidRDefault="00854BE4">
                  <w:pPr>
                    <w:spacing w:after="0" w:line="240" w:lineRule="auto"/>
                    <w:jc w:val="right"/>
                  </w:pPr>
                  <w:r>
                    <w:rPr>
                      <w:rFonts w:ascii="Poppins" w:eastAsia="Poppins" w:hAnsi="Poppins" w:cs="Poppins"/>
                      <w:sz w:val="16"/>
                      <w:szCs w:val="16"/>
                    </w:rPr>
                    <w:t>40.08</w:t>
                  </w:r>
                </w:p>
              </w:tc>
            </w:tr>
          </w:tbl>
          <w:p w14:paraId="49424763" w14:textId="77777777" w:rsidR="00A561E0" w:rsidRDefault="00A561E0">
            <w:pPr>
              <w:spacing w:after="0"/>
            </w:pPr>
          </w:p>
        </w:tc>
      </w:tr>
      <w:tr w:rsidR="00A561E0" w14:paraId="0841682C" w14:textId="77777777">
        <w:trPr>
          <w:tblCellSpacing w:w="15" w:type="dxa"/>
        </w:trPr>
        <w:tc>
          <w:tcPr>
            <w:tcW w:w="0" w:type="auto"/>
            <w:gridSpan w:val="2"/>
          </w:tcPr>
          <w:p w14:paraId="7EC28A52" w14:textId="77777777" w:rsidR="00A561E0" w:rsidRDefault="00854BE4">
            <w:pPr>
              <w:spacing w:after="0"/>
            </w:pPr>
            <w:r>
              <w:rPr>
                <w:rFonts w:ascii="Poppins" w:eastAsia="Poppins" w:hAnsi="Poppins" w:cs="Poppins"/>
                <w:sz w:val="16"/>
                <w:szCs w:val="16"/>
              </w:rPr>
              <w:t>⁽</w:t>
            </w:r>
            <w:r>
              <w:rPr>
                <w:rFonts w:ascii="Poppins" w:eastAsia="Poppins" w:hAnsi="Poppins" w:cs="Poppins"/>
                <w:sz w:val="16"/>
                <w:szCs w:val="16"/>
              </w:rPr>
              <w:t>¹⁾ Due to the negative asset allocation within the selected portfolio the investment allocation chart is unavailable.</w:t>
            </w:r>
            <w:r>
              <w:rPr>
                <w:rFonts w:ascii="Poppins" w:eastAsia="Poppins" w:hAnsi="Poppins" w:cs="Poppins"/>
                <w:sz w:val="16"/>
                <w:szCs w:val="16"/>
              </w:rPr>
              <w:br/>
              <w:t>⁽²⁾ Due to rounding there may be a discrepancy between the Long/Short % and the Net %.</w:t>
            </w:r>
          </w:p>
        </w:tc>
      </w:tr>
    </w:tbl>
    <w:p w14:paraId="5046278A" w14:textId="77777777" w:rsidR="00A561E0" w:rsidRDefault="00A561E0">
      <w:pPr>
        <w:spacing w:after="280" w:afterAutospacing="1"/>
      </w:pPr>
    </w:p>
    <w:p w14:paraId="2E67C4E2" w14:textId="77777777" w:rsidR="00A561E0" w:rsidRDefault="00854BE4">
      <w:pPr>
        <w:rPr>
          <w:color w:val="392388"/>
          <w:lang w:val="en-NZ"/>
        </w:rPr>
      </w:pPr>
      <w:r>
        <w:rPr>
          <w:color w:val="392388"/>
          <w:lang w:val="en-NZ"/>
        </w:rPr>
        <w:br w:type="page"/>
      </w:r>
    </w:p>
    <w:p w14:paraId="5DF8CD38" w14:textId="77777777" w:rsidR="00A561E0" w:rsidRDefault="00854BE4">
      <w:pPr>
        <w:pStyle w:val="DefaqtoHeading2-noTOC"/>
      </w:pPr>
      <w:r>
        <w:rPr>
          <w:lang w:val="en-NZ"/>
        </w:rPr>
        <w:lastRenderedPageBreak/>
        <w:t xml:space="preserve">Investment </w:t>
      </w:r>
      <w:r>
        <w:t>performance</w:t>
      </w:r>
    </w:p>
    <w:p w14:paraId="2CE5C33F" w14:textId="77777777" w:rsidR="00A561E0" w:rsidRDefault="00854BE4">
      <w:pPr>
        <w:pStyle w:val="DefaqtoHeading3-noTOC"/>
      </w:pPr>
      <w:r>
        <w:t>Individual cumulative investment performance graph</w:t>
      </w:r>
    </w:p>
    <w:p w14:paraId="058022EE" w14:textId="77777777" w:rsidR="00A561E0" w:rsidRDefault="00854BE4">
      <w:pPr>
        <w:pStyle w:val="DefaqtoBody"/>
      </w:pPr>
      <w:r>
        <w:rPr>
          <w:u w:color="000000"/>
        </w:rPr>
        <w:t>The chart shows an investment’s performance, calculated as NAV to NAV/Bid to Bid/Closing Price to Closing Price, with dividends/distributions reinvested, including the effect of ongoing costs and charges. These figures are calculated to the performance date 02 December 2025.</w:t>
      </w:r>
    </w:p>
    <w:p w14:paraId="1FC8AC2D" w14:textId="77777777" w:rsidR="00A561E0" w:rsidRDefault="00854BE4">
      <w:r>
        <w:rPr>
          <w:noProof/>
        </w:rPr>
        <w:drawing>
          <wp:inline distT="0" distB="0" distL="0" distR="0" wp14:anchorId="436E43A7" wp14:editId="782631E2">
            <wp:extent cx="6731000" cy="4533900"/>
            <wp:effectExtent l="0" t="0" r="0" b="0"/>
            <wp:docPr id="8" name="Picture 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cstate="print"/>
                    <a:stretch>
                      <a:fillRect/>
                    </a:stretch>
                  </pic:blipFill>
                  <pic:spPr>
                    <a:xfrm>
                      <a:off x="0" y="0"/>
                      <a:ext cx="6731000" cy="4533900"/>
                    </a:xfrm>
                    <a:prstGeom prst="rect">
                      <a:avLst/>
                    </a:prstGeom>
                  </pic:spPr>
                </pic:pic>
              </a:graphicData>
            </a:graphic>
          </wp:inline>
        </w:drawing>
      </w:r>
    </w:p>
    <w:tbl>
      <w:tblPr>
        <w:tblStyle w:val="DefaqtoTable"/>
        <w:tblW w:w="5000" w:type="pct"/>
        <w:tblLook w:val="01E0" w:firstRow="1" w:lastRow="1" w:firstColumn="1" w:lastColumn="1" w:noHBand="0" w:noVBand="0"/>
      </w:tblPr>
      <w:tblGrid>
        <w:gridCol w:w="578"/>
        <w:gridCol w:w="4761"/>
        <w:gridCol w:w="515"/>
        <w:gridCol w:w="4762"/>
      </w:tblGrid>
      <w:tr w:rsidR="00A561E0" w14:paraId="3FAB75E2" w14:textId="77777777" w:rsidTr="00A561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 w:type="pct"/>
            <w:tcBorders>
              <w:bottom w:val="single" w:sz="4" w:space="0" w:color="B0A7CF"/>
            </w:tcBorders>
          </w:tcPr>
          <w:p w14:paraId="7081F829" w14:textId="77777777" w:rsidR="00A561E0" w:rsidRDefault="00854BE4">
            <w:pPr>
              <w:rPr>
                <w:lang w:eastAsia="en-GB"/>
              </w:rPr>
            </w:pPr>
            <w:r>
              <w:rPr>
                <w:rFonts w:ascii="Poppins" w:eastAsia="Poppins" w:hAnsi="Poppins" w:cs="Poppins"/>
                <w:color w:val="F26065"/>
                <w:sz w:val="18"/>
                <w:szCs w:val="18"/>
                <w:lang w:eastAsia="en-GB"/>
              </w:rPr>
              <w:t>━━</w:t>
            </w:r>
            <w:r>
              <w:rPr>
                <w:rFonts w:ascii="Poppins" w:eastAsia="Poppins" w:hAnsi="Poppins" w:cs="Poppins"/>
                <w:b w:val="0"/>
                <w:bCs w:val="0"/>
                <w:color w:val="000000"/>
                <w:sz w:val="16"/>
                <w:szCs w:val="16"/>
                <w:lang w:eastAsia="en-GB"/>
              </w:rPr>
              <w:t xml:space="preserve">   </w:t>
            </w:r>
          </w:p>
        </w:tc>
        <w:tc>
          <w:tcPr>
            <w:tcW w:w="2250" w:type="pct"/>
            <w:tcBorders>
              <w:bottom w:val="single" w:sz="4" w:space="0" w:color="B0A7CF"/>
            </w:tcBorders>
          </w:tcPr>
          <w:p w14:paraId="451A377A" w14:textId="77777777" w:rsidR="00A561E0" w:rsidRDefault="00854BE4">
            <w:pPr>
              <w:pStyle w:val="DefaqtoTableBody2"/>
              <w:cnfStyle w:val="100000000000" w:firstRow="1" w:lastRow="0" w:firstColumn="0" w:lastColumn="0" w:oddVBand="0" w:evenVBand="0" w:oddHBand="0" w:evenHBand="0" w:firstRowFirstColumn="0" w:firstRowLastColumn="0" w:lastRowFirstColumn="0" w:lastRowLastColumn="0"/>
            </w:pPr>
            <w:r>
              <w:t>CT Universal MAP Cautious Fund C Acc (GBP)</w:t>
            </w:r>
          </w:p>
        </w:tc>
        <w:tc>
          <w:tcPr>
            <w:tcW w:w="250" w:type="pct"/>
            <w:tcBorders>
              <w:bottom w:val="single" w:sz="4" w:space="0" w:color="B0A7CF"/>
            </w:tcBorders>
          </w:tcPr>
          <w:p w14:paraId="19CF2375" w14:textId="77777777" w:rsidR="00A561E0" w:rsidRDefault="00A561E0">
            <w:pPr>
              <w:pStyle w:val="DefaqtoTableBody2"/>
              <w:cnfStyle w:val="100000000000" w:firstRow="1" w:lastRow="0" w:firstColumn="0" w:lastColumn="0" w:oddVBand="0" w:evenVBand="0" w:oddHBand="0" w:evenHBand="0" w:firstRowFirstColumn="0" w:firstRowLastColumn="0" w:lastRowFirstColumn="0" w:lastRowLastColumn="0"/>
            </w:pPr>
          </w:p>
        </w:tc>
        <w:tc>
          <w:tcPr>
            <w:tcW w:w="2250" w:type="pct"/>
            <w:tcBorders>
              <w:bottom w:val="single" w:sz="4" w:space="0" w:color="B0A7CF"/>
            </w:tcBorders>
          </w:tcPr>
          <w:p w14:paraId="3A8FF4B4" w14:textId="77777777" w:rsidR="00A561E0" w:rsidRDefault="00A561E0">
            <w:pPr>
              <w:pStyle w:val="DefaqtoTableBody2"/>
              <w:cnfStyle w:val="100000000000" w:firstRow="1" w:lastRow="0" w:firstColumn="0" w:lastColumn="0" w:oddVBand="0" w:evenVBand="0" w:oddHBand="0" w:evenHBand="0" w:firstRowFirstColumn="0" w:firstRowLastColumn="0" w:lastRowFirstColumn="0" w:lastRowLastColumn="0"/>
            </w:pPr>
          </w:p>
        </w:tc>
      </w:tr>
    </w:tbl>
    <w:p w14:paraId="2FD6266F" w14:textId="77777777" w:rsidR="00A561E0" w:rsidRDefault="00854BE4">
      <w:pPr>
        <w:pStyle w:val="DefaqtoBody"/>
      </w:pPr>
      <w:r>
        <w:rPr>
          <w:u w:color="000000"/>
        </w:rPr>
        <w:t xml:space="preserve"> </w:t>
      </w:r>
    </w:p>
    <w:p w14:paraId="458D472B" w14:textId="77777777" w:rsidR="00A561E0" w:rsidRDefault="00854BE4">
      <w:pPr>
        <w:pStyle w:val="DefaqtoHeading3-noTOC"/>
      </w:pPr>
      <w:r>
        <w:t>Individual cumulative investment performance table</w:t>
      </w:r>
    </w:p>
    <w:p w14:paraId="57F0041A" w14:textId="77777777" w:rsidR="00A561E0" w:rsidRDefault="00854BE4">
      <w:pPr>
        <w:pStyle w:val="DefaqtoBody"/>
      </w:pPr>
      <w:r>
        <w:rPr>
          <w:u w:color="000000"/>
        </w:rPr>
        <w:t>The table shows an investment’s performance, calculated as NAV to NAV/Bid to Bid/Closing Price to Closing Price, with dividends/distributions reinvested, including the effect of ongoing costs and charges. These figures are calculated to the month end performance date 31 October 2025.</w:t>
      </w:r>
    </w:p>
    <w:tbl>
      <w:tblPr>
        <w:tblStyle w:val="DefaqtoTable"/>
        <w:tblW w:w="5000" w:type="pct"/>
        <w:tblLook w:val="01E0" w:firstRow="1" w:lastRow="1" w:firstColumn="1" w:lastColumn="1" w:noHBand="0" w:noVBand="0"/>
      </w:tblPr>
      <w:tblGrid>
        <w:gridCol w:w="5521"/>
        <w:gridCol w:w="850"/>
        <w:gridCol w:w="849"/>
        <w:gridCol w:w="849"/>
        <w:gridCol w:w="849"/>
        <w:gridCol w:w="849"/>
        <w:gridCol w:w="849"/>
      </w:tblGrid>
      <w:tr w:rsidR="00A561E0" w14:paraId="558B849A" w14:textId="77777777" w:rsidTr="00A561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pct"/>
          </w:tcPr>
          <w:p w14:paraId="2DDA3E3A" w14:textId="77777777" w:rsidR="00A561E0" w:rsidRDefault="00854BE4">
            <w:pPr>
              <w:pStyle w:val="DefaqtoTableBody2"/>
            </w:pPr>
            <w:r>
              <w:t>FUND</w:t>
            </w:r>
          </w:p>
        </w:tc>
        <w:tc>
          <w:tcPr>
            <w:tcW w:w="400" w:type="pct"/>
          </w:tcPr>
          <w:p w14:paraId="2891F650" w14:textId="77777777" w:rsidR="00A561E0" w:rsidRDefault="00854BE4">
            <w:pPr>
              <w:pStyle w:val="DefaqtoTableBody2"/>
              <w:jc w:val="right"/>
              <w:cnfStyle w:val="100000000000" w:firstRow="1" w:lastRow="0" w:firstColumn="0" w:lastColumn="0" w:oddVBand="0" w:evenVBand="0" w:oddHBand="0" w:evenHBand="0" w:firstRowFirstColumn="0" w:firstRowLastColumn="0" w:lastRowFirstColumn="0" w:lastRowLastColumn="0"/>
            </w:pPr>
            <w:r>
              <w:t>3M</w:t>
            </w:r>
          </w:p>
        </w:tc>
        <w:tc>
          <w:tcPr>
            <w:tcW w:w="400" w:type="pct"/>
          </w:tcPr>
          <w:p w14:paraId="02A31A3B" w14:textId="77777777" w:rsidR="00A561E0" w:rsidRDefault="00854BE4">
            <w:pPr>
              <w:pStyle w:val="DefaqtoTableBody2"/>
              <w:jc w:val="right"/>
              <w:cnfStyle w:val="100000000000" w:firstRow="1" w:lastRow="0" w:firstColumn="0" w:lastColumn="0" w:oddVBand="0" w:evenVBand="0" w:oddHBand="0" w:evenHBand="0" w:firstRowFirstColumn="0" w:firstRowLastColumn="0" w:lastRowFirstColumn="0" w:lastRowLastColumn="0"/>
            </w:pPr>
            <w:r>
              <w:t>6M</w:t>
            </w:r>
          </w:p>
        </w:tc>
        <w:tc>
          <w:tcPr>
            <w:tcW w:w="400" w:type="pct"/>
          </w:tcPr>
          <w:p w14:paraId="463201A1" w14:textId="77777777" w:rsidR="00A561E0" w:rsidRDefault="00854BE4">
            <w:pPr>
              <w:pStyle w:val="DefaqtoTableBody2"/>
              <w:jc w:val="right"/>
              <w:cnfStyle w:val="100000000000" w:firstRow="1" w:lastRow="0" w:firstColumn="0" w:lastColumn="0" w:oddVBand="0" w:evenVBand="0" w:oddHBand="0" w:evenHBand="0" w:firstRowFirstColumn="0" w:firstRowLastColumn="0" w:lastRowFirstColumn="0" w:lastRowLastColumn="0"/>
            </w:pPr>
            <w:r>
              <w:t>1YR</w:t>
            </w:r>
          </w:p>
        </w:tc>
        <w:tc>
          <w:tcPr>
            <w:tcW w:w="400" w:type="pct"/>
          </w:tcPr>
          <w:p w14:paraId="0775602D" w14:textId="77777777" w:rsidR="00A561E0" w:rsidRDefault="00854BE4">
            <w:pPr>
              <w:pStyle w:val="DefaqtoTableBody2"/>
              <w:jc w:val="right"/>
              <w:cnfStyle w:val="100000000000" w:firstRow="1" w:lastRow="0" w:firstColumn="0" w:lastColumn="0" w:oddVBand="0" w:evenVBand="0" w:oddHBand="0" w:evenHBand="0" w:firstRowFirstColumn="0" w:firstRowLastColumn="0" w:lastRowFirstColumn="0" w:lastRowLastColumn="0"/>
            </w:pPr>
            <w:r>
              <w:t>3YR</w:t>
            </w:r>
          </w:p>
        </w:tc>
        <w:tc>
          <w:tcPr>
            <w:tcW w:w="400" w:type="pct"/>
          </w:tcPr>
          <w:p w14:paraId="3CF74AEE" w14:textId="77777777" w:rsidR="00A561E0" w:rsidRDefault="00854BE4">
            <w:pPr>
              <w:pStyle w:val="DefaqtoTableBody2"/>
              <w:jc w:val="right"/>
              <w:cnfStyle w:val="100000000000" w:firstRow="1" w:lastRow="0" w:firstColumn="0" w:lastColumn="0" w:oddVBand="0" w:evenVBand="0" w:oddHBand="0" w:evenHBand="0" w:firstRowFirstColumn="0" w:firstRowLastColumn="0" w:lastRowFirstColumn="0" w:lastRowLastColumn="0"/>
            </w:pPr>
            <w:r>
              <w:t>5YR</w:t>
            </w:r>
          </w:p>
        </w:tc>
        <w:tc>
          <w:tcPr>
            <w:tcW w:w="400" w:type="pct"/>
          </w:tcPr>
          <w:p w14:paraId="76026938" w14:textId="77777777" w:rsidR="00A561E0" w:rsidRDefault="00854BE4">
            <w:pPr>
              <w:pStyle w:val="DefaqtoTableBody2"/>
              <w:jc w:val="right"/>
              <w:cnfStyle w:val="100000000000" w:firstRow="1" w:lastRow="0" w:firstColumn="0" w:lastColumn="0" w:oddVBand="0" w:evenVBand="0" w:oddHBand="0" w:evenHBand="0" w:firstRowFirstColumn="0" w:firstRowLastColumn="0" w:lastRowFirstColumn="0" w:lastRowLastColumn="0"/>
            </w:pPr>
            <w:r>
              <w:t>10YR</w:t>
            </w:r>
          </w:p>
        </w:tc>
      </w:tr>
      <w:tr w:rsidR="00A561E0" w14:paraId="480137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6ADA24" w14:textId="77777777" w:rsidR="00A561E0" w:rsidRDefault="00854BE4">
            <w:pPr>
              <w:pStyle w:val="DefaqtoTableBody2"/>
            </w:pPr>
            <w:r>
              <w:t>CT Universal MAP Cautious Fund C Acc (GBP)</w:t>
            </w:r>
          </w:p>
        </w:tc>
        <w:tc>
          <w:tcPr>
            <w:tcW w:w="0" w:type="auto"/>
          </w:tcPr>
          <w:p w14:paraId="723F7AE1" w14:textId="77777777" w:rsidR="00A561E0" w:rsidRDefault="00854BE4">
            <w:pPr>
              <w:pStyle w:val="DefaqtoTableBody2"/>
              <w:jc w:val="right"/>
              <w:cnfStyle w:val="000000100000" w:firstRow="0" w:lastRow="0" w:firstColumn="0" w:lastColumn="0" w:oddVBand="0" w:evenVBand="0" w:oddHBand="1" w:evenHBand="0" w:firstRowFirstColumn="0" w:firstRowLastColumn="0" w:lastRowFirstColumn="0" w:lastRowLastColumn="0"/>
            </w:pPr>
            <w:r>
              <w:t>4.29</w:t>
            </w:r>
          </w:p>
        </w:tc>
        <w:tc>
          <w:tcPr>
            <w:tcW w:w="0" w:type="auto"/>
          </w:tcPr>
          <w:p w14:paraId="085A07D9" w14:textId="77777777" w:rsidR="00A561E0" w:rsidRDefault="00854BE4">
            <w:pPr>
              <w:pStyle w:val="DefaqtoTableBody2"/>
              <w:jc w:val="right"/>
              <w:cnfStyle w:val="000000100000" w:firstRow="0" w:lastRow="0" w:firstColumn="0" w:lastColumn="0" w:oddVBand="0" w:evenVBand="0" w:oddHBand="1" w:evenHBand="0" w:firstRowFirstColumn="0" w:firstRowLastColumn="0" w:lastRowFirstColumn="0" w:lastRowLastColumn="0"/>
            </w:pPr>
            <w:r>
              <w:t>10.07</w:t>
            </w:r>
          </w:p>
        </w:tc>
        <w:tc>
          <w:tcPr>
            <w:tcW w:w="0" w:type="auto"/>
          </w:tcPr>
          <w:p w14:paraId="00EBB7EC" w14:textId="77777777" w:rsidR="00A561E0" w:rsidRDefault="00854BE4">
            <w:pPr>
              <w:pStyle w:val="DefaqtoTableBody2"/>
              <w:jc w:val="right"/>
              <w:cnfStyle w:val="000000100000" w:firstRow="0" w:lastRow="0" w:firstColumn="0" w:lastColumn="0" w:oddVBand="0" w:evenVBand="0" w:oddHBand="1" w:evenHBand="0" w:firstRowFirstColumn="0" w:firstRowLastColumn="0" w:lastRowFirstColumn="0" w:lastRowLastColumn="0"/>
            </w:pPr>
            <w:r>
              <w:t>11.21</w:t>
            </w:r>
          </w:p>
        </w:tc>
        <w:tc>
          <w:tcPr>
            <w:tcW w:w="0" w:type="auto"/>
          </w:tcPr>
          <w:p w14:paraId="6DFB9307" w14:textId="77777777" w:rsidR="00A561E0" w:rsidRDefault="00854BE4">
            <w:pPr>
              <w:pStyle w:val="DefaqtoTableBody2"/>
              <w:jc w:val="right"/>
              <w:cnfStyle w:val="000000100000" w:firstRow="0" w:lastRow="0" w:firstColumn="0" w:lastColumn="0" w:oddVBand="0" w:evenVBand="0" w:oddHBand="1" w:evenHBand="0" w:firstRowFirstColumn="0" w:firstRowLastColumn="0" w:lastRowFirstColumn="0" w:lastRowLastColumn="0"/>
            </w:pPr>
            <w:r>
              <w:t>30.34</w:t>
            </w:r>
          </w:p>
        </w:tc>
        <w:tc>
          <w:tcPr>
            <w:tcW w:w="0" w:type="auto"/>
          </w:tcPr>
          <w:p w14:paraId="67445985" w14:textId="77777777" w:rsidR="00A561E0" w:rsidRDefault="00854BE4">
            <w:pPr>
              <w:pStyle w:val="DefaqtoTableBody2"/>
              <w:jc w:val="right"/>
              <w:cnfStyle w:val="000000100000" w:firstRow="0" w:lastRow="0" w:firstColumn="0" w:lastColumn="0" w:oddVBand="0" w:evenVBand="0" w:oddHBand="1" w:evenHBand="0" w:firstRowFirstColumn="0" w:firstRowLastColumn="0" w:lastRowFirstColumn="0" w:lastRowLastColumn="0"/>
            </w:pPr>
            <w:r>
              <w:t>31.28</w:t>
            </w:r>
          </w:p>
        </w:tc>
        <w:tc>
          <w:tcPr>
            <w:tcW w:w="0" w:type="auto"/>
          </w:tcPr>
          <w:p w14:paraId="442B30F0" w14:textId="77777777" w:rsidR="00A561E0" w:rsidRDefault="00A561E0">
            <w:pPr>
              <w:pStyle w:val="DefaqtoTableBody2"/>
              <w:jc w:val="right"/>
              <w:cnfStyle w:val="000000100000" w:firstRow="0" w:lastRow="0" w:firstColumn="0" w:lastColumn="0" w:oddVBand="0" w:evenVBand="0" w:oddHBand="1" w:evenHBand="0" w:firstRowFirstColumn="0" w:firstRowLastColumn="0" w:lastRowFirstColumn="0" w:lastRowLastColumn="0"/>
            </w:pPr>
          </w:p>
        </w:tc>
      </w:tr>
    </w:tbl>
    <w:p w14:paraId="71AA2C6A" w14:textId="77777777" w:rsidR="00A561E0" w:rsidRDefault="00A561E0">
      <w:pPr>
        <w:spacing w:line="240" w:lineRule="auto"/>
        <w:rPr>
          <w:color w:val="392388"/>
          <w:lang w:val="en-NZ"/>
        </w:rPr>
      </w:pPr>
    </w:p>
    <w:p w14:paraId="2876C2EA" w14:textId="77777777" w:rsidR="00A561E0" w:rsidRDefault="00A561E0">
      <w:pPr>
        <w:spacing w:line="240" w:lineRule="auto"/>
        <w:rPr>
          <w:color w:val="392388"/>
          <w:lang w:val="en-NZ"/>
        </w:rPr>
      </w:pPr>
    </w:p>
    <w:p w14:paraId="6F204DC4" w14:textId="77777777" w:rsidR="00A561E0" w:rsidRDefault="00A561E0">
      <w:pPr>
        <w:spacing w:line="240" w:lineRule="auto"/>
        <w:rPr>
          <w:color w:val="392388"/>
          <w:lang w:val="en-NZ"/>
        </w:rPr>
      </w:pPr>
    </w:p>
    <w:p w14:paraId="45545256" w14:textId="77777777" w:rsidR="00A561E0" w:rsidRDefault="00854BE4">
      <w:pPr>
        <w:pStyle w:val="DefaqtoHeading3-noTOC"/>
      </w:pPr>
      <w:r>
        <w:t>Individual discrete investment performance table</w:t>
      </w:r>
    </w:p>
    <w:p w14:paraId="4EE78A14" w14:textId="77777777" w:rsidR="00A561E0" w:rsidRDefault="00854BE4">
      <w:pPr>
        <w:pStyle w:val="DefaqtoBody"/>
      </w:pPr>
      <w:r>
        <w:rPr>
          <w:u w:color="000000"/>
        </w:rPr>
        <w:t>The table shows an investments performance, calculated as NAV to NAV/Bid to Bid/Closing Price to Closing Price, with dividends / distributions reinvested, including the effect of ongoing costs and charges. These figures are calculated for calendar years and / or the period within the current year specified.</w:t>
      </w:r>
    </w:p>
    <w:tbl>
      <w:tblPr>
        <w:tblStyle w:val="DefaqtoTable"/>
        <w:tblW w:w="5000" w:type="pct"/>
        <w:tblLook w:val="01E0" w:firstRow="1" w:lastRow="1" w:firstColumn="1" w:lastColumn="1" w:noHBand="0" w:noVBand="0"/>
      </w:tblPr>
      <w:tblGrid>
        <w:gridCol w:w="5307"/>
        <w:gridCol w:w="1061"/>
        <w:gridCol w:w="1062"/>
        <w:gridCol w:w="1062"/>
        <w:gridCol w:w="1062"/>
        <w:gridCol w:w="1062"/>
      </w:tblGrid>
      <w:tr w:rsidR="00A561E0" w14:paraId="6790C20D" w14:textId="77777777" w:rsidTr="00A561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23A8FD21" w14:textId="77777777" w:rsidR="00A561E0" w:rsidRDefault="00854BE4">
            <w:pPr>
              <w:pStyle w:val="DefaqtoTableBody2"/>
            </w:pPr>
            <w:r>
              <w:t>Fund</w:t>
            </w:r>
          </w:p>
        </w:tc>
        <w:tc>
          <w:tcPr>
            <w:tcW w:w="500" w:type="pct"/>
          </w:tcPr>
          <w:p w14:paraId="2503A8FE" w14:textId="77777777" w:rsidR="00A561E0" w:rsidRDefault="00854BE4">
            <w:pPr>
              <w:pStyle w:val="DefaqtoTableBody2"/>
              <w:cnfStyle w:val="100000000000" w:firstRow="1" w:lastRow="0" w:firstColumn="0" w:lastColumn="0" w:oddVBand="0" w:evenVBand="0" w:oddHBand="0" w:evenHBand="0" w:firstRowFirstColumn="0" w:firstRowLastColumn="0" w:lastRowFirstColumn="0" w:lastRowLastColumn="0"/>
            </w:pPr>
            <w:r>
              <w:t>2021</w:t>
            </w:r>
          </w:p>
        </w:tc>
        <w:tc>
          <w:tcPr>
            <w:tcW w:w="500" w:type="pct"/>
          </w:tcPr>
          <w:p w14:paraId="1876CF20" w14:textId="77777777" w:rsidR="00A561E0" w:rsidRDefault="00854BE4">
            <w:pPr>
              <w:pStyle w:val="DefaqtoTableBody2"/>
              <w:cnfStyle w:val="100000000000" w:firstRow="1" w:lastRow="0" w:firstColumn="0" w:lastColumn="0" w:oddVBand="0" w:evenVBand="0" w:oddHBand="0" w:evenHBand="0" w:firstRowFirstColumn="0" w:firstRowLastColumn="0" w:lastRowFirstColumn="0" w:lastRowLastColumn="0"/>
            </w:pPr>
            <w:r>
              <w:t>2022</w:t>
            </w:r>
          </w:p>
        </w:tc>
        <w:tc>
          <w:tcPr>
            <w:tcW w:w="500" w:type="pct"/>
          </w:tcPr>
          <w:p w14:paraId="20F4B09B" w14:textId="77777777" w:rsidR="00A561E0" w:rsidRDefault="00854BE4">
            <w:pPr>
              <w:pStyle w:val="DefaqtoTableBody2"/>
              <w:cnfStyle w:val="100000000000" w:firstRow="1" w:lastRow="0" w:firstColumn="0" w:lastColumn="0" w:oddVBand="0" w:evenVBand="0" w:oddHBand="0" w:evenHBand="0" w:firstRowFirstColumn="0" w:firstRowLastColumn="0" w:lastRowFirstColumn="0" w:lastRowLastColumn="0"/>
            </w:pPr>
            <w:r>
              <w:t>2023</w:t>
            </w:r>
          </w:p>
        </w:tc>
        <w:tc>
          <w:tcPr>
            <w:tcW w:w="500" w:type="pct"/>
          </w:tcPr>
          <w:p w14:paraId="6627E3B4" w14:textId="77777777" w:rsidR="00A561E0" w:rsidRDefault="00854BE4">
            <w:pPr>
              <w:pStyle w:val="DefaqtoTableBody2"/>
              <w:cnfStyle w:val="100000000000" w:firstRow="1" w:lastRow="0" w:firstColumn="0" w:lastColumn="0" w:oddVBand="0" w:evenVBand="0" w:oddHBand="0" w:evenHBand="0" w:firstRowFirstColumn="0" w:firstRowLastColumn="0" w:lastRowFirstColumn="0" w:lastRowLastColumn="0"/>
            </w:pPr>
            <w:r>
              <w:t>2024</w:t>
            </w:r>
          </w:p>
        </w:tc>
        <w:tc>
          <w:tcPr>
            <w:tcW w:w="500" w:type="pct"/>
          </w:tcPr>
          <w:p w14:paraId="23574F7A" w14:textId="77777777" w:rsidR="00A561E0" w:rsidRDefault="00854BE4">
            <w:pPr>
              <w:pStyle w:val="DefaqtoTableBody2"/>
              <w:cnfStyle w:val="100000000000" w:firstRow="1" w:lastRow="0" w:firstColumn="0" w:lastColumn="0" w:oddVBand="0" w:evenVBand="0" w:oddHBand="0" w:evenHBand="0" w:firstRowFirstColumn="0" w:firstRowLastColumn="0" w:lastRowFirstColumn="0" w:lastRowLastColumn="0"/>
            </w:pPr>
            <w:r>
              <w:t>YTD</w:t>
            </w:r>
          </w:p>
        </w:tc>
      </w:tr>
      <w:tr w:rsidR="00A561E0" w14:paraId="6B7C116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771588C" w14:textId="77777777" w:rsidR="00A561E0" w:rsidRDefault="00854BE4">
            <w:pPr>
              <w:pStyle w:val="DefaqtoTableBody2"/>
            </w:pPr>
            <w:r>
              <w:t>CT Universal MAP Cautious Fund C Acc</w:t>
            </w:r>
          </w:p>
        </w:tc>
        <w:tc>
          <w:tcPr>
            <w:tcW w:w="0" w:type="auto"/>
          </w:tcPr>
          <w:p w14:paraId="125EB4F3"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7.1</w:t>
            </w:r>
          </w:p>
        </w:tc>
        <w:tc>
          <w:tcPr>
            <w:tcW w:w="0" w:type="auto"/>
          </w:tcPr>
          <w:p w14:paraId="565089B2"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-11.32</w:t>
            </w:r>
          </w:p>
        </w:tc>
        <w:tc>
          <w:tcPr>
            <w:tcW w:w="0" w:type="auto"/>
          </w:tcPr>
          <w:p w14:paraId="6ABF4D13"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9.06</w:t>
            </w:r>
          </w:p>
        </w:tc>
        <w:tc>
          <w:tcPr>
            <w:tcW w:w="0" w:type="auto"/>
          </w:tcPr>
          <w:p w14:paraId="47FCC2D2"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8.34</w:t>
            </w:r>
          </w:p>
        </w:tc>
        <w:tc>
          <w:tcPr>
            <w:tcW w:w="0" w:type="auto"/>
          </w:tcPr>
          <w:p w14:paraId="46CAC1DD"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8.78</w:t>
            </w:r>
          </w:p>
        </w:tc>
      </w:tr>
    </w:tbl>
    <w:p w14:paraId="11B384C4" w14:textId="77777777" w:rsidR="00A561E0" w:rsidRDefault="00A561E0">
      <w:pPr>
        <w:rPr>
          <w:noProof/>
          <w:color w:val="392388"/>
        </w:rPr>
      </w:pPr>
    </w:p>
    <w:p w14:paraId="2EF91478" w14:textId="77777777" w:rsidR="00A561E0" w:rsidRDefault="00A561E0">
      <w:pPr>
        <w:spacing w:line="240" w:lineRule="auto"/>
        <w:rPr>
          <w:color w:val="392388"/>
          <w:lang w:val="en-NZ"/>
        </w:rPr>
        <w:sectPr w:rsidR="00A561E0">
          <w:headerReference w:type="default" r:id="rId16"/>
          <w:footerReference w:type="default" r:id="rId17"/>
          <w:pgSz w:w="11906" w:h="16838"/>
          <w:pgMar w:top="709" w:right="640" w:bottom="376" w:left="640" w:header="200" w:footer="200" w:gutter="0"/>
          <w:cols w:space="708"/>
          <w:docGrid w:linePitch="360"/>
        </w:sectPr>
      </w:pPr>
    </w:p>
    <w:p w14:paraId="2492FB17" w14:textId="77777777" w:rsidR="00A561E0" w:rsidRDefault="00854BE4">
      <w:pPr>
        <w:pStyle w:val="DefaqtoHeading2-noTOC"/>
      </w:pPr>
      <w:r>
        <w:lastRenderedPageBreak/>
        <w:t>Product</w:t>
      </w:r>
    </w:p>
    <w:p w14:paraId="35B75D60" w14:textId="77777777" w:rsidR="00A561E0" w:rsidRDefault="00A561E0">
      <w:pPr>
        <w:pStyle w:val="DefaqtoBody"/>
      </w:pPr>
    </w:p>
    <w:tbl>
      <w:tblPr>
        <w:tblStyle w:val="DefaqtoTable"/>
        <w:tblW w:w="5000" w:type="pct"/>
        <w:tblLayout w:type="fixed"/>
        <w:tblLook w:val="0420" w:firstRow="1" w:lastRow="0" w:firstColumn="0" w:lastColumn="0" w:noHBand="0" w:noVBand="1"/>
      </w:tblPr>
      <w:tblGrid>
        <w:gridCol w:w="5119"/>
        <w:gridCol w:w="5497"/>
      </w:tblGrid>
      <w:tr w:rsidR="00A561E0" w14:paraId="7C9302DF" w14:textId="77777777" w:rsidTr="00A561E0">
        <w:trPr>
          <w:cnfStyle w:val="100000000000" w:firstRow="1" w:lastRow="0" w:firstColumn="0" w:lastColumn="0" w:oddVBand="0" w:evenVBand="0" w:oddHBand="0" w:evenHBand="0" w:firstRowFirstColumn="0" w:firstRowLastColumn="0" w:lastRowFirstColumn="0" w:lastRowLastColumn="0"/>
        </w:trPr>
        <w:tc>
          <w:tcPr>
            <w:tcW w:w="2411" w:type="pct"/>
          </w:tcPr>
          <w:p w14:paraId="5685F24E" w14:textId="77777777" w:rsidR="00A561E0" w:rsidRDefault="00854BE4">
            <w:pPr>
              <w:pStyle w:val="DefaqtoTableBody2"/>
            </w:pPr>
            <w:r>
              <w:t>Name</w:t>
            </w:r>
          </w:p>
        </w:tc>
        <w:tc>
          <w:tcPr>
            <w:tcW w:w="2589" w:type="pct"/>
          </w:tcPr>
          <w:p w14:paraId="6BAD90A5" w14:textId="77777777" w:rsidR="00A561E0" w:rsidRDefault="00854BE4">
            <w:pPr>
              <w:pStyle w:val="DefaqtoTableBody2"/>
            </w:pPr>
            <w:r>
              <w:t>Provider</w:t>
            </w:r>
          </w:p>
        </w:tc>
      </w:tr>
      <w:tr w:rsidR="00A561E0" w14:paraId="5A1DA64E" w14:textId="77777777" w:rsidTr="00A561E0">
        <w:trPr>
          <w:cnfStyle w:val="000000100000" w:firstRow="0" w:lastRow="0" w:firstColumn="0" w:lastColumn="0" w:oddVBand="0" w:evenVBand="0" w:oddHBand="1" w:evenHBand="0" w:firstRowFirstColumn="0" w:firstRowLastColumn="0" w:lastRowFirstColumn="0" w:lastRowLastColumn="0"/>
        </w:trPr>
        <w:tc>
          <w:tcPr>
            <w:tcW w:w="2411" w:type="pct"/>
          </w:tcPr>
          <w:p w14:paraId="2EE22BCF" w14:textId="77777777" w:rsidR="00A561E0" w:rsidRDefault="00854BE4">
            <w:pPr>
              <w:pStyle w:val="DefaqtoTableBody2"/>
            </w:pPr>
            <w:r>
              <w:t>Aviva ISA Portfolio</w:t>
            </w:r>
          </w:p>
        </w:tc>
        <w:tc>
          <w:tcPr>
            <w:tcW w:w="2589" w:type="pct"/>
          </w:tcPr>
          <w:p w14:paraId="35B77559" w14:textId="77777777" w:rsidR="00A561E0" w:rsidRDefault="00854BE4">
            <w:pPr>
              <w:pStyle w:val="DefaqtoTableBody2"/>
            </w:pPr>
            <w:r>
              <w:t>Aviva</w:t>
            </w:r>
          </w:p>
        </w:tc>
      </w:tr>
    </w:tbl>
    <w:p w14:paraId="3E81E969" w14:textId="77777777" w:rsidR="00A561E0" w:rsidRDefault="00A561E0">
      <w:pPr>
        <w:pStyle w:val="DefaqtoBody"/>
      </w:pPr>
    </w:p>
    <w:p w14:paraId="18E42A47" w14:textId="77777777" w:rsidR="00A561E0" w:rsidRDefault="00854BE4">
      <w:pPr>
        <w:rPr>
          <w:color w:val="392388"/>
        </w:rPr>
      </w:pPr>
      <w:r>
        <w:rPr>
          <w:color w:val="392388"/>
        </w:rPr>
        <w:br w:type="page"/>
      </w:r>
    </w:p>
    <w:p w14:paraId="0436A410" w14:textId="77777777" w:rsidR="00A561E0" w:rsidRDefault="00854BE4">
      <w:pPr>
        <w:pStyle w:val="DefaqtoHeading2-noTOC"/>
      </w:pPr>
      <w:r>
        <w:lastRenderedPageBreak/>
        <w:t>Platform</w:t>
      </w:r>
    </w:p>
    <w:tbl>
      <w:tblPr>
        <w:tblStyle w:val="DefaqtoTable"/>
        <w:tblW w:w="5000" w:type="pct"/>
        <w:tblLayout w:type="fixed"/>
        <w:tblLook w:val="0420" w:firstRow="1" w:lastRow="0" w:firstColumn="0" w:lastColumn="0" w:noHBand="0" w:noVBand="1"/>
      </w:tblPr>
      <w:tblGrid>
        <w:gridCol w:w="5119"/>
        <w:gridCol w:w="5497"/>
      </w:tblGrid>
      <w:tr w:rsidR="00A561E0" w14:paraId="7DC83F25" w14:textId="77777777" w:rsidTr="00A561E0">
        <w:trPr>
          <w:cnfStyle w:val="100000000000" w:firstRow="1" w:lastRow="0" w:firstColumn="0" w:lastColumn="0" w:oddVBand="0" w:evenVBand="0" w:oddHBand="0" w:evenHBand="0" w:firstRowFirstColumn="0" w:firstRowLastColumn="0" w:lastRowFirstColumn="0" w:lastRowLastColumn="0"/>
        </w:trPr>
        <w:tc>
          <w:tcPr>
            <w:tcW w:w="2411" w:type="pct"/>
          </w:tcPr>
          <w:p w14:paraId="3F40AB1E" w14:textId="77777777" w:rsidR="00A561E0" w:rsidRDefault="00854BE4">
            <w:pPr>
              <w:pStyle w:val="DefaqtoTableBody2"/>
            </w:pPr>
            <w:r>
              <w:t>Name</w:t>
            </w:r>
          </w:p>
        </w:tc>
        <w:tc>
          <w:tcPr>
            <w:tcW w:w="2589" w:type="pct"/>
          </w:tcPr>
          <w:p w14:paraId="2EF1654E" w14:textId="77777777" w:rsidR="00A561E0" w:rsidRDefault="00854BE4">
            <w:pPr>
              <w:pStyle w:val="DefaqtoTableBody2"/>
            </w:pPr>
            <w:r>
              <w:t>Provider</w:t>
            </w:r>
          </w:p>
        </w:tc>
      </w:tr>
      <w:tr w:rsidR="00A561E0" w14:paraId="4A380619" w14:textId="77777777" w:rsidTr="00A561E0">
        <w:trPr>
          <w:cnfStyle w:val="000000100000" w:firstRow="0" w:lastRow="0" w:firstColumn="0" w:lastColumn="0" w:oddVBand="0" w:evenVBand="0" w:oddHBand="1" w:evenHBand="0" w:firstRowFirstColumn="0" w:firstRowLastColumn="0" w:lastRowFirstColumn="0" w:lastRowLastColumn="0"/>
        </w:trPr>
        <w:tc>
          <w:tcPr>
            <w:tcW w:w="2411" w:type="pct"/>
          </w:tcPr>
          <w:p w14:paraId="062B582B" w14:textId="77777777" w:rsidR="00A561E0" w:rsidRDefault="00854BE4">
            <w:pPr>
              <w:pStyle w:val="DefaqtoTableBody2"/>
            </w:pPr>
            <w:r>
              <w:t>Aviva Platform</w:t>
            </w:r>
          </w:p>
        </w:tc>
        <w:tc>
          <w:tcPr>
            <w:tcW w:w="2589" w:type="pct"/>
          </w:tcPr>
          <w:p w14:paraId="47E2287C" w14:textId="77777777" w:rsidR="00A561E0" w:rsidRDefault="00854BE4">
            <w:pPr>
              <w:pStyle w:val="DefaqtoTableBody2"/>
            </w:pPr>
            <w:r>
              <w:t>Aviva</w:t>
            </w:r>
          </w:p>
        </w:tc>
      </w:tr>
    </w:tbl>
    <w:p w14:paraId="624EB9E2" w14:textId="77777777" w:rsidR="00A561E0" w:rsidRDefault="00854BE4">
      <w:pPr>
        <w:rPr>
          <w:rFonts w:ascii="Arial" w:eastAsia="Arial" w:hAnsi="Arial" w:cs="Times New Roman"/>
          <w:b/>
          <w:bCs/>
          <w:color w:val="392388"/>
          <w:sz w:val="28"/>
          <w:szCs w:val="28"/>
          <w:lang w:eastAsia="en-US"/>
        </w:rPr>
      </w:pPr>
      <w:r>
        <w:rPr>
          <w:color w:val="392388"/>
        </w:rPr>
        <w:br w:type="page"/>
      </w:r>
    </w:p>
    <w:p w14:paraId="013DF3EA" w14:textId="77777777" w:rsidR="00A561E0" w:rsidRDefault="00A561E0">
      <w:pPr>
        <w:rPr>
          <w:color w:val="392388"/>
        </w:rPr>
        <w:sectPr w:rsidR="00A561E0">
          <w:headerReference w:type="default" r:id="rId18"/>
          <w:footerReference w:type="default" r:id="rId19"/>
          <w:pgSz w:w="11906" w:h="16838"/>
          <w:pgMar w:top="709" w:right="640" w:bottom="376" w:left="640" w:header="200" w:footer="200" w:gutter="0"/>
          <w:cols w:space="720"/>
          <w:docGrid w:linePitch="360"/>
        </w:sectPr>
      </w:pPr>
    </w:p>
    <w:p w14:paraId="40C2FF32" w14:textId="77777777" w:rsidR="00A561E0" w:rsidRDefault="00854BE4">
      <w:r>
        <w:rPr>
          <w:noProof/>
        </w:rPr>
        <w:lastRenderedPageBreak/>
        <w:drawing>
          <wp:inline distT="0" distB="0" distL="0" distR="0" wp14:anchorId="6C54B198" wp14:editId="082E1639">
            <wp:extent cx="1353426" cy="340290"/>
            <wp:effectExtent l="0" t="0" r="0" b="3175"/>
            <wp:docPr id="10" name="Picture 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7" cstate="print"/>
                    <a:stretch>
                      <a:fillRect/>
                    </a:stretch>
                  </pic:blipFill>
                  <pic:spPr>
                    <a:xfrm>
                      <a:off x="0" y="0"/>
                      <a:ext cx="1353426" cy="340290"/>
                    </a:xfrm>
                    <a:prstGeom prst="rect">
                      <a:avLst/>
                    </a:prstGeom>
                    <a:noFill/>
                    <a:ln>
                      <a:noFill/>
                    </a:ln>
                  </pic:spPr>
                </pic:pic>
              </a:graphicData>
            </a:graphic>
          </wp:inline>
        </w:drawing>
      </w:r>
    </w:p>
    <w:p w14:paraId="13C4FAEF" w14:textId="77777777" w:rsidR="00A561E0" w:rsidRDefault="00A561E0">
      <w:pPr>
        <w:pStyle w:val="DefaqtoCoverHeading-noTOC"/>
        <w:rPr>
          <w:rFonts w:cs="Poppins SemiBold"/>
          <w:b w:val="0"/>
          <w:bCs w:val="0"/>
          <w:sz w:val="62"/>
          <w:szCs w:val="62"/>
        </w:rPr>
      </w:pPr>
    </w:p>
    <w:p w14:paraId="06DB52A2" w14:textId="77777777" w:rsidR="00A561E0" w:rsidRDefault="00A561E0">
      <w:pPr>
        <w:pStyle w:val="DefaqtoCoverHeading-noTOC"/>
        <w:rPr>
          <w:rFonts w:cs="Poppins SemiBold"/>
          <w:b w:val="0"/>
          <w:bCs w:val="0"/>
          <w:sz w:val="62"/>
          <w:szCs w:val="62"/>
        </w:rPr>
      </w:pPr>
    </w:p>
    <w:p w14:paraId="26FDBFFC" w14:textId="77777777" w:rsidR="00A561E0" w:rsidRDefault="00854BE4">
      <w:pPr>
        <w:pStyle w:val="DefaqtoCoverHeading-noTOC"/>
        <w:spacing w:after="320"/>
        <w:rPr>
          <w:rFonts w:ascii="Poppins Light" w:hAnsi="Poppins Light" w:cs="Poppins Light"/>
          <w:b w:val="0"/>
          <w:bCs w:val="0"/>
          <w:color w:val="392388"/>
          <w:sz w:val="32"/>
          <w:szCs w:val="32"/>
        </w:rPr>
      </w:pPr>
      <w:r>
        <w:rPr>
          <w:rFonts w:cs="Poppins SemiBold"/>
          <w:b w:val="0"/>
          <w:bCs w:val="0"/>
        </w:rPr>
        <w:t xml:space="preserve">Research Report for </w:t>
      </w:r>
      <w:r>
        <w:rPr>
          <w:rFonts w:cs="Poppins SemiBold"/>
          <w:b w:val="0"/>
          <w:bCs w:val="0"/>
          <w:noProof/>
        </w:rPr>
        <w:t xml:space="preserve">Mr Anthony Barnes </w:t>
      </w:r>
    </w:p>
    <w:p w14:paraId="6FBAE3B0" w14:textId="77777777" w:rsidR="00A561E0" w:rsidRDefault="00854BE4">
      <w:pPr>
        <w:pStyle w:val="DefaqtoCoverHeading-noTOC"/>
        <w:spacing w:after="160"/>
        <w:rPr>
          <w:rFonts w:ascii="Poppins Light" w:hAnsi="Poppins Light" w:cs="Poppins Light"/>
          <w:b w:val="0"/>
          <w:bCs w:val="0"/>
          <w:color w:val="392388"/>
          <w:sz w:val="32"/>
          <w:szCs w:val="32"/>
        </w:rPr>
      </w:pPr>
      <w:r>
        <w:rPr>
          <w:rFonts w:ascii="Poppins Light" w:hAnsi="Poppins Light" w:cs="Poppins Light"/>
          <w:b w:val="0"/>
          <w:bCs w:val="0"/>
          <w:noProof/>
          <w:color w:val="392388"/>
          <w:sz w:val="32"/>
          <w:szCs w:val="32"/>
        </w:rPr>
        <w:t>Thomas Redmond</w:t>
      </w:r>
    </w:p>
    <w:p w14:paraId="6FBDB92A" w14:textId="77777777" w:rsidR="00A561E0" w:rsidRDefault="00854BE4">
      <w:pPr>
        <w:pStyle w:val="DefaqtoCoverHeading-noTOC"/>
        <w:spacing w:after="160"/>
        <w:rPr>
          <w:rFonts w:ascii="Poppins Light" w:hAnsi="Poppins Light" w:cs="Poppins Light"/>
          <w:b w:val="0"/>
          <w:bCs w:val="0"/>
          <w:color w:val="392388"/>
          <w:sz w:val="32"/>
          <w:szCs w:val="32"/>
        </w:rPr>
      </w:pPr>
      <w:r>
        <w:rPr>
          <w:rFonts w:ascii="Poppins Light" w:hAnsi="Poppins Light" w:cs="Poppins Light"/>
          <w:b w:val="0"/>
          <w:bCs w:val="0"/>
          <w:noProof/>
          <w:color w:val="392388"/>
          <w:sz w:val="32"/>
          <w:szCs w:val="32"/>
        </w:rPr>
        <w:t>TFAS Wealth Ltd</w:t>
      </w:r>
    </w:p>
    <w:p w14:paraId="5C75858E" w14:textId="77777777" w:rsidR="00A561E0" w:rsidRDefault="00854BE4">
      <w:pPr>
        <w:ind w:left="23"/>
        <w:rPr>
          <w:rFonts w:ascii="Poppins" w:hAnsi="Poppins" w:cs="Poppins"/>
          <w:sz w:val="36"/>
          <w:szCs w:val="36"/>
        </w:rPr>
      </w:pPr>
      <w:r>
        <w:rPr>
          <w:rFonts w:ascii="Poppins Light" w:hAnsi="Poppins Light" w:cs="Poppins Light"/>
          <w:noProof/>
          <w:color w:val="392388"/>
          <w:sz w:val="32"/>
          <w:szCs w:val="32"/>
        </w:rPr>
        <w:t>03 December 2025</w:t>
      </w:r>
      <w:r>
        <w:rPr>
          <w:rFonts w:ascii="Poppins" w:hAnsi="Poppins" w:cs="Poppins"/>
          <w:sz w:val="36"/>
          <w:szCs w:val="36"/>
        </w:rPr>
        <w:tab/>
      </w:r>
    </w:p>
    <w:p w14:paraId="239177D2" w14:textId="77777777" w:rsidR="00A561E0" w:rsidRDefault="00854BE4">
      <w:pPr>
        <w:rPr>
          <w:rFonts w:ascii="Poppins" w:hAnsi="Poppins" w:cs="Poppins"/>
          <w:sz w:val="36"/>
          <w:szCs w:val="36"/>
        </w:rPr>
        <w:sectPr w:rsidR="00A561E0">
          <w:headerReference w:type="default" r:id="rId20"/>
          <w:footerReference w:type="default" r:id="rId21"/>
          <w:headerReference w:type="first" r:id="rId22"/>
          <w:footerReference w:type="first" r:id="rId23"/>
          <w:pgSz w:w="11906" w:h="16838"/>
          <w:pgMar w:top="709" w:right="640" w:bottom="376" w:left="640" w:header="200" w:footer="200" w:gutter="0"/>
          <w:pgNumType w:start="1"/>
          <w:cols w:space="720"/>
          <w:titlePg/>
          <w:docGrid w:linePitch="360"/>
        </w:sectPr>
      </w:pPr>
      <w:r>
        <w:rPr>
          <w:rFonts w:ascii="Poppins" w:hAnsi="Poppins" w:cs="Poppins"/>
          <w:noProof/>
          <w:color w:val="4A4948"/>
          <w:sz w:val="36"/>
          <w:szCs w:val="36"/>
        </w:rPr>
        <mc:AlternateContent>
          <mc:Choice Requires="wps">
            <w:drawing>
              <wp:anchor distT="0" distB="0" distL="114300" distR="114300" simplePos="0" relativeHeight="251658240" behindDoc="0" locked="0" layoutInCell="1" allowOverlap="1" wp14:anchorId="6B1741E0" wp14:editId="76471EEA">
                <wp:simplePos x="0" y="0"/>
                <wp:positionH relativeFrom="margin">
                  <wp:posOffset>10973</wp:posOffset>
                </wp:positionH>
                <wp:positionV relativeFrom="topMargin">
                  <wp:posOffset>6488582</wp:posOffset>
                </wp:positionV>
                <wp:extent cx="6851460" cy="3096083"/>
                <wp:effectExtent l="0" t="0" r="6985" b="9525"/>
                <wp:wrapNone/>
                <wp:docPr id="12" name="Text Box 2"/>
                <wp:cNvGraphicFramePr/>
                <a:graphic xmlns:a="http://schemas.openxmlformats.org/drawingml/2006/main">
                  <a:graphicData uri="http://schemas.microsoft.com/office/word/2010/wordprocessingShape">
                    <wps:wsp>
                      <wps:cNvSpPr txBox="1"/>
                      <wps:spPr>
                        <a:xfrm>
                          <a:off x="0" y="0"/>
                          <a:ext cx="6851460" cy="3096083"/>
                        </a:xfrm>
                        <a:prstGeom prst="rect">
                          <a:avLst/>
                        </a:prstGeom>
                        <a:solidFill>
                          <a:srgbClr val="FFFFFF"/>
                        </a:solidFill>
                        <a:ln w="9525">
                          <a:noFill/>
                          <a:miter lim="800000"/>
                        </a:ln>
                      </wps:spPr>
                      <wps:style>
                        <a:lnRef idx="0">
                          <a:schemeClr val="accent1"/>
                        </a:lnRef>
                        <a:fillRef idx="0">
                          <a:schemeClr val="accent1"/>
                        </a:fillRef>
                        <a:effectRef idx="0">
                          <a:schemeClr val="accent1"/>
                        </a:effectRef>
                        <a:fontRef idx="minor">
                          <a:schemeClr val="dk1"/>
                        </a:fontRef>
                      </wps:style>
                      <wps:txbx>
                        <w:txbxContent>
                          <w:p w14:paraId="59590147" w14:textId="77777777" w:rsidR="00A561E0" w:rsidRDefault="00854BE4">
                            <w:pPr>
                              <w:jc w:val="right"/>
                              <w:rPr>
                                <w:color w:val="392388"/>
                              </w:rPr>
                            </w:pPr>
                            <w:r>
                              <w:rPr>
                                <w:noProof/>
                              </w:rPr>
                              <w:drawing>
                                <wp:inline distT="0" distB="0" distL="0" distR="0" wp14:anchorId="78FA1361" wp14:editId="2CC677DC">
                                  <wp:extent cx="2667000" cy="1181100"/>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1" cstate="print"/>
                                          <a:stretch>
                                            <a:fillRect/>
                                          </a:stretch>
                                        </pic:blipFill>
                                        <pic:spPr>
                                          <a:xfrm>
                                            <a:off x="0" y="0"/>
                                            <a:ext cx="2667000" cy="1181100"/>
                                          </a:xfrm>
                                          <a:prstGeom prst="rect">
                                            <a:avLst/>
                                          </a:prstGeom>
                                        </pic:spPr>
                                      </pic:pic>
                                    </a:graphicData>
                                  </a:graphic>
                                </wp:inline>
                              </w:drawing>
                            </w:r>
                          </w:p>
                        </w:txbxContent>
                      </wps:txbx>
                      <wps:bodyPr rot="0" vert="horz" wrap="square" lIns="0" tIns="0" rIns="0" bIns="0" anchor="b" anchorCtr="0"/>
                    </wps:ws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v:rect style="width:539.49pt;height:243.79pt;position:absolute;mso-position-horizontal-relative:margin;margin-left:0.86pt;mso-position-vertical-relative:top-margin-area;margin-top:510.91pt;mso-wrap-style:square;mso-wrap-distance-left:9pt;mso-wrap-distance-top:0pt;mso-wrap-distance-right:9pt;mso-wrap-distance-bottom:0pt;z-index:251676672;mso-wrap-style:square;v-text-anchor:bottom;visibility:visible" fillcolor="#FFFFFF" stroked="false" strokeweight="0.75pt">
                <v:textbox inset="0pt,0pt,0pt,0pt">
                  <w:txbxContent>
                    <w:p>
                      <w:pPr>
                        <w:jc w:val="right"/>
                        <w:rPr>
                          <w:color w:val="392388"/>
                        </w:rPr>
                      </w:pPr>
                      <w:r>
                        <w:drawing>
                          <wp:inline>
                            <wp:extent cx="2667000" cy="1181100"/>
                            <wp:docPr id="15" name="Picture 15"/>
                            <a:graphic xmlns:a="http://schemas.openxmlformats.org/drawingml/2006/main">
                              <a:graphicData uri="http://schemas.openxmlformats.org/drawingml/2006/picture">
                                <pic:pic xmlns:pic="http://schemas.openxmlformats.org/drawingml/2006/picture">
                                  <pic:nvPicPr>
                                    <pic:cNvPr id="16" name="Picture 16"/>
                                    <pic:cNvPicPr/>
                                  </pic:nvPicPr>
                                  <pic:blipFill>
                                    <a:blip cstate="print" r:embed="PictureId6"/>
                                    <a:stretch>
                                      <a:fillRect/>
                                    </a:stretch>
                                  </pic:blipFill>
                                  <pic:spPr>
                                    <a:xfrm>
                                      <a:off x="0" y="0"/>
                                      <a:ext cx="2667000" cy="1181100"/>
                                    </a:xfrm>
                                    <a:prstGeom prst="rect">
                                      <a:avLst/>
                                    </a:prstGeom>
                                  </pic:spPr>
                                </pic:pic>
                              </a:graphicData>
                            </a:graphic>
                          </wp:inline>
                        </w:drawing>
                      </w:r>
                    </w:p>
                  </w:txbxContent>
                </v:textbox>
                <w10:wrap type="none" side="both"/>
              </v:rect>
            </w:pict>
          </mc:Fallback>
        </mc:AlternateContent>
      </w:r>
    </w:p>
    <w:p w14:paraId="1EAE87F6" w14:textId="77777777" w:rsidR="00A561E0" w:rsidRDefault="00854BE4">
      <w:pPr>
        <w:pStyle w:val="DefaqtoHeading1"/>
      </w:pPr>
      <w:bookmarkStart w:id="4" w:name="_Toc1"/>
      <w:r>
        <w:lastRenderedPageBreak/>
        <w:t>Contents</w:t>
      </w:r>
      <w:bookmarkEnd w:id="4"/>
    </w:p>
    <w:p w14:paraId="28A2A596" w14:textId="77777777" w:rsidR="00A561E0" w:rsidRDefault="00854BE4">
      <w:r>
        <w:t xml:space="preserve"> </w:t>
      </w:r>
    </w:p>
    <w:p w14:paraId="02B72E55" w14:textId="77777777" w:rsidR="00A561E0" w:rsidRDefault="00854BE4">
      <w:pPr>
        <w:pStyle w:val="TOC1"/>
      </w:pPr>
      <w:r>
        <w:fldChar w:fldCharType="begin"/>
      </w:r>
      <w:r>
        <w:instrText>TOC \o "1-3" \h \u \z</w:instrText>
      </w:r>
      <w:r>
        <w:fldChar w:fldCharType="separate"/>
      </w:r>
      <w:hyperlink w:anchor="_Toc1">
        <w:r>
          <w:t>Contents</w:t>
        </w:r>
        <w:r>
          <w:tab/>
        </w:r>
        <w:r>
          <w:fldChar w:fldCharType="begin"/>
        </w:r>
        <w:r>
          <w:instrText>PAGEREF _Toc1 \h</w:instrText>
        </w:r>
        <w:r>
          <w:fldChar w:fldCharType="separate"/>
        </w:r>
        <w:r>
          <w:t>2</w:t>
        </w:r>
        <w:r>
          <w:fldChar w:fldCharType="end"/>
        </w:r>
      </w:hyperlink>
    </w:p>
    <w:p w14:paraId="48792741" w14:textId="77777777" w:rsidR="00A561E0" w:rsidRDefault="00854BE4">
      <w:pPr>
        <w:pStyle w:val="TOC1"/>
      </w:pPr>
      <w:hyperlink w:anchor="_Toc2">
        <w:r>
          <w:t>Risk profile</w:t>
        </w:r>
        <w:r>
          <w:tab/>
        </w:r>
        <w:r>
          <w:fldChar w:fldCharType="begin"/>
        </w:r>
        <w:r>
          <w:instrText>PAGEREF _Toc2 \h</w:instrText>
        </w:r>
        <w:r>
          <w:fldChar w:fldCharType="separate"/>
        </w:r>
        <w:r>
          <w:t>4</w:t>
        </w:r>
        <w:r>
          <w:fldChar w:fldCharType="end"/>
        </w:r>
      </w:hyperlink>
    </w:p>
    <w:p w14:paraId="6AE3C12E" w14:textId="77777777" w:rsidR="00A561E0" w:rsidRDefault="00854BE4">
      <w:pPr>
        <w:pStyle w:val="TOC2"/>
        <w:tabs>
          <w:tab w:val="right" w:leader="dot" w:pos="10627"/>
        </w:tabs>
      </w:pPr>
      <w:hyperlink w:anchor="_Toc3">
        <w:r>
          <w:rPr>
            <w:b/>
            <w:bCs/>
          </w:rPr>
          <w:t>How are risk levels used to create suitable investment portfolios?</w:t>
        </w:r>
        <w:r>
          <w:tab/>
        </w:r>
        <w:r>
          <w:fldChar w:fldCharType="begin"/>
        </w:r>
        <w:r>
          <w:instrText>PAGEREF _Toc3 \h</w:instrText>
        </w:r>
        <w:r>
          <w:fldChar w:fldCharType="separate"/>
        </w:r>
        <w:r>
          <w:t>4</w:t>
        </w:r>
        <w:r>
          <w:fldChar w:fldCharType="end"/>
        </w:r>
      </w:hyperlink>
    </w:p>
    <w:p w14:paraId="3E76E704" w14:textId="77777777" w:rsidR="00A561E0" w:rsidRDefault="00854BE4">
      <w:pPr>
        <w:pStyle w:val="TOC2"/>
        <w:tabs>
          <w:tab w:val="right" w:leader="dot" w:pos="10627"/>
        </w:tabs>
      </w:pPr>
      <w:hyperlink w:anchor="_Toc4">
        <w:r>
          <w:t>Agreed risk level</w:t>
        </w:r>
        <w:r>
          <w:tab/>
        </w:r>
        <w:r>
          <w:fldChar w:fldCharType="begin"/>
        </w:r>
        <w:r>
          <w:instrText>PAGEREF _Toc4 \h</w:instrText>
        </w:r>
        <w:r>
          <w:fldChar w:fldCharType="separate"/>
        </w:r>
        <w:r>
          <w:t>5</w:t>
        </w:r>
        <w:r>
          <w:fldChar w:fldCharType="end"/>
        </w:r>
      </w:hyperlink>
    </w:p>
    <w:p w14:paraId="72894E1B" w14:textId="77777777" w:rsidR="00A561E0" w:rsidRDefault="00854BE4">
      <w:pPr>
        <w:pStyle w:val="TOC1"/>
      </w:pPr>
      <w:hyperlink w:anchor="_Toc5">
        <w:r>
          <w:rPr>
            <w:lang w:val="en-NZ"/>
          </w:rPr>
          <w:t>Investments</w:t>
        </w:r>
        <w:r>
          <w:rPr>
            <w:lang w:val="en-NZ"/>
          </w:rPr>
          <w:t xml:space="preserve"> </w:t>
        </w:r>
        <w:r>
          <w:t>selection</w:t>
        </w:r>
        <w:r>
          <w:tab/>
        </w:r>
        <w:r>
          <w:fldChar w:fldCharType="begin"/>
        </w:r>
        <w:r>
          <w:instrText>PAGEREF _Toc5 \h</w:instrText>
        </w:r>
        <w:r>
          <w:fldChar w:fldCharType="separate"/>
        </w:r>
        <w:r>
          <w:t>6</w:t>
        </w:r>
        <w:r>
          <w:fldChar w:fldCharType="end"/>
        </w:r>
      </w:hyperlink>
    </w:p>
    <w:p w14:paraId="188650DB" w14:textId="77777777" w:rsidR="00A561E0" w:rsidRDefault="00854BE4">
      <w:pPr>
        <w:pStyle w:val="TOC2"/>
        <w:tabs>
          <w:tab w:val="right" w:leader="dot" w:pos="10627"/>
        </w:tabs>
      </w:pPr>
      <w:hyperlink w:anchor="_Toc6">
        <w:r>
          <w:t xml:space="preserve">Risk </w:t>
        </w:r>
        <w:r>
          <w:rPr>
            <w:lang w:val="en-NZ"/>
          </w:rPr>
          <w:t>Rated investments</w:t>
        </w:r>
        <w:r>
          <w:tab/>
        </w:r>
        <w:r>
          <w:fldChar w:fldCharType="begin"/>
        </w:r>
        <w:r>
          <w:instrText>PAGEREF _Toc6 \h</w:instrText>
        </w:r>
        <w:r>
          <w:fldChar w:fldCharType="separate"/>
        </w:r>
        <w:r>
          <w:t>6</w:t>
        </w:r>
        <w:r>
          <w:fldChar w:fldCharType="end"/>
        </w:r>
      </w:hyperlink>
    </w:p>
    <w:p w14:paraId="73D89C86" w14:textId="77777777" w:rsidR="00A561E0" w:rsidRDefault="00854BE4">
      <w:pPr>
        <w:pStyle w:val="TOC2"/>
        <w:tabs>
          <w:tab w:val="right" w:leader="dot" w:pos="10627"/>
        </w:tabs>
      </w:pPr>
      <w:hyperlink w:anchor="_Toc7">
        <w:r>
          <w:t>Portfolio details</w:t>
        </w:r>
        <w:r>
          <w:tab/>
        </w:r>
        <w:r>
          <w:fldChar w:fldCharType="begin"/>
        </w:r>
        <w:r>
          <w:instrText>PAGEREF _Toc7 \h</w:instrText>
        </w:r>
        <w:r>
          <w:fldChar w:fldCharType="separate"/>
        </w:r>
        <w:r>
          <w:t>6</w:t>
        </w:r>
        <w:r>
          <w:fldChar w:fldCharType="end"/>
        </w:r>
      </w:hyperlink>
    </w:p>
    <w:p w14:paraId="57F9BF02" w14:textId="77777777" w:rsidR="00A561E0" w:rsidRDefault="00854BE4">
      <w:pPr>
        <w:pStyle w:val="TOC3"/>
        <w:tabs>
          <w:tab w:val="right" w:leader="dot" w:pos="10627"/>
        </w:tabs>
      </w:pPr>
      <w:hyperlink w:anchor="_Toc8">
        <w:r>
          <w:t>Investments</w:t>
        </w:r>
        <w:r>
          <w:tab/>
        </w:r>
        <w:r>
          <w:fldChar w:fldCharType="begin"/>
        </w:r>
        <w:r>
          <w:instrText>PAGEREF _Toc8 \h</w:instrText>
        </w:r>
        <w:r>
          <w:fldChar w:fldCharType="separate"/>
        </w:r>
        <w:r>
          <w:t>6</w:t>
        </w:r>
        <w:r>
          <w:fldChar w:fldCharType="end"/>
        </w:r>
      </w:hyperlink>
    </w:p>
    <w:p w14:paraId="23219329" w14:textId="77777777" w:rsidR="00A561E0" w:rsidRDefault="00854BE4">
      <w:pPr>
        <w:pStyle w:val="TOC3"/>
        <w:tabs>
          <w:tab w:val="right" w:leader="dot" w:pos="10627"/>
        </w:tabs>
      </w:pPr>
      <w:hyperlink w:anchor="_Toc9">
        <w:r>
          <w:t>MiFID II pre-sale cost disclosure (ex-ante/estimated costs)</w:t>
        </w:r>
        <w:r>
          <w:tab/>
        </w:r>
        <w:r>
          <w:fldChar w:fldCharType="begin"/>
        </w:r>
        <w:r>
          <w:instrText>PAGEREF _Toc9 \h</w:instrText>
        </w:r>
        <w:r>
          <w:fldChar w:fldCharType="separate"/>
        </w:r>
        <w:r>
          <w:t>8</w:t>
        </w:r>
        <w:r>
          <w:fldChar w:fldCharType="end"/>
        </w:r>
      </w:hyperlink>
    </w:p>
    <w:p w14:paraId="5A1740CB" w14:textId="77777777" w:rsidR="00A561E0" w:rsidRDefault="00854BE4">
      <w:pPr>
        <w:pStyle w:val="TOC3"/>
        <w:tabs>
          <w:tab w:val="right" w:leader="dot" w:pos="10627"/>
        </w:tabs>
      </w:pPr>
      <w:hyperlink w:anchor="_Toc10">
        <w:r>
          <w:t>Risk level</w:t>
        </w:r>
        <w:r>
          <w:tab/>
        </w:r>
        <w:r>
          <w:fldChar w:fldCharType="begin"/>
        </w:r>
        <w:r>
          <w:instrText>PAGEREF _Toc10 \h</w:instrText>
        </w:r>
        <w:r>
          <w:fldChar w:fldCharType="separate"/>
        </w:r>
        <w:r>
          <w:t>8</w:t>
        </w:r>
        <w:r>
          <w:fldChar w:fldCharType="end"/>
        </w:r>
      </w:hyperlink>
    </w:p>
    <w:p w14:paraId="491D8EBA" w14:textId="77777777" w:rsidR="00A561E0" w:rsidRDefault="00854BE4">
      <w:pPr>
        <w:pStyle w:val="TOC3"/>
        <w:tabs>
          <w:tab w:val="right" w:leader="dot" w:pos="10627"/>
        </w:tabs>
      </w:pPr>
      <w:hyperlink w:anchor="_Toc11">
        <w:r>
          <w:t>Combined cumulative investment performance graph</w:t>
        </w:r>
        <w:r>
          <w:tab/>
        </w:r>
        <w:r>
          <w:fldChar w:fldCharType="begin"/>
        </w:r>
        <w:r>
          <w:instrText>PAGEREF _Toc11 \h</w:instrText>
        </w:r>
        <w:r>
          <w:fldChar w:fldCharType="separate"/>
        </w:r>
        <w:r>
          <w:t>9</w:t>
        </w:r>
        <w:r>
          <w:fldChar w:fldCharType="end"/>
        </w:r>
      </w:hyperlink>
    </w:p>
    <w:p w14:paraId="0DF94D64" w14:textId="77777777" w:rsidR="00A561E0" w:rsidRDefault="00854BE4">
      <w:pPr>
        <w:pStyle w:val="TOC3"/>
        <w:tabs>
          <w:tab w:val="right" w:leader="dot" w:pos="10627"/>
        </w:tabs>
      </w:pPr>
      <w:hyperlink w:anchor="_Toc12">
        <w:r>
          <w:t>Combined cumulative investment performance table</w:t>
        </w:r>
        <w:r>
          <w:tab/>
        </w:r>
        <w:r>
          <w:fldChar w:fldCharType="begin"/>
        </w:r>
        <w:r>
          <w:instrText>PAGEREF _Toc12 \h</w:instrText>
        </w:r>
        <w:r>
          <w:fldChar w:fldCharType="separate"/>
        </w:r>
        <w:r>
          <w:t>9</w:t>
        </w:r>
        <w:r>
          <w:fldChar w:fldCharType="end"/>
        </w:r>
      </w:hyperlink>
    </w:p>
    <w:p w14:paraId="301AA44F" w14:textId="77777777" w:rsidR="00A561E0" w:rsidRDefault="00854BE4">
      <w:pPr>
        <w:pStyle w:val="TOC3"/>
        <w:tabs>
          <w:tab w:val="right" w:leader="dot" w:pos="10627"/>
        </w:tabs>
      </w:pPr>
      <w:hyperlink w:anchor="_Toc13">
        <w:r>
          <w:t>Individual cumulative investment performance graph</w:t>
        </w:r>
        <w:r>
          <w:tab/>
        </w:r>
        <w:r>
          <w:fldChar w:fldCharType="begin"/>
        </w:r>
        <w:r>
          <w:instrText>PAGEREF _Toc13 \h</w:instrText>
        </w:r>
        <w:r>
          <w:fldChar w:fldCharType="separate"/>
        </w:r>
        <w:r>
          <w:t>10</w:t>
        </w:r>
        <w:r>
          <w:fldChar w:fldCharType="end"/>
        </w:r>
      </w:hyperlink>
    </w:p>
    <w:p w14:paraId="091E4045" w14:textId="77777777" w:rsidR="00A561E0" w:rsidRDefault="00854BE4">
      <w:pPr>
        <w:pStyle w:val="TOC3"/>
        <w:tabs>
          <w:tab w:val="right" w:leader="dot" w:pos="10627"/>
        </w:tabs>
      </w:pPr>
      <w:hyperlink w:anchor="_Toc14">
        <w:r>
          <w:t>Individual cumulative investment performance table</w:t>
        </w:r>
        <w:r>
          <w:tab/>
        </w:r>
        <w:r>
          <w:fldChar w:fldCharType="begin"/>
        </w:r>
        <w:r>
          <w:instrText>PAGEREF _Toc14 \h</w:instrText>
        </w:r>
        <w:r>
          <w:fldChar w:fldCharType="separate"/>
        </w:r>
        <w:r>
          <w:t>10</w:t>
        </w:r>
        <w:r>
          <w:fldChar w:fldCharType="end"/>
        </w:r>
      </w:hyperlink>
    </w:p>
    <w:p w14:paraId="68945B2D" w14:textId="77777777" w:rsidR="00A561E0" w:rsidRDefault="00854BE4">
      <w:pPr>
        <w:pStyle w:val="TOC3"/>
        <w:tabs>
          <w:tab w:val="right" w:leader="dot" w:pos="10627"/>
        </w:tabs>
      </w:pPr>
      <w:hyperlink w:anchor="_Toc15">
        <w:r>
          <w:t>Combined discrete investment performance graph</w:t>
        </w:r>
        <w:r>
          <w:tab/>
        </w:r>
        <w:r>
          <w:fldChar w:fldCharType="begin"/>
        </w:r>
        <w:r>
          <w:instrText>PAGEREF _Toc15 \h</w:instrText>
        </w:r>
        <w:r>
          <w:fldChar w:fldCharType="separate"/>
        </w:r>
        <w:r>
          <w:t>11</w:t>
        </w:r>
        <w:r>
          <w:fldChar w:fldCharType="end"/>
        </w:r>
      </w:hyperlink>
    </w:p>
    <w:p w14:paraId="1E7AAB76" w14:textId="77777777" w:rsidR="00A561E0" w:rsidRDefault="00854BE4">
      <w:pPr>
        <w:pStyle w:val="TOC3"/>
        <w:tabs>
          <w:tab w:val="right" w:leader="dot" w:pos="10627"/>
        </w:tabs>
      </w:pPr>
      <w:hyperlink w:anchor="_Toc16">
        <w:r>
          <w:t>Combined discrete investment performance table</w:t>
        </w:r>
        <w:r>
          <w:tab/>
        </w:r>
        <w:r>
          <w:fldChar w:fldCharType="begin"/>
        </w:r>
        <w:r>
          <w:instrText>PAGEREF _Toc16 \h</w:instrText>
        </w:r>
        <w:r>
          <w:fldChar w:fldCharType="separate"/>
        </w:r>
        <w:r>
          <w:t>11</w:t>
        </w:r>
        <w:r>
          <w:fldChar w:fldCharType="end"/>
        </w:r>
      </w:hyperlink>
    </w:p>
    <w:p w14:paraId="631086BC" w14:textId="77777777" w:rsidR="00A561E0" w:rsidRDefault="00854BE4">
      <w:pPr>
        <w:pStyle w:val="TOC3"/>
        <w:tabs>
          <w:tab w:val="right" w:leader="dot" w:pos="10627"/>
        </w:tabs>
      </w:pPr>
      <w:hyperlink w:anchor="_Toc17">
        <w:r>
          <w:t>Individual discrete investment performance table</w:t>
        </w:r>
        <w:r>
          <w:tab/>
        </w:r>
        <w:r>
          <w:fldChar w:fldCharType="begin"/>
        </w:r>
        <w:r>
          <w:instrText>PAGEREF _Toc17 \h</w:instrText>
        </w:r>
        <w:r>
          <w:fldChar w:fldCharType="separate"/>
        </w:r>
        <w:r>
          <w:t>11</w:t>
        </w:r>
        <w:r>
          <w:fldChar w:fldCharType="end"/>
        </w:r>
      </w:hyperlink>
    </w:p>
    <w:p w14:paraId="0C0DD555" w14:textId="77777777" w:rsidR="00A561E0" w:rsidRDefault="00854BE4">
      <w:pPr>
        <w:pStyle w:val="TOC3"/>
        <w:tabs>
          <w:tab w:val="right" w:leader="dot" w:pos="10627"/>
        </w:tabs>
      </w:pPr>
      <w:hyperlink w:anchor="_Toc18">
        <w:r>
          <w:t>Combined top ten holdings</w:t>
        </w:r>
        <w:r>
          <w:tab/>
        </w:r>
        <w:r>
          <w:fldChar w:fldCharType="begin"/>
        </w:r>
        <w:r>
          <w:instrText>PAGEREF _Toc18 \h</w:instrText>
        </w:r>
        <w:r>
          <w:fldChar w:fldCharType="separate"/>
        </w:r>
        <w:r>
          <w:t>13</w:t>
        </w:r>
        <w:r>
          <w:fldChar w:fldCharType="end"/>
        </w:r>
      </w:hyperlink>
    </w:p>
    <w:p w14:paraId="09BDDB19" w14:textId="77777777" w:rsidR="00A561E0" w:rsidRDefault="00854BE4">
      <w:pPr>
        <w:pStyle w:val="TOC3"/>
        <w:tabs>
          <w:tab w:val="right" w:leader="dot" w:pos="10627"/>
        </w:tabs>
      </w:pPr>
      <w:hyperlink w:anchor="_Toc19">
        <w:r>
          <w:t>Asset allocation</w:t>
        </w:r>
        <w:r>
          <w:tab/>
        </w:r>
        <w:r>
          <w:fldChar w:fldCharType="begin"/>
        </w:r>
        <w:r>
          <w:instrText>PAGEREF _Toc19 \h</w:instrText>
        </w:r>
        <w:r>
          <w:fldChar w:fldCharType="separate"/>
        </w:r>
        <w:r>
          <w:t>14</w:t>
        </w:r>
        <w:r>
          <w:fldChar w:fldCharType="end"/>
        </w:r>
      </w:hyperlink>
    </w:p>
    <w:p w14:paraId="538B10EB" w14:textId="77777777" w:rsidR="00A561E0" w:rsidRDefault="00854BE4">
      <w:pPr>
        <w:pStyle w:val="TOC2"/>
        <w:tabs>
          <w:tab w:val="right" w:leader="dot" w:pos="10627"/>
        </w:tabs>
      </w:pPr>
      <w:hyperlink w:anchor="_Toc3558338">
        <w:r>
          <w:t>Filters</w:t>
        </w:r>
        <w:r>
          <w:tab/>
        </w:r>
        <w:r>
          <w:fldChar w:fldCharType="begin"/>
        </w:r>
        <w:r>
          <w:instrText>PAGEREF _Toc3558338 \h</w:instrText>
        </w:r>
        <w:r>
          <w:fldChar w:fldCharType="separate"/>
        </w:r>
        <w:r>
          <w:t>15</w:t>
        </w:r>
        <w:r>
          <w:fldChar w:fldCharType="end"/>
        </w:r>
      </w:hyperlink>
    </w:p>
    <w:p w14:paraId="1914E21D" w14:textId="77777777" w:rsidR="00A561E0" w:rsidRDefault="00854BE4">
      <w:pPr>
        <w:pStyle w:val="TOC2"/>
        <w:tabs>
          <w:tab w:val="right" w:leader="dot" w:pos="10627"/>
        </w:tabs>
      </w:pPr>
      <w:hyperlink w:anchor="_Toc3558339">
        <w:r>
          <w:t>Shortlist</w:t>
        </w:r>
        <w:r>
          <w:tab/>
        </w:r>
        <w:r>
          <w:fldChar w:fldCharType="begin"/>
        </w:r>
        <w:r>
          <w:instrText>PAGEREF _Toc3558339 \h</w:instrText>
        </w:r>
        <w:r>
          <w:fldChar w:fldCharType="separate"/>
        </w:r>
        <w:r>
          <w:t>15</w:t>
        </w:r>
        <w:r>
          <w:fldChar w:fldCharType="end"/>
        </w:r>
      </w:hyperlink>
    </w:p>
    <w:p w14:paraId="513324BD" w14:textId="77777777" w:rsidR="00A561E0" w:rsidRDefault="00854BE4">
      <w:pPr>
        <w:pStyle w:val="TOC2"/>
        <w:tabs>
          <w:tab w:val="right" w:leader="dot" w:pos="10627"/>
        </w:tabs>
      </w:pPr>
      <w:hyperlink w:anchor="_Toc3558340">
        <w:r>
          <w:t>Supplementary research</w:t>
        </w:r>
        <w:r>
          <w:tab/>
        </w:r>
        <w:r>
          <w:fldChar w:fldCharType="begin"/>
        </w:r>
        <w:r>
          <w:instrText>PAGEREF _Toc3558340 \h</w:instrText>
        </w:r>
        <w:r>
          <w:fldChar w:fldCharType="separate"/>
        </w:r>
        <w:r>
          <w:t>16</w:t>
        </w:r>
        <w:r>
          <w:fldChar w:fldCharType="end"/>
        </w:r>
      </w:hyperlink>
    </w:p>
    <w:p w14:paraId="321534F6" w14:textId="77777777" w:rsidR="00A561E0" w:rsidRDefault="00854BE4">
      <w:pPr>
        <w:pStyle w:val="TOC3"/>
        <w:tabs>
          <w:tab w:val="right" w:leader="dot" w:pos="10627"/>
        </w:tabs>
      </w:pPr>
      <w:hyperlink w:anchor="_Toc3558344">
        <w:r>
          <w:t>Data comparisons</w:t>
        </w:r>
        <w:r>
          <w:tab/>
        </w:r>
        <w:r>
          <w:fldChar w:fldCharType="begin"/>
        </w:r>
        <w:r>
          <w:instrText>PAGEREF _Toc3558344 \h</w:instrText>
        </w:r>
        <w:r>
          <w:fldChar w:fldCharType="separate"/>
        </w:r>
        <w:r>
          <w:t>17</w:t>
        </w:r>
        <w:r>
          <w:fldChar w:fldCharType="end"/>
        </w:r>
      </w:hyperlink>
    </w:p>
    <w:p w14:paraId="729D9416" w14:textId="77777777" w:rsidR="00A561E0" w:rsidRDefault="00854BE4">
      <w:pPr>
        <w:pStyle w:val="TOC1"/>
      </w:pPr>
      <w:hyperlink w:anchor="_Toc20">
        <w:r>
          <w:t>Product selection</w:t>
        </w:r>
        <w:r>
          <w:tab/>
        </w:r>
        <w:r>
          <w:fldChar w:fldCharType="begin"/>
        </w:r>
        <w:r>
          <w:instrText>PAGEREF _Toc20 \h</w:instrText>
        </w:r>
        <w:r>
          <w:fldChar w:fldCharType="separate"/>
        </w:r>
        <w:r>
          <w:t>19</w:t>
        </w:r>
        <w:r>
          <w:fldChar w:fldCharType="end"/>
        </w:r>
      </w:hyperlink>
    </w:p>
    <w:p w14:paraId="2246FE37" w14:textId="77777777" w:rsidR="00A561E0" w:rsidRDefault="00854BE4">
      <w:pPr>
        <w:pStyle w:val="TOC2"/>
        <w:tabs>
          <w:tab w:val="right" w:leader="dot" w:pos="10627"/>
        </w:tabs>
      </w:pPr>
      <w:hyperlink w:anchor="_Toc21">
        <w:r>
          <w:t>Selected Research Area</w:t>
        </w:r>
        <w:r>
          <w:tab/>
        </w:r>
        <w:r>
          <w:fldChar w:fldCharType="begin"/>
        </w:r>
        <w:r>
          <w:instrText>PAGEREF _Toc21 \h</w:instrText>
        </w:r>
        <w:r>
          <w:fldChar w:fldCharType="separate"/>
        </w:r>
        <w:r>
          <w:t>19</w:t>
        </w:r>
        <w:r>
          <w:fldChar w:fldCharType="end"/>
        </w:r>
      </w:hyperlink>
    </w:p>
    <w:p w14:paraId="18933EF4" w14:textId="77777777" w:rsidR="00A561E0" w:rsidRDefault="00854BE4">
      <w:pPr>
        <w:pStyle w:val="TOC2"/>
        <w:tabs>
          <w:tab w:val="right" w:leader="dot" w:pos="10627"/>
        </w:tabs>
      </w:pPr>
      <w:hyperlink w:anchor="_Toc22">
        <w:r>
          <w:t>Recommended Product</w:t>
        </w:r>
        <w:r>
          <w:tab/>
        </w:r>
        <w:r>
          <w:fldChar w:fldCharType="begin"/>
        </w:r>
        <w:r>
          <w:instrText>PAGEREF _Toc22 \h</w:instrText>
        </w:r>
        <w:r>
          <w:fldChar w:fldCharType="separate"/>
        </w:r>
        <w:r>
          <w:t>19</w:t>
        </w:r>
        <w:r>
          <w:fldChar w:fldCharType="end"/>
        </w:r>
      </w:hyperlink>
    </w:p>
    <w:p w14:paraId="63E2C83E" w14:textId="77777777" w:rsidR="00A561E0" w:rsidRDefault="00854BE4">
      <w:pPr>
        <w:pStyle w:val="TOC2"/>
        <w:tabs>
          <w:tab w:val="right" w:leader="dot" w:pos="10627"/>
        </w:tabs>
      </w:pPr>
      <w:hyperlink w:anchor="_Toc23">
        <w:r>
          <w:t>Panel</w:t>
        </w:r>
        <w:r>
          <w:tab/>
        </w:r>
        <w:r>
          <w:fldChar w:fldCharType="begin"/>
        </w:r>
        <w:r>
          <w:instrText>PAGEREF _Toc23 \h</w:instrText>
        </w:r>
        <w:r>
          <w:fldChar w:fldCharType="separate"/>
        </w:r>
        <w:r>
          <w:t>20</w:t>
        </w:r>
        <w:r>
          <w:fldChar w:fldCharType="end"/>
        </w:r>
      </w:hyperlink>
    </w:p>
    <w:p w14:paraId="0E28D5CF" w14:textId="77777777" w:rsidR="00A561E0" w:rsidRDefault="00854BE4">
      <w:pPr>
        <w:pStyle w:val="TOC2"/>
        <w:tabs>
          <w:tab w:val="right" w:leader="dot" w:pos="10627"/>
        </w:tabs>
      </w:pPr>
      <w:hyperlink w:anchor="_Toc24">
        <w:r>
          <w:t>Template</w:t>
        </w:r>
        <w:r>
          <w:tab/>
        </w:r>
        <w:r>
          <w:fldChar w:fldCharType="begin"/>
        </w:r>
        <w:r>
          <w:instrText>PAGEREF _Toc24 \h</w:instrText>
        </w:r>
        <w:r>
          <w:fldChar w:fldCharType="separate"/>
        </w:r>
        <w:r>
          <w:t>20</w:t>
        </w:r>
        <w:r>
          <w:fldChar w:fldCharType="end"/>
        </w:r>
      </w:hyperlink>
    </w:p>
    <w:p w14:paraId="4F9F0D29" w14:textId="77777777" w:rsidR="00A561E0" w:rsidRDefault="00854BE4">
      <w:pPr>
        <w:pStyle w:val="TOC2"/>
        <w:tabs>
          <w:tab w:val="right" w:leader="dot" w:pos="10627"/>
        </w:tabs>
      </w:pPr>
      <w:hyperlink w:anchor="_Toc25">
        <w:r>
          <w:t>Filters</w:t>
        </w:r>
        <w:r>
          <w:tab/>
        </w:r>
        <w:r>
          <w:fldChar w:fldCharType="begin"/>
        </w:r>
        <w:r>
          <w:instrText>PAGEREF _Toc25 \h</w:instrText>
        </w:r>
        <w:r>
          <w:fldChar w:fldCharType="separate"/>
        </w:r>
        <w:r>
          <w:t>20</w:t>
        </w:r>
        <w:r>
          <w:fldChar w:fldCharType="end"/>
        </w:r>
      </w:hyperlink>
    </w:p>
    <w:p w14:paraId="23C8C91E" w14:textId="77777777" w:rsidR="00A561E0" w:rsidRDefault="00854BE4">
      <w:pPr>
        <w:pStyle w:val="TOC2"/>
        <w:tabs>
          <w:tab w:val="right" w:leader="dot" w:pos="10627"/>
        </w:tabs>
      </w:pPr>
      <w:hyperlink w:anchor="_Toc26">
        <w:r>
          <w:t>Shortlist</w:t>
        </w:r>
        <w:r>
          <w:tab/>
        </w:r>
        <w:r>
          <w:fldChar w:fldCharType="begin"/>
        </w:r>
        <w:r>
          <w:instrText>PAGEREF _Toc26 \h</w:instrText>
        </w:r>
        <w:r>
          <w:fldChar w:fldCharType="separate"/>
        </w:r>
        <w:r>
          <w:t>21</w:t>
        </w:r>
        <w:r>
          <w:fldChar w:fldCharType="end"/>
        </w:r>
      </w:hyperlink>
    </w:p>
    <w:p w14:paraId="68D85AF7" w14:textId="77777777" w:rsidR="00A561E0" w:rsidRDefault="00854BE4">
      <w:pPr>
        <w:pStyle w:val="TOC2"/>
        <w:tabs>
          <w:tab w:val="right" w:leader="dot" w:pos="10627"/>
        </w:tabs>
      </w:pPr>
      <w:hyperlink w:anchor="_Toc27">
        <w:r>
          <w:t>DNA features</w:t>
        </w:r>
        <w:r>
          <w:tab/>
        </w:r>
        <w:r>
          <w:fldChar w:fldCharType="begin"/>
        </w:r>
        <w:r>
          <w:instrText>PAGEREF _Toc27 \h</w:instrText>
        </w:r>
        <w:r>
          <w:fldChar w:fldCharType="separate"/>
        </w:r>
        <w:r>
          <w:t>22</w:t>
        </w:r>
        <w:r>
          <w:fldChar w:fldCharType="end"/>
        </w:r>
      </w:hyperlink>
    </w:p>
    <w:p w14:paraId="4F26921E" w14:textId="77777777" w:rsidR="00A561E0" w:rsidRDefault="00854BE4">
      <w:pPr>
        <w:pStyle w:val="TOC2"/>
        <w:tabs>
          <w:tab w:val="right" w:leader="dot" w:pos="10627"/>
        </w:tabs>
      </w:pPr>
      <w:hyperlink w:anchor="_Toc28">
        <w:r>
          <w:t>Brochure comparisons</w:t>
        </w:r>
        <w:r>
          <w:tab/>
        </w:r>
        <w:r>
          <w:fldChar w:fldCharType="begin"/>
        </w:r>
        <w:r>
          <w:instrText>PAGEREF _Toc28 \h</w:instrText>
        </w:r>
        <w:r>
          <w:fldChar w:fldCharType="separate"/>
        </w:r>
        <w:r>
          <w:t>23</w:t>
        </w:r>
        <w:r>
          <w:fldChar w:fldCharType="end"/>
        </w:r>
      </w:hyperlink>
    </w:p>
    <w:p w14:paraId="15C06151" w14:textId="77777777" w:rsidR="00A561E0" w:rsidRDefault="00854BE4">
      <w:pPr>
        <w:pStyle w:val="TOC1"/>
      </w:pPr>
      <w:hyperlink w:anchor="_Toc29">
        <w:r>
          <w:t>Platform selection</w:t>
        </w:r>
        <w:r>
          <w:tab/>
        </w:r>
        <w:r>
          <w:fldChar w:fldCharType="begin"/>
        </w:r>
        <w:r>
          <w:instrText>PAGEREF _Toc29 \h</w:instrText>
        </w:r>
        <w:r>
          <w:fldChar w:fldCharType="separate"/>
        </w:r>
        <w:r>
          <w:t>24</w:t>
        </w:r>
        <w:r>
          <w:fldChar w:fldCharType="end"/>
        </w:r>
      </w:hyperlink>
    </w:p>
    <w:p w14:paraId="106220CB" w14:textId="77777777" w:rsidR="00A561E0" w:rsidRDefault="00854BE4">
      <w:pPr>
        <w:pStyle w:val="TOC2"/>
        <w:tabs>
          <w:tab w:val="right" w:leader="dot" w:pos="10627"/>
        </w:tabs>
      </w:pPr>
      <w:hyperlink w:anchor="_Toc30">
        <w:r>
          <w:t>Recommended Platform</w:t>
        </w:r>
        <w:r>
          <w:tab/>
        </w:r>
        <w:r>
          <w:fldChar w:fldCharType="begin"/>
        </w:r>
        <w:r>
          <w:instrText>PAGEREF _Toc30 \h</w:instrText>
        </w:r>
        <w:r>
          <w:fldChar w:fldCharType="separate"/>
        </w:r>
        <w:r>
          <w:t>24</w:t>
        </w:r>
        <w:r>
          <w:fldChar w:fldCharType="end"/>
        </w:r>
      </w:hyperlink>
    </w:p>
    <w:p w14:paraId="1F90C059" w14:textId="77777777" w:rsidR="00A561E0" w:rsidRDefault="00854BE4">
      <w:pPr>
        <w:pStyle w:val="TOC2"/>
        <w:tabs>
          <w:tab w:val="right" w:leader="dot" w:pos="10627"/>
        </w:tabs>
      </w:pPr>
      <w:hyperlink w:anchor="_Toc31">
        <w:r>
          <w:t>Panel</w:t>
        </w:r>
        <w:r>
          <w:tab/>
        </w:r>
        <w:r>
          <w:fldChar w:fldCharType="begin"/>
        </w:r>
        <w:r>
          <w:instrText>PAGEREF _Toc31 \h</w:instrText>
        </w:r>
        <w:r>
          <w:fldChar w:fldCharType="separate"/>
        </w:r>
        <w:r>
          <w:t>25</w:t>
        </w:r>
        <w:r>
          <w:fldChar w:fldCharType="end"/>
        </w:r>
      </w:hyperlink>
    </w:p>
    <w:p w14:paraId="0F2FDD71" w14:textId="77777777" w:rsidR="00A561E0" w:rsidRDefault="00854BE4">
      <w:pPr>
        <w:pStyle w:val="TOC2"/>
        <w:tabs>
          <w:tab w:val="right" w:leader="dot" w:pos="10627"/>
        </w:tabs>
      </w:pPr>
      <w:hyperlink w:anchor="_Toc32">
        <w:r>
          <w:t>Template</w:t>
        </w:r>
        <w:r>
          <w:tab/>
        </w:r>
        <w:r>
          <w:fldChar w:fldCharType="begin"/>
        </w:r>
        <w:r>
          <w:instrText>PAGEREF _Toc32 \h</w:instrText>
        </w:r>
        <w:r>
          <w:fldChar w:fldCharType="separate"/>
        </w:r>
        <w:r>
          <w:t>25</w:t>
        </w:r>
        <w:r>
          <w:fldChar w:fldCharType="end"/>
        </w:r>
      </w:hyperlink>
    </w:p>
    <w:p w14:paraId="3A4EF9FD" w14:textId="77777777" w:rsidR="00A561E0" w:rsidRDefault="00854BE4">
      <w:pPr>
        <w:pStyle w:val="TOC2"/>
        <w:tabs>
          <w:tab w:val="right" w:leader="dot" w:pos="10627"/>
        </w:tabs>
      </w:pPr>
      <w:hyperlink w:anchor="_Toc33">
        <w:r>
          <w:t>Filters</w:t>
        </w:r>
        <w:r>
          <w:tab/>
        </w:r>
        <w:r>
          <w:fldChar w:fldCharType="begin"/>
        </w:r>
        <w:r>
          <w:instrText>PAGEREF _Toc33 \h</w:instrText>
        </w:r>
        <w:r>
          <w:fldChar w:fldCharType="separate"/>
        </w:r>
        <w:r>
          <w:t>25</w:t>
        </w:r>
        <w:r>
          <w:fldChar w:fldCharType="end"/>
        </w:r>
      </w:hyperlink>
    </w:p>
    <w:p w14:paraId="02D932C2" w14:textId="77777777" w:rsidR="00A561E0" w:rsidRDefault="00854BE4">
      <w:pPr>
        <w:pStyle w:val="TOC2"/>
        <w:tabs>
          <w:tab w:val="right" w:leader="dot" w:pos="10627"/>
        </w:tabs>
      </w:pPr>
      <w:hyperlink w:anchor="_Toc34">
        <w:r>
          <w:t>Shortlist</w:t>
        </w:r>
        <w:r>
          <w:tab/>
        </w:r>
        <w:r>
          <w:fldChar w:fldCharType="begin"/>
        </w:r>
        <w:r>
          <w:instrText>PAGEREF _Toc34 \h</w:instrText>
        </w:r>
        <w:r>
          <w:fldChar w:fldCharType="separate"/>
        </w:r>
        <w:r>
          <w:t>26</w:t>
        </w:r>
        <w:r>
          <w:fldChar w:fldCharType="end"/>
        </w:r>
      </w:hyperlink>
    </w:p>
    <w:p w14:paraId="617CF9C4" w14:textId="77777777" w:rsidR="00A561E0" w:rsidRDefault="00854BE4">
      <w:pPr>
        <w:pStyle w:val="TOC2"/>
        <w:tabs>
          <w:tab w:val="right" w:leader="dot" w:pos="10627"/>
        </w:tabs>
      </w:pPr>
      <w:hyperlink w:anchor="_Toc35">
        <w:r>
          <w:t>DNA features</w:t>
        </w:r>
        <w:r>
          <w:tab/>
        </w:r>
        <w:r>
          <w:fldChar w:fldCharType="begin"/>
        </w:r>
        <w:r>
          <w:instrText>PAGEREF _Toc35 \h</w:instrText>
        </w:r>
        <w:r>
          <w:fldChar w:fldCharType="separate"/>
        </w:r>
        <w:r>
          <w:t>27</w:t>
        </w:r>
        <w:r>
          <w:fldChar w:fldCharType="end"/>
        </w:r>
      </w:hyperlink>
    </w:p>
    <w:p w14:paraId="1286C460" w14:textId="77777777" w:rsidR="00A561E0" w:rsidRDefault="00854BE4">
      <w:pPr>
        <w:pStyle w:val="TOC2"/>
        <w:tabs>
          <w:tab w:val="right" w:leader="dot" w:pos="10627"/>
        </w:tabs>
      </w:pPr>
      <w:hyperlink w:anchor="_Toc36">
        <w:r>
          <w:t>Brochure comparisons</w:t>
        </w:r>
        <w:r>
          <w:tab/>
        </w:r>
        <w:r>
          <w:fldChar w:fldCharType="begin"/>
        </w:r>
        <w:r>
          <w:instrText>PAGEREF _Toc36 \h</w:instrText>
        </w:r>
        <w:r>
          <w:fldChar w:fldCharType="separate"/>
        </w:r>
        <w:r>
          <w:t>28</w:t>
        </w:r>
        <w:r>
          <w:fldChar w:fldCharType="end"/>
        </w:r>
      </w:hyperlink>
    </w:p>
    <w:p w14:paraId="57285E21" w14:textId="77777777" w:rsidR="00A561E0" w:rsidRDefault="00854BE4">
      <w:pPr>
        <w:pStyle w:val="TOC1"/>
      </w:pPr>
      <w:hyperlink w:anchor="_Toc37">
        <w:r>
          <w:t>Notes</w:t>
        </w:r>
        <w:r>
          <w:tab/>
        </w:r>
        <w:r>
          <w:fldChar w:fldCharType="begin"/>
        </w:r>
        <w:r>
          <w:instrText>PAGEREF _Toc37 \h</w:instrText>
        </w:r>
        <w:r>
          <w:fldChar w:fldCharType="separate"/>
        </w:r>
        <w:r>
          <w:t>31</w:t>
        </w:r>
        <w:r>
          <w:fldChar w:fldCharType="end"/>
        </w:r>
      </w:hyperlink>
    </w:p>
    <w:p w14:paraId="42B00E3A" w14:textId="77777777" w:rsidR="00A561E0" w:rsidRDefault="00854BE4">
      <w:r>
        <w:fldChar w:fldCharType="end"/>
      </w:r>
      <w:r>
        <w:t xml:space="preserve"> </w:t>
      </w:r>
    </w:p>
    <w:p w14:paraId="771E92AC" w14:textId="77777777" w:rsidR="00A561E0" w:rsidRDefault="00854BE4">
      <w:pPr>
        <w:pStyle w:val="DefaqtoBody"/>
        <w:sectPr w:rsidR="00A561E0">
          <w:headerReference w:type="default" r:id="rId24"/>
          <w:footerReference w:type="default" r:id="rId25"/>
          <w:pgSz w:w="11907" w:h="16839" w:code="9"/>
          <w:pgMar w:top="709" w:right="640" w:bottom="376" w:left="640" w:header="200" w:footer="200" w:gutter="0"/>
          <w:cols w:space="708"/>
          <w:docGrid w:linePitch="360"/>
        </w:sectPr>
      </w:pPr>
      <w:r>
        <w:rPr>
          <w:u w:color="000000"/>
        </w:rPr>
        <w:t>In using this report you acknowledge that nothing in this report is, or shall be deemed to constitute, financial, investment or other advice or a recommendation or endorsement by Defaqto in respect of any product or service referred to herein. Your financial adviser, rather than Defaqto, will provide any such advice, recommendation or endorsement.</w:t>
      </w:r>
    </w:p>
    <w:p w14:paraId="6AEDB4E3" w14:textId="77777777" w:rsidR="00A561E0" w:rsidRDefault="00854BE4">
      <w:pPr>
        <w:pStyle w:val="DefaqtoHeading1"/>
      </w:pPr>
      <w:bookmarkStart w:id="5" w:name="_Toc2"/>
      <w:r>
        <w:lastRenderedPageBreak/>
        <w:t>Risk profile</w:t>
      </w:r>
      <w:bookmarkEnd w:id="5"/>
    </w:p>
    <w:p w14:paraId="3C415197" w14:textId="77777777" w:rsidR="00A561E0" w:rsidRDefault="00854BE4">
      <w:pPr>
        <w:pStyle w:val="DefaqtoIntroText"/>
      </w:pPr>
      <w:r>
        <w:rPr>
          <w:u w:color="000000"/>
        </w:rPr>
        <w:t>This section details how we reached an agreed risk level for this goal. It covers factors including your natural attitude to risk, capacity for loss and required return; factors used when selecting the types of investments and determining suitability.</w:t>
      </w:r>
    </w:p>
    <w:p w14:paraId="30E3E1B4" w14:textId="77777777" w:rsidR="00A561E0" w:rsidRDefault="00854BE4">
      <w:pPr>
        <w:pStyle w:val="DefaqtoHeading2"/>
      </w:pPr>
      <w:bookmarkStart w:id="6" w:name="_Toc3"/>
      <w:r>
        <w:rPr>
          <w:b/>
          <w:bCs/>
          <w:u w:color="000000"/>
        </w:rPr>
        <w:t>How are risk levels used to create suitable investment portfolios?</w:t>
      </w:r>
      <w:bookmarkEnd w:id="6"/>
    </w:p>
    <w:p w14:paraId="315673AF" w14:textId="77777777" w:rsidR="00A561E0" w:rsidRDefault="00854BE4">
      <w:pPr>
        <w:pStyle w:val="DefaqtoBody"/>
      </w:pPr>
      <w:r>
        <w:rPr>
          <w:u w:color="000000"/>
        </w:rPr>
        <w:t>The natural risk level, which is ascertained from the psychometric attitude to risk questionnaire score, is used as a starting point to discuss the actual level of risk you are willing and able to take to meet your specific investment objective.</w:t>
      </w:r>
    </w:p>
    <w:p w14:paraId="5CA0CA61" w14:textId="77777777" w:rsidR="00A561E0" w:rsidRDefault="00854BE4">
      <w:pPr>
        <w:pStyle w:val="DefaqtoBody"/>
      </w:pPr>
      <w:r>
        <w:rPr>
          <w:u w:color="000000"/>
        </w:rPr>
        <w:t>In the discussion we had, you were shown a projection, based initially on your natural risk level, investment amount, target and desired time horizon. We then discussed this projection and altered any factor, including the risk level, until we agreed that the right balance had been achieved. This resulted in an agreed risk level for the investment.</w:t>
      </w:r>
    </w:p>
    <w:p w14:paraId="1F80C1DC" w14:textId="77777777" w:rsidR="00A561E0" w:rsidRDefault="00854BE4">
      <w:pPr>
        <w:pStyle w:val="DefaqtoBody"/>
      </w:pPr>
      <w:r>
        <w:rPr>
          <w:u w:color="000000"/>
        </w:rPr>
        <w:t xml:space="preserve">To project the potential outcomes, each risk level is mapped to a collection of asset classes designed to expose you to an appropriate level of risk. Projections are produced by passing the asset class breakdown for the selected risk level to a stochastic engine that uses modelling provided by Hymans Robertson to project the future performance of the combination of asset classes. </w:t>
      </w:r>
    </w:p>
    <w:p w14:paraId="2999C780" w14:textId="77777777" w:rsidR="00A561E0" w:rsidRDefault="00854BE4">
      <w:pPr>
        <w:pStyle w:val="DefaqtoBody"/>
      </w:pPr>
      <w:r>
        <w:rPr>
          <w:u w:color="000000"/>
        </w:rPr>
        <w:t>By using these projections and discussions, we came to an agreed risk level for your specific investment objective. A portfolio will be built to meet your agreed risk level.</w:t>
      </w:r>
    </w:p>
    <w:p w14:paraId="0B874448" w14:textId="77777777" w:rsidR="00A561E0" w:rsidRDefault="00854BE4">
      <w:pPr>
        <w:pStyle w:val="DefaqtoBody"/>
      </w:pPr>
      <w:r>
        <w:rPr>
          <w:u w:color="000000"/>
        </w:rPr>
        <w:t>A summary of the results of this process is documented below.</w:t>
      </w:r>
    </w:p>
    <w:p w14:paraId="5F533C45" w14:textId="77777777" w:rsidR="00A561E0" w:rsidRDefault="00854BE4">
      <w:r>
        <w:br w:type="page"/>
      </w:r>
    </w:p>
    <w:p w14:paraId="173C1329" w14:textId="77777777" w:rsidR="00A561E0" w:rsidRDefault="00854BE4">
      <w:pPr>
        <w:pStyle w:val="DefaqtoHeading2"/>
      </w:pPr>
      <w:bookmarkStart w:id="7" w:name="_Toc4"/>
      <w:r>
        <w:rPr>
          <w:u w:color="000000"/>
        </w:rPr>
        <w:lastRenderedPageBreak/>
        <w:t>Agreed risk level</w:t>
      </w:r>
      <w:bookmarkEnd w:id="7"/>
    </w:p>
    <w:p w14:paraId="76B7DB8A" w14:textId="77777777" w:rsidR="00A561E0" w:rsidRDefault="00854BE4">
      <w:pPr>
        <w:pStyle w:val="DefaqtoBody"/>
      </w:pPr>
      <w:r>
        <w:rPr>
          <w:u w:color="000000"/>
        </w:rPr>
        <w:t xml:space="preserve">Following an interactive discussion, and considering your natural attitude to risk, capacity for loss and required return for your goal, we agreed a risk level. </w:t>
      </w:r>
    </w:p>
    <w:tbl>
      <w:tblPr>
        <w:tblStyle w:val="DefaqtoTable-Plain"/>
        <w:tblW w:w="5000" w:type="pct"/>
        <w:tblLook w:val="01E0" w:firstRow="1" w:lastRow="1" w:firstColumn="1" w:lastColumn="1" w:noHBand="0" w:noVBand="0"/>
      </w:tblPr>
      <w:tblGrid>
        <w:gridCol w:w="2596"/>
        <w:gridCol w:w="222"/>
        <w:gridCol w:w="7799"/>
      </w:tblGrid>
      <w:tr w:rsidR="00A561E0" w14:paraId="167FEAC8" w14:textId="77777777">
        <w:tc>
          <w:tcPr>
            <w:tcW w:w="1250" w:type="pct"/>
            <w:tcBorders>
              <w:top w:val="inset" w:sz="8" w:space="0" w:color="B0A7CF"/>
              <w:left w:val="inset" w:sz="8" w:space="0" w:color="B0A7CF"/>
              <w:bottom w:val="nil"/>
              <w:right w:val="inset" w:sz="8" w:space="0" w:color="B0A7CF"/>
            </w:tcBorders>
            <w:shd w:val="clear" w:color="auto" w:fill="FFFFFF"/>
            <w:vAlign w:val="center"/>
          </w:tcPr>
          <w:p w14:paraId="066E4090" w14:textId="77777777" w:rsidR="00A561E0" w:rsidRDefault="00854BE4">
            <w:pPr>
              <w:pStyle w:val="DefaqtoTableBody2"/>
              <w:jc w:val="center"/>
            </w:pPr>
            <w:r>
              <w:rPr>
                <w:b/>
                <w:bCs/>
                <w:sz w:val="36"/>
                <w:szCs w:val="36"/>
              </w:rPr>
              <w:t>4</w:t>
            </w:r>
            <w:r>
              <w:br/>
            </w:r>
            <w:r>
              <w:br/>
            </w:r>
            <w:r>
              <w:rPr>
                <w:b/>
                <w:bCs/>
                <w:sz w:val="24"/>
                <w:szCs w:val="24"/>
              </w:rPr>
              <w:t>Cautious Balanced</w:t>
            </w:r>
          </w:p>
        </w:tc>
        <w:tc>
          <w:tcPr>
            <w:tcW w:w="50" w:type="pct"/>
            <w:tcBorders>
              <w:bottom w:val="nil"/>
            </w:tcBorders>
          </w:tcPr>
          <w:p w14:paraId="4EAF7881" w14:textId="77777777" w:rsidR="00A561E0" w:rsidRDefault="00854BE4">
            <w:pPr>
              <w:pStyle w:val="DefaqtoTableBody2"/>
            </w:pPr>
            <w:r>
              <w:t xml:space="preserve"> </w:t>
            </w:r>
          </w:p>
        </w:tc>
        <w:tc>
          <w:tcPr>
            <w:tcW w:w="3700" w:type="pct"/>
            <w:tcBorders>
              <w:bottom w:val="nil"/>
            </w:tcBorders>
          </w:tcPr>
          <w:p w14:paraId="3CAEBC70" w14:textId="77777777" w:rsidR="00A561E0" w:rsidRDefault="00854BE4">
            <w:pPr>
              <w:pStyle w:val="DefaqtoTableBody2"/>
            </w:pPr>
            <w:r>
              <w:rPr>
                <w:sz w:val="20"/>
                <w:szCs w:val="20"/>
              </w:rPr>
              <w:t xml:space="preserve">As a Cautious Balanced investor you tend to see yourself as quite a cautious person and are inclined to view risk negatively rather than as a source of opportunity.  If you have limited or moderate experience of investments and do not find financial matters particularly easy to understand then you may be suited to a Cautious Balanced approach to investing.  You may also be suited to this approach if you take some time to make investment decisions and tend to be somewhat anxious about those decisions.  As a </w:t>
            </w:r>
            <w:r>
              <w:rPr>
                <w:sz w:val="20"/>
                <w:szCs w:val="20"/>
              </w:rPr>
              <w:t>Cautious Balanced investor you are inclined to look for safer investments, although you may consider taking some risk in exchange for increased potential returns.</w:t>
            </w:r>
          </w:p>
        </w:tc>
      </w:tr>
    </w:tbl>
    <w:p w14:paraId="445EC92E" w14:textId="77777777" w:rsidR="00A561E0" w:rsidRDefault="00854BE4">
      <w:r>
        <w:t xml:space="preserve"> </w:t>
      </w:r>
    </w:p>
    <w:p w14:paraId="0358D157" w14:textId="77777777" w:rsidR="00A561E0" w:rsidRDefault="00854BE4">
      <w:pPr>
        <w:pStyle w:val="DefaqtoBody"/>
        <w:sectPr w:rsidR="00A561E0">
          <w:headerReference w:type="default" r:id="rId26"/>
          <w:footerReference w:type="default" r:id="rId27"/>
          <w:pgSz w:w="11907" w:h="16839" w:code="9"/>
          <w:pgMar w:top="709" w:right="640" w:bottom="376" w:left="640" w:header="200" w:footer="200" w:gutter="0"/>
          <w:cols w:space="708"/>
          <w:docGrid w:linePitch="360"/>
        </w:sectPr>
      </w:pPr>
      <w:r>
        <w:rPr>
          <w:u w:color="000000"/>
        </w:rPr>
        <w:t>client atr</w:t>
      </w:r>
    </w:p>
    <w:p w14:paraId="0163B21A" w14:textId="77777777" w:rsidR="00A561E0" w:rsidRDefault="00854BE4">
      <w:pPr>
        <w:pStyle w:val="DefaqtoHeading1"/>
      </w:pPr>
      <w:bookmarkStart w:id="8" w:name="_Toc5"/>
      <w:r>
        <w:rPr>
          <w:lang w:val="en-NZ"/>
        </w:rPr>
        <w:lastRenderedPageBreak/>
        <w:t>Investments</w:t>
      </w:r>
      <w:r>
        <w:rPr>
          <w:b/>
          <w:bCs/>
          <w:lang w:val="en-NZ"/>
        </w:rPr>
        <w:t xml:space="preserve"> </w:t>
      </w:r>
      <w:r>
        <w:t>selection</w:t>
      </w:r>
      <w:bookmarkEnd w:id="8"/>
    </w:p>
    <w:p w14:paraId="68B44B76" w14:textId="77777777" w:rsidR="00A561E0" w:rsidRDefault="00854BE4">
      <w:pPr>
        <w:pStyle w:val="DefaqtoIntroText"/>
      </w:pPr>
      <w:r>
        <w:rPr>
          <w:b/>
          <w:bCs/>
        </w:rPr>
        <w:t>Investment:</w:t>
      </w:r>
      <w:r>
        <w:t xml:space="preserve"> £20,000 then £0 monthly</w:t>
      </w:r>
    </w:p>
    <w:p w14:paraId="67BFDAAA" w14:textId="77777777" w:rsidR="00A561E0" w:rsidRDefault="00854BE4">
      <w:pPr>
        <w:pStyle w:val="DefaqtoIntroText"/>
      </w:pPr>
      <w:r>
        <w:t xml:space="preserve">This section of the report details the issues identified as being important to the selection of </w:t>
      </w:r>
      <w:r>
        <w:rPr>
          <w:lang w:val="en-NZ"/>
        </w:rPr>
        <w:t xml:space="preserve">investments </w:t>
      </w:r>
      <w:r>
        <w:t xml:space="preserve">and the other criteria used in selecting the most suitable </w:t>
      </w:r>
      <w:r>
        <w:rPr>
          <w:lang w:val="en-NZ"/>
        </w:rPr>
        <w:t>investment</w:t>
      </w:r>
      <w:r>
        <w:t>.</w:t>
      </w:r>
    </w:p>
    <w:p w14:paraId="4634872C" w14:textId="77777777" w:rsidR="00A561E0" w:rsidRDefault="00854BE4">
      <w:pPr>
        <w:pStyle w:val="DefaqtoHeading2"/>
        <w:rPr>
          <w:lang w:val="en-NZ"/>
        </w:rPr>
      </w:pPr>
      <w:bookmarkStart w:id="9" w:name="_Toc6"/>
      <w:r>
        <w:t xml:space="preserve">Risk </w:t>
      </w:r>
      <w:r>
        <w:rPr>
          <w:lang w:val="en-NZ"/>
        </w:rPr>
        <w:t>Rated investments</w:t>
      </w:r>
      <w:bookmarkEnd w:id="9"/>
    </w:p>
    <w:p w14:paraId="68326D89" w14:textId="77777777" w:rsidR="00A561E0" w:rsidRDefault="00A561E0">
      <w:pPr>
        <w:pStyle w:val="Header"/>
        <w:tabs>
          <w:tab w:val="left" w:pos="4277"/>
          <w:tab w:val="right" w:pos="11186"/>
        </w:tabs>
      </w:pPr>
    </w:p>
    <w:p w14:paraId="71A116B4" w14:textId="77777777" w:rsidR="00A561E0" w:rsidRDefault="00854BE4">
      <w:pPr>
        <w:pStyle w:val="DefaqtoBody"/>
      </w:pPr>
      <w:r>
        <w:t xml:space="preserve">The risk </w:t>
      </w:r>
      <w:r>
        <w:rPr>
          <w:lang w:val="en-NZ"/>
        </w:rPr>
        <w:t xml:space="preserve">rated funds </w:t>
      </w:r>
      <w:r>
        <w:t>selected were for the following mappings:</w:t>
      </w:r>
    </w:p>
    <w:tbl>
      <w:tblPr>
        <w:tblStyle w:val="DefaqtoTable-Plain"/>
        <w:tblW w:w="5000" w:type="pct"/>
        <w:tblLayout w:type="fixed"/>
        <w:tblLook w:val="01E0" w:firstRow="1" w:lastRow="1" w:firstColumn="1" w:lastColumn="1" w:noHBand="0" w:noVBand="0"/>
      </w:tblPr>
      <w:tblGrid>
        <w:gridCol w:w="2656"/>
        <w:gridCol w:w="240"/>
        <w:gridCol w:w="7726"/>
      </w:tblGrid>
      <w:tr w:rsidR="00A561E0" w14:paraId="4A8ED98B" w14:textId="77777777">
        <w:trPr>
          <w:trHeight w:val="1247"/>
        </w:trPr>
        <w:tc>
          <w:tcPr>
            <w:tcW w:w="1250" w:type="pct"/>
            <w:tcBorders>
              <w:top w:val="single" w:sz="4" w:space="0" w:color="B0A7CF"/>
              <w:left w:val="single" w:sz="4" w:space="0" w:color="B0A7CF"/>
              <w:bottom w:val="single" w:sz="4" w:space="0" w:color="B0A7CF"/>
              <w:right w:val="single" w:sz="4" w:space="0" w:color="B0A7CF"/>
            </w:tcBorders>
            <w:shd w:val="clear" w:color="auto" w:fill="FFFFFF"/>
            <w:tcMar>
              <w:top w:w="57" w:type="dxa"/>
              <w:bottom w:w="57" w:type="dxa"/>
            </w:tcMar>
            <w:vAlign w:val="center"/>
          </w:tcPr>
          <w:p w14:paraId="4BF0F3D9" w14:textId="77777777" w:rsidR="00A561E0" w:rsidRDefault="00854BE4">
            <w:pPr>
              <w:spacing w:before="60" w:after="60"/>
              <w:jc w:val="center"/>
              <w:rPr>
                <w:rFonts w:eastAsia="Cambria"/>
                <w:sz w:val="24"/>
                <w:szCs w:val="24"/>
                <w:lang w:eastAsia="en-US"/>
              </w:rPr>
            </w:pPr>
            <w:r>
              <w:rPr>
                <w:rFonts w:ascii="Poppins" w:hAnsi="Poppins" w:cs="Poppins"/>
                <w:b/>
                <w:bCs/>
                <w:sz w:val="48"/>
                <w:szCs w:val="48"/>
              </w:rPr>
              <w:t>4</w:t>
            </w:r>
          </w:p>
          <w:p w14:paraId="75C79A6E" w14:textId="77777777" w:rsidR="00A561E0" w:rsidRDefault="00854BE4">
            <w:pPr>
              <w:spacing w:before="60" w:after="60"/>
              <w:jc w:val="center"/>
              <w:rPr>
                <w:rStyle w:val="DefaqtoBodyChar"/>
                <w:rFonts w:cs="Poppins"/>
              </w:rPr>
            </w:pPr>
            <w:r>
              <w:rPr>
                <w:rStyle w:val="DefaqtoBodyChar"/>
                <w:rFonts w:cs="Poppins"/>
                <w:sz w:val="22"/>
                <w:szCs w:val="22"/>
              </w:rPr>
              <w:t>Cautious Balanced</w:t>
            </w:r>
          </w:p>
        </w:tc>
        <w:tc>
          <w:tcPr>
            <w:tcW w:w="113" w:type="pct"/>
            <w:tcBorders>
              <w:left w:val="single" w:sz="4" w:space="0" w:color="B0A7CF"/>
            </w:tcBorders>
          </w:tcPr>
          <w:p w14:paraId="057C5C8F" w14:textId="77777777" w:rsidR="00A561E0" w:rsidRDefault="00854BE4">
            <w:r>
              <w:t xml:space="preserve"> </w:t>
            </w:r>
          </w:p>
        </w:tc>
        <w:tc>
          <w:tcPr>
            <w:tcW w:w="3750" w:type="pct"/>
          </w:tcPr>
          <w:p w14:paraId="0EF79153" w14:textId="77777777" w:rsidR="00A561E0" w:rsidRDefault="00854BE4">
            <w:pPr>
              <w:pStyle w:val="DefaqtoTableBody2"/>
              <w:rPr>
                <w:sz w:val="20"/>
                <w:szCs w:val="20"/>
              </w:rPr>
            </w:pPr>
            <w:r>
              <w:rPr>
                <w:sz w:val="20"/>
                <w:szCs w:val="20"/>
              </w:rPr>
              <w:t>A risk rated multi asset investment of level 4 targets a moderate level of capital appreciation by investing in a multi-asset portfolio. Investment will be mainly in UK fixed interest securities, equities, in particular UK equities, and property. A moderate amount of volatility should be expected.</w:t>
            </w:r>
          </w:p>
        </w:tc>
      </w:tr>
    </w:tbl>
    <w:p w14:paraId="653C92C5" w14:textId="77777777" w:rsidR="00A561E0" w:rsidRDefault="00A561E0"/>
    <w:p w14:paraId="5FD77145" w14:textId="77777777" w:rsidR="00A561E0" w:rsidRDefault="00A561E0">
      <w:pPr>
        <w:pStyle w:val="DefaqtoBody"/>
        <w:rPr>
          <w:lang w:val="en-NZ"/>
        </w:rPr>
      </w:pPr>
    </w:p>
    <w:p w14:paraId="67215EDF" w14:textId="77777777" w:rsidR="00A561E0" w:rsidRDefault="00854BE4">
      <w:pPr>
        <w:pStyle w:val="DefaqtoHeading2"/>
      </w:pPr>
      <w:bookmarkStart w:id="10" w:name="_Toc7"/>
      <w:r>
        <w:t>Portfolio details</w:t>
      </w:r>
      <w:bookmarkEnd w:id="10"/>
    </w:p>
    <w:p w14:paraId="0641860E" w14:textId="77777777" w:rsidR="00A561E0" w:rsidRDefault="00A561E0">
      <w:pPr>
        <w:pStyle w:val="DefaqtoBody"/>
      </w:pPr>
    </w:p>
    <w:p w14:paraId="1AC06FED" w14:textId="77777777" w:rsidR="00A561E0" w:rsidRDefault="00854BE4">
      <w:pPr>
        <w:pStyle w:val="DefaqtoHeading3"/>
      </w:pPr>
      <w:bookmarkStart w:id="11" w:name="_Toc8"/>
      <w:r>
        <w:t>Investments</w:t>
      </w:r>
      <w:bookmarkEnd w:id="11"/>
    </w:p>
    <w:p w14:paraId="63928A59" w14:textId="77777777" w:rsidR="00A561E0" w:rsidRDefault="00854BE4">
      <w:pPr>
        <w:pStyle w:val="DefaqtoBody"/>
      </w:pPr>
      <w:r>
        <w:t xml:space="preserve">The client’s portfolio contains the following </w:t>
      </w:r>
      <w:r>
        <w:rPr>
          <w:lang w:val="en-NZ"/>
        </w:rPr>
        <w:t>investments</w:t>
      </w:r>
      <w:r>
        <w:t xml:space="preserve">: </w:t>
      </w:r>
    </w:p>
    <w:p w14:paraId="07D25B77" w14:textId="77777777" w:rsidR="00A561E0" w:rsidRDefault="00A561E0"/>
    <w:tbl>
      <w:tblPr>
        <w:tblStyle w:val="DefaqtoTable"/>
        <w:tblW w:w="5000" w:type="pct"/>
        <w:tblLayout w:type="fixed"/>
        <w:tblLook w:val="0420" w:firstRow="1" w:lastRow="0" w:firstColumn="0" w:lastColumn="0" w:noHBand="0" w:noVBand="1"/>
      </w:tblPr>
      <w:tblGrid>
        <w:gridCol w:w="1649"/>
        <w:gridCol w:w="1680"/>
        <w:gridCol w:w="1680"/>
        <w:gridCol w:w="1548"/>
        <w:gridCol w:w="1548"/>
        <w:gridCol w:w="1546"/>
        <w:gridCol w:w="966"/>
      </w:tblGrid>
      <w:tr w:rsidR="00A561E0" w14:paraId="33F59F1D" w14:textId="77777777" w:rsidTr="00A561E0">
        <w:trPr>
          <w:cnfStyle w:val="100000000000" w:firstRow="1" w:lastRow="0" w:firstColumn="0" w:lastColumn="0" w:oddVBand="0" w:evenVBand="0" w:oddHBand="0" w:evenHBand="0" w:firstRowFirstColumn="0" w:firstRowLastColumn="0" w:lastRowFirstColumn="0" w:lastRowLastColumn="0"/>
          <w:trHeight w:val="432"/>
        </w:trPr>
        <w:tc>
          <w:tcPr>
            <w:tcW w:w="777" w:type="pct"/>
          </w:tcPr>
          <w:p w14:paraId="2C0BA39F" w14:textId="77777777" w:rsidR="00A561E0" w:rsidRDefault="00854BE4">
            <w:pPr>
              <w:pStyle w:val="DefaqtoTableBody2"/>
              <w:rPr>
                <w:b w:val="0"/>
                <w:bCs w:val="0"/>
              </w:rPr>
            </w:pPr>
            <w:r>
              <w:t>Investment</w:t>
            </w:r>
          </w:p>
        </w:tc>
        <w:tc>
          <w:tcPr>
            <w:tcW w:w="791" w:type="pct"/>
          </w:tcPr>
          <w:p w14:paraId="5590D7DD" w14:textId="77777777" w:rsidR="00A561E0" w:rsidRDefault="00854BE4">
            <w:pPr>
              <w:pStyle w:val="DefaqtoTableBody2"/>
              <w:rPr>
                <w:b w:val="0"/>
                <w:bCs w:val="0"/>
              </w:rPr>
            </w:pPr>
            <w:r>
              <w:t>Provider</w:t>
            </w:r>
          </w:p>
        </w:tc>
        <w:tc>
          <w:tcPr>
            <w:tcW w:w="791" w:type="pct"/>
          </w:tcPr>
          <w:p w14:paraId="30B60F9B" w14:textId="77777777" w:rsidR="00A561E0" w:rsidRDefault="00854BE4">
            <w:pPr>
              <w:pStyle w:val="DefaqtoTableBody2"/>
              <w:rPr>
                <w:b w:val="0"/>
                <w:bCs w:val="0"/>
              </w:rPr>
            </w:pPr>
            <w:r>
              <w:t>ISIN</w:t>
            </w:r>
          </w:p>
        </w:tc>
        <w:tc>
          <w:tcPr>
            <w:tcW w:w="729" w:type="pct"/>
          </w:tcPr>
          <w:p w14:paraId="53816A60" w14:textId="77777777" w:rsidR="00A561E0" w:rsidRDefault="00854BE4">
            <w:pPr>
              <w:pStyle w:val="DefaqtoTableBody2"/>
              <w:rPr>
                <w:b w:val="0"/>
                <w:bCs w:val="0"/>
              </w:rPr>
            </w:pPr>
            <w:r>
              <w:t>Risk controlled</w:t>
            </w:r>
          </w:p>
          <w:p w14:paraId="26DAC024" w14:textId="77777777" w:rsidR="00A561E0" w:rsidRDefault="00854BE4">
            <w:pPr>
              <w:pStyle w:val="DefaqtoTableBody2"/>
            </w:pPr>
            <w:r>
              <w:rPr>
                <w:vertAlign w:val="superscript"/>
              </w:rPr>
              <w:t>[2]</w:t>
            </w:r>
          </w:p>
        </w:tc>
        <w:tc>
          <w:tcPr>
            <w:tcW w:w="729" w:type="pct"/>
          </w:tcPr>
          <w:p w14:paraId="3109E1B2" w14:textId="77777777" w:rsidR="00A561E0" w:rsidRDefault="00854BE4">
            <w:pPr>
              <w:pStyle w:val="DefaqtoTableBody2"/>
              <w:jc w:val="center"/>
              <w:rPr>
                <w:b w:val="0"/>
                <w:bCs w:val="0"/>
              </w:rPr>
            </w:pPr>
            <w:r>
              <w:t>Diamond rating</w:t>
            </w:r>
            <w:r>
              <w:rPr>
                <w:vertAlign w:val="superscript"/>
              </w:rPr>
              <w:t xml:space="preserve"> [1]</w:t>
            </w:r>
          </w:p>
        </w:tc>
        <w:tc>
          <w:tcPr>
            <w:tcW w:w="728" w:type="pct"/>
          </w:tcPr>
          <w:p w14:paraId="6324417A" w14:textId="77777777" w:rsidR="00A561E0" w:rsidRDefault="00854BE4">
            <w:pPr>
              <w:pStyle w:val="DefaqtoTableBody2"/>
              <w:jc w:val="center"/>
              <w:rPr>
                <w:b w:val="0"/>
                <w:bCs w:val="0"/>
                <w:vertAlign w:val="superscript"/>
              </w:rPr>
            </w:pPr>
            <w:r>
              <w:t>Family diamond rating</w:t>
            </w:r>
            <w:r>
              <w:rPr>
                <w:vertAlign w:val="superscript"/>
              </w:rPr>
              <w:t xml:space="preserve"> [1]</w:t>
            </w:r>
          </w:p>
        </w:tc>
        <w:tc>
          <w:tcPr>
            <w:tcW w:w="456" w:type="pct"/>
          </w:tcPr>
          <w:p w14:paraId="00F0E108" w14:textId="77777777" w:rsidR="00A561E0" w:rsidRDefault="00854BE4">
            <w:pPr>
              <w:pStyle w:val="DefaqtoTableBody2"/>
              <w:jc w:val="right"/>
              <w:rPr>
                <w:b w:val="0"/>
                <w:bCs w:val="0"/>
              </w:rPr>
            </w:pPr>
            <w:r>
              <w:t>% Invested</w:t>
            </w:r>
          </w:p>
        </w:tc>
      </w:tr>
      <w:tr w:rsidR="00A561E0" w14:paraId="0CE863BF" w14:textId="77777777" w:rsidTr="00A561E0">
        <w:trPr>
          <w:cnfStyle w:val="000000100000" w:firstRow="0" w:lastRow="0" w:firstColumn="0" w:lastColumn="0" w:oddVBand="0" w:evenVBand="0" w:oddHBand="1" w:evenHBand="0" w:firstRowFirstColumn="0" w:firstRowLastColumn="0" w:lastRowFirstColumn="0" w:lastRowLastColumn="0"/>
          <w:trHeight w:val="432"/>
        </w:trPr>
        <w:tc>
          <w:tcPr>
            <w:tcW w:w="777" w:type="pct"/>
          </w:tcPr>
          <w:p w14:paraId="70E5DFA5" w14:textId="77777777" w:rsidR="00A561E0" w:rsidRDefault="00854BE4">
            <w:pPr>
              <w:pStyle w:val="DefaqtoTableBody2"/>
            </w:pPr>
            <w:r>
              <w:t>CT Universal MAP Cautious Fund C Acc (GBP)</w:t>
            </w:r>
          </w:p>
        </w:tc>
        <w:tc>
          <w:tcPr>
            <w:tcW w:w="791" w:type="pct"/>
          </w:tcPr>
          <w:p w14:paraId="3DC1A68E" w14:textId="77777777" w:rsidR="00A561E0" w:rsidRDefault="00854BE4">
            <w:pPr>
              <w:pStyle w:val="DefaqtoTableBody2"/>
            </w:pPr>
            <w:r>
              <w:t>Columbia Threadneedle Fund Management Limited</w:t>
            </w:r>
          </w:p>
        </w:tc>
        <w:tc>
          <w:tcPr>
            <w:tcW w:w="791" w:type="pct"/>
          </w:tcPr>
          <w:p w14:paraId="491F5D24" w14:textId="77777777" w:rsidR="00A561E0" w:rsidRDefault="00854BE4">
            <w:pPr>
              <w:pStyle w:val="DefaqtoTableBody2"/>
            </w:pPr>
            <w:r>
              <w:t>GB00BF99VY38</w:t>
            </w:r>
          </w:p>
        </w:tc>
        <w:tc>
          <w:tcPr>
            <w:tcW w:w="729" w:type="pct"/>
          </w:tcPr>
          <w:p w14:paraId="534519D3" w14:textId="77777777" w:rsidR="00A561E0" w:rsidRDefault="00854BE4">
            <w:pPr>
              <w:pStyle w:val="DefaqtoTableBody2"/>
            </w:pPr>
            <w:r>
              <w:pict w14:anchorId="2179F09E">
                <v:shape id="_x0000_i1029" type="#_x0000_t75" style="width:33pt;height:30pt;visibility:visible">
                  <v:imagedata r:id="rId28" o:title=""/>
                </v:shape>
              </w:pict>
            </w:r>
          </w:p>
        </w:tc>
        <w:tc>
          <w:tcPr>
            <w:tcW w:w="729" w:type="pct"/>
          </w:tcPr>
          <w:p w14:paraId="1CFC9523" w14:textId="77777777" w:rsidR="00A561E0" w:rsidRDefault="00854BE4">
            <w:pPr>
              <w:pStyle w:val="DefaqtoTableBody2"/>
              <w:jc w:val="center"/>
            </w:pPr>
            <w:r>
              <w:pict w14:anchorId="5E10AFBE">
                <v:shape id="_x0000_i1030" type="#_x0000_t75" style="width:.6pt;height:.6pt;visibility:visible">
                  <v:imagedata r:id="rId29" o:title=""/>
                </v:shape>
              </w:pict>
            </w:r>
            <w:r>
              <w:t>N/A</w:t>
            </w:r>
          </w:p>
        </w:tc>
        <w:tc>
          <w:tcPr>
            <w:tcW w:w="728" w:type="pct"/>
          </w:tcPr>
          <w:p w14:paraId="20F21F42" w14:textId="77777777" w:rsidR="00A561E0" w:rsidRDefault="00854BE4">
            <w:pPr>
              <w:pStyle w:val="DefaqtoTableBody2"/>
              <w:jc w:val="center"/>
            </w:pPr>
            <w:r>
              <w:pict w14:anchorId="4132FDC4">
                <v:shape id="_x0000_i1031" type="#_x0000_t75" style="width:31.8pt;height:13.2pt;visibility:visible">
                  <v:imagedata r:id="rId30" o:title=""/>
                </v:shape>
              </w:pict>
            </w:r>
          </w:p>
        </w:tc>
        <w:tc>
          <w:tcPr>
            <w:tcW w:w="456" w:type="pct"/>
          </w:tcPr>
          <w:p w14:paraId="03A5DBA8" w14:textId="77777777" w:rsidR="00A561E0" w:rsidRDefault="00854BE4">
            <w:pPr>
              <w:pStyle w:val="DefaqtoTableBody2"/>
              <w:jc w:val="right"/>
            </w:pPr>
            <w:r>
              <w:t>100.00</w:t>
            </w:r>
          </w:p>
        </w:tc>
      </w:tr>
    </w:tbl>
    <w:p w14:paraId="4A475434" w14:textId="77777777" w:rsidR="00A561E0" w:rsidRDefault="00854BE4">
      <w:pPr>
        <w:pStyle w:val="Defaqtosmallprint"/>
      </w:pPr>
      <w:r>
        <w:rPr>
          <w:b/>
          <w:bCs/>
        </w:rPr>
        <w:lastRenderedPageBreak/>
        <w:t>[1] Defaqto Diamond Rating</w:t>
      </w:r>
      <w:r>
        <w:rPr>
          <w:b/>
          <w:bCs/>
        </w:rPr>
        <w:br/>
      </w:r>
      <w:r>
        <w:t>Diamond Ratings give managed funds an independent rating of 1 to 5 based on a detailed and well-structured scoring process allowing advisers and their clients to see where they sit in the market in terms of fund performance and competitiveness in other key areas such as cost, scale, access and manager longevity. 1 indicates the lowest rating across the characteristics and features while 5 is the highest.</w:t>
      </w:r>
    </w:p>
    <w:p w14:paraId="2D76231D" w14:textId="77777777" w:rsidR="00A561E0" w:rsidRDefault="00854BE4">
      <w:pPr>
        <w:pStyle w:val="Defaqtosmallprint"/>
      </w:pPr>
      <w:r>
        <w:t>Fund Diamond Ratings cover Multi Manager Funds across the 4 relevant IA sectors (Mixed 0-35%, Mixed 20-60%, Mixed 40-85% and Flexible), Directly invested funds across the 4 relevant IA sectors (Mixed 0-35%, Mixed 20-60%, Mixed 40-85% and Flexible) and Index Trackers.</w:t>
      </w:r>
    </w:p>
    <w:p w14:paraId="282DC94F" w14:textId="77777777" w:rsidR="00A561E0" w:rsidRDefault="00854BE4">
      <w:pPr>
        <w:pStyle w:val="Defaqtosmallprint"/>
      </w:pPr>
      <w:r>
        <w:rPr>
          <w:rFonts w:cs="Arial"/>
        </w:rPr>
        <w:t>Fund Family Diamond Ratings are split into Risk Targeted and Risk Focused ‘universes’, with the individual funds coming from the following IA sectors: Mixed 0-35%, Mixed 20-60%, Mixed 40-85%, Flexible, Specialist and Unclassified.</w:t>
      </w:r>
      <w:r>
        <w:t xml:space="preserve"> </w:t>
      </w:r>
      <w:r>
        <w:br/>
      </w:r>
      <w:r>
        <w:br/>
      </w:r>
      <w:r>
        <w:t>MPS Diamond Ratings are quantitative ratings to help identify the most consistent portfolios in terms of 1 year discrete risk adjusted returns, over the preceding 5 year period. Ratings of 1 to 5 correspond to a portfolio’s respective quintile within the portfolio’s Defaqto MPS Comparator peer group. For example, a rating of 5 represents the top 20% of portfolios that have experienced the most consistent risk adjusted returns, over the preceding 5 years discrete period, within the Defaqto MPS Comparator pee</w:t>
      </w:r>
      <w:r>
        <w:t>r group.</w:t>
      </w:r>
    </w:p>
    <w:p w14:paraId="7F9090E5" w14:textId="77777777" w:rsidR="00A561E0" w:rsidRDefault="00854BE4">
      <w:pPr>
        <w:pStyle w:val="Defaqtosmallprint"/>
        <w:rPr>
          <w:rFonts w:eastAsia="Cambria"/>
        </w:rPr>
      </w:pPr>
      <w:r>
        <w:rPr>
          <w:b/>
          <w:bCs/>
        </w:rPr>
        <w:t>[2] Risk Controlled</w:t>
      </w:r>
      <w:r>
        <w:rPr>
          <w:b/>
          <w:bCs/>
        </w:rPr>
        <w:br/>
      </w:r>
      <w:r>
        <w:t>Risk controlled funds have been mandated to adhere to the Defaqto risk score it has been mapped against.</w:t>
      </w:r>
    </w:p>
    <w:p w14:paraId="6813A00B" w14:textId="77777777" w:rsidR="00A561E0" w:rsidRDefault="00A561E0">
      <w:pPr>
        <w:pStyle w:val="Defaqtosmallprint"/>
        <w:rPr>
          <w:lang w:val="en-NZ"/>
        </w:rPr>
      </w:pPr>
    </w:p>
    <w:p w14:paraId="53EFB3C4" w14:textId="77777777" w:rsidR="00A561E0" w:rsidRDefault="00854BE4">
      <w:pPr>
        <w:spacing w:line="240" w:lineRule="auto"/>
        <w:rPr>
          <w:rFonts w:ascii="Calibri Light" w:hAnsi="Calibri Light"/>
          <w:b/>
          <w:bCs/>
          <w:color w:val="252758"/>
          <w:sz w:val="24"/>
          <w:szCs w:val="24"/>
          <w:lang w:val="en-NZ"/>
        </w:rPr>
      </w:pPr>
      <w:r>
        <w:br w:type="page"/>
      </w:r>
    </w:p>
    <w:p w14:paraId="2DD04404" w14:textId="77777777" w:rsidR="00A561E0" w:rsidRDefault="00854BE4">
      <w:pPr>
        <w:pStyle w:val="DefaqtoHeading3"/>
      </w:pPr>
      <w:bookmarkStart w:id="12" w:name="_Toc9"/>
      <w:r>
        <w:lastRenderedPageBreak/>
        <w:t>MiFID II pre-sale cost disclosure (ex-ante/estimated costs)</w:t>
      </w:r>
      <w:bookmarkEnd w:id="12"/>
    </w:p>
    <w:p w14:paraId="29CE10D1" w14:textId="77777777" w:rsidR="00A561E0" w:rsidRDefault="00854BE4">
      <w:pPr>
        <w:pStyle w:val="DefaqtoBody"/>
      </w:pPr>
      <w:r>
        <w:t>The below table illustrates the ex-ante MiFID II pre-sale cost disclosures for funds in scope of MiFID II which excludes Life &amp; Pension funds. One off costs reflect the maximum entry and exit costs that the fund manager has stated they can charge over the period the fund is held. Where costs are on-going, such costs reflect a 12 month period.</w:t>
      </w:r>
    </w:p>
    <w:p w14:paraId="6167E0B7" w14:textId="77777777" w:rsidR="00A561E0" w:rsidRDefault="00854BE4">
      <w:pPr>
        <w:pStyle w:val="DefaqtoBody"/>
      </w:pPr>
      <w:r>
        <w:rPr>
          <w:b/>
          <w:bCs/>
        </w:rPr>
        <w:t>One-Off Costs</w:t>
      </w:r>
      <w:r>
        <w:t xml:space="preserve"> - Maximum costs incurred when entering or exiting the fund. These costs might be waived by the fund manager or distributor. One-Off Costs include: Initial Charge; Maximum Entry Cost Acquired; Maximum Exit Fee; and Maximum Exit Cost Acquired.</w:t>
      </w:r>
    </w:p>
    <w:p w14:paraId="6924AE8F" w14:textId="77777777" w:rsidR="00A561E0" w:rsidRDefault="00854BE4">
      <w:pPr>
        <w:pStyle w:val="DefaqtoBody"/>
      </w:pPr>
      <w:r>
        <w:rPr>
          <w:b/>
          <w:bCs/>
        </w:rPr>
        <w:t>Ongoing Costs</w:t>
      </w:r>
      <w:r>
        <w:t xml:space="preserve"> - The Annual Management Charge and other fund expenses for example, custodian fees; audit fees; legal fees; marketing distribution; and costs of underlying investments.</w:t>
      </w:r>
    </w:p>
    <w:p w14:paraId="3F499B3C" w14:textId="77777777" w:rsidR="00A561E0" w:rsidRDefault="00854BE4">
      <w:pPr>
        <w:pStyle w:val="DefaqtoBody"/>
      </w:pPr>
      <w:r>
        <w:rPr>
          <w:b/>
          <w:bCs/>
        </w:rPr>
        <w:t>Transaction Costs</w:t>
      </w:r>
      <w:r>
        <w:t xml:space="preserve"> - Costs incurred when buying or selling underlying investments. Includes both explicit costs for example dealing commission and can include implicit costs, for example slippage.</w:t>
      </w:r>
    </w:p>
    <w:p w14:paraId="05D52D3C" w14:textId="77777777" w:rsidR="00A561E0" w:rsidRDefault="00854BE4">
      <w:pPr>
        <w:pStyle w:val="DefaqtoBody"/>
      </w:pPr>
      <w:bookmarkStart w:id="13" w:name="_Toc13825990"/>
      <w:r>
        <w:rPr>
          <w:b/>
          <w:bCs/>
        </w:rPr>
        <w:t>Incidental Costs</w:t>
      </w:r>
      <w:r>
        <w:t xml:space="preserve"> - The impact of any</w:t>
      </w:r>
      <w:bookmarkEnd w:id="13"/>
      <w:r>
        <w:t xml:space="preserve"> performance fee.</w:t>
      </w:r>
    </w:p>
    <w:p w14:paraId="5E350181" w14:textId="77777777" w:rsidR="00A561E0" w:rsidRDefault="00A561E0">
      <w:pPr>
        <w:pStyle w:val="NoSpacing"/>
        <w:rPr>
          <w:rFonts w:ascii="Calibri Light" w:hAnsi="Calibri Light" w:cs="Calibri Light"/>
          <w:color w:val="002060"/>
          <w:sz w:val="24"/>
          <w:szCs w:val="24"/>
        </w:rPr>
      </w:pPr>
    </w:p>
    <w:tbl>
      <w:tblPr>
        <w:tblStyle w:val="DefaqtoTable"/>
        <w:tblW w:w="4985" w:type="pct"/>
        <w:tblLayout w:type="fixed"/>
        <w:tblLook w:val="0420" w:firstRow="1" w:lastRow="0" w:firstColumn="0" w:lastColumn="0" w:noHBand="0" w:noVBand="1"/>
      </w:tblPr>
      <w:tblGrid>
        <w:gridCol w:w="1809"/>
        <w:gridCol w:w="1842"/>
        <w:gridCol w:w="1842"/>
        <w:gridCol w:w="1698"/>
        <w:gridCol w:w="1698"/>
        <w:gridCol w:w="1696"/>
      </w:tblGrid>
      <w:tr w:rsidR="00A561E0" w14:paraId="7D4B9724" w14:textId="77777777" w:rsidTr="00A561E0">
        <w:trPr>
          <w:cnfStyle w:val="100000000000" w:firstRow="1" w:lastRow="0" w:firstColumn="0" w:lastColumn="0" w:oddVBand="0" w:evenVBand="0" w:oddHBand="0" w:evenHBand="0" w:firstRowFirstColumn="0" w:firstRowLastColumn="0" w:lastRowFirstColumn="0" w:lastRowLastColumn="0"/>
          <w:trHeight w:val="441"/>
        </w:trPr>
        <w:tc>
          <w:tcPr>
            <w:tcW w:w="854" w:type="pct"/>
          </w:tcPr>
          <w:p w14:paraId="3287A03C" w14:textId="77777777" w:rsidR="00A561E0" w:rsidRDefault="00854BE4">
            <w:pPr>
              <w:pStyle w:val="DefaqtoTableBody2"/>
              <w:rPr>
                <w:b w:val="0"/>
                <w:bCs w:val="0"/>
              </w:rPr>
            </w:pPr>
            <w:r>
              <w:t>Fund name</w:t>
            </w:r>
          </w:p>
        </w:tc>
        <w:tc>
          <w:tcPr>
            <w:tcW w:w="870" w:type="pct"/>
          </w:tcPr>
          <w:p w14:paraId="181AE6A1" w14:textId="77777777" w:rsidR="00A561E0" w:rsidRDefault="00854BE4">
            <w:pPr>
              <w:pStyle w:val="DefaqtoTableBody2"/>
              <w:rPr>
                <w:b w:val="0"/>
                <w:bCs w:val="0"/>
              </w:rPr>
            </w:pPr>
            <w:r>
              <w:t>One-off costs*</w:t>
            </w:r>
          </w:p>
        </w:tc>
        <w:tc>
          <w:tcPr>
            <w:tcW w:w="870" w:type="pct"/>
          </w:tcPr>
          <w:p w14:paraId="5B0E773E" w14:textId="77777777" w:rsidR="00A561E0" w:rsidRDefault="00854BE4">
            <w:pPr>
              <w:pStyle w:val="DefaqtoTableBody2"/>
              <w:rPr>
                <w:b w:val="0"/>
                <w:bCs w:val="0"/>
              </w:rPr>
            </w:pPr>
            <w:r>
              <w:t>Ongoing costs</w:t>
            </w:r>
          </w:p>
        </w:tc>
        <w:tc>
          <w:tcPr>
            <w:tcW w:w="802" w:type="pct"/>
          </w:tcPr>
          <w:p w14:paraId="55016DAC" w14:textId="77777777" w:rsidR="00A561E0" w:rsidRDefault="00854BE4">
            <w:pPr>
              <w:pStyle w:val="DefaqtoTableBody2"/>
              <w:rPr>
                <w:b w:val="0"/>
                <w:bCs w:val="0"/>
              </w:rPr>
            </w:pPr>
            <w:r>
              <w:t>Transaction costs</w:t>
            </w:r>
          </w:p>
        </w:tc>
        <w:tc>
          <w:tcPr>
            <w:tcW w:w="802" w:type="pct"/>
          </w:tcPr>
          <w:p w14:paraId="32D94BC2" w14:textId="77777777" w:rsidR="00A561E0" w:rsidRDefault="00854BE4">
            <w:pPr>
              <w:pStyle w:val="DefaqtoTableBody2"/>
              <w:rPr>
                <w:b w:val="0"/>
                <w:bCs w:val="0"/>
              </w:rPr>
            </w:pPr>
            <w:r>
              <w:t>Incidental costs</w:t>
            </w:r>
          </w:p>
        </w:tc>
        <w:tc>
          <w:tcPr>
            <w:tcW w:w="801" w:type="pct"/>
          </w:tcPr>
          <w:p w14:paraId="553C1702" w14:textId="77777777" w:rsidR="00A561E0" w:rsidRDefault="00854BE4">
            <w:pPr>
              <w:pStyle w:val="DefaqtoTableBody2"/>
              <w:rPr>
                <w:b w:val="0"/>
                <w:bCs w:val="0"/>
                <w:vertAlign w:val="superscript"/>
              </w:rPr>
            </w:pPr>
            <w:r>
              <w:t>Total</w:t>
            </w:r>
          </w:p>
        </w:tc>
      </w:tr>
      <w:tr w:rsidR="00A561E0" w14:paraId="4025EB27" w14:textId="77777777" w:rsidTr="00A561E0">
        <w:trPr>
          <w:cnfStyle w:val="000000100000" w:firstRow="0" w:lastRow="0" w:firstColumn="0" w:lastColumn="0" w:oddVBand="0" w:evenVBand="0" w:oddHBand="1" w:evenHBand="0" w:firstRowFirstColumn="0" w:firstRowLastColumn="0" w:lastRowFirstColumn="0" w:lastRowLastColumn="0"/>
          <w:trHeight w:val="441"/>
        </w:trPr>
        <w:tc>
          <w:tcPr>
            <w:tcW w:w="854" w:type="pct"/>
          </w:tcPr>
          <w:p w14:paraId="57F2441A" w14:textId="77777777" w:rsidR="00A561E0" w:rsidRDefault="00854BE4">
            <w:pPr>
              <w:pStyle w:val="DefaqtoTableBody2"/>
            </w:pPr>
            <w:r>
              <w:t>CT Universal MAP Cautious Fund C Acc</w:t>
            </w:r>
          </w:p>
        </w:tc>
        <w:tc>
          <w:tcPr>
            <w:tcW w:w="870" w:type="pct"/>
          </w:tcPr>
          <w:p w14:paraId="042B7563" w14:textId="77777777" w:rsidR="00A561E0" w:rsidRDefault="00854BE4">
            <w:pPr>
              <w:pStyle w:val="DefaqtoTableBody2"/>
            </w:pPr>
            <w:r>
              <w:t>-</w:t>
            </w:r>
          </w:p>
          <w:p w14:paraId="12430593" w14:textId="77777777" w:rsidR="00A561E0" w:rsidRDefault="00A561E0">
            <w:pPr>
              <w:pStyle w:val="DefaqtoTableBody2"/>
            </w:pPr>
          </w:p>
        </w:tc>
        <w:tc>
          <w:tcPr>
            <w:tcW w:w="870" w:type="pct"/>
          </w:tcPr>
          <w:p w14:paraId="30398B21" w14:textId="77777777" w:rsidR="00A561E0" w:rsidRDefault="00854BE4">
            <w:pPr>
              <w:pStyle w:val="DefaqtoTableBody2"/>
            </w:pPr>
            <w:r>
              <w:t>£58.00</w:t>
            </w:r>
          </w:p>
          <w:p w14:paraId="2A9B49B4" w14:textId="77777777" w:rsidR="00A561E0" w:rsidRDefault="00854BE4">
            <w:pPr>
              <w:pStyle w:val="DefaqtoTableBody2"/>
            </w:pPr>
            <w:r>
              <w:t>(0.29%)</w:t>
            </w:r>
          </w:p>
        </w:tc>
        <w:tc>
          <w:tcPr>
            <w:tcW w:w="802" w:type="pct"/>
          </w:tcPr>
          <w:p w14:paraId="22675AA1" w14:textId="77777777" w:rsidR="00A561E0" w:rsidRDefault="00854BE4">
            <w:pPr>
              <w:pStyle w:val="DefaqtoTableBody2"/>
            </w:pPr>
            <w:r>
              <w:t>£44.42</w:t>
            </w:r>
          </w:p>
          <w:p w14:paraId="720C9CF7" w14:textId="77777777" w:rsidR="00A561E0" w:rsidRDefault="00854BE4">
            <w:pPr>
              <w:pStyle w:val="DefaqtoTableBody2"/>
            </w:pPr>
            <w:r>
              <w:t>(0.22%)</w:t>
            </w:r>
          </w:p>
        </w:tc>
        <w:tc>
          <w:tcPr>
            <w:tcW w:w="802" w:type="pct"/>
          </w:tcPr>
          <w:p w14:paraId="68EE9EB2" w14:textId="77777777" w:rsidR="00A561E0" w:rsidRDefault="00854BE4">
            <w:pPr>
              <w:pStyle w:val="DefaqtoTableBody2"/>
            </w:pPr>
            <w:r>
              <w:t>-</w:t>
            </w:r>
          </w:p>
          <w:p w14:paraId="254B1351" w14:textId="77777777" w:rsidR="00A561E0" w:rsidRDefault="00A561E0">
            <w:pPr>
              <w:pStyle w:val="DefaqtoTableBody2"/>
            </w:pPr>
          </w:p>
        </w:tc>
        <w:tc>
          <w:tcPr>
            <w:tcW w:w="801" w:type="pct"/>
          </w:tcPr>
          <w:p w14:paraId="4C30DF8B" w14:textId="77777777" w:rsidR="00A561E0" w:rsidRDefault="00854BE4">
            <w:pPr>
              <w:pStyle w:val="DefaqtoTableBody2"/>
            </w:pPr>
            <w:r>
              <w:t>£102.42</w:t>
            </w:r>
          </w:p>
          <w:p w14:paraId="09FCBE87" w14:textId="77777777" w:rsidR="00A561E0" w:rsidRDefault="00854BE4">
            <w:pPr>
              <w:pStyle w:val="DefaqtoTableBody2"/>
            </w:pPr>
            <w:r>
              <w:t>(0.51%)</w:t>
            </w:r>
          </w:p>
        </w:tc>
      </w:tr>
      <w:tr w:rsidR="00A561E0" w14:paraId="747525F6" w14:textId="77777777" w:rsidTr="00A561E0">
        <w:trPr>
          <w:cnfStyle w:val="000000010000" w:firstRow="0" w:lastRow="0" w:firstColumn="0" w:lastColumn="0" w:oddVBand="0" w:evenVBand="0" w:oddHBand="0" w:evenHBand="1" w:firstRowFirstColumn="0" w:firstRowLastColumn="0" w:lastRowFirstColumn="0" w:lastRowLastColumn="0"/>
          <w:trHeight w:val="441"/>
        </w:trPr>
        <w:tc>
          <w:tcPr>
            <w:tcW w:w="854" w:type="pct"/>
          </w:tcPr>
          <w:p w14:paraId="09BB1428" w14:textId="77777777" w:rsidR="00A561E0" w:rsidRDefault="00854BE4">
            <w:pPr>
              <w:pStyle w:val="DefaqtoTableBody"/>
              <w:rPr>
                <w:b/>
                <w:bCs/>
              </w:rPr>
            </w:pPr>
            <w:r>
              <w:rPr>
                <w:lang w:val="en-NZ"/>
              </w:rPr>
              <w:t>Total aggregated fund costs:</w:t>
            </w:r>
          </w:p>
        </w:tc>
        <w:tc>
          <w:tcPr>
            <w:tcW w:w="870" w:type="pct"/>
          </w:tcPr>
          <w:p w14:paraId="690105F7" w14:textId="77777777" w:rsidR="00A561E0" w:rsidRDefault="00854BE4">
            <w:pPr>
              <w:pStyle w:val="DefaqtoTableBody"/>
              <w:rPr>
                <w:b/>
                <w:bCs/>
                <w:lang w:val="en-NZ"/>
              </w:rPr>
            </w:pPr>
            <w:r>
              <w:rPr>
                <w:lang w:val="en-NZ"/>
              </w:rPr>
              <w:t>£0.00</w:t>
            </w:r>
          </w:p>
          <w:p w14:paraId="674EC0DA" w14:textId="77777777" w:rsidR="00A561E0" w:rsidRDefault="00854BE4">
            <w:pPr>
              <w:pStyle w:val="DefaqtoTableBody"/>
              <w:rPr>
                <w:b/>
                <w:bCs/>
              </w:rPr>
            </w:pPr>
            <w:r>
              <w:rPr>
                <w:lang w:val="en-NZ"/>
              </w:rPr>
              <w:t>(0.00%)</w:t>
            </w:r>
          </w:p>
        </w:tc>
        <w:tc>
          <w:tcPr>
            <w:tcW w:w="870" w:type="pct"/>
          </w:tcPr>
          <w:p w14:paraId="53494928" w14:textId="77777777" w:rsidR="00A561E0" w:rsidRDefault="00854BE4">
            <w:pPr>
              <w:pStyle w:val="DefaqtoTableBody"/>
              <w:rPr>
                <w:b/>
                <w:bCs/>
                <w:lang w:val="en-NZ"/>
              </w:rPr>
            </w:pPr>
            <w:r>
              <w:rPr>
                <w:lang w:val="en-NZ"/>
              </w:rPr>
              <w:t>£58.00</w:t>
            </w:r>
          </w:p>
          <w:p w14:paraId="3D8854D4" w14:textId="77777777" w:rsidR="00A561E0" w:rsidRDefault="00854BE4">
            <w:pPr>
              <w:pStyle w:val="DefaqtoTableBody"/>
              <w:rPr>
                <w:b/>
                <w:bCs/>
              </w:rPr>
            </w:pPr>
            <w:r>
              <w:rPr>
                <w:lang w:val="en-NZ"/>
              </w:rPr>
              <w:t>(0.29%)</w:t>
            </w:r>
          </w:p>
        </w:tc>
        <w:tc>
          <w:tcPr>
            <w:tcW w:w="802" w:type="pct"/>
          </w:tcPr>
          <w:p w14:paraId="322B25EE" w14:textId="77777777" w:rsidR="00A561E0" w:rsidRDefault="00854BE4">
            <w:pPr>
              <w:pStyle w:val="DefaqtoTableBody"/>
              <w:rPr>
                <w:b/>
                <w:bCs/>
                <w:lang w:val="en-NZ"/>
              </w:rPr>
            </w:pPr>
            <w:r>
              <w:rPr>
                <w:lang w:val="en-NZ"/>
              </w:rPr>
              <w:t>£44.42</w:t>
            </w:r>
          </w:p>
          <w:p w14:paraId="3C5AD7EE" w14:textId="77777777" w:rsidR="00A561E0" w:rsidRDefault="00854BE4">
            <w:pPr>
              <w:pStyle w:val="DefaqtoTableBody"/>
              <w:rPr>
                <w:b/>
                <w:bCs/>
                <w:lang w:val="en-NZ"/>
              </w:rPr>
            </w:pPr>
            <w:r>
              <w:rPr>
                <w:lang w:val="en-NZ"/>
              </w:rPr>
              <w:t>(0.22%)</w:t>
            </w:r>
          </w:p>
        </w:tc>
        <w:tc>
          <w:tcPr>
            <w:tcW w:w="802" w:type="pct"/>
          </w:tcPr>
          <w:p w14:paraId="041A8F58" w14:textId="77777777" w:rsidR="00A561E0" w:rsidRDefault="00854BE4">
            <w:pPr>
              <w:pStyle w:val="DefaqtoTableBody"/>
              <w:rPr>
                <w:b/>
                <w:bCs/>
                <w:lang w:val="en-NZ"/>
              </w:rPr>
            </w:pPr>
            <w:r>
              <w:rPr>
                <w:lang w:val="en-NZ"/>
              </w:rPr>
              <w:t>£0.00</w:t>
            </w:r>
          </w:p>
          <w:p w14:paraId="09F9DA32" w14:textId="77777777" w:rsidR="00A561E0" w:rsidRDefault="00854BE4">
            <w:pPr>
              <w:pStyle w:val="DefaqtoTableBody"/>
              <w:rPr>
                <w:b/>
                <w:bCs/>
                <w:lang w:val="en-NZ"/>
              </w:rPr>
            </w:pPr>
            <w:r>
              <w:rPr>
                <w:lang w:val="en-NZ"/>
              </w:rPr>
              <w:t>(0.00%)</w:t>
            </w:r>
          </w:p>
        </w:tc>
        <w:tc>
          <w:tcPr>
            <w:tcW w:w="801" w:type="pct"/>
          </w:tcPr>
          <w:p w14:paraId="51345E9E" w14:textId="77777777" w:rsidR="00A561E0" w:rsidRDefault="00854BE4">
            <w:pPr>
              <w:pStyle w:val="DefaqtoTableBody"/>
              <w:rPr>
                <w:b/>
                <w:bCs/>
                <w:lang w:val="en-NZ"/>
              </w:rPr>
            </w:pPr>
            <w:r>
              <w:rPr>
                <w:lang w:val="en-NZ"/>
              </w:rPr>
              <w:t>£102.42</w:t>
            </w:r>
          </w:p>
          <w:p w14:paraId="611EC4EA" w14:textId="77777777" w:rsidR="00A561E0" w:rsidRDefault="00854BE4">
            <w:pPr>
              <w:pStyle w:val="DefaqtoTableBody"/>
              <w:rPr>
                <w:b/>
                <w:bCs/>
                <w:lang w:val="en-NZ"/>
              </w:rPr>
            </w:pPr>
            <w:r>
              <w:rPr>
                <w:lang w:val="en-NZ"/>
              </w:rPr>
              <w:t>(0.51%)</w:t>
            </w:r>
          </w:p>
        </w:tc>
      </w:tr>
    </w:tbl>
    <w:p w14:paraId="4D3E5038" w14:textId="77777777" w:rsidR="00A561E0" w:rsidRDefault="00854BE4">
      <w:pPr>
        <w:pStyle w:val="Defaqtosmallprint"/>
        <w:rPr>
          <w:b/>
          <w:bCs/>
        </w:rPr>
      </w:pPr>
      <w:r>
        <w:t>* ’One-Off Costs’ represent the maximum costs that can be incurred when entering or exiting the fund and might be waived by the fund manager or distributor.</w:t>
      </w:r>
    </w:p>
    <w:p w14:paraId="6A9845F0" w14:textId="77777777" w:rsidR="00A561E0" w:rsidRDefault="00854BE4">
      <w:pPr>
        <w:pStyle w:val="DefaqtoHeading3"/>
      </w:pPr>
      <w:bookmarkStart w:id="14" w:name="_Toc10"/>
      <w:r>
        <w:t>Risk level</w:t>
      </w:r>
      <w:bookmarkEnd w:id="14"/>
    </w:p>
    <w:p w14:paraId="6EC000F8" w14:textId="77777777" w:rsidR="00A561E0" w:rsidRDefault="00854BE4">
      <w:pPr>
        <w:pStyle w:val="DefaqtoBody"/>
      </w:pPr>
      <w:r>
        <w:rPr>
          <w:lang w:val="en-NZ"/>
        </w:rPr>
        <w:t>The client’s agreed risk level is 4. The risk mapping of the new portfolio is 4 which matches the client’s agreed risk level.</w:t>
      </w:r>
    </w:p>
    <w:p w14:paraId="56F222CD" w14:textId="77777777" w:rsidR="00A561E0" w:rsidRDefault="00A561E0">
      <w:pPr>
        <w:pStyle w:val="Tag"/>
        <w:sectPr w:rsidR="00A561E0">
          <w:headerReference w:type="default" r:id="rId31"/>
          <w:footerReference w:type="default" r:id="rId32"/>
          <w:pgSz w:w="11907" w:h="16839" w:code="9"/>
          <w:pgMar w:top="709" w:right="640" w:bottom="376" w:left="640" w:header="200" w:footer="200" w:gutter="0"/>
          <w:cols w:space="708"/>
          <w:docGrid w:linePitch="360"/>
        </w:sectPr>
      </w:pPr>
    </w:p>
    <w:p w14:paraId="222E044A" w14:textId="77777777" w:rsidR="00A561E0" w:rsidRDefault="00854BE4">
      <w:pPr>
        <w:pStyle w:val="DefaqtoHeading3"/>
      </w:pPr>
      <w:bookmarkStart w:id="15" w:name="_Toc11"/>
      <w:r>
        <w:lastRenderedPageBreak/>
        <w:t>Combined cumulative investment performance graph</w:t>
      </w:r>
      <w:bookmarkEnd w:id="15"/>
    </w:p>
    <w:p w14:paraId="5A676159" w14:textId="77777777" w:rsidR="00A561E0" w:rsidRDefault="00854BE4">
      <w:pPr>
        <w:pStyle w:val="DefaqtoBody"/>
      </w:pPr>
      <w:r>
        <w:rPr>
          <w:u w:color="000000"/>
        </w:rPr>
        <w:t>The chart shows the combined investments performance, calculated as NAV to NAV/Bid to Bid/Closing Price to Closing Price, with dividends/distributions reinvested, including the effect of ongoing costs and charges. These figures are calculated to the performance date 02 December 2025.</w:t>
      </w:r>
    </w:p>
    <w:p w14:paraId="4B0E84B3" w14:textId="77777777" w:rsidR="00A561E0" w:rsidRDefault="00854BE4">
      <w:r>
        <w:rPr>
          <w:noProof/>
        </w:rPr>
        <w:drawing>
          <wp:inline distT="0" distB="0" distL="0" distR="0" wp14:anchorId="5C3E17B3" wp14:editId="55202384">
            <wp:extent cx="6731000" cy="4533900"/>
            <wp:effectExtent l="0" t="0" r="0" b="0"/>
            <wp:docPr id="17" name="Picture 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3" cstate="print"/>
                    <a:stretch>
                      <a:fillRect/>
                    </a:stretch>
                  </pic:blipFill>
                  <pic:spPr>
                    <a:xfrm>
                      <a:off x="0" y="0"/>
                      <a:ext cx="6731000" cy="4533900"/>
                    </a:xfrm>
                    <a:prstGeom prst="rect">
                      <a:avLst/>
                    </a:prstGeom>
                  </pic:spPr>
                </pic:pic>
              </a:graphicData>
            </a:graphic>
          </wp:inline>
        </w:drawing>
      </w:r>
    </w:p>
    <w:tbl>
      <w:tblPr>
        <w:tblStyle w:val="DefaqtoTable"/>
        <w:tblW w:w="5000" w:type="pct"/>
        <w:tblLook w:val="01E0" w:firstRow="1" w:lastRow="1" w:firstColumn="1" w:lastColumn="1" w:noHBand="0" w:noVBand="0"/>
      </w:tblPr>
      <w:tblGrid>
        <w:gridCol w:w="578"/>
        <w:gridCol w:w="4761"/>
        <w:gridCol w:w="515"/>
        <w:gridCol w:w="4762"/>
      </w:tblGrid>
      <w:tr w:rsidR="00A561E0" w14:paraId="1F3F271B" w14:textId="77777777" w:rsidTr="00A561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 w:type="pct"/>
            <w:tcBorders>
              <w:bottom w:val="single" w:sz="4" w:space="0" w:color="B0A7CF"/>
            </w:tcBorders>
          </w:tcPr>
          <w:p w14:paraId="07059A0D" w14:textId="77777777" w:rsidR="00A561E0" w:rsidRDefault="00854BE4">
            <w:pPr>
              <w:rPr>
                <w:lang w:eastAsia="en-GB"/>
              </w:rPr>
            </w:pPr>
            <w:r>
              <w:rPr>
                <w:rFonts w:ascii="Poppins" w:eastAsia="Poppins" w:hAnsi="Poppins" w:cs="Poppins"/>
                <w:color w:val="F26065"/>
                <w:sz w:val="18"/>
                <w:szCs w:val="18"/>
                <w:lang w:eastAsia="en-GB"/>
              </w:rPr>
              <w:t>━━</w:t>
            </w:r>
            <w:r>
              <w:rPr>
                <w:rFonts w:ascii="Poppins" w:eastAsia="Poppins" w:hAnsi="Poppins" w:cs="Poppins"/>
                <w:b w:val="0"/>
                <w:bCs w:val="0"/>
                <w:color w:val="000000"/>
                <w:sz w:val="16"/>
                <w:szCs w:val="16"/>
                <w:lang w:eastAsia="en-GB"/>
              </w:rPr>
              <w:t xml:space="preserve">   </w:t>
            </w:r>
          </w:p>
        </w:tc>
        <w:tc>
          <w:tcPr>
            <w:tcW w:w="2250" w:type="pct"/>
            <w:tcBorders>
              <w:bottom w:val="single" w:sz="4" w:space="0" w:color="B0A7CF"/>
            </w:tcBorders>
          </w:tcPr>
          <w:p w14:paraId="7CF3A216" w14:textId="77777777" w:rsidR="00A561E0" w:rsidRDefault="00854BE4">
            <w:pPr>
              <w:pStyle w:val="DefaqtoTableBody2"/>
              <w:cnfStyle w:val="100000000000" w:firstRow="1" w:lastRow="0" w:firstColumn="0" w:lastColumn="0" w:oddVBand="0" w:evenVBand="0" w:oddHBand="0" w:evenHBand="0" w:firstRowFirstColumn="0" w:firstRowLastColumn="0" w:lastRowFirstColumn="0" w:lastRowLastColumn="0"/>
            </w:pPr>
            <w:r>
              <w:t>Combined</w:t>
            </w:r>
          </w:p>
        </w:tc>
        <w:tc>
          <w:tcPr>
            <w:tcW w:w="250" w:type="pct"/>
            <w:tcBorders>
              <w:bottom w:val="single" w:sz="4" w:space="0" w:color="B0A7CF"/>
            </w:tcBorders>
          </w:tcPr>
          <w:p w14:paraId="299E1D21" w14:textId="77777777" w:rsidR="00A561E0" w:rsidRDefault="00854BE4">
            <w:pPr>
              <w:cnfStyle w:val="100000000000" w:firstRow="1" w:lastRow="0" w:firstColumn="0" w:lastColumn="0" w:oddVBand="0" w:evenVBand="0" w:oddHBand="0" w:evenHBand="0" w:firstRowFirstColumn="0" w:firstRowLastColumn="0" w:lastRowFirstColumn="0" w:lastRowLastColumn="0"/>
              <w:rPr>
                <w:lang w:eastAsia="en-GB"/>
              </w:rPr>
            </w:pPr>
            <w:r>
              <w:rPr>
                <w:b w:val="0"/>
                <w:bCs w:val="0"/>
                <w:color w:val="F26065"/>
                <w:sz w:val="18"/>
                <w:szCs w:val="18"/>
                <w:lang w:eastAsia="en-GB"/>
              </w:rPr>
              <w:t>---</w:t>
            </w:r>
            <w:r>
              <w:rPr>
                <w:rFonts w:ascii="Poppins" w:eastAsia="Poppins" w:hAnsi="Poppins" w:cs="Poppins"/>
                <w:b w:val="0"/>
                <w:bCs w:val="0"/>
                <w:color w:val="000000"/>
                <w:sz w:val="16"/>
                <w:szCs w:val="16"/>
                <w:lang w:eastAsia="en-GB"/>
              </w:rPr>
              <w:t xml:space="preserve">   </w:t>
            </w:r>
          </w:p>
        </w:tc>
        <w:tc>
          <w:tcPr>
            <w:tcW w:w="2250" w:type="pct"/>
            <w:tcBorders>
              <w:bottom w:val="single" w:sz="4" w:space="0" w:color="B0A7CF"/>
            </w:tcBorders>
          </w:tcPr>
          <w:p w14:paraId="31D04DA3" w14:textId="77777777" w:rsidR="00A561E0" w:rsidRDefault="00854BE4">
            <w:pPr>
              <w:pStyle w:val="DefaqtoTableBody2"/>
              <w:cnfStyle w:val="100000000000" w:firstRow="1" w:lastRow="0" w:firstColumn="0" w:lastColumn="0" w:oddVBand="0" w:evenVBand="0" w:oddHBand="0" w:evenHBand="0" w:firstRowFirstColumn="0" w:firstRowLastColumn="0" w:lastRowFirstColumn="0" w:lastRowLastColumn="0"/>
            </w:pPr>
            <w:r>
              <w:t>Benchmark : Risk Level 4 Benchmark (GBP)</w:t>
            </w:r>
          </w:p>
        </w:tc>
      </w:tr>
    </w:tbl>
    <w:p w14:paraId="54CBF5D3" w14:textId="77777777" w:rsidR="00A561E0" w:rsidRDefault="00854BE4">
      <w:pPr>
        <w:pStyle w:val="DefaqtoBody"/>
      </w:pPr>
      <w:r>
        <w:rPr>
          <w:u w:color="000000"/>
        </w:rPr>
        <w:t xml:space="preserve"> </w:t>
      </w:r>
    </w:p>
    <w:p w14:paraId="2FA27047" w14:textId="77777777" w:rsidR="00A561E0" w:rsidRDefault="00854BE4">
      <w:pPr>
        <w:pStyle w:val="DefaqtoHeading3"/>
      </w:pPr>
      <w:bookmarkStart w:id="16" w:name="_Toc12"/>
      <w:r>
        <w:t>Combined cumulative investment performance table</w:t>
      </w:r>
      <w:bookmarkEnd w:id="16"/>
    </w:p>
    <w:p w14:paraId="05BA185B" w14:textId="77777777" w:rsidR="00A561E0" w:rsidRDefault="00854BE4">
      <w:pPr>
        <w:pStyle w:val="DefaqtoBody"/>
      </w:pPr>
      <w:r>
        <w:rPr>
          <w:u w:color="000000"/>
        </w:rPr>
        <w:t>The table shows the combined investments performance, calculated as NAV to NAV/Bid to Bid/Closing Price to Closing Price, with dividends/distributions reinvested, including the effect of ongoing costs and charges. These figures are calculated to the month end performance date 31 October 2025.</w:t>
      </w:r>
    </w:p>
    <w:tbl>
      <w:tblPr>
        <w:tblStyle w:val="DefaqtoTable"/>
        <w:tblW w:w="5000" w:type="pct"/>
        <w:tblLook w:val="01E0" w:firstRow="1" w:lastRow="1" w:firstColumn="1" w:lastColumn="1" w:noHBand="0" w:noVBand="0"/>
      </w:tblPr>
      <w:tblGrid>
        <w:gridCol w:w="5521"/>
        <w:gridCol w:w="850"/>
        <w:gridCol w:w="849"/>
        <w:gridCol w:w="849"/>
        <w:gridCol w:w="849"/>
        <w:gridCol w:w="849"/>
        <w:gridCol w:w="849"/>
      </w:tblGrid>
      <w:tr w:rsidR="00A561E0" w14:paraId="163188EE" w14:textId="77777777" w:rsidTr="00A561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pct"/>
          </w:tcPr>
          <w:p w14:paraId="4F451640" w14:textId="77777777" w:rsidR="00A561E0" w:rsidRDefault="00854BE4">
            <w:pPr>
              <w:pStyle w:val="DefaqtoTableBody2"/>
            </w:pPr>
            <w:r>
              <w:t>FUND</w:t>
            </w:r>
          </w:p>
        </w:tc>
        <w:tc>
          <w:tcPr>
            <w:tcW w:w="400" w:type="pct"/>
          </w:tcPr>
          <w:p w14:paraId="2873821F" w14:textId="77777777" w:rsidR="00A561E0" w:rsidRDefault="00854BE4">
            <w:pPr>
              <w:pStyle w:val="DefaqtoTableBody2"/>
              <w:jc w:val="right"/>
              <w:cnfStyle w:val="100000000000" w:firstRow="1" w:lastRow="0" w:firstColumn="0" w:lastColumn="0" w:oddVBand="0" w:evenVBand="0" w:oddHBand="0" w:evenHBand="0" w:firstRowFirstColumn="0" w:firstRowLastColumn="0" w:lastRowFirstColumn="0" w:lastRowLastColumn="0"/>
            </w:pPr>
            <w:r>
              <w:t>3M</w:t>
            </w:r>
          </w:p>
        </w:tc>
        <w:tc>
          <w:tcPr>
            <w:tcW w:w="400" w:type="pct"/>
          </w:tcPr>
          <w:p w14:paraId="7253B62D" w14:textId="77777777" w:rsidR="00A561E0" w:rsidRDefault="00854BE4">
            <w:pPr>
              <w:pStyle w:val="DefaqtoTableBody2"/>
              <w:jc w:val="right"/>
              <w:cnfStyle w:val="100000000000" w:firstRow="1" w:lastRow="0" w:firstColumn="0" w:lastColumn="0" w:oddVBand="0" w:evenVBand="0" w:oddHBand="0" w:evenHBand="0" w:firstRowFirstColumn="0" w:firstRowLastColumn="0" w:lastRowFirstColumn="0" w:lastRowLastColumn="0"/>
            </w:pPr>
            <w:r>
              <w:t>6M</w:t>
            </w:r>
          </w:p>
        </w:tc>
        <w:tc>
          <w:tcPr>
            <w:tcW w:w="400" w:type="pct"/>
          </w:tcPr>
          <w:p w14:paraId="1080D12A" w14:textId="77777777" w:rsidR="00A561E0" w:rsidRDefault="00854BE4">
            <w:pPr>
              <w:pStyle w:val="DefaqtoTableBody2"/>
              <w:jc w:val="right"/>
              <w:cnfStyle w:val="100000000000" w:firstRow="1" w:lastRow="0" w:firstColumn="0" w:lastColumn="0" w:oddVBand="0" w:evenVBand="0" w:oddHBand="0" w:evenHBand="0" w:firstRowFirstColumn="0" w:firstRowLastColumn="0" w:lastRowFirstColumn="0" w:lastRowLastColumn="0"/>
            </w:pPr>
            <w:r>
              <w:t>1YR</w:t>
            </w:r>
          </w:p>
        </w:tc>
        <w:tc>
          <w:tcPr>
            <w:tcW w:w="400" w:type="pct"/>
          </w:tcPr>
          <w:p w14:paraId="38E4F2A1" w14:textId="77777777" w:rsidR="00A561E0" w:rsidRDefault="00854BE4">
            <w:pPr>
              <w:pStyle w:val="DefaqtoTableBody2"/>
              <w:jc w:val="right"/>
              <w:cnfStyle w:val="100000000000" w:firstRow="1" w:lastRow="0" w:firstColumn="0" w:lastColumn="0" w:oddVBand="0" w:evenVBand="0" w:oddHBand="0" w:evenHBand="0" w:firstRowFirstColumn="0" w:firstRowLastColumn="0" w:lastRowFirstColumn="0" w:lastRowLastColumn="0"/>
            </w:pPr>
            <w:r>
              <w:t>3YR</w:t>
            </w:r>
          </w:p>
        </w:tc>
        <w:tc>
          <w:tcPr>
            <w:tcW w:w="400" w:type="pct"/>
          </w:tcPr>
          <w:p w14:paraId="423CD112" w14:textId="77777777" w:rsidR="00A561E0" w:rsidRDefault="00854BE4">
            <w:pPr>
              <w:pStyle w:val="DefaqtoTableBody2"/>
              <w:jc w:val="right"/>
              <w:cnfStyle w:val="100000000000" w:firstRow="1" w:lastRow="0" w:firstColumn="0" w:lastColumn="0" w:oddVBand="0" w:evenVBand="0" w:oddHBand="0" w:evenHBand="0" w:firstRowFirstColumn="0" w:firstRowLastColumn="0" w:lastRowFirstColumn="0" w:lastRowLastColumn="0"/>
            </w:pPr>
            <w:r>
              <w:t>5YR</w:t>
            </w:r>
          </w:p>
        </w:tc>
        <w:tc>
          <w:tcPr>
            <w:tcW w:w="400" w:type="pct"/>
          </w:tcPr>
          <w:p w14:paraId="322D7D6D" w14:textId="77777777" w:rsidR="00A561E0" w:rsidRDefault="00854BE4">
            <w:pPr>
              <w:pStyle w:val="DefaqtoTableBody2"/>
              <w:jc w:val="right"/>
              <w:cnfStyle w:val="100000000000" w:firstRow="1" w:lastRow="0" w:firstColumn="0" w:lastColumn="0" w:oddVBand="0" w:evenVBand="0" w:oddHBand="0" w:evenHBand="0" w:firstRowFirstColumn="0" w:firstRowLastColumn="0" w:lastRowFirstColumn="0" w:lastRowLastColumn="0"/>
            </w:pPr>
            <w:r>
              <w:t>10YR</w:t>
            </w:r>
          </w:p>
        </w:tc>
      </w:tr>
      <w:tr w:rsidR="00A561E0" w14:paraId="17AC52B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5ECD22" w14:textId="77777777" w:rsidR="00A561E0" w:rsidRDefault="00854BE4">
            <w:pPr>
              <w:pStyle w:val="DefaqtoTableBody2"/>
            </w:pPr>
            <w:r>
              <w:t>Combined Performance (GBP)</w:t>
            </w:r>
          </w:p>
        </w:tc>
        <w:tc>
          <w:tcPr>
            <w:tcW w:w="0" w:type="auto"/>
          </w:tcPr>
          <w:p w14:paraId="20F04D72" w14:textId="77777777" w:rsidR="00A561E0" w:rsidRDefault="00854BE4">
            <w:pPr>
              <w:pStyle w:val="DefaqtoTableBody2"/>
              <w:jc w:val="right"/>
              <w:cnfStyle w:val="000000100000" w:firstRow="0" w:lastRow="0" w:firstColumn="0" w:lastColumn="0" w:oddVBand="0" w:evenVBand="0" w:oddHBand="1" w:evenHBand="0" w:firstRowFirstColumn="0" w:firstRowLastColumn="0" w:lastRowFirstColumn="0" w:lastRowLastColumn="0"/>
            </w:pPr>
            <w:r>
              <w:t>4.29</w:t>
            </w:r>
          </w:p>
        </w:tc>
        <w:tc>
          <w:tcPr>
            <w:tcW w:w="0" w:type="auto"/>
          </w:tcPr>
          <w:p w14:paraId="3DD7DBD1" w14:textId="77777777" w:rsidR="00A561E0" w:rsidRDefault="00854BE4">
            <w:pPr>
              <w:pStyle w:val="DefaqtoTableBody2"/>
              <w:jc w:val="right"/>
              <w:cnfStyle w:val="000000100000" w:firstRow="0" w:lastRow="0" w:firstColumn="0" w:lastColumn="0" w:oddVBand="0" w:evenVBand="0" w:oddHBand="1" w:evenHBand="0" w:firstRowFirstColumn="0" w:firstRowLastColumn="0" w:lastRowFirstColumn="0" w:lastRowLastColumn="0"/>
            </w:pPr>
            <w:r>
              <w:t>10.07</w:t>
            </w:r>
          </w:p>
        </w:tc>
        <w:tc>
          <w:tcPr>
            <w:tcW w:w="0" w:type="auto"/>
          </w:tcPr>
          <w:p w14:paraId="1D18ACC1" w14:textId="77777777" w:rsidR="00A561E0" w:rsidRDefault="00854BE4">
            <w:pPr>
              <w:pStyle w:val="DefaqtoTableBody2"/>
              <w:jc w:val="right"/>
              <w:cnfStyle w:val="000000100000" w:firstRow="0" w:lastRow="0" w:firstColumn="0" w:lastColumn="0" w:oddVBand="0" w:evenVBand="0" w:oddHBand="1" w:evenHBand="0" w:firstRowFirstColumn="0" w:firstRowLastColumn="0" w:lastRowFirstColumn="0" w:lastRowLastColumn="0"/>
            </w:pPr>
            <w:r>
              <w:t>11.21</w:t>
            </w:r>
          </w:p>
        </w:tc>
        <w:tc>
          <w:tcPr>
            <w:tcW w:w="0" w:type="auto"/>
          </w:tcPr>
          <w:p w14:paraId="56A83B0F" w14:textId="77777777" w:rsidR="00A561E0" w:rsidRDefault="00854BE4">
            <w:pPr>
              <w:pStyle w:val="DefaqtoTableBody2"/>
              <w:jc w:val="right"/>
              <w:cnfStyle w:val="000000100000" w:firstRow="0" w:lastRow="0" w:firstColumn="0" w:lastColumn="0" w:oddVBand="0" w:evenVBand="0" w:oddHBand="1" w:evenHBand="0" w:firstRowFirstColumn="0" w:firstRowLastColumn="0" w:lastRowFirstColumn="0" w:lastRowLastColumn="0"/>
            </w:pPr>
            <w:r>
              <w:t>30.34</w:t>
            </w:r>
          </w:p>
        </w:tc>
        <w:tc>
          <w:tcPr>
            <w:tcW w:w="0" w:type="auto"/>
          </w:tcPr>
          <w:p w14:paraId="0EEE8B37" w14:textId="77777777" w:rsidR="00A561E0" w:rsidRDefault="00854BE4">
            <w:pPr>
              <w:pStyle w:val="DefaqtoTableBody2"/>
              <w:jc w:val="right"/>
              <w:cnfStyle w:val="000000100000" w:firstRow="0" w:lastRow="0" w:firstColumn="0" w:lastColumn="0" w:oddVBand="0" w:evenVBand="0" w:oddHBand="1" w:evenHBand="0" w:firstRowFirstColumn="0" w:firstRowLastColumn="0" w:lastRowFirstColumn="0" w:lastRowLastColumn="0"/>
            </w:pPr>
            <w:r>
              <w:t>31.28</w:t>
            </w:r>
          </w:p>
        </w:tc>
        <w:tc>
          <w:tcPr>
            <w:tcW w:w="0" w:type="auto"/>
          </w:tcPr>
          <w:p w14:paraId="705F6B82" w14:textId="77777777" w:rsidR="00A561E0" w:rsidRDefault="00854BE4">
            <w:pPr>
              <w:pStyle w:val="DefaqtoTableBody2"/>
              <w:jc w:val="right"/>
              <w:cnfStyle w:val="000000100000" w:firstRow="0" w:lastRow="0" w:firstColumn="0" w:lastColumn="0" w:oddVBand="0" w:evenVBand="0" w:oddHBand="1" w:evenHBand="0" w:firstRowFirstColumn="0" w:firstRowLastColumn="0" w:lastRowFirstColumn="0" w:lastRowLastColumn="0"/>
            </w:pPr>
            <w:r>
              <w:t>-</w:t>
            </w:r>
          </w:p>
        </w:tc>
      </w:tr>
    </w:tbl>
    <w:p w14:paraId="48EDECF4" w14:textId="77777777" w:rsidR="00A561E0" w:rsidRDefault="00A561E0">
      <w:pPr>
        <w:pStyle w:val="DefaqtoBody"/>
        <w:rPr>
          <w:noProof/>
          <w:lang w:val="en-NZ"/>
        </w:rPr>
      </w:pPr>
    </w:p>
    <w:p w14:paraId="6AA82880" w14:textId="77777777" w:rsidR="00A561E0" w:rsidRDefault="00A561E0">
      <w:pPr>
        <w:pStyle w:val="DefaqtoBody"/>
        <w:rPr>
          <w:noProof/>
          <w:lang w:val="en-NZ"/>
        </w:rPr>
      </w:pPr>
    </w:p>
    <w:p w14:paraId="5026AADD" w14:textId="77777777" w:rsidR="00A561E0" w:rsidRDefault="00A561E0">
      <w:pPr>
        <w:pStyle w:val="DefaqtoBody"/>
        <w:rPr>
          <w:noProof/>
          <w:lang w:val="en-NZ"/>
        </w:rPr>
        <w:sectPr w:rsidR="00A561E0">
          <w:headerReference w:type="default" r:id="rId34"/>
          <w:footerReference w:type="default" r:id="rId35"/>
          <w:pgSz w:w="11906" w:h="16838"/>
          <w:pgMar w:top="709" w:right="640" w:bottom="376" w:left="640" w:header="200" w:footer="200" w:gutter="0"/>
          <w:cols w:space="708"/>
          <w:docGrid w:linePitch="360"/>
        </w:sectPr>
      </w:pPr>
    </w:p>
    <w:p w14:paraId="7675BD7E" w14:textId="77777777" w:rsidR="00A561E0" w:rsidRDefault="00854BE4">
      <w:pPr>
        <w:pStyle w:val="DefaqtoHeading3"/>
      </w:pPr>
      <w:bookmarkStart w:id="17" w:name="_Toc13"/>
      <w:r>
        <w:t>Individual cumulative investment performance graph</w:t>
      </w:r>
      <w:bookmarkEnd w:id="17"/>
    </w:p>
    <w:p w14:paraId="1DF3897B" w14:textId="77777777" w:rsidR="00A561E0" w:rsidRDefault="00854BE4">
      <w:pPr>
        <w:pStyle w:val="DefaqtoBody"/>
      </w:pPr>
      <w:r>
        <w:rPr>
          <w:u w:color="000000"/>
        </w:rPr>
        <w:t>The chart shows an investment’s performance, calculated as NAV to NAV/Bid to Bid/Closing Price to Closing Price, with dividends/distributions reinvested, including the effect of ongoing costs and charges. These figures are calculated to the performance date 02 December 2025.</w:t>
      </w:r>
    </w:p>
    <w:p w14:paraId="22EDED28" w14:textId="77777777" w:rsidR="00A561E0" w:rsidRDefault="00854BE4">
      <w:r>
        <w:rPr>
          <w:noProof/>
        </w:rPr>
        <w:drawing>
          <wp:inline distT="0" distB="0" distL="0" distR="0" wp14:anchorId="4CFF5199" wp14:editId="79EA41D4">
            <wp:extent cx="6731000" cy="4533900"/>
            <wp:effectExtent l="0" t="0" r="0" b="0"/>
            <wp:docPr id="19" name="Picture 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5" cstate="print"/>
                    <a:stretch>
                      <a:fillRect/>
                    </a:stretch>
                  </pic:blipFill>
                  <pic:spPr>
                    <a:xfrm>
                      <a:off x="0" y="0"/>
                      <a:ext cx="6731000" cy="4533900"/>
                    </a:xfrm>
                    <a:prstGeom prst="rect">
                      <a:avLst/>
                    </a:prstGeom>
                  </pic:spPr>
                </pic:pic>
              </a:graphicData>
            </a:graphic>
          </wp:inline>
        </w:drawing>
      </w:r>
    </w:p>
    <w:tbl>
      <w:tblPr>
        <w:tblStyle w:val="DefaqtoTable"/>
        <w:tblW w:w="5000" w:type="pct"/>
        <w:tblLook w:val="01E0" w:firstRow="1" w:lastRow="1" w:firstColumn="1" w:lastColumn="1" w:noHBand="0" w:noVBand="0"/>
      </w:tblPr>
      <w:tblGrid>
        <w:gridCol w:w="578"/>
        <w:gridCol w:w="4761"/>
        <w:gridCol w:w="515"/>
        <w:gridCol w:w="4762"/>
      </w:tblGrid>
      <w:tr w:rsidR="00A561E0" w14:paraId="102FFA7B" w14:textId="77777777" w:rsidTr="00A561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 w:type="pct"/>
            <w:tcBorders>
              <w:bottom w:val="single" w:sz="4" w:space="0" w:color="B0A7CF"/>
            </w:tcBorders>
          </w:tcPr>
          <w:p w14:paraId="1CAFD739" w14:textId="77777777" w:rsidR="00A561E0" w:rsidRDefault="00854BE4">
            <w:pPr>
              <w:rPr>
                <w:lang w:eastAsia="en-GB"/>
              </w:rPr>
            </w:pPr>
            <w:r>
              <w:rPr>
                <w:rFonts w:ascii="Poppins" w:eastAsia="Poppins" w:hAnsi="Poppins" w:cs="Poppins"/>
                <w:color w:val="F26065"/>
                <w:sz w:val="18"/>
                <w:szCs w:val="18"/>
                <w:lang w:eastAsia="en-GB"/>
              </w:rPr>
              <w:t>━━</w:t>
            </w:r>
            <w:r>
              <w:rPr>
                <w:rFonts w:ascii="Poppins" w:eastAsia="Poppins" w:hAnsi="Poppins" w:cs="Poppins"/>
                <w:b w:val="0"/>
                <w:bCs w:val="0"/>
                <w:color w:val="000000"/>
                <w:sz w:val="16"/>
                <w:szCs w:val="16"/>
                <w:lang w:eastAsia="en-GB"/>
              </w:rPr>
              <w:t xml:space="preserve">   </w:t>
            </w:r>
          </w:p>
        </w:tc>
        <w:tc>
          <w:tcPr>
            <w:tcW w:w="2250" w:type="pct"/>
            <w:tcBorders>
              <w:bottom w:val="single" w:sz="4" w:space="0" w:color="B0A7CF"/>
            </w:tcBorders>
          </w:tcPr>
          <w:p w14:paraId="20E06852" w14:textId="77777777" w:rsidR="00A561E0" w:rsidRDefault="00854BE4">
            <w:pPr>
              <w:pStyle w:val="DefaqtoTableBody2"/>
              <w:cnfStyle w:val="100000000000" w:firstRow="1" w:lastRow="0" w:firstColumn="0" w:lastColumn="0" w:oddVBand="0" w:evenVBand="0" w:oddHBand="0" w:evenHBand="0" w:firstRowFirstColumn="0" w:firstRowLastColumn="0" w:lastRowFirstColumn="0" w:lastRowLastColumn="0"/>
            </w:pPr>
            <w:r>
              <w:t>CT Universal MAP Cautious Fund C Acc (GBP)</w:t>
            </w:r>
          </w:p>
        </w:tc>
        <w:tc>
          <w:tcPr>
            <w:tcW w:w="250" w:type="pct"/>
            <w:tcBorders>
              <w:bottom w:val="single" w:sz="4" w:space="0" w:color="B0A7CF"/>
            </w:tcBorders>
          </w:tcPr>
          <w:p w14:paraId="5C0ED79F" w14:textId="77777777" w:rsidR="00A561E0" w:rsidRDefault="00A561E0">
            <w:pPr>
              <w:pStyle w:val="DefaqtoTableBody2"/>
              <w:cnfStyle w:val="100000000000" w:firstRow="1" w:lastRow="0" w:firstColumn="0" w:lastColumn="0" w:oddVBand="0" w:evenVBand="0" w:oddHBand="0" w:evenHBand="0" w:firstRowFirstColumn="0" w:firstRowLastColumn="0" w:lastRowFirstColumn="0" w:lastRowLastColumn="0"/>
            </w:pPr>
          </w:p>
        </w:tc>
        <w:tc>
          <w:tcPr>
            <w:tcW w:w="2250" w:type="pct"/>
            <w:tcBorders>
              <w:bottom w:val="single" w:sz="4" w:space="0" w:color="B0A7CF"/>
            </w:tcBorders>
          </w:tcPr>
          <w:p w14:paraId="4072D3B1" w14:textId="77777777" w:rsidR="00A561E0" w:rsidRDefault="00A561E0">
            <w:pPr>
              <w:pStyle w:val="DefaqtoTableBody2"/>
              <w:cnfStyle w:val="100000000000" w:firstRow="1" w:lastRow="0" w:firstColumn="0" w:lastColumn="0" w:oddVBand="0" w:evenVBand="0" w:oddHBand="0" w:evenHBand="0" w:firstRowFirstColumn="0" w:firstRowLastColumn="0" w:lastRowFirstColumn="0" w:lastRowLastColumn="0"/>
            </w:pPr>
          </w:p>
        </w:tc>
      </w:tr>
    </w:tbl>
    <w:p w14:paraId="1BA8F79C" w14:textId="77777777" w:rsidR="00A561E0" w:rsidRDefault="00854BE4">
      <w:pPr>
        <w:pStyle w:val="DefaqtoBody"/>
      </w:pPr>
      <w:r>
        <w:rPr>
          <w:u w:color="000000"/>
        </w:rPr>
        <w:t xml:space="preserve"> </w:t>
      </w:r>
    </w:p>
    <w:p w14:paraId="3C2FD49E" w14:textId="77777777" w:rsidR="00A561E0" w:rsidRDefault="00854BE4">
      <w:pPr>
        <w:pStyle w:val="DefaqtoHeading3"/>
      </w:pPr>
      <w:bookmarkStart w:id="18" w:name="_Toc14"/>
      <w:r>
        <w:t>Individual cumulative investment performance table</w:t>
      </w:r>
      <w:bookmarkEnd w:id="18"/>
    </w:p>
    <w:p w14:paraId="11FC8D0A" w14:textId="77777777" w:rsidR="00A561E0" w:rsidRDefault="00854BE4">
      <w:pPr>
        <w:pStyle w:val="DefaqtoBody"/>
      </w:pPr>
      <w:r>
        <w:rPr>
          <w:u w:color="000000"/>
        </w:rPr>
        <w:t>The table shows an investment’s performance, calculated as NAV to NAV/Bid to Bid/Closing Price to Closing Price, with dividends/distributions reinvested, including the effect of ongoing costs and charges. These figures are calculated to the month end performance date 31 October 2025.</w:t>
      </w:r>
    </w:p>
    <w:tbl>
      <w:tblPr>
        <w:tblStyle w:val="DefaqtoTable"/>
        <w:tblW w:w="5000" w:type="pct"/>
        <w:tblLook w:val="01E0" w:firstRow="1" w:lastRow="1" w:firstColumn="1" w:lastColumn="1" w:noHBand="0" w:noVBand="0"/>
      </w:tblPr>
      <w:tblGrid>
        <w:gridCol w:w="5521"/>
        <w:gridCol w:w="850"/>
        <w:gridCol w:w="849"/>
        <w:gridCol w:w="849"/>
        <w:gridCol w:w="849"/>
        <w:gridCol w:w="849"/>
        <w:gridCol w:w="849"/>
      </w:tblGrid>
      <w:tr w:rsidR="00A561E0" w14:paraId="6A90A923" w14:textId="77777777" w:rsidTr="00A561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pct"/>
          </w:tcPr>
          <w:p w14:paraId="20BB71BB" w14:textId="77777777" w:rsidR="00A561E0" w:rsidRDefault="00854BE4">
            <w:pPr>
              <w:pStyle w:val="DefaqtoTableBody2"/>
            </w:pPr>
            <w:r>
              <w:t>FUND</w:t>
            </w:r>
          </w:p>
        </w:tc>
        <w:tc>
          <w:tcPr>
            <w:tcW w:w="400" w:type="pct"/>
          </w:tcPr>
          <w:p w14:paraId="5206D625" w14:textId="77777777" w:rsidR="00A561E0" w:rsidRDefault="00854BE4">
            <w:pPr>
              <w:pStyle w:val="DefaqtoTableBody2"/>
              <w:jc w:val="right"/>
              <w:cnfStyle w:val="100000000000" w:firstRow="1" w:lastRow="0" w:firstColumn="0" w:lastColumn="0" w:oddVBand="0" w:evenVBand="0" w:oddHBand="0" w:evenHBand="0" w:firstRowFirstColumn="0" w:firstRowLastColumn="0" w:lastRowFirstColumn="0" w:lastRowLastColumn="0"/>
            </w:pPr>
            <w:r>
              <w:t>3M</w:t>
            </w:r>
          </w:p>
        </w:tc>
        <w:tc>
          <w:tcPr>
            <w:tcW w:w="400" w:type="pct"/>
          </w:tcPr>
          <w:p w14:paraId="6B5220A8" w14:textId="77777777" w:rsidR="00A561E0" w:rsidRDefault="00854BE4">
            <w:pPr>
              <w:pStyle w:val="DefaqtoTableBody2"/>
              <w:jc w:val="right"/>
              <w:cnfStyle w:val="100000000000" w:firstRow="1" w:lastRow="0" w:firstColumn="0" w:lastColumn="0" w:oddVBand="0" w:evenVBand="0" w:oddHBand="0" w:evenHBand="0" w:firstRowFirstColumn="0" w:firstRowLastColumn="0" w:lastRowFirstColumn="0" w:lastRowLastColumn="0"/>
            </w:pPr>
            <w:r>
              <w:t>6M</w:t>
            </w:r>
          </w:p>
        </w:tc>
        <w:tc>
          <w:tcPr>
            <w:tcW w:w="400" w:type="pct"/>
          </w:tcPr>
          <w:p w14:paraId="48BBB75B" w14:textId="77777777" w:rsidR="00A561E0" w:rsidRDefault="00854BE4">
            <w:pPr>
              <w:pStyle w:val="DefaqtoTableBody2"/>
              <w:jc w:val="right"/>
              <w:cnfStyle w:val="100000000000" w:firstRow="1" w:lastRow="0" w:firstColumn="0" w:lastColumn="0" w:oddVBand="0" w:evenVBand="0" w:oddHBand="0" w:evenHBand="0" w:firstRowFirstColumn="0" w:firstRowLastColumn="0" w:lastRowFirstColumn="0" w:lastRowLastColumn="0"/>
            </w:pPr>
            <w:r>
              <w:t>1YR</w:t>
            </w:r>
          </w:p>
        </w:tc>
        <w:tc>
          <w:tcPr>
            <w:tcW w:w="400" w:type="pct"/>
          </w:tcPr>
          <w:p w14:paraId="6475EE4E" w14:textId="77777777" w:rsidR="00A561E0" w:rsidRDefault="00854BE4">
            <w:pPr>
              <w:pStyle w:val="DefaqtoTableBody2"/>
              <w:jc w:val="right"/>
              <w:cnfStyle w:val="100000000000" w:firstRow="1" w:lastRow="0" w:firstColumn="0" w:lastColumn="0" w:oddVBand="0" w:evenVBand="0" w:oddHBand="0" w:evenHBand="0" w:firstRowFirstColumn="0" w:firstRowLastColumn="0" w:lastRowFirstColumn="0" w:lastRowLastColumn="0"/>
            </w:pPr>
            <w:r>
              <w:t>3YR</w:t>
            </w:r>
          </w:p>
        </w:tc>
        <w:tc>
          <w:tcPr>
            <w:tcW w:w="400" w:type="pct"/>
          </w:tcPr>
          <w:p w14:paraId="1B4414C8" w14:textId="77777777" w:rsidR="00A561E0" w:rsidRDefault="00854BE4">
            <w:pPr>
              <w:pStyle w:val="DefaqtoTableBody2"/>
              <w:jc w:val="right"/>
              <w:cnfStyle w:val="100000000000" w:firstRow="1" w:lastRow="0" w:firstColumn="0" w:lastColumn="0" w:oddVBand="0" w:evenVBand="0" w:oddHBand="0" w:evenHBand="0" w:firstRowFirstColumn="0" w:firstRowLastColumn="0" w:lastRowFirstColumn="0" w:lastRowLastColumn="0"/>
            </w:pPr>
            <w:r>
              <w:t>5YR</w:t>
            </w:r>
          </w:p>
        </w:tc>
        <w:tc>
          <w:tcPr>
            <w:tcW w:w="400" w:type="pct"/>
          </w:tcPr>
          <w:p w14:paraId="1DDE0C75" w14:textId="77777777" w:rsidR="00A561E0" w:rsidRDefault="00854BE4">
            <w:pPr>
              <w:pStyle w:val="DefaqtoTableBody2"/>
              <w:jc w:val="right"/>
              <w:cnfStyle w:val="100000000000" w:firstRow="1" w:lastRow="0" w:firstColumn="0" w:lastColumn="0" w:oddVBand="0" w:evenVBand="0" w:oddHBand="0" w:evenHBand="0" w:firstRowFirstColumn="0" w:firstRowLastColumn="0" w:lastRowFirstColumn="0" w:lastRowLastColumn="0"/>
            </w:pPr>
            <w:r>
              <w:t>10YR</w:t>
            </w:r>
          </w:p>
        </w:tc>
      </w:tr>
      <w:tr w:rsidR="00A561E0" w14:paraId="799870B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AB58C3D" w14:textId="77777777" w:rsidR="00A561E0" w:rsidRDefault="00854BE4">
            <w:pPr>
              <w:pStyle w:val="DefaqtoTableBody2"/>
            </w:pPr>
            <w:r>
              <w:t>CT Universal MAP Cautious Fund C Acc (GBP)</w:t>
            </w:r>
          </w:p>
        </w:tc>
        <w:tc>
          <w:tcPr>
            <w:tcW w:w="0" w:type="auto"/>
          </w:tcPr>
          <w:p w14:paraId="31D1E8E9" w14:textId="77777777" w:rsidR="00A561E0" w:rsidRDefault="00854BE4">
            <w:pPr>
              <w:pStyle w:val="DefaqtoTableBody2"/>
              <w:jc w:val="right"/>
              <w:cnfStyle w:val="000000100000" w:firstRow="0" w:lastRow="0" w:firstColumn="0" w:lastColumn="0" w:oddVBand="0" w:evenVBand="0" w:oddHBand="1" w:evenHBand="0" w:firstRowFirstColumn="0" w:firstRowLastColumn="0" w:lastRowFirstColumn="0" w:lastRowLastColumn="0"/>
            </w:pPr>
            <w:r>
              <w:t>4.29</w:t>
            </w:r>
          </w:p>
        </w:tc>
        <w:tc>
          <w:tcPr>
            <w:tcW w:w="0" w:type="auto"/>
          </w:tcPr>
          <w:p w14:paraId="5CE109EF" w14:textId="77777777" w:rsidR="00A561E0" w:rsidRDefault="00854BE4">
            <w:pPr>
              <w:pStyle w:val="DefaqtoTableBody2"/>
              <w:jc w:val="right"/>
              <w:cnfStyle w:val="000000100000" w:firstRow="0" w:lastRow="0" w:firstColumn="0" w:lastColumn="0" w:oddVBand="0" w:evenVBand="0" w:oddHBand="1" w:evenHBand="0" w:firstRowFirstColumn="0" w:firstRowLastColumn="0" w:lastRowFirstColumn="0" w:lastRowLastColumn="0"/>
            </w:pPr>
            <w:r>
              <w:t>10.07</w:t>
            </w:r>
          </w:p>
        </w:tc>
        <w:tc>
          <w:tcPr>
            <w:tcW w:w="0" w:type="auto"/>
          </w:tcPr>
          <w:p w14:paraId="4047071E" w14:textId="77777777" w:rsidR="00A561E0" w:rsidRDefault="00854BE4">
            <w:pPr>
              <w:pStyle w:val="DefaqtoTableBody2"/>
              <w:jc w:val="right"/>
              <w:cnfStyle w:val="000000100000" w:firstRow="0" w:lastRow="0" w:firstColumn="0" w:lastColumn="0" w:oddVBand="0" w:evenVBand="0" w:oddHBand="1" w:evenHBand="0" w:firstRowFirstColumn="0" w:firstRowLastColumn="0" w:lastRowFirstColumn="0" w:lastRowLastColumn="0"/>
            </w:pPr>
            <w:r>
              <w:t>11.21</w:t>
            </w:r>
          </w:p>
        </w:tc>
        <w:tc>
          <w:tcPr>
            <w:tcW w:w="0" w:type="auto"/>
          </w:tcPr>
          <w:p w14:paraId="7FE8D5F2" w14:textId="77777777" w:rsidR="00A561E0" w:rsidRDefault="00854BE4">
            <w:pPr>
              <w:pStyle w:val="DefaqtoTableBody2"/>
              <w:jc w:val="right"/>
              <w:cnfStyle w:val="000000100000" w:firstRow="0" w:lastRow="0" w:firstColumn="0" w:lastColumn="0" w:oddVBand="0" w:evenVBand="0" w:oddHBand="1" w:evenHBand="0" w:firstRowFirstColumn="0" w:firstRowLastColumn="0" w:lastRowFirstColumn="0" w:lastRowLastColumn="0"/>
            </w:pPr>
            <w:r>
              <w:t>30.34</w:t>
            </w:r>
          </w:p>
        </w:tc>
        <w:tc>
          <w:tcPr>
            <w:tcW w:w="0" w:type="auto"/>
          </w:tcPr>
          <w:p w14:paraId="2264B321" w14:textId="77777777" w:rsidR="00A561E0" w:rsidRDefault="00854BE4">
            <w:pPr>
              <w:pStyle w:val="DefaqtoTableBody2"/>
              <w:jc w:val="right"/>
              <w:cnfStyle w:val="000000100000" w:firstRow="0" w:lastRow="0" w:firstColumn="0" w:lastColumn="0" w:oddVBand="0" w:evenVBand="0" w:oddHBand="1" w:evenHBand="0" w:firstRowFirstColumn="0" w:firstRowLastColumn="0" w:lastRowFirstColumn="0" w:lastRowLastColumn="0"/>
            </w:pPr>
            <w:r>
              <w:t>31.28</w:t>
            </w:r>
          </w:p>
        </w:tc>
        <w:tc>
          <w:tcPr>
            <w:tcW w:w="0" w:type="auto"/>
          </w:tcPr>
          <w:p w14:paraId="0C38C98A" w14:textId="77777777" w:rsidR="00A561E0" w:rsidRDefault="00A561E0">
            <w:pPr>
              <w:pStyle w:val="DefaqtoTableBody2"/>
              <w:jc w:val="right"/>
              <w:cnfStyle w:val="000000100000" w:firstRow="0" w:lastRow="0" w:firstColumn="0" w:lastColumn="0" w:oddVBand="0" w:evenVBand="0" w:oddHBand="1" w:evenHBand="0" w:firstRowFirstColumn="0" w:firstRowLastColumn="0" w:lastRowFirstColumn="0" w:lastRowLastColumn="0"/>
            </w:pPr>
          </w:p>
        </w:tc>
      </w:tr>
    </w:tbl>
    <w:p w14:paraId="68294EE2" w14:textId="77777777" w:rsidR="00A561E0" w:rsidRDefault="00A561E0">
      <w:pPr>
        <w:pStyle w:val="DefaqtoBody"/>
        <w:rPr>
          <w:noProof/>
          <w:lang w:val="en-NZ"/>
        </w:rPr>
      </w:pPr>
    </w:p>
    <w:p w14:paraId="13C420AD" w14:textId="77777777" w:rsidR="00A561E0" w:rsidRDefault="00A561E0">
      <w:pPr>
        <w:pStyle w:val="DefaqtoBody"/>
        <w:rPr>
          <w:noProof/>
          <w:lang w:val="en-NZ"/>
        </w:rPr>
        <w:sectPr w:rsidR="00A561E0">
          <w:headerReference w:type="default" r:id="rId36"/>
          <w:footerReference w:type="default" r:id="rId37"/>
          <w:pgSz w:w="11906" w:h="16838"/>
          <w:pgMar w:top="709" w:right="640" w:bottom="376" w:left="640" w:header="200" w:footer="200" w:gutter="0"/>
          <w:cols w:space="708"/>
          <w:docGrid w:linePitch="360"/>
        </w:sectPr>
      </w:pPr>
    </w:p>
    <w:p w14:paraId="662647E4" w14:textId="77777777" w:rsidR="00A561E0" w:rsidRDefault="00854BE4">
      <w:pPr>
        <w:pStyle w:val="DefaqtoHeading3"/>
      </w:pPr>
      <w:bookmarkStart w:id="19" w:name="_Toc15"/>
      <w:bookmarkStart w:id="20" w:name="_Hlk137725032"/>
      <w:r>
        <w:t>Combined discrete investment performance graph</w:t>
      </w:r>
      <w:bookmarkEnd w:id="19"/>
    </w:p>
    <w:p w14:paraId="65A0D4C3" w14:textId="77777777" w:rsidR="00A561E0" w:rsidRDefault="00854BE4">
      <w:pPr>
        <w:pStyle w:val="DefaqtoBody"/>
      </w:pPr>
      <w:r>
        <w:rPr>
          <w:u w:color="000000"/>
        </w:rPr>
        <w:t>The chart shows the combined investments performance, calculated as NAV to NAV/Bid to Bid/Closing Price to Closing Price, with dividends/distributions reinvested, including the effect of ongoing costs and charges. These figures are calculated for calendar years and/or the period within the current year specified.</w:t>
      </w:r>
    </w:p>
    <w:p w14:paraId="660F1BFF" w14:textId="77777777" w:rsidR="00A561E0" w:rsidRDefault="00854BE4">
      <w:r>
        <w:rPr>
          <w:noProof/>
        </w:rPr>
        <w:drawing>
          <wp:inline distT="0" distB="0" distL="0" distR="0" wp14:anchorId="2AEC6DC2" wp14:editId="4B3B7C2D">
            <wp:extent cx="6731000" cy="4533900"/>
            <wp:effectExtent l="0" t="0" r="0" b="0"/>
            <wp:docPr id="21" name="Picture 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8" cstate="print"/>
                    <a:stretch>
                      <a:fillRect/>
                    </a:stretch>
                  </pic:blipFill>
                  <pic:spPr>
                    <a:xfrm>
                      <a:off x="0" y="0"/>
                      <a:ext cx="6731000" cy="4533900"/>
                    </a:xfrm>
                    <a:prstGeom prst="rect">
                      <a:avLst/>
                    </a:prstGeom>
                  </pic:spPr>
                </pic:pic>
              </a:graphicData>
            </a:graphic>
          </wp:inline>
        </w:drawing>
      </w:r>
    </w:p>
    <w:bookmarkEnd w:id="20"/>
    <w:p w14:paraId="6CB1F9B3" w14:textId="77777777" w:rsidR="00A561E0" w:rsidRDefault="00A561E0">
      <w:pPr>
        <w:pStyle w:val="DefaqtoBody"/>
        <w:rPr>
          <w:noProof/>
          <w:lang w:val="en-NZ"/>
        </w:rPr>
      </w:pPr>
    </w:p>
    <w:p w14:paraId="02C52FBB" w14:textId="77777777" w:rsidR="00A561E0" w:rsidRDefault="00854BE4">
      <w:pPr>
        <w:pStyle w:val="DefaqtoHeading3"/>
      </w:pPr>
      <w:bookmarkStart w:id="21" w:name="_Toc16"/>
      <w:r>
        <w:t>Combined discrete investment performance table</w:t>
      </w:r>
      <w:bookmarkEnd w:id="21"/>
    </w:p>
    <w:p w14:paraId="61C4DB65" w14:textId="77777777" w:rsidR="00A561E0" w:rsidRDefault="00A561E0">
      <w:pPr>
        <w:pStyle w:val="DefaqtoBody"/>
      </w:pPr>
    </w:p>
    <w:tbl>
      <w:tblPr>
        <w:tblStyle w:val="DefaqtoTable"/>
        <w:tblW w:w="5000" w:type="pct"/>
        <w:tblLook w:val="01E0" w:firstRow="1" w:lastRow="1" w:firstColumn="1" w:lastColumn="1" w:noHBand="0" w:noVBand="0"/>
      </w:tblPr>
      <w:tblGrid>
        <w:gridCol w:w="5307"/>
        <w:gridCol w:w="1061"/>
        <w:gridCol w:w="1062"/>
        <w:gridCol w:w="1062"/>
        <w:gridCol w:w="1062"/>
        <w:gridCol w:w="1062"/>
      </w:tblGrid>
      <w:tr w:rsidR="00A561E0" w14:paraId="731781B2" w14:textId="77777777" w:rsidTr="00A561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58218FF4" w14:textId="77777777" w:rsidR="00A561E0" w:rsidRDefault="00854BE4">
            <w:pPr>
              <w:pStyle w:val="DefaqtoTableBody2"/>
            </w:pPr>
            <w:r>
              <w:t>Fund</w:t>
            </w:r>
          </w:p>
        </w:tc>
        <w:tc>
          <w:tcPr>
            <w:tcW w:w="500" w:type="pct"/>
          </w:tcPr>
          <w:p w14:paraId="1A9C6174" w14:textId="77777777" w:rsidR="00A561E0" w:rsidRDefault="00854BE4">
            <w:pPr>
              <w:pStyle w:val="DefaqtoTableBody2"/>
              <w:cnfStyle w:val="100000000000" w:firstRow="1" w:lastRow="0" w:firstColumn="0" w:lastColumn="0" w:oddVBand="0" w:evenVBand="0" w:oddHBand="0" w:evenHBand="0" w:firstRowFirstColumn="0" w:firstRowLastColumn="0" w:lastRowFirstColumn="0" w:lastRowLastColumn="0"/>
            </w:pPr>
            <w:r>
              <w:t>2021</w:t>
            </w:r>
          </w:p>
        </w:tc>
        <w:tc>
          <w:tcPr>
            <w:tcW w:w="500" w:type="pct"/>
          </w:tcPr>
          <w:p w14:paraId="7C53627F" w14:textId="77777777" w:rsidR="00A561E0" w:rsidRDefault="00854BE4">
            <w:pPr>
              <w:pStyle w:val="DefaqtoTableBody2"/>
              <w:cnfStyle w:val="100000000000" w:firstRow="1" w:lastRow="0" w:firstColumn="0" w:lastColumn="0" w:oddVBand="0" w:evenVBand="0" w:oddHBand="0" w:evenHBand="0" w:firstRowFirstColumn="0" w:firstRowLastColumn="0" w:lastRowFirstColumn="0" w:lastRowLastColumn="0"/>
            </w:pPr>
            <w:r>
              <w:t>2022</w:t>
            </w:r>
          </w:p>
        </w:tc>
        <w:tc>
          <w:tcPr>
            <w:tcW w:w="500" w:type="pct"/>
          </w:tcPr>
          <w:p w14:paraId="25F6ADA8" w14:textId="77777777" w:rsidR="00A561E0" w:rsidRDefault="00854BE4">
            <w:pPr>
              <w:pStyle w:val="DefaqtoTableBody2"/>
              <w:cnfStyle w:val="100000000000" w:firstRow="1" w:lastRow="0" w:firstColumn="0" w:lastColumn="0" w:oddVBand="0" w:evenVBand="0" w:oddHBand="0" w:evenHBand="0" w:firstRowFirstColumn="0" w:firstRowLastColumn="0" w:lastRowFirstColumn="0" w:lastRowLastColumn="0"/>
            </w:pPr>
            <w:r>
              <w:t>2023</w:t>
            </w:r>
          </w:p>
        </w:tc>
        <w:tc>
          <w:tcPr>
            <w:tcW w:w="500" w:type="pct"/>
          </w:tcPr>
          <w:p w14:paraId="0370C1E7" w14:textId="77777777" w:rsidR="00A561E0" w:rsidRDefault="00854BE4">
            <w:pPr>
              <w:pStyle w:val="DefaqtoTableBody2"/>
              <w:cnfStyle w:val="100000000000" w:firstRow="1" w:lastRow="0" w:firstColumn="0" w:lastColumn="0" w:oddVBand="0" w:evenVBand="0" w:oddHBand="0" w:evenHBand="0" w:firstRowFirstColumn="0" w:firstRowLastColumn="0" w:lastRowFirstColumn="0" w:lastRowLastColumn="0"/>
            </w:pPr>
            <w:r>
              <w:t>2024</w:t>
            </w:r>
          </w:p>
        </w:tc>
        <w:tc>
          <w:tcPr>
            <w:tcW w:w="500" w:type="pct"/>
          </w:tcPr>
          <w:p w14:paraId="17CB736B" w14:textId="77777777" w:rsidR="00A561E0" w:rsidRDefault="00854BE4">
            <w:pPr>
              <w:pStyle w:val="DefaqtoTableBody2"/>
              <w:cnfStyle w:val="100000000000" w:firstRow="1" w:lastRow="0" w:firstColumn="0" w:lastColumn="0" w:oddVBand="0" w:evenVBand="0" w:oddHBand="0" w:evenHBand="0" w:firstRowFirstColumn="0" w:firstRowLastColumn="0" w:lastRowFirstColumn="0" w:lastRowLastColumn="0"/>
            </w:pPr>
            <w:r>
              <w:t>YTD</w:t>
            </w:r>
          </w:p>
        </w:tc>
      </w:tr>
      <w:tr w:rsidR="00A561E0" w14:paraId="068D8E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7D781D9" w14:textId="77777777" w:rsidR="00A561E0" w:rsidRDefault="00854BE4">
            <w:pPr>
              <w:pStyle w:val="DefaqtoTableBody2"/>
            </w:pPr>
            <w:r>
              <w:t>Combined Discrete Performance (GBP)</w:t>
            </w:r>
          </w:p>
        </w:tc>
        <w:tc>
          <w:tcPr>
            <w:tcW w:w="0" w:type="auto"/>
          </w:tcPr>
          <w:p w14:paraId="519D4928"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7.1</w:t>
            </w:r>
          </w:p>
        </w:tc>
        <w:tc>
          <w:tcPr>
            <w:tcW w:w="0" w:type="auto"/>
          </w:tcPr>
          <w:p w14:paraId="1A0C6FE1"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-11.32</w:t>
            </w:r>
          </w:p>
        </w:tc>
        <w:tc>
          <w:tcPr>
            <w:tcW w:w="0" w:type="auto"/>
          </w:tcPr>
          <w:p w14:paraId="6A2CD73D"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9.06</w:t>
            </w:r>
          </w:p>
        </w:tc>
        <w:tc>
          <w:tcPr>
            <w:tcW w:w="0" w:type="auto"/>
          </w:tcPr>
          <w:p w14:paraId="554A2A75"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8.34</w:t>
            </w:r>
          </w:p>
        </w:tc>
        <w:tc>
          <w:tcPr>
            <w:tcW w:w="0" w:type="auto"/>
          </w:tcPr>
          <w:p w14:paraId="194BA88B"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8.78</w:t>
            </w:r>
          </w:p>
        </w:tc>
      </w:tr>
    </w:tbl>
    <w:p w14:paraId="7F9CB7D7" w14:textId="77777777" w:rsidR="00A561E0" w:rsidRDefault="00A561E0">
      <w:pPr>
        <w:pStyle w:val="DefaqtoBody"/>
        <w:rPr>
          <w:noProof/>
          <w:lang w:val="en-NZ"/>
        </w:rPr>
      </w:pPr>
    </w:p>
    <w:p w14:paraId="3A45BCAD" w14:textId="77777777" w:rsidR="00A561E0" w:rsidRDefault="00854BE4">
      <w:pPr>
        <w:pStyle w:val="DefaqtoHeading3"/>
      </w:pPr>
      <w:bookmarkStart w:id="22" w:name="_Toc17"/>
      <w:r>
        <w:t>Individual discrete investment performance table</w:t>
      </w:r>
      <w:bookmarkEnd w:id="22"/>
    </w:p>
    <w:p w14:paraId="2063FF35" w14:textId="77777777" w:rsidR="00A561E0" w:rsidRDefault="00854BE4">
      <w:pPr>
        <w:pStyle w:val="DefaqtoBody"/>
      </w:pPr>
      <w:r>
        <w:rPr>
          <w:u w:color="000000"/>
        </w:rPr>
        <w:t>The table shows an investments performance, calculated as NAV to NAV/Bid to Bid/Closing Price to Closing Price, with dividends / distributions reinvested, including the effect of ongoing costs and charges. These figures are calculated for calendar years and / or the period within the current year specified.</w:t>
      </w:r>
    </w:p>
    <w:tbl>
      <w:tblPr>
        <w:tblStyle w:val="DefaqtoTable"/>
        <w:tblW w:w="5000" w:type="pct"/>
        <w:tblLook w:val="01E0" w:firstRow="1" w:lastRow="1" w:firstColumn="1" w:lastColumn="1" w:noHBand="0" w:noVBand="0"/>
      </w:tblPr>
      <w:tblGrid>
        <w:gridCol w:w="5307"/>
        <w:gridCol w:w="1061"/>
        <w:gridCol w:w="1062"/>
        <w:gridCol w:w="1062"/>
        <w:gridCol w:w="1062"/>
        <w:gridCol w:w="1062"/>
      </w:tblGrid>
      <w:tr w:rsidR="00A561E0" w14:paraId="1E44CFBB" w14:textId="77777777" w:rsidTr="00A561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37425D3C" w14:textId="77777777" w:rsidR="00A561E0" w:rsidRDefault="00854BE4">
            <w:pPr>
              <w:pStyle w:val="DefaqtoTableBody2"/>
            </w:pPr>
            <w:r>
              <w:t>Fund</w:t>
            </w:r>
          </w:p>
        </w:tc>
        <w:tc>
          <w:tcPr>
            <w:tcW w:w="500" w:type="pct"/>
          </w:tcPr>
          <w:p w14:paraId="07FF9D7E" w14:textId="77777777" w:rsidR="00A561E0" w:rsidRDefault="00854BE4">
            <w:pPr>
              <w:pStyle w:val="DefaqtoTableBody2"/>
              <w:cnfStyle w:val="100000000000" w:firstRow="1" w:lastRow="0" w:firstColumn="0" w:lastColumn="0" w:oddVBand="0" w:evenVBand="0" w:oddHBand="0" w:evenHBand="0" w:firstRowFirstColumn="0" w:firstRowLastColumn="0" w:lastRowFirstColumn="0" w:lastRowLastColumn="0"/>
            </w:pPr>
            <w:r>
              <w:t>2021</w:t>
            </w:r>
          </w:p>
        </w:tc>
        <w:tc>
          <w:tcPr>
            <w:tcW w:w="500" w:type="pct"/>
          </w:tcPr>
          <w:p w14:paraId="7449A451" w14:textId="77777777" w:rsidR="00A561E0" w:rsidRDefault="00854BE4">
            <w:pPr>
              <w:pStyle w:val="DefaqtoTableBody2"/>
              <w:cnfStyle w:val="100000000000" w:firstRow="1" w:lastRow="0" w:firstColumn="0" w:lastColumn="0" w:oddVBand="0" w:evenVBand="0" w:oddHBand="0" w:evenHBand="0" w:firstRowFirstColumn="0" w:firstRowLastColumn="0" w:lastRowFirstColumn="0" w:lastRowLastColumn="0"/>
            </w:pPr>
            <w:r>
              <w:t>2022</w:t>
            </w:r>
          </w:p>
        </w:tc>
        <w:tc>
          <w:tcPr>
            <w:tcW w:w="500" w:type="pct"/>
          </w:tcPr>
          <w:p w14:paraId="4831A472" w14:textId="77777777" w:rsidR="00A561E0" w:rsidRDefault="00854BE4">
            <w:pPr>
              <w:pStyle w:val="DefaqtoTableBody2"/>
              <w:cnfStyle w:val="100000000000" w:firstRow="1" w:lastRow="0" w:firstColumn="0" w:lastColumn="0" w:oddVBand="0" w:evenVBand="0" w:oddHBand="0" w:evenHBand="0" w:firstRowFirstColumn="0" w:firstRowLastColumn="0" w:lastRowFirstColumn="0" w:lastRowLastColumn="0"/>
            </w:pPr>
            <w:r>
              <w:t>2023</w:t>
            </w:r>
          </w:p>
        </w:tc>
        <w:tc>
          <w:tcPr>
            <w:tcW w:w="500" w:type="pct"/>
          </w:tcPr>
          <w:p w14:paraId="337E8E58" w14:textId="77777777" w:rsidR="00A561E0" w:rsidRDefault="00854BE4">
            <w:pPr>
              <w:pStyle w:val="DefaqtoTableBody2"/>
              <w:cnfStyle w:val="100000000000" w:firstRow="1" w:lastRow="0" w:firstColumn="0" w:lastColumn="0" w:oddVBand="0" w:evenVBand="0" w:oddHBand="0" w:evenHBand="0" w:firstRowFirstColumn="0" w:firstRowLastColumn="0" w:lastRowFirstColumn="0" w:lastRowLastColumn="0"/>
            </w:pPr>
            <w:r>
              <w:t>2024</w:t>
            </w:r>
          </w:p>
        </w:tc>
        <w:tc>
          <w:tcPr>
            <w:tcW w:w="500" w:type="pct"/>
          </w:tcPr>
          <w:p w14:paraId="19279326" w14:textId="77777777" w:rsidR="00A561E0" w:rsidRDefault="00854BE4">
            <w:pPr>
              <w:pStyle w:val="DefaqtoTableBody2"/>
              <w:cnfStyle w:val="100000000000" w:firstRow="1" w:lastRow="0" w:firstColumn="0" w:lastColumn="0" w:oddVBand="0" w:evenVBand="0" w:oddHBand="0" w:evenHBand="0" w:firstRowFirstColumn="0" w:firstRowLastColumn="0" w:lastRowFirstColumn="0" w:lastRowLastColumn="0"/>
            </w:pPr>
            <w:r>
              <w:t>YTD</w:t>
            </w:r>
          </w:p>
        </w:tc>
      </w:tr>
      <w:tr w:rsidR="00A561E0" w14:paraId="397039C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E1F1E1" w14:textId="77777777" w:rsidR="00A561E0" w:rsidRDefault="00854BE4">
            <w:pPr>
              <w:pStyle w:val="DefaqtoTableBody2"/>
            </w:pPr>
            <w:r>
              <w:t>CT Universal MAP Cautious Fund C Acc</w:t>
            </w:r>
          </w:p>
        </w:tc>
        <w:tc>
          <w:tcPr>
            <w:tcW w:w="0" w:type="auto"/>
          </w:tcPr>
          <w:p w14:paraId="07092061"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7.1</w:t>
            </w:r>
          </w:p>
        </w:tc>
        <w:tc>
          <w:tcPr>
            <w:tcW w:w="0" w:type="auto"/>
          </w:tcPr>
          <w:p w14:paraId="042BE256"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-11.32</w:t>
            </w:r>
          </w:p>
        </w:tc>
        <w:tc>
          <w:tcPr>
            <w:tcW w:w="0" w:type="auto"/>
          </w:tcPr>
          <w:p w14:paraId="2296C074"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9.06</w:t>
            </w:r>
          </w:p>
        </w:tc>
        <w:tc>
          <w:tcPr>
            <w:tcW w:w="0" w:type="auto"/>
          </w:tcPr>
          <w:p w14:paraId="0C61F95C"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8.34</w:t>
            </w:r>
          </w:p>
        </w:tc>
        <w:tc>
          <w:tcPr>
            <w:tcW w:w="0" w:type="auto"/>
          </w:tcPr>
          <w:p w14:paraId="25A80262"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8.78</w:t>
            </w:r>
          </w:p>
        </w:tc>
      </w:tr>
    </w:tbl>
    <w:p w14:paraId="21654868" w14:textId="77777777" w:rsidR="00A561E0" w:rsidRDefault="00A561E0">
      <w:pPr>
        <w:pStyle w:val="DefaqtoBody"/>
        <w:rPr>
          <w:noProof/>
          <w:lang w:val="en-NZ"/>
        </w:rPr>
      </w:pPr>
    </w:p>
    <w:p w14:paraId="459791B3" w14:textId="77777777" w:rsidR="00A561E0" w:rsidRDefault="00A561E0">
      <w:pPr>
        <w:rPr>
          <w:noProof/>
        </w:rPr>
        <w:sectPr w:rsidR="00A561E0">
          <w:headerReference w:type="default" r:id="rId39"/>
          <w:footerReference w:type="default" r:id="rId40"/>
          <w:pgSz w:w="11906" w:h="16838"/>
          <w:pgMar w:top="709" w:right="640" w:bottom="376" w:left="640" w:header="200" w:footer="200" w:gutter="0"/>
          <w:cols w:space="708"/>
          <w:docGrid w:linePitch="360"/>
        </w:sectPr>
      </w:pPr>
    </w:p>
    <w:p w14:paraId="62BD6AA6" w14:textId="77777777" w:rsidR="00A561E0" w:rsidRDefault="00854BE4">
      <w:pPr>
        <w:pStyle w:val="DefaqtoHeading3"/>
      </w:pPr>
      <w:bookmarkStart w:id="23" w:name="_Toc18"/>
      <w:r>
        <w:t>Combined top ten holdings</w:t>
      </w:r>
      <w:bookmarkEnd w:id="23"/>
    </w:p>
    <w:p w14:paraId="17B14E5B" w14:textId="77777777" w:rsidR="00A561E0" w:rsidRDefault="00854BE4">
      <w:pPr>
        <w:pStyle w:val="DefaqtoBody"/>
        <w:rPr>
          <w:noProof/>
          <w:lang w:val="en-NZ"/>
        </w:rPr>
      </w:pPr>
      <w:r>
        <w:rPr>
          <w:rFonts w:eastAsia="Poppins" w:cs="Poppins"/>
        </w:rPr>
        <w:t>The table shows the combined investments top ten holdings for the portfolio.</w:t>
      </w:r>
      <w:r>
        <w:br/>
      </w:r>
    </w:p>
    <w:tbl>
      <w:tblPr>
        <w:tblStyle w:val="DefaqtoTable"/>
        <w:tblW w:w="5000" w:type="pct"/>
        <w:tblCellSpacing w:w="-20" w:type="dxa"/>
        <w:tblCellMar>
          <w:top w:w="15" w:type="dxa"/>
          <w:left w:w="15" w:type="dxa"/>
          <w:bottom w:w="15" w:type="dxa"/>
          <w:right w:w="15" w:type="dxa"/>
        </w:tblCellMar>
        <w:tblLook w:val="04A0" w:firstRow="1" w:lastRow="0" w:firstColumn="1" w:lastColumn="0" w:noHBand="0" w:noVBand="1"/>
      </w:tblPr>
      <w:tblGrid>
        <w:gridCol w:w="8755"/>
        <w:gridCol w:w="1861"/>
      </w:tblGrid>
      <w:tr w:rsidR="00A561E0" w14:paraId="338F7199" w14:textId="77777777" w:rsidTr="00A561E0">
        <w:trPr>
          <w:cnfStyle w:val="100000000000" w:firstRow="1" w:lastRow="0" w:firstColumn="0" w:lastColumn="0" w:oddVBand="0" w:evenVBand="0" w:oddHBand="0" w:evenHBand="0"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0817A9B1" w14:textId="77777777" w:rsidR="00A561E0" w:rsidRDefault="00854BE4">
            <w:pPr>
              <w:spacing w:before="60" w:after="20"/>
            </w:pPr>
            <w:r>
              <w:rPr>
                <w:rFonts w:ascii="Poppins" w:eastAsia="Poppins" w:hAnsi="Poppins" w:cs="Poppins"/>
                <w:sz w:val="16"/>
                <w:szCs w:val="16"/>
              </w:rPr>
              <w:t>Name</w:t>
            </w:r>
          </w:p>
        </w:tc>
        <w:tc>
          <w:tcPr>
            <w:tcW w:w="0" w:type="auto"/>
            <w:tcMar>
              <w:left w:w="110" w:type="dxa"/>
              <w:right w:w="110" w:type="dxa"/>
            </w:tcMar>
          </w:tcPr>
          <w:p w14:paraId="0ED59A5C" w14:textId="77777777" w:rsidR="00A561E0" w:rsidRDefault="00854BE4">
            <w:pPr>
              <w:spacing w:before="60" w:after="20"/>
              <w:jc w:val="right"/>
              <w:cnfStyle w:val="100000000000" w:firstRow="1" w:lastRow="0" w:firstColumn="0" w:lastColumn="0" w:oddVBand="0" w:evenVBand="0" w:oddHBand="0" w:evenHBand="0" w:firstRowFirstColumn="0" w:firstRowLastColumn="0" w:lastRowFirstColumn="0" w:lastRowLastColumn="0"/>
            </w:pPr>
            <w:r>
              <w:rPr>
                <w:rFonts w:ascii="Poppins" w:eastAsia="Poppins" w:hAnsi="Poppins" w:cs="Poppins"/>
                <w:sz w:val="16"/>
                <w:szCs w:val="16"/>
              </w:rPr>
              <w:t>Portfolio %</w:t>
            </w:r>
          </w:p>
        </w:tc>
      </w:tr>
      <w:tr w:rsidR="00A561E0" w14:paraId="0CEB5D65" w14:textId="77777777" w:rsidTr="00A561E0">
        <w:trPr>
          <w:cnfStyle w:val="000000100000" w:firstRow="0" w:lastRow="0" w:firstColumn="0" w:lastColumn="0" w:oddVBand="0" w:evenVBand="0" w:oddHBand="1" w:evenHBand="0"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2105BA93" w14:textId="77777777" w:rsidR="00A561E0" w:rsidRDefault="00854BE4">
            <w:pPr>
              <w:spacing w:before="60" w:after="20"/>
            </w:pPr>
            <w:r>
              <w:rPr>
                <w:rFonts w:ascii="Poppins" w:eastAsia="Poppins" w:hAnsi="Poppins" w:cs="Poppins"/>
                <w:sz w:val="16"/>
                <w:szCs w:val="16"/>
              </w:rPr>
              <w:t>NVIDIA Corp</w:t>
            </w:r>
          </w:p>
        </w:tc>
        <w:tc>
          <w:tcPr>
            <w:tcW w:w="0" w:type="auto"/>
            <w:tcMar>
              <w:left w:w="110" w:type="dxa"/>
              <w:right w:w="110" w:type="dxa"/>
            </w:tcMar>
          </w:tcPr>
          <w:p w14:paraId="73D35185" w14:textId="77777777" w:rsidR="00A561E0" w:rsidRDefault="00854BE4">
            <w:pPr>
              <w:spacing w:before="60" w:after="20"/>
              <w:jc w:val="right"/>
              <w:cnfStyle w:val="000000100000" w:firstRow="0" w:lastRow="0" w:firstColumn="0" w:lastColumn="0" w:oddVBand="0" w:evenVBand="0" w:oddHBand="1" w:evenHBand="0" w:firstRowFirstColumn="0" w:firstRowLastColumn="0" w:lastRowFirstColumn="0" w:lastRowLastColumn="0"/>
            </w:pPr>
            <w:r>
              <w:rPr>
                <w:rFonts w:ascii="Poppins" w:eastAsia="Poppins" w:hAnsi="Poppins" w:cs="Poppins"/>
                <w:sz w:val="16"/>
                <w:szCs w:val="16"/>
              </w:rPr>
              <w:t>2.08</w:t>
            </w:r>
          </w:p>
        </w:tc>
      </w:tr>
      <w:tr w:rsidR="00A561E0" w14:paraId="7358C244" w14:textId="77777777" w:rsidTr="00A561E0">
        <w:trPr>
          <w:cnfStyle w:val="000000010000" w:firstRow="0" w:lastRow="0" w:firstColumn="0" w:lastColumn="0" w:oddVBand="0" w:evenVBand="0" w:oddHBand="0" w:evenHBand="1"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3C6AABC1" w14:textId="77777777" w:rsidR="00A561E0" w:rsidRDefault="00854BE4">
            <w:pPr>
              <w:spacing w:before="60" w:after="20"/>
            </w:pPr>
            <w:r>
              <w:rPr>
                <w:rFonts w:ascii="Poppins" w:eastAsia="Poppins" w:hAnsi="Poppins" w:cs="Poppins"/>
                <w:sz w:val="16"/>
                <w:szCs w:val="16"/>
              </w:rPr>
              <w:t>CT Sterling Corporate Bond Ins X GrsAcc</w:t>
            </w:r>
          </w:p>
        </w:tc>
        <w:tc>
          <w:tcPr>
            <w:tcW w:w="0" w:type="auto"/>
            <w:tcMar>
              <w:left w:w="110" w:type="dxa"/>
              <w:right w:w="110" w:type="dxa"/>
            </w:tcMar>
          </w:tcPr>
          <w:p w14:paraId="634BF090" w14:textId="77777777" w:rsidR="00A561E0" w:rsidRDefault="00854BE4">
            <w:pPr>
              <w:spacing w:before="60" w:after="20"/>
              <w:jc w:val="right"/>
              <w:cnfStyle w:val="000000010000" w:firstRow="0" w:lastRow="0" w:firstColumn="0" w:lastColumn="0" w:oddVBand="0" w:evenVBand="0" w:oddHBand="0" w:evenHBand="1" w:firstRowFirstColumn="0" w:firstRowLastColumn="0" w:lastRowFirstColumn="0" w:lastRowLastColumn="0"/>
            </w:pPr>
            <w:r>
              <w:rPr>
                <w:rFonts w:ascii="Poppins" w:eastAsia="Poppins" w:hAnsi="Poppins" w:cs="Poppins"/>
                <w:sz w:val="16"/>
                <w:szCs w:val="16"/>
              </w:rPr>
              <w:t>1.97</w:t>
            </w:r>
          </w:p>
        </w:tc>
      </w:tr>
      <w:tr w:rsidR="00A561E0" w14:paraId="364ACC19" w14:textId="77777777" w:rsidTr="00A561E0">
        <w:trPr>
          <w:cnfStyle w:val="000000100000" w:firstRow="0" w:lastRow="0" w:firstColumn="0" w:lastColumn="0" w:oddVBand="0" w:evenVBand="0" w:oddHBand="1" w:evenHBand="0"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2F219182" w14:textId="77777777" w:rsidR="00A561E0" w:rsidRDefault="00854BE4">
            <w:pPr>
              <w:spacing w:before="60" w:after="20"/>
            </w:pPr>
            <w:r>
              <w:rPr>
                <w:rFonts w:ascii="Poppins" w:eastAsia="Poppins" w:hAnsi="Poppins" w:cs="Poppins"/>
                <w:sz w:val="16"/>
                <w:szCs w:val="16"/>
              </w:rPr>
              <w:t>Apple Inc</w:t>
            </w:r>
          </w:p>
        </w:tc>
        <w:tc>
          <w:tcPr>
            <w:tcW w:w="0" w:type="auto"/>
            <w:tcMar>
              <w:left w:w="110" w:type="dxa"/>
              <w:right w:w="110" w:type="dxa"/>
            </w:tcMar>
          </w:tcPr>
          <w:p w14:paraId="35D7E3CC" w14:textId="77777777" w:rsidR="00A561E0" w:rsidRDefault="00854BE4">
            <w:pPr>
              <w:spacing w:before="60" w:after="20"/>
              <w:jc w:val="right"/>
              <w:cnfStyle w:val="000000100000" w:firstRow="0" w:lastRow="0" w:firstColumn="0" w:lastColumn="0" w:oddVBand="0" w:evenVBand="0" w:oddHBand="1" w:evenHBand="0" w:firstRowFirstColumn="0" w:firstRowLastColumn="0" w:lastRowFirstColumn="0" w:lastRowLastColumn="0"/>
            </w:pPr>
            <w:r>
              <w:rPr>
                <w:rFonts w:ascii="Poppins" w:eastAsia="Poppins" w:hAnsi="Poppins" w:cs="Poppins"/>
                <w:sz w:val="16"/>
                <w:szCs w:val="16"/>
              </w:rPr>
              <w:t>1.58</w:t>
            </w:r>
          </w:p>
        </w:tc>
      </w:tr>
      <w:tr w:rsidR="00A561E0" w14:paraId="6B4EF480" w14:textId="77777777" w:rsidTr="00A561E0">
        <w:trPr>
          <w:cnfStyle w:val="000000010000" w:firstRow="0" w:lastRow="0" w:firstColumn="0" w:lastColumn="0" w:oddVBand="0" w:evenVBand="0" w:oddHBand="0" w:evenHBand="1"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6E849D64" w14:textId="77777777" w:rsidR="00A561E0" w:rsidRDefault="00854BE4">
            <w:pPr>
              <w:spacing w:before="60" w:after="20"/>
            </w:pPr>
            <w:r>
              <w:rPr>
                <w:rFonts w:ascii="Poppins" w:eastAsia="Poppins" w:hAnsi="Poppins" w:cs="Poppins"/>
                <w:sz w:val="16"/>
                <w:szCs w:val="16"/>
              </w:rPr>
              <w:t>United Kingdom of Great Britain and Northern Ireland</w:t>
            </w:r>
          </w:p>
        </w:tc>
        <w:tc>
          <w:tcPr>
            <w:tcW w:w="0" w:type="auto"/>
            <w:tcMar>
              <w:left w:w="110" w:type="dxa"/>
              <w:right w:w="110" w:type="dxa"/>
            </w:tcMar>
          </w:tcPr>
          <w:p w14:paraId="7096FC03" w14:textId="77777777" w:rsidR="00A561E0" w:rsidRDefault="00854BE4">
            <w:pPr>
              <w:spacing w:before="60" w:after="20"/>
              <w:jc w:val="right"/>
              <w:cnfStyle w:val="000000010000" w:firstRow="0" w:lastRow="0" w:firstColumn="0" w:lastColumn="0" w:oddVBand="0" w:evenVBand="0" w:oddHBand="0" w:evenHBand="1" w:firstRowFirstColumn="0" w:firstRowLastColumn="0" w:lastRowFirstColumn="0" w:lastRowLastColumn="0"/>
            </w:pPr>
            <w:r>
              <w:rPr>
                <w:rFonts w:ascii="Poppins" w:eastAsia="Poppins" w:hAnsi="Poppins" w:cs="Poppins"/>
                <w:sz w:val="16"/>
                <w:szCs w:val="16"/>
              </w:rPr>
              <w:t>1.02</w:t>
            </w:r>
          </w:p>
        </w:tc>
      </w:tr>
      <w:tr w:rsidR="00A561E0" w14:paraId="2857FCA1" w14:textId="77777777" w:rsidTr="00A561E0">
        <w:trPr>
          <w:cnfStyle w:val="000000100000" w:firstRow="0" w:lastRow="0" w:firstColumn="0" w:lastColumn="0" w:oddVBand="0" w:evenVBand="0" w:oddHBand="1" w:evenHBand="0"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4F06C49D" w14:textId="77777777" w:rsidR="00A561E0" w:rsidRDefault="00854BE4">
            <w:pPr>
              <w:spacing w:before="60" w:after="20"/>
            </w:pPr>
            <w:r>
              <w:rPr>
                <w:rFonts w:ascii="Poppins" w:eastAsia="Poppins" w:hAnsi="Poppins" w:cs="Poppins"/>
                <w:sz w:val="16"/>
                <w:szCs w:val="16"/>
              </w:rPr>
              <w:t>Microsoft Corp</w:t>
            </w:r>
          </w:p>
        </w:tc>
        <w:tc>
          <w:tcPr>
            <w:tcW w:w="0" w:type="auto"/>
            <w:tcMar>
              <w:left w:w="110" w:type="dxa"/>
              <w:right w:w="110" w:type="dxa"/>
            </w:tcMar>
          </w:tcPr>
          <w:p w14:paraId="51B1AD73" w14:textId="77777777" w:rsidR="00A561E0" w:rsidRDefault="00854BE4">
            <w:pPr>
              <w:spacing w:before="60" w:after="20"/>
              <w:jc w:val="right"/>
              <w:cnfStyle w:val="000000100000" w:firstRow="0" w:lastRow="0" w:firstColumn="0" w:lastColumn="0" w:oddVBand="0" w:evenVBand="0" w:oddHBand="1" w:evenHBand="0" w:firstRowFirstColumn="0" w:firstRowLastColumn="0" w:lastRowFirstColumn="0" w:lastRowLastColumn="0"/>
            </w:pPr>
            <w:r>
              <w:rPr>
                <w:rFonts w:ascii="Poppins" w:eastAsia="Poppins" w:hAnsi="Poppins" w:cs="Poppins"/>
                <w:sz w:val="16"/>
                <w:szCs w:val="16"/>
              </w:rPr>
              <w:t>1.01</w:t>
            </w:r>
          </w:p>
        </w:tc>
      </w:tr>
      <w:tr w:rsidR="00A561E0" w14:paraId="4F48EA9A" w14:textId="77777777" w:rsidTr="00A561E0">
        <w:trPr>
          <w:cnfStyle w:val="000000010000" w:firstRow="0" w:lastRow="0" w:firstColumn="0" w:lastColumn="0" w:oddVBand="0" w:evenVBand="0" w:oddHBand="0" w:evenHBand="1"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52837CE3" w14:textId="77777777" w:rsidR="00A561E0" w:rsidRDefault="00854BE4">
            <w:pPr>
              <w:spacing w:before="60" w:after="20"/>
            </w:pPr>
            <w:r>
              <w:rPr>
                <w:rFonts w:ascii="Poppins" w:eastAsia="Poppins" w:hAnsi="Poppins" w:cs="Poppins"/>
                <w:sz w:val="16"/>
                <w:szCs w:val="16"/>
              </w:rPr>
              <w:t>Amazon.com Inc</w:t>
            </w:r>
          </w:p>
        </w:tc>
        <w:tc>
          <w:tcPr>
            <w:tcW w:w="0" w:type="auto"/>
            <w:tcMar>
              <w:left w:w="110" w:type="dxa"/>
              <w:right w:w="110" w:type="dxa"/>
            </w:tcMar>
          </w:tcPr>
          <w:p w14:paraId="195AE67C" w14:textId="77777777" w:rsidR="00A561E0" w:rsidRDefault="00854BE4">
            <w:pPr>
              <w:spacing w:before="60" w:after="20"/>
              <w:jc w:val="right"/>
              <w:cnfStyle w:val="000000010000" w:firstRow="0" w:lastRow="0" w:firstColumn="0" w:lastColumn="0" w:oddVBand="0" w:evenVBand="0" w:oddHBand="0" w:evenHBand="1" w:firstRowFirstColumn="0" w:firstRowLastColumn="0" w:lastRowFirstColumn="0" w:lastRowLastColumn="0"/>
            </w:pPr>
            <w:r>
              <w:rPr>
                <w:rFonts w:ascii="Poppins" w:eastAsia="Poppins" w:hAnsi="Poppins" w:cs="Poppins"/>
                <w:sz w:val="16"/>
                <w:szCs w:val="16"/>
              </w:rPr>
              <w:t>0.99</w:t>
            </w:r>
          </w:p>
        </w:tc>
      </w:tr>
      <w:tr w:rsidR="00A561E0" w14:paraId="5688128F" w14:textId="77777777" w:rsidTr="00A561E0">
        <w:trPr>
          <w:cnfStyle w:val="000000100000" w:firstRow="0" w:lastRow="0" w:firstColumn="0" w:lastColumn="0" w:oddVBand="0" w:evenVBand="0" w:oddHBand="1" w:evenHBand="0"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3B5D01B1" w14:textId="77777777" w:rsidR="00A561E0" w:rsidRDefault="00854BE4">
            <w:pPr>
              <w:spacing w:before="60" w:after="20"/>
            </w:pPr>
            <w:r>
              <w:rPr>
                <w:rFonts w:ascii="Poppins" w:eastAsia="Poppins" w:hAnsi="Poppins" w:cs="Poppins"/>
                <w:sz w:val="16"/>
                <w:szCs w:val="16"/>
              </w:rPr>
              <w:t>United States Treasury Notes</w:t>
            </w:r>
          </w:p>
        </w:tc>
        <w:tc>
          <w:tcPr>
            <w:tcW w:w="0" w:type="auto"/>
            <w:tcMar>
              <w:left w:w="110" w:type="dxa"/>
              <w:right w:w="110" w:type="dxa"/>
            </w:tcMar>
          </w:tcPr>
          <w:p w14:paraId="7A16C4C7" w14:textId="77777777" w:rsidR="00A561E0" w:rsidRDefault="00854BE4">
            <w:pPr>
              <w:spacing w:before="60" w:after="20"/>
              <w:jc w:val="right"/>
              <w:cnfStyle w:val="000000100000" w:firstRow="0" w:lastRow="0" w:firstColumn="0" w:lastColumn="0" w:oddVBand="0" w:evenVBand="0" w:oddHBand="1" w:evenHBand="0" w:firstRowFirstColumn="0" w:firstRowLastColumn="0" w:lastRowFirstColumn="0" w:lastRowLastColumn="0"/>
            </w:pPr>
            <w:r>
              <w:rPr>
                <w:rFonts w:ascii="Poppins" w:eastAsia="Poppins" w:hAnsi="Poppins" w:cs="Poppins"/>
                <w:sz w:val="16"/>
                <w:szCs w:val="16"/>
              </w:rPr>
              <w:t>0.93</w:t>
            </w:r>
          </w:p>
        </w:tc>
      </w:tr>
      <w:tr w:rsidR="00A561E0" w14:paraId="2D9404BA" w14:textId="77777777" w:rsidTr="00A561E0">
        <w:trPr>
          <w:cnfStyle w:val="000000010000" w:firstRow="0" w:lastRow="0" w:firstColumn="0" w:lastColumn="0" w:oddVBand="0" w:evenVBand="0" w:oddHBand="0" w:evenHBand="1"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3D3CD2FD" w14:textId="77777777" w:rsidR="00A561E0" w:rsidRDefault="00854BE4">
            <w:pPr>
              <w:spacing w:before="60" w:after="20"/>
            </w:pPr>
            <w:r>
              <w:rPr>
                <w:rFonts w:ascii="Poppins" w:eastAsia="Poppins" w:hAnsi="Poppins" w:cs="Poppins"/>
                <w:sz w:val="16"/>
                <w:szCs w:val="16"/>
              </w:rPr>
              <w:t>United Kingdom of Great Britain and Northern Ireland</w:t>
            </w:r>
          </w:p>
        </w:tc>
        <w:tc>
          <w:tcPr>
            <w:tcW w:w="0" w:type="auto"/>
            <w:tcMar>
              <w:left w:w="110" w:type="dxa"/>
              <w:right w:w="110" w:type="dxa"/>
            </w:tcMar>
          </w:tcPr>
          <w:p w14:paraId="617701FC" w14:textId="77777777" w:rsidR="00A561E0" w:rsidRDefault="00854BE4">
            <w:pPr>
              <w:spacing w:before="60" w:after="20"/>
              <w:jc w:val="right"/>
              <w:cnfStyle w:val="000000010000" w:firstRow="0" w:lastRow="0" w:firstColumn="0" w:lastColumn="0" w:oddVBand="0" w:evenVBand="0" w:oddHBand="0" w:evenHBand="1" w:firstRowFirstColumn="0" w:firstRowLastColumn="0" w:lastRowFirstColumn="0" w:lastRowLastColumn="0"/>
            </w:pPr>
            <w:r>
              <w:rPr>
                <w:rFonts w:ascii="Poppins" w:eastAsia="Poppins" w:hAnsi="Poppins" w:cs="Poppins"/>
                <w:sz w:val="16"/>
                <w:szCs w:val="16"/>
              </w:rPr>
              <w:t>0.92</w:t>
            </w:r>
          </w:p>
        </w:tc>
      </w:tr>
      <w:tr w:rsidR="00A561E0" w14:paraId="206AB385" w14:textId="77777777" w:rsidTr="00A561E0">
        <w:trPr>
          <w:cnfStyle w:val="000000100000" w:firstRow="0" w:lastRow="0" w:firstColumn="0" w:lastColumn="0" w:oddVBand="0" w:evenVBand="0" w:oddHBand="1" w:evenHBand="0"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228627CB" w14:textId="77777777" w:rsidR="00A561E0" w:rsidRDefault="00854BE4">
            <w:pPr>
              <w:spacing w:before="60" w:after="20"/>
            </w:pPr>
            <w:r>
              <w:rPr>
                <w:rFonts w:ascii="Poppins" w:eastAsia="Poppins" w:hAnsi="Poppins" w:cs="Poppins"/>
                <w:sz w:val="16"/>
                <w:szCs w:val="16"/>
              </w:rPr>
              <w:t>iShares Global HY Corp Bd ETF GBP H Dist</w:t>
            </w:r>
          </w:p>
        </w:tc>
        <w:tc>
          <w:tcPr>
            <w:tcW w:w="0" w:type="auto"/>
            <w:tcMar>
              <w:left w:w="110" w:type="dxa"/>
              <w:right w:w="110" w:type="dxa"/>
            </w:tcMar>
          </w:tcPr>
          <w:p w14:paraId="0FB15085" w14:textId="77777777" w:rsidR="00A561E0" w:rsidRDefault="00854BE4">
            <w:pPr>
              <w:spacing w:before="60" w:after="20"/>
              <w:jc w:val="right"/>
              <w:cnfStyle w:val="000000100000" w:firstRow="0" w:lastRow="0" w:firstColumn="0" w:lastColumn="0" w:oddVBand="0" w:evenVBand="0" w:oddHBand="1" w:evenHBand="0" w:firstRowFirstColumn="0" w:firstRowLastColumn="0" w:lastRowFirstColumn="0" w:lastRowLastColumn="0"/>
            </w:pPr>
            <w:r>
              <w:rPr>
                <w:rFonts w:ascii="Poppins" w:eastAsia="Poppins" w:hAnsi="Poppins" w:cs="Poppins"/>
                <w:sz w:val="16"/>
                <w:szCs w:val="16"/>
              </w:rPr>
              <w:t>0.89</w:t>
            </w:r>
          </w:p>
        </w:tc>
      </w:tr>
      <w:tr w:rsidR="00A561E0" w14:paraId="2D55813B" w14:textId="77777777" w:rsidTr="00A561E0">
        <w:trPr>
          <w:cnfStyle w:val="000000010000" w:firstRow="0" w:lastRow="0" w:firstColumn="0" w:lastColumn="0" w:oddVBand="0" w:evenVBand="0" w:oddHBand="0" w:evenHBand="1"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3875A772" w14:textId="77777777" w:rsidR="00A561E0" w:rsidRDefault="00854BE4">
            <w:pPr>
              <w:spacing w:before="60" w:after="20"/>
            </w:pPr>
            <w:r>
              <w:rPr>
                <w:rFonts w:ascii="Poppins" w:eastAsia="Poppins" w:hAnsi="Poppins" w:cs="Poppins"/>
                <w:sz w:val="16"/>
                <w:szCs w:val="16"/>
              </w:rPr>
              <w:t>United Kingdom of Great Britain and Northern Ireland 4.125%</w:t>
            </w:r>
          </w:p>
        </w:tc>
        <w:tc>
          <w:tcPr>
            <w:tcW w:w="0" w:type="auto"/>
            <w:tcMar>
              <w:left w:w="110" w:type="dxa"/>
              <w:right w:w="110" w:type="dxa"/>
            </w:tcMar>
          </w:tcPr>
          <w:p w14:paraId="14A587C0" w14:textId="77777777" w:rsidR="00A561E0" w:rsidRDefault="00854BE4">
            <w:pPr>
              <w:spacing w:before="60" w:after="20"/>
              <w:jc w:val="right"/>
              <w:cnfStyle w:val="000000010000" w:firstRow="0" w:lastRow="0" w:firstColumn="0" w:lastColumn="0" w:oddVBand="0" w:evenVBand="0" w:oddHBand="0" w:evenHBand="1" w:firstRowFirstColumn="0" w:firstRowLastColumn="0" w:lastRowFirstColumn="0" w:lastRowLastColumn="0"/>
            </w:pPr>
            <w:r>
              <w:rPr>
                <w:rFonts w:ascii="Poppins" w:eastAsia="Poppins" w:hAnsi="Poppins" w:cs="Poppins"/>
                <w:sz w:val="16"/>
                <w:szCs w:val="16"/>
              </w:rPr>
              <w:t>0.84</w:t>
            </w:r>
          </w:p>
        </w:tc>
      </w:tr>
    </w:tbl>
    <w:p w14:paraId="444B7BEA" w14:textId="77777777" w:rsidR="00A561E0" w:rsidRDefault="00854BE4">
      <w:pPr>
        <w:spacing w:after="280" w:afterAutospacing="1"/>
        <w:sectPr w:rsidR="00A561E0">
          <w:headerReference w:type="default" r:id="rId41"/>
          <w:footerReference w:type="default" r:id="rId42"/>
          <w:pgSz w:w="11906" w:h="16838"/>
          <w:pgMar w:top="709" w:right="640" w:bottom="376" w:left="640" w:header="200" w:footer="200" w:gutter="0"/>
          <w:cols w:space="708"/>
          <w:docGrid w:linePitch="360"/>
        </w:sectPr>
      </w:pPr>
      <w:r>
        <w:rPr>
          <w:noProof/>
          <w:lang w:val="en-NZ"/>
        </w:rPr>
        <w:br/>
      </w:r>
    </w:p>
    <w:p w14:paraId="1EDDA4CA" w14:textId="77777777" w:rsidR="00A561E0" w:rsidRDefault="00854BE4">
      <w:pPr>
        <w:pStyle w:val="DefaqtoHeading3"/>
        <w:rPr>
          <w:lang w:val="en-GB"/>
        </w:rPr>
      </w:pPr>
      <w:bookmarkStart w:id="24" w:name="_Toc19"/>
      <w:r>
        <w:t>Asset allocation</w:t>
      </w:r>
      <w:bookmarkEnd w:id="24"/>
    </w:p>
    <w:p w14:paraId="380798A0" w14:textId="77777777" w:rsidR="00A561E0" w:rsidRDefault="00A561E0">
      <w:pPr>
        <w:pStyle w:val="DefaqtoBody"/>
        <w:rPr>
          <w:noProof/>
          <w:lang w:val="en-NZ"/>
        </w:rPr>
      </w:pPr>
    </w:p>
    <w:tbl>
      <w:tblPr>
        <w:tblW w:w="5000" w:type="pct"/>
        <w:tblCellSpacing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4275"/>
        <w:gridCol w:w="6351"/>
      </w:tblGrid>
      <w:tr w:rsidR="00A561E0" w14:paraId="45C02588" w14:textId="77777777">
        <w:trPr>
          <w:tblCellSpacing w:w="15" w:type="dxa"/>
        </w:trPr>
        <w:tc>
          <w:tcPr>
            <w:tcW w:w="1000" w:type="pct"/>
          </w:tcPr>
          <w:p w14:paraId="1676F14B" w14:textId="77777777" w:rsidR="00A561E0" w:rsidRDefault="00854BE4">
            <w:pPr>
              <w:spacing w:after="0"/>
            </w:pPr>
            <w:r>
              <w:pict w14:anchorId="441795E0">
                <v:shape id="_x0000_i1036" type="#_x0000_t75" style="width:210pt;height:210pt;visibility:visible">
                  <v:imagedata r:id="rId14" o:title=""/>
                </v:shape>
              </w:pict>
            </w:r>
            <w:r>
              <w:rPr>
                <w:rFonts w:ascii="Poppins" w:eastAsia="Poppins" w:hAnsi="Poppins" w:cs="Poppins"/>
                <w:sz w:val="16"/>
                <w:szCs w:val="16"/>
              </w:rPr>
              <w:t xml:space="preserve"> </w:t>
            </w:r>
          </w:p>
        </w:tc>
        <w:tc>
          <w:tcPr>
            <w:tcW w:w="0" w:type="auto"/>
          </w:tcPr>
          <w:tbl>
            <w:tblPr>
              <w:tblW w:w="5000" w:type="pct"/>
              <w:tblCellSpacing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242"/>
              <w:gridCol w:w="3916"/>
              <w:gridCol w:w="701"/>
              <w:gridCol w:w="701"/>
              <w:gridCol w:w="716"/>
            </w:tblGrid>
            <w:tr w:rsidR="00A561E0" w14:paraId="2F4ECBDF" w14:textId="77777777">
              <w:trPr>
                <w:trHeight w:val="400"/>
                <w:tblCellSpacing w:w="15" w:type="dxa"/>
              </w:trPr>
              <w:tc>
                <w:tcPr>
                  <w:tcW w:w="120" w:type="dxa"/>
                  <w:gridSpan w:val="2"/>
                  <w:tcBorders>
                    <w:bottom w:val="single" w:sz="4" w:space="0" w:color="000000"/>
                  </w:tcBorders>
                </w:tcPr>
                <w:p w14:paraId="6C138271" w14:textId="77777777" w:rsidR="00A561E0" w:rsidRDefault="00854BE4">
                  <w:pPr>
                    <w:spacing w:after="0" w:line="240" w:lineRule="auto"/>
                  </w:pPr>
                  <w:r>
                    <w:rPr>
                      <w:rFonts w:ascii="Poppins" w:eastAsia="Poppins" w:hAnsi="Poppins" w:cs="Poppins"/>
                      <w:b/>
                      <w:bCs/>
                      <w:sz w:val="16"/>
                      <w:szCs w:val="16"/>
                    </w:rPr>
                    <w:t>ASSET ALLOCATION⁽¹⁾</w:t>
                  </w:r>
                </w:p>
              </w:tc>
              <w:tc>
                <w:tcPr>
                  <w:tcW w:w="550" w:type="pct"/>
                  <w:tcBorders>
                    <w:bottom w:val="single" w:sz="4" w:space="0" w:color="000000"/>
                  </w:tcBorders>
                </w:tcPr>
                <w:p w14:paraId="43800BBB" w14:textId="77777777" w:rsidR="00A561E0" w:rsidRDefault="00854BE4">
                  <w:pPr>
                    <w:spacing w:after="0" w:line="240" w:lineRule="auto"/>
                    <w:jc w:val="right"/>
                  </w:pPr>
                  <w:r>
                    <w:rPr>
                      <w:rFonts w:ascii="Poppins" w:eastAsia="Poppins" w:hAnsi="Poppins" w:cs="Poppins"/>
                      <w:b/>
                      <w:bCs/>
                      <w:sz w:val="16"/>
                      <w:szCs w:val="16"/>
                    </w:rPr>
                    <w:t xml:space="preserve">NET %⁽²⁾ </w:t>
                  </w:r>
                </w:p>
              </w:tc>
              <w:tc>
                <w:tcPr>
                  <w:tcW w:w="550" w:type="pct"/>
                  <w:tcBorders>
                    <w:bottom w:val="single" w:sz="4" w:space="0" w:color="000000"/>
                  </w:tcBorders>
                </w:tcPr>
                <w:p w14:paraId="224EE751" w14:textId="77777777" w:rsidR="00A561E0" w:rsidRDefault="00854BE4">
                  <w:pPr>
                    <w:spacing w:after="0" w:line="240" w:lineRule="auto"/>
                    <w:jc w:val="right"/>
                  </w:pPr>
                  <w:r>
                    <w:rPr>
                      <w:rFonts w:ascii="Poppins" w:eastAsia="Poppins" w:hAnsi="Poppins" w:cs="Poppins"/>
                      <w:b/>
                      <w:bCs/>
                      <w:sz w:val="16"/>
                      <w:szCs w:val="16"/>
                    </w:rPr>
                    <w:t>SHORT %</w:t>
                  </w:r>
                </w:p>
              </w:tc>
              <w:tc>
                <w:tcPr>
                  <w:tcW w:w="550" w:type="pct"/>
                  <w:tcBorders>
                    <w:bottom w:val="single" w:sz="4" w:space="0" w:color="000000"/>
                  </w:tcBorders>
                </w:tcPr>
                <w:p w14:paraId="480CD4DC" w14:textId="77777777" w:rsidR="00A561E0" w:rsidRDefault="00854BE4">
                  <w:pPr>
                    <w:spacing w:after="0" w:line="240" w:lineRule="auto"/>
                    <w:jc w:val="right"/>
                  </w:pPr>
                  <w:r>
                    <w:rPr>
                      <w:rFonts w:ascii="Poppins" w:eastAsia="Poppins" w:hAnsi="Poppins" w:cs="Poppins"/>
                      <w:b/>
                      <w:bCs/>
                      <w:sz w:val="16"/>
                      <w:szCs w:val="16"/>
                    </w:rPr>
                    <w:t>LONG %</w:t>
                  </w:r>
                </w:p>
              </w:tc>
            </w:tr>
            <w:tr w:rsidR="00A561E0" w14:paraId="571C942D" w14:textId="77777777">
              <w:trPr>
                <w:tblCellSpacing w:w="15" w:type="dxa"/>
              </w:trPr>
              <w:tc>
                <w:tcPr>
                  <w:tcW w:w="0" w:type="auto"/>
                  <w:vAlign w:val="center"/>
                </w:tcPr>
                <w:p w14:paraId="7CEFFC94" w14:textId="77777777" w:rsidR="00A561E0" w:rsidRDefault="00854BE4">
                  <w:pPr>
                    <w:spacing w:after="0" w:line="240" w:lineRule="auto"/>
                  </w:pPr>
                  <w:r>
                    <w:rPr>
                      <w:rFonts w:ascii="Wingdings" w:eastAsia="Wingdings" w:hAnsi="Wingdings" w:cs="Wingdings"/>
                      <w:color w:val="A0A5A9"/>
                      <w:sz w:val="16"/>
                      <w:szCs w:val="16"/>
                    </w:rPr>
                    <w:t>l</w:t>
                  </w:r>
                </w:p>
              </w:tc>
              <w:tc>
                <w:tcPr>
                  <w:tcW w:w="0" w:type="auto"/>
                  <w:vAlign w:val="center"/>
                </w:tcPr>
                <w:p w14:paraId="1DB9C06A" w14:textId="77777777" w:rsidR="00A561E0" w:rsidRDefault="00854BE4">
                  <w:pPr>
                    <w:spacing w:after="0" w:line="240" w:lineRule="auto"/>
                  </w:pPr>
                  <w:r>
                    <w:rPr>
                      <w:rFonts w:ascii="Poppins" w:eastAsia="Poppins" w:hAnsi="Poppins" w:cs="Poppins"/>
                      <w:sz w:val="16"/>
                      <w:szCs w:val="16"/>
                    </w:rPr>
                    <w:t>Global (ex-UK) Fixed Income</w:t>
                  </w:r>
                </w:p>
              </w:tc>
              <w:tc>
                <w:tcPr>
                  <w:tcW w:w="550" w:type="pct"/>
                  <w:vAlign w:val="center"/>
                </w:tcPr>
                <w:p w14:paraId="7A1765B7" w14:textId="77777777" w:rsidR="00A561E0" w:rsidRDefault="00854BE4">
                  <w:pPr>
                    <w:spacing w:after="0" w:line="240" w:lineRule="auto"/>
                    <w:jc w:val="right"/>
                  </w:pPr>
                  <w:r>
                    <w:rPr>
                      <w:rFonts w:ascii="Poppins" w:eastAsia="Poppins" w:hAnsi="Poppins" w:cs="Poppins"/>
                      <w:sz w:val="16"/>
                      <w:szCs w:val="16"/>
                    </w:rPr>
                    <w:t>39.94</w:t>
                  </w:r>
                </w:p>
              </w:tc>
              <w:tc>
                <w:tcPr>
                  <w:tcW w:w="550" w:type="pct"/>
                  <w:vAlign w:val="center"/>
                </w:tcPr>
                <w:p w14:paraId="6EA61B0F" w14:textId="77777777" w:rsidR="00A561E0" w:rsidRDefault="00854BE4">
                  <w:pPr>
                    <w:spacing w:after="0" w:line="240" w:lineRule="auto"/>
                    <w:jc w:val="right"/>
                  </w:pPr>
                  <w:r>
                    <w:rPr>
                      <w:rFonts w:ascii="Poppins" w:eastAsia="Poppins" w:hAnsi="Poppins" w:cs="Poppins"/>
                      <w:sz w:val="16"/>
                      <w:szCs w:val="16"/>
                    </w:rPr>
                    <w:t>-5.57</w:t>
                  </w:r>
                </w:p>
              </w:tc>
              <w:tc>
                <w:tcPr>
                  <w:tcW w:w="550" w:type="pct"/>
                  <w:vAlign w:val="center"/>
                </w:tcPr>
                <w:p w14:paraId="7568F8C5" w14:textId="77777777" w:rsidR="00A561E0" w:rsidRDefault="00854BE4">
                  <w:pPr>
                    <w:spacing w:after="0" w:line="240" w:lineRule="auto"/>
                    <w:jc w:val="right"/>
                  </w:pPr>
                  <w:r>
                    <w:rPr>
                      <w:rFonts w:ascii="Poppins" w:eastAsia="Poppins" w:hAnsi="Poppins" w:cs="Poppins"/>
                      <w:sz w:val="16"/>
                      <w:szCs w:val="16"/>
                    </w:rPr>
                    <w:t>45.51</w:t>
                  </w:r>
                </w:p>
              </w:tc>
            </w:tr>
            <w:tr w:rsidR="00A561E0" w14:paraId="25CC0FC5" w14:textId="77777777">
              <w:trPr>
                <w:tblCellSpacing w:w="15" w:type="dxa"/>
              </w:trPr>
              <w:tc>
                <w:tcPr>
                  <w:tcW w:w="0" w:type="auto"/>
                  <w:vAlign w:val="center"/>
                </w:tcPr>
                <w:p w14:paraId="7E6D70DD" w14:textId="77777777" w:rsidR="00A561E0" w:rsidRDefault="00854BE4">
                  <w:pPr>
                    <w:spacing w:after="0" w:line="240" w:lineRule="auto"/>
                  </w:pPr>
                  <w:r>
                    <w:rPr>
                      <w:rFonts w:ascii="Wingdings" w:eastAsia="Wingdings" w:hAnsi="Wingdings" w:cs="Wingdings"/>
                      <w:color w:val="8E44AD"/>
                      <w:sz w:val="16"/>
                      <w:szCs w:val="16"/>
                    </w:rPr>
                    <w:t>l</w:t>
                  </w:r>
                </w:p>
              </w:tc>
              <w:tc>
                <w:tcPr>
                  <w:tcW w:w="0" w:type="auto"/>
                  <w:vAlign w:val="center"/>
                </w:tcPr>
                <w:p w14:paraId="478FCB6A" w14:textId="77777777" w:rsidR="00A561E0" w:rsidRDefault="00854BE4">
                  <w:pPr>
                    <w:spacing w:after="0" w:line="240" w:lineRule="auto"/>
                  </w:pPr>
                  <w:r>
                    <w:rPr>
                      <w:rFonts w:ascii="Poppins" w:eastAsia="Poppins" w:hAnsi="Poppins" w:cs="Poppins"/>
                      <w:sz w:val="16"/>
                      <w:szCs w:val="16"/>
                    </w:rPr>
                    <w:t>North America Equity</w:t>
                  </w:r>
                </w:p>
              </w:tc>
              <w:tc>
                <w:tcPr>
                  <w:tcW w:w="550" w:type="pct"/>
                  <w:vAlign w:val="center"/>
                </w:tcPr>
                <w:p w14:paraId="727B8888" w14:textId="77777777" w:rsidR="00A561E0" w:rsidRDefault="00854BE4">
                  <w:pPr>
                    <w:spacing w:after="0" w:line="240" w:lineRule="auto"/>
                    <w:jc w:val="right"/>
                  </w:pPr>
                  <w:r>
                    <w:rPr>
                      <w:rFonts w:ascii="Poppins" w:eastAsia="Poppins" w:hAnsi="Poppins" w:cs="Poppins"/>
                      <w:sz w:val="16"/>
                      <w:szCs w:val="16"/>
                    </w:rPr>
                    <w:t>22.30</w:t>
                  </w:r>
                </w:p>
              </w:tc>
              <w:tc>
                <w:tcPr>
                  <w:tcW w:w="550" w:type="pct"/>
                  <w:vAlign w:val="center"/>
                </w:tcPr>
                <w:p w14:paraId="0831C03F" w14:textId="77777777" w:rsidR="00A561E0" w:rsidRDefault="00854BE4">
                  <w:pPr>
                    <w:spacing w:after="0" w:line="240" w:lineRule="auto"/>
                    <w:jc w:val="right"/>
                  </w:pPr>
                  <w:r>
                    <w:rPr>
                      <w:rFonts w:ascii="Poppins" w:eastAsia="Poppins" w:hAnsi="Poppins" w:cs="Poppins"/>
                      <w:sz w:val="16"/>
                      <w:szCs w:val="16"/>
                    </w:rPr>
                    <w:t>0.00</w:t>
                  </w:r>
                </w:p>
              </w:tc>
              <w:tc>
                <w:tcPr>
                  <w:tcW w:w="550" w:type="pct"/>
                  <w:vAlign w:val="center"/>
                </w:tcPr>
                <w:p w14:paraId="77A8E7A8" w14:textId="77777777" w:rsidR="00A561E0" w:rsidRDefault="00854BE4">
                  <w:pPr>
                    <w:spacing w:after="0" w:line="240" w:lineRule="auto"/>
                    <w:jc w:val="right"/>
                  </w:pPr>
                  <w:r>
                    <w:rPr>
                      <w:rFonts w:ascii="Poppins" w:eastAsia="Poppins" w:hAnsi="Poppins" w:cs="Poppins"/>
                      <w:sz w:val="16"/>
                      <w:szCs w:val="16"/>
                    </w:rPr>
                    <w:t>22.30</w:t>
                  </w:r>
                </w:p>
              </w:tc>
            </w:tr>
            <w:tr w:rsidR="00A561E0" w14:paraId="5441DA8A" w14:textId="77777777">
              <w:trPr>
                <w:tblCellSpacing w:w="15" w:type="dxa"/>
              </w:trPr>
              <w:tc>
                <w:tcPr>
                  <w:tcW w:w="0" w:type="auto"/>
                  <w:vAlign w:val="center"/>
                </w:tcPr>
                <w:p w14:paraId="2085B63C" w14:textId="77777777" w:rsidR="00A561E0" w:rsidRDefault="00854BE4">
                  <w:pPr>
                    <w:spacing w:after="0" w:line="240" w:lineRule="auto"/>
                  </w:pPr>
                  <w:r>
                    <w:rPr>
                      <w:rFonts w:ascii="Wingdings" w:eastAsia="Wingdings" w:hAnsi="Wingdings" w:cs="Wingdings"/>
                      <w:color w:val="FFE382"/>
                      <w:sz w:val="16"/>
                      <w:szCs w:val="16"/>
                    </w:rPr>
                    <w:t>l</w:t>
                  </w:r>
                </w:p>
              </w:tc>
              <w:tc>
                <w:tcPr>
                  <w:tcW w:w="0" w:type="auto"/>
                  <w:vAlign w:val="center"/>
                </w:tcPr>
                <w:p w14:paraId="44ACE214" w14:textId="77777777" w:rsidR="00A561E0" w:rsidRDefault="00854BE4">
                  <w:pPr>
                    <w:spacing w:after="0" w:line="240" w:lineRule="auto"/>
                  </w:pPr>
                  <w:r>
                    <w:rPr>
                      <w:rFonts w:ascii="Poppins" w:eastAsia="Poppins" w:hAnsi="Poppins" w:cs="Poppins"/>
                      <w:sz w:val="16"/>
                      <w:szCs w:val="16"/>
                    </w:rPr>
                    <w:t>UK Equity</w:t>
                  </w:r>
                </w:p>
              </w:tc>
              <w:tc>
                <w:tcPr>
                  <w:tcW w:w="550" w:type="pct"/>
                  <w:vAlign w:val="center"/>
                </w:tcPr>
                <w:p w14:paraId="376A01A4" w14:textId="77777777" w:rsidR="00A561E0" w:rsidRDefault="00854BE4">
                  <w:pPr>
                    <w:spacing w:after="0" w:line="240" w:lineRule="auto"/>
                    <w:jc w:val="right"/>
                  </w:pPr>
                  <w:r>
                    <w:rPr>
                      <w:rFonts w:ascii="Poppins" w:eastAsia="Poppins" w:hAnsi="Poppins" w:cs="Poppins"/>
                      <w:sz w:val="16"/>
                      <w:szCs w:val="16"/>
                    </w:rPr>
                    <w:t>12.02</w:t>
                  </w:r>
                </w:p>
              </w:tc>
              <w:tc>
                <w:tcPr>
                  <w:tcW w:w="550" w:type="pct"/>
                  <w:vAlign w:val="center"/>
                </w:tcPr>
                <w:p w14:paraId="78CDCB63" w14:textId="77777777" w:rsidR="00A561E0" w:rsidRDefault="00854BE4">
                  <w:pPr>
                    <w:spacing w:after="0" w:line="240" w:lineRule="auto"/>
                    <w:jc w:val="right"/>
                  </w:pPr>
                  <w:r>
                    <w:rPr>
                      <w:rFonts w:ascii="Poppins" w:eastAsia="Poppins" w:hAnsi="Poppins" w:cs="Poppins"/>
                      <w:sz w:val="16"/>
                      <w:szCs w:val="16"/>
                    </w:rPr>
                    <w:t>0.00</w:t>
                  </w:r>
                </w:p>
              </w:tc>
              <w:tc>
                <w:tcPr>
                  <w:tcW w:w="550" w:type="pct"/>
                  <w:vAlign w:val="center"/>
                </w:tcPr>
                <w:p w14:paraId="0A009ADE" w14:textId="77777777" w:rsidR="00A561E0" w:rsidRDefault="00854BE4">
                  <w:pPr>
                    <w:spacing w:after="0" w:line="240" w:lineRule="auto"/>
                    <w:jc w:val="right"/>
                  </w:pPr>
                  <w:r>
                    <w:rPr>
                      <w:rFonts w:ascii="Poppins" w:eastAsia="Poppins" w:hAnsi="Poppins" w:cs="Poppins"/>
                      <w:sz w:val="16"/>
                      <w:szCs w:val="16"/>
                    </w:rPr>
                    <w:t>12.02</w:t>
                  </w:r>
                </w:p>
              </w:tc>
            </w:tr>
            <w:tr w:rsidR="00A561E0" w14:paraId="198D1573" w14:textId="77777777">
              <w:trPr>
                <w:tblCellSpacing w:w="15" w:type="dxa"/>
              </w:trPr>
              <w:tc>
                <w:tcPr>
                  <w:tcW w:w="0" w:type="auto"/>
                  <w:vAlign w:val="center"/>
                </w:tcPr>
                <w:p w14:paraId="7D69BA31" w14:textId="77777777" w:rsidR="00A561E0" w:rsidRDefault="00854BE4">
                  <w:pPr>
                    <w:spacing w:after="0" w:line="240" w:lineRule="auto"/>
                  </w:pPr>
                  <w:r>
                    <w:rPr>
                      <w:rFonts w:ascii="Wingdings" w:eastAsia="Wingdings" w:hAnsi="Wingdings" w:cs="Wingdings"/>
                      <w:color w:val="D35400"/>
                      <w:sz w:val="16"/>
                      <w:szCs w:val="16"/>
                    </w:rPr>
                    <w:t>l</w:t>
                  </w:r>
                </w:p>
              </w:tc>
              <w:tc>
                <w:tcPr>
                  <w:tcW w:w="0" w:type="auto"/>
                  <w:vAlign w:val="center"/>
                </w:tcPr>
                <w:p w14:paraId="5C18F6BD" w14:textId="77777777" w:rsidR="00A561E0" w:rsidRDefault="00854BE4">
                  <w:pPr>
                    <w:spacing w:after="0" w:line="240" w:lineRule="auto"/>
                  </w:pPr>
                  <w:r>
                    <w:rPr>
                      <w:rFonts w:ascii="Poppins" w:eastAsia="Poppins" w:hAnsi="Poppins" w:cs="Poppins"/>
                      <w:sz w:val="16"/>
                      <w:szCs w:val="16"/>
                    </w:rPr>
                    <w:t>UK Government Bonds</w:t>
                  </w:r>
                </w:p>
              </w:tc>
              <w:tc>
                <w:tcPr>
                  <w:tcW w:w="550" w:type="pct"/>
                  <w:vAlign w:val="center"/>
                </w:tcPr>
                <w:p w14:paraId="44BEA420" w14:textId="77777777" w:rsidR="00A561E0" w:rsidRDefault="00854BE4">
                  <w:pPr>
                    <w:spacing w:after="0" w:line="240" w:lineRule="auto"/>
                    <w:jc w:val="right"/>
                  </w:pPr>
                  <w:r>
                    <w:rPr>
                      <w:rFonts w:ascii="Poppins" w:eastAsia="Poppins" w:hAnsi="Poppins" w:cs="Poppins"/>
                      <w:sz w:val="16"/>
                      <w:szCs w:val="16"/>
                    </w:rPr>
                    <w:t>8.84</w:t>
                  </w:r>
                </w:p>
              </w:tc>
              <w:tc>
                <w:tcPr>
                  <w:tcW w:w="550" w:type="pct"/>
                  <w:vAlign w:val="center"/>
                </w:tcPr>
                <w:p w14:paraId="60AB35F1" w14:textId="77777777" w:rsidR="00A561E0" w:rsidRDefault="00854BE4">
                  <w:pPr>
                    <w:spacing w:after="0" w:line="240" w:lineRule="auto"/>
                    <w:jc w:val="right"/>
                  </w:pPr>
                  <w:r>
                    <w:rPr>
                      <w:rFonts w:ascii="Poppins" w:eastAsia="Poppins" w:hAnsi="Poppins" w:cs="Poppins"/>
                      <w:sz w:val="16"/>
                      <w:szCs w:val="16"/>
                    </w:rPr>
                    <w:t>0.00</w:t>
                  </w:r>
                </w:p>
              </w:tc>
              <w:tc>
                <w:tcPr>
                  <w:tcW w:w="550" w:type="pct"/>
                  <w:vAlign w:val="center"/>
                </w:tcPr>
                <w:p w14:paraId="234141FC" w14:textId="77777777" w:rsidR="00A561E0" w:rsidRDefault="00854BE4">
                  <w:pPr>
                    <w:spacing w:after="0" w:line="240" w:lineRule="auto"/>
                    <w:jc w:val="right"/>
                  </w:pPr>
                  <w:r>
                    <w:rPr>
                      <w:rFonts w:ascii="Poppins" w:eastAsia="Poppins" w:hAnsi="Poppins" w:cs="Poppins"/>
                      <w:sz w:val="16"/>
                      <w:szCs w:val="16"/>
                    </w:rPr>
                    <w:t>8.84</w:t>
                  </w:r>
                </w:p>
              </w:tc>
            </w:tr>
            <w:tr w:rsidR="00A561E0" w14:paraId="1C871FC5" w14:textId="77777777">
              <w:trPr>
                <w:tblCellSpacing w:w="15" w:type="dxa"/>
              </w:trPr>
              <w:tc>
                <w:tcPr>
                  <w:tcW w:w="0" w:type="auto"/>
                  <w:vAlign w:val="center"/>
                </w:tcPr>
                <w:p w14:paraId="547C9965" w14:textId="77777777" w:rsidR="00A561E0" w:rsidRDefault="00854BE4">
                  <w:pPr>
                    <w:spacing w:after="0" w:line="240" w:lineRule="auto"/>
                  </w:pPr>
                  <w:r>
                    <w:rPr>
                      <w:rFonts w:ascii="Wingdings" w:eastAsia="Wingdings" w:hAnsi="Wingdings" w:cs="Wingdings"/>
                      <w:color w:val="2980B9"/>
                      <w:sz w:val="16"/>
                      <w:szCs w:val="16"/>
                    </w:rPr>
                    <w:t>l</w:t>
                  </w:r>
                </w:p>
              </w:tc>
              <w:tc>
                <w:tcPr>
                  <w:tcW w:w="0" w:type="auto"/>
                  <w:vAlign w:val="center"/>
                </w:tcPr>
                <w:p w14:paraId="4B158F82" w14:textId="77777777" w:rsidR="00A561E0" w:rsidRDefault="00854BE4">
                  <w:pPr>
                    <w:spacing w:after="0" w:line="240" w:lineRule="auto"/>
                  </w:pPr>
                  <w:r>
                    <w:rPr>
                      <w:rFonts w:ascii="Poppins" w:eastAsia="Poppins" w:hAnsi="Poppins" w:cs="Poppins"/>
                      <w:sz w:val="16"/>
                      <w:szCs w:val="16"/>
                    </w:rPr>
                    <w:t>UK Index Linked Bonds</w:t>
                  </w:r>
                </w:p>
              </w:tc>
              <w:tc>
                <w:tcPr>
                  <w:tcW w:w="550" w:type="pct"/>
                  <w:vAlign w:val="center"/>
                </w:tcPr>
                <w:p w14:paraId="152F4393" w14:textId="77777777" w:rsidR="00A561E0" w:rsidRDefault="00854BE4">
                  <w:pPr>
                    <w:spacing w:after="0" w:line="240" w:lineRule="auto"/>
                    <w:jc w:val="right"/>
                  </w:pPr>
                  <w:r>
                    <w:rPr>
                      <w:rFonts w:ascii="Poppins" w:eastAsia="Poppins" w:hAnsi="Poppins" w:cs="Poppins"/>
                      <w:sz w:val="16"/>
                      <w:szCs w:val="16"/>
                    </w:rPr>
                    <w:t>4.14</w:t>
                  </w:r>
                </w:p>
              </w:tc>
              <w:tc>
                <w:tcPr>
                  <w:tcW w:w="550" w:type="pct"/>
                  <w:vAlign w:val="center"/>
                </w:tcPr>
                <w:p w14:paraId="51400D9B" w14:textId="77777777" w:rsidR="00A561E0" w:rsidRDefault="00854BE4">
                  <w:pPr>
                    <w:spacing w:after="0" w:line="240" w:lineRule="auto"/>
                    <w:jc w:val="right"/>
                  </w:pPr>
                  <w:r>
                    <w:rPr>
                      <w:rFonts w:ascii="Poppins" w:eastAsia="Poppins" w:hAnsi="Poppins" w:cs="Poppins"/>
                      <w:sz w:val="16"/>
                      <w:szCs w:val="16"/>
                    </w:rPr>
                    <w:t>0.00</w:t>
                  </w:r>
                </w:p>
              </w:tc>
              <w:tc>
                <w:tcPr>
                  <w:tcW w:w="550" w:type="pct"/>
                  <w:vAlign w:val="center"/>
                </w:tcPr>
                <w:p w14:paraId="2156DDC9" w14:textId="77777777" w:rsidR="00A561E0" w:rsidRDefault="00854BE4">
                  <w:pPr>
                    <w:spacing w:after="0" w:line="240" w:lineRule="auto"/>
                    <w:jc w:val="right"/>
                  </w:pPr>
                  <w:r>
                    <w:rPr>
                      <w:rFonts w:ascii="Poppins" w:eastAsia="Poppins" w:hAnsi="Poppins" w:cs="Poppins"/>
                      <w:sz w:val="16"/>
                      <w:szCs w:val="16"/>
                    </w:rPr>
                    <w:t>4.14</w:t>
                  </w:r>
                </w:p>
              </w:tc>
            </w:tr>
            <w:tr w:rsidR="00A561E0" w14:paraId="1FF5B074" w14:textId="77777777">
              <w:trPr>
                <w:tblCellSpacing w:w="15" w:type="dxa"/>
              </w:trPr>
              <w:tc>
                <w:tcPr>
                  <w:tcW w:w="0" w:type="auto"/>
                  <w:vAlign w:val="center"/>
                </w:tcPr>
                <w:p w14:paraId="06DA8171" w14:textId="77777777" w:rsidR="00A561E0" w:rsidRDefault="00854BE4">
                  <w:pPr>
                    <w:spacing w:after="0" w:line="240" w:lineRule="auto"/>
                  </w:pPr>
                  <w:r>
                    <w:rPr>
                      <w:rFonts w:ascii="Wingdings" w:eastAsia="Wingdings" w:hAnsi="Wingdings" w:cs="Wingdings"/>
                      <w:color w:val="3FC6D4"/>
                      <w:sz w:val="16"/>
                      <w:szCs w:val="16"/>
                    </w:rPr>
                    <w:t>l</w:t>
                  </w:r>
                </w:p>
              </w:tc>
              <w:tc>
                <w:tcPr>
                  <w:tcW w:w="0" w:type="auto"/>
                  <w:vAlign w:val="center"/>
                </w:tcPr>
                <w:p w14:paraId="07A47A5C" w14:textId="77777777" w:rsidR="00A561E0" w:rsidRDefault="00854BE4">
                  <w:pPr>
                    <w:spacing w:after="0" w:line="240" w:lineRule="auto"/>
                  </w:pPr>
                  <w:r>
                    <w:rPr>
                      <w:rFonts w:ascii="Poppins" w:eastAsia="Poppins" w:hAnsi="Poppins" w:cs="Poppins"/>
                      <w:sz w:val="16"/>
                      <w:szCs w:val="16"/>
                    </w:rPr>
                    <w:t>Europe (ex-UK) Equity</w:t>
                  </w:r>
                </w:p>
              </w:tc>
              <w:tc>
                <w:tcPr>
                  <w:tcW w:w="550" w:type="pct"/>
                  <w:vAlign w:val="center"/>
                </w:tcPr>
                <w:p w14:paraId="4BF6D8A3" w14:textId="77777777" w:rsidR="00A561E0" w:rsidRDefault="00854BE4">
                  <w:pPr>
                    <w:spacing w:after="0" w:line="240" w:lineRule="auto"/>
                    <w:jc w:val="right"/>
                  </w:pPr>
                  <w:r>
                    <w:rPr>
                      <w:rFonts w:ascii="Poppins" w:eastAsia="Poppins" w:hAnsi="Poppins" w:cs="Poppins"/>
                      <w:sz w:val="16"/>
                      <w:szCs w:val="16"/>
                    </w:rPr>
                    <w:t>4.04</w:t>
                  </w:r>
                </w:p>
              </w:tc>
              <w:tc>
                <w:tcPr>
                  <w:tcW w:w="550" w:type="pct"/>
                  <w:vAlign w:val="center"/>
                </w:tcPr>
                <w:p w14:paraId="57E1CE6A" w14:textId="77777777" w:rsidR="00A561E0" w:rsidRDefault="00854BE4">
                  <w:pPr>
                    <w:spacing w:after="0" w:line="240" w:lineRule="auto"/>
                    <w:jc w:val="right"/>
                  </w:pPr>
                  <w:r>
                    <w:rPr>
                      <w:rFonts w:ascii="Poppins" w:eastAsia="Poppins" w:hAnsi="Poppins" w:cs="Poppins"/>
                      <w:sz w:val="16"/>
                      <w:szCs w:val="16"/>
                    </w:rPr>
                    <w:t>0.00</w:t>
                  </w:r>
                </w:p>
              </w:tc>
              <w:tc>
                <w:tcPr>
                  <w:tcW w:w="550" w:type="pct"/>
                  <w:vAlign w:val="center"/>
                </w:tcPr>
                <w:p w14:paraId="0CB89340" w14:textId="77777777" w:rsidR="00A561E0" w:rsidRDefault="00854BE4">
                  <w:pPr>
                    <w:spacing w:after="0" w:line="240" w:lineRule="auto"/>
                    <w:jc w:val="right"/>
                  </w:pPr>
                  <w:r>
                    <w:rPr>
                      <w:rFonts w:ascii="Poppins" w:eastAsia="Poppins" w:hAnsi="Poppins" w:cs="Poppins"/>
                      <w:sz w:val="16"/>
                      <w:szCs w:val="16"/>
                    </w:rPr>
                    <w:t>4.04</w:t>
                  </w:r>
                </w:p>
              </w:tc>
            </w:tr>
            <w:tr w:rsidR="00A561E0" w14:paraId="4C79C0C9" w14:textId="77777777">
              <w:trPr>
                <w:tblCellSpacing w:w="15" w:type="dxa"/>
              </w:trPr>
              <w:tc>
                <w:tcPr>
                  <w:tcW w:w="0" w:type="auto"/>
                  <w:vAlign w:val="center"/>
                </w:tcPr>
                <w:p w14:paraId="2F7F2071" w14:textId="77777777" w:rsidR="00A561E0" w:rsidRDefault="00854BE4">
                  <w:pPr>
                    <w:spacing w:after="0" w:line="240" w:lineRule="auto"/>
                  </w:pPr>
                  <w:r>
                    <w:rPr>
                      <w:rFonts w:ascii="Wingdings" w:eastAsia="Wingdings" w:hAnsi="Wingdings" w:cs="Wingdings"/>
                      <w:color w:val="C0392B"/>
                      <w:sz w:val="16"/>
                      <w:szCs w:val="16"/>
                    </w:rPr>
                    <w:t>l</w:t>
                  </w:r>
                </w:p>
              </w:tc>
              <w:tc>
                <w:tcPr>
                  <w:tcW w:w="0" w:type="auto"/>
                  <w:vAlign w:val="center"/>
                </w:tcPr>
                <w:p w14:paraId="3B0C61C6" w14:textId="77777777" w:rsidR="00A561E0" w:rsidRDefault="00854BE4">
                  <w:pPr>
                    <w:spacing w:after="0" w:line="240" w:lineRule="auto"/>
                  </w:pPr>
                  <w:r>
                    <w:rPr>
                      <w:rFonts w:ascii="Poppins" w:eastAsia="Poppins" w:hAnsi="Poppins" w:cs="Poppins"/>
                      <w:sz w:val="16"/>
                      <w:szCs w:val="16"/>
                    </w:rPr>
                    <w:t>UK Corporate Bonds</w:t>
                  </w:r>
                </w:p>
              </w:tc>
              <w:tc>
                <w:tcPr>
                  <w:tcW w:w="550" w:type="pct"/>
                  <w:vAlign w:val="center"/>
                </w:tcPr>
                <w:p w14:paraId="650FB0C9" w14:textId="77777777" w:rsidR="00A561E0" w:rsidRDefault="00854BE4">
                  <w:pPr>
                    <w:spacing w:after="0" w:line="240" w:lineRule="auto"/>
                    <w:jc w:val="right"/>
                  </w:pPr>
                  <w:r>
                    <w:rPr>
                      <w:rFonts w:ascii="Poppins" w:eastAsia="Poppins" w:hAnsi="Poppins" w:cs="Poppins"/>
                      <w:sz w:val="16"/>
                      <w:szCs w:val="16"/>
                    </w:rPr>
                    <w:t>2.90</w:t>
                  </w:r>
                </w:p>
              </w:tc>
              <w:tc>
                <w:tcPr>
                  <w:tcW w:w="550" w:type="pct"/>
                  <w:vAlign w:val="center"/>
                </w:tcPr>
                <w:p w14:paraId="25FDF047" w14:textId="77777777" w:rsidR="00A561E0" w:rsidRDefault="00854BE4">
                  <w:pPr>
                    <w:spacing w:after="0" w:line="240" w:lineRule="auto"/>
                    <w:jc w:val="right"/>
                  </w:pPr>
                  <w:r>
                    <w:rPr>
                      <w:rFonts w:ascii="Poppins" w:eastAsia="Poppins" w:hAnsi="Poppins" w:cs="Poppins"/>
                      <w:sz w:val="16"/>
                      <w:szCs w:val="16"/>
                    </w:rPr>
                    <w:t>0.00</w:t>
                  </w:r>
                </w:p>
              </w:tc>
              <w:tc>
                <w:tcPr>
                  <w:tcW w:w="550" w:type="pct"/>
                  <w:vAlign w:val="center"/>
                </w:tcPr>
                <w:p w14:paraId="19F7A4CB" w14:textId="77777777" w:rsidR="00A561E0" w:rsidRDefault="00854BE4">
                  <w:pPr>
                    <w:spacing w:after="0" w:line="240" w:lineRule="auto"/>
                    <w:jc w:val="right"/>
                  </w:pPr>
                  <w:r>
                    <w:rPr>
                      <w:rFonts w:ascii="Poppins" w:eastAsia="Poppins" w:hAnsi="Poppins" w:cs="Poppins"/>
                      <w:sz w:val="16"/>
                      <w:szCs w:val="16"/>
                    </w:rPr>
                    <w:t>2.90</w:t>
                  </w:r>
                </w:p>
              </w:tc>
            </w:tr>
            <w:tr w:rsidR="00A561E0" w14:paraId="1A35552D" w14:textId="77777777">
              <w:trPr>
                <w:tblCellSpacing w:w="15" w:type="dxa"/>
              </w:trPr>
              <w:tc>
                <w:tcPr>
                  <w:tcW w:w="0" w:type="auto"/>
                  <w:vAlign w:val="center"/>
                </w:tcPr>
                <w:p w14:paraId="75E5ABF8" w14:textId="77777777" w:rsidR="00A561E0" w:rsidRDefault="00854BE4">
                  <w:pPr>
                    <w:spacing w:after="0" w:line="240" w:lineRule="auto"/>
                  </w:pPr>
                  <w:r>
                    <w:rPr>
                      <w:rFonts w:ascii="Wingdings" w:eastAsia="Wingdings" w:hAnsi="Wingdings" w:cs="Wingdings"/>
                      <w:color w:val="727E7E"/>
                      <w:sz w:val="16"/>
                      <w:szCs w:val="16"/>
                    </w:rPr>
                    <w:t>l</w:t>
                  </w:r>
                </w:p>
              </w:tc>
              <w:tc>
                <w:tcPr>
                  <w:tcW w:w="0" w:type="auto"/>
                  <w:vAlign w:val="center"/>
                </w:tcPr>
                <w:p w14:paraId="070337D7" w14:textId="77777777" w:rsidR="00A561E0" w:rsidRDefault="00854BE4">
                  <w:pPr>
                    <w:spacing w:after="0" w:line="240" w:lineRule="auto"/>
                  </w:pPr>
                  <w:r>
                    <w:rPr>
                      <w:rFonts w:ascii="Poppins" w:eastAsia="Poppins" w:hAnsi="Poppins" w:cs="Poppins"/>
                      <w:sz w:val="16"/>
                      <w:szCs w:val="16"/>
                    </w:rPr>
                    <w:t>Emerging Markets Equity</w:t>
                  </w:r>
                </w:p>
              </w:tc>
              <w:tc>
                <w:tcPr>
                  <w:tcW w:w="550" w:type="pct"/>
                  <w:vAlign w:val="center"/>
                </w:tcPr>
                <w:p w14:paraId="2181F891" w14:textId="77777777" w:rsidR="00A561E0" w:rsidRDefault="00854BE4">
                  <w:pPr>
                    <w:spacing w:after="0" w:line="240" w:lineRule="auto"/>
                    <w:jc w:val="right"/>
                  </w:pPr>
                  <w:r>
                    <w:rPr>
                      <w:rFonts w:ascii="Poppins" w:eastAsia="Poppins" w:hAnsi="Poppins" w:cs="Poppins"/>
                      <w:sz w:val="16"/>
                      <w:szCs w:val="16"/>
                    </w:rPr>
                    <w:t>2.69</w:t>
                  </w:r>
                </w:p>
              </w:tc>
              <w:tc>
                <w:tcPr>
                  <w:tcW w:w="550" w:type="pct"/>
                  <w:vAlign w:val="center"/>
                </w:tcPr>
                <w:p w14:paraId="122994C4" w14:textId="77777777" w:rsidR="00A561E0" w:rsidRDefault="00854BE4">
                  <w:pPr>
                    <w:spacing w:after="0" w:line="240" w:lineRule="auto"/>
                    <w:jc w:val="right"/>
                  </w:pPr>
                  <w:r>
                    <w:rPr>
                      <w:rFonts w:ascii="Poppins" w:eastAsia="Poppins" w:hAnsi="Poppins" w:cs="Poppins"/>
                      <w:sz w:val="16"/>
                      <w:szCs w:val="16"/>
                    </w:rPr>
                    <w:t>0.00</w:t>
                  </w:r>
                </w:p>
              </w:tc>
              <w:tc>
                <w:tcPr>
                  <w:tcW w:w="550" w:type="pct"/>
                  <w:vAlign w:val="center"/>
                </w:tcPr>
                <w:p w14:paraId="603CDE9F" w14:textId="77777777" w:rsidR="00A561E0" w:rsidRDefault="00854BE4">
                  <w:pPr>
                    <w:spacing w:after="0" w:line="240" w:lineRule="auto"/>
                    <w:jc w:val="right"/>
                  </w:pPr>
                  <w:r>
                    <w:rPr>
                      <w:rFonts w:ascii="Poppins" w:eastAsia="Poppins" w:hAnsi="Poppins" w:cs="Poppins"/>
                      <w:sz w:val="16"/>
                      <w:szCs w:val="16"/>
                    </w:rPr>
                    <w:t>2.69</w:t>
                  </w:r>
                </w:p>
              </w:tc>
            </w:tr>
            <w:tr w:rsidR="00A561E0" w14:paraId="4EAB1587" w14:textId="77777777">
              <w:trPr>
                <w:tblCellSpacing w:w="15" w:type="dxa"/>
              </w:trPr>
              <w:tc>
                <w:tcPr>
                  <w:tcW w:w="0" w:type="auto"/>
                  <w:vAlign w:val="center"/>
                </w:tcPr>
                <w:p w14:paraId="0B1169E8" w14:textId="77777777" w:rsidR="00A561E0" w:rsidRDefault="00854BE4">
                  <w:pPr>
                    <w:spacing w:after="0" w:line="240" w:lineRule="auto"/>
                  </w:pPr>
                  <w:r>
                    <w:rPr>
                      <w:rFonts w:ascii="Wingdings" w:eastAsia="Wingdings" w:hAnsi="Wingdings" w:cs="Wingdings"/>
                      <w:color w:val="F39C12"/>
                      <w:sz w:val="16"/>
                      <w:szCs w:val="16"/>
                    </w:rPr>
                    <w:t>l</w:t>
                  </w:r>
                </w:p>
              </w:tc>
              <w:tc>
                <w:tcPr>
                  <w:tcW w:w="0" w:type="auto"/>
                  <w:vAlign w:val="center"/>
                </w:tcPr>
                <w:p w14:paraId="3618927E" w14:textId="77777777" w:rsidR="00A561E0" w:rsidRDefault="00854BE4">
                  <w:pPr>
                    <w:spacing w:after="0" w:line="240" w:lineRule="auto"/>
                  </w:pPr>
                  <w:r>
                    <w:rPr>
                      <w:rFonts w:ascii="Poppins" w:eastAsia="Poppins" w:hAnsi="Poppins" w:cs="Poppins"/>
                      <w:sz w:val="16"/>
                      <w:szCs w:val="16"/>
                    </w:rPr>
                    <w:t>Developed Pacific (ex-Japan) Equity</w:t>
                  </w:r>
                </w:p>
              </w:tc>
              <w:tc>
                <w:tcPr>
                  <w:tcW w:w="550" w:type="pct"/>
                  <w:vAlign w:val="center"/>
                </w:tcPr>
                <w:p w14:paraId="67B8C1DD" w14:textId="77777777" w:rsidR="00A561E0" w:rsidRDefault="00854BE4">
                  <w:pPr>
                    <w:spacing w:after="0" w:line="240" w:lineRule="auto"/>
                    <w:jc w:val="right"/>
                  </w:pPr>
                  <w:r>
                    <w:rPr>
                      <w:rFonts w:ascii="Poppins" w:eastAsia="Poppins" w:hAnsi="Poppins" w:cs="Poppins"/>
                      <w:sz w:val="16"/>
                      <w:szCs w:val="16"/>
                    </w:rPr>
                    <w:t>1.66</w:t>
                  </w:r>
                </w:p>
              </w:tc>
              <w:tc>
                <w:tcPr>
                  <w:tcW w:w="550" w:type="pct"/>
                  <w:vAlign w:val="center"/>
                </w:tcPr>
                <w:p w14:paraId="35F2302D" w14:textId="77777777" w:rsidR="00A561E0" w:rsidRDefault="00854BE4">
                  <w:pPr>
                    <w:spacing w:after="0" w:line="240" w:lineRule="auto"/>
                    <w:jc w:val="right"/>
                  </w:pPr>
                  <w:r>
                    <w:rPr>
                      <w:rFonts w:ascii="Poppins" w:eastAsia="Poppins" w:hAnsi="Poppins" w:cs="Poppins"/>
                      <w:sz w:val="16"/>
                      <w:szCs w:val="16"/>
                    </w:rPr>
                    <w:t>0.00</w:t>
                  </w:r>
                </w:p>
              </w:tc>
              <w:tc>
                <w:tcPr>
                  <w:tcW w:w="550" w:type="pct"/>
                  <w:vAlign w:val="center"/>
                </w:tcPr>
                <w:p w14:paraId="272EEF9D" w14:textId="77777777" w:rsidR="00A561E0" w:rsidRDefault="00854BE4">
                  <w:pPr>
                    <w:spacing w:after="0" w:line="240" w:lineRule="auto"/>
                    <w:jc w:val="right"/>
                  </w:pPr>
                  <w:r>
                    <w:rPr>
                      <w:rFonts w:ascii="Poppins" w:eastAsia="Poppins" w:hAnsi="Poppins" w:cs="Poppins"/>
                      <w:sz w:val="16"/>
                      <w:szCs w:val="16"/>
                    </w:rPr>
                    <w:t>1.66</w:t>
                  </w:r>
                </w:p>
              </w:tc>
            </w:tr>
            <w:tr w:rsidR="00A561E0" w14:paraId="303D1A91" w14:textId="77777777">
              <w:trPr>
                <w:tblCellSpacing w:w="15" w:type="dxa"/>
              </w:trPr>
              <w:tc>
                <w:tcPr>
                  <w:tcW w:w="0" w:type="auto"/>
                  <w:vAlign w:val="center"/>
                </w:tcPr>
                <w:p w14:paraId="1465BE6D" w14:textId="77777777" w:rsidR="00A561E0" w:rsidRDefault="00854BE4">
                  <w:pPr>
                    <w:spacing w:after="0" w:line="240" w:lineRule="auto"/>
                  </w:pPr>
                  <w:r>
                    <w:rPr>
                      <w:rFonts w:ascii="Wingdings" w:eastAsia="Wingdings" w:hAnsi="Wingdings" w:cs="Wingdings"/>
                      <w:color w:val="16A085"/>
                      <w:sz w:val="16"/>
                      <w:szCs w:val="16"/>
                    </w:rPr>
                    <w:t>l</w:t>
                  </w:r>
                </w:p>
              </w:tc>
              <w:tc>
                <w:tcPr>
                  <w:tcW w:w="0" w:type="auto"/>
                  <w:vAlign w:val="center"/>
                </w:tcPr>
                <w:p w14:paraId="1E472208" w14:textId="77777777" w:rsidR="00A561E0" w:rsidRDefault="00854BE4">
                  <w:pPr>
                    <w:spacing w:after="0" w:line="240" w:lineRule="auto"/>
                  </w:pPr>
                  <w:r>
                    <w:rPr>
                      <w:rFonts w:ascii="Poppins" w:eastAsia="Poppins" w:hAnsi="Poppins" w:cs="Poppins"/>
                      <w:sz w:val="16"/>
                      <w:szCs w:val="16"/>
                    </w:rPr>
                    <w:t>Japan Equity</w:t>
                  </w:r>
                </w:p>
              </w:tc>
              <w:tc>
                <w:tcPr>
                  <w:tcW w:w="550" w:type="pct"/>
                  <w:vAlign w:val="center"/>
                </w:tcPr>
                <w:p w14:paraId="29F15CDB" w14:textId="77777777" w:rsidR="00A561E0" w:rsidRDefault="00854BE4">
                  <w:pPr>
                    <w:spacing w:after="0" w:line="240" w:lineRule="auto"/>
                    <w:jc w:val="right"/>
                  </w:pPr>
                  <w:r>
                    <w:rPr>
                      <w:rFonts w:ascii="Poppins" w:eastAsia="Poppins" w:hAnsi="Poppins" w:cs="Poppins"/>
                      <w:sz w:val="16"/>
                      <w:szCs w:val="16"/>
                    </w:rPr>
                    <w:t>1.31</w:t>
                  </w:r>
                </w:p>
              </w:tc>
              <w:tc>
                <w:tcPr>
                  <w:tcW w:w="550" w:type="pct"/>
                  <w:vAlign w:val="center"/>
                </w:tcPr>
                <w:p w14:paraId="2B841022" w14:textId="77777777" w:rsidR="00A561E0" w:rsidRDefault="00854BE4">
                  <w:pPr>
                    <w:spacing w:after="0" w:line="240" w:lineRule="auto"/>
                    <w:jc w:val="right"/>
                  </w:pPr>
                  <w:r>
                    <w:rPr>
                      <w:rFonts w:ascii="Poppins" w:eastAsia="Poppins" w:hAnsi="Poppins" w:cs="Poppins"/>
                      <w:sz w:val="16"/>
                      <w:szCs w:val="16"/>
                    </w:rPr>
                    <w:t>0.00</w:t>
                  </w:r>
                </w:p>
              </w:tc>
              <w:tc>
                <w:tcPr>
                  <w:tcW w:w="550" w:type="pct"/>
                  <w:vAlign w:val="center"/>
                </w:tcPr>
                <w:p w14:paraId="046BA246" w14:textId="77777777" w:rsidR="00A561E0" w:rsidRDefault="00854BE4">
                  <w:pPr>
                    <w:spacing w:after="0" w:line="240" w:lineRule="auto"/>
                    <w:jc w:val="right"/>
                  </w:pPr>
                  <w:r>
                    <w:rPr>
                      <w:rFonts w:ascii="Poppins" w:eastAsia="Poppins" w:hAnsi="Poppins" w:cs="Poppins"/>
                      <w:sz w:val="16"/>
                      <w:szCs w:val="16"/>
                    </w:rPr>
                    <w:t>1.31</w:t>
                  </w:r>
                </w:p>
              </w:tc>
            </w:tr>
            <w:tr w:rsidR="00A561E0" w14:paraId="6F64E312" w14:textId="77777777">
              <w:trPr>
                <w:tblCellSpacing w:w="15" w:type="dxa"/>
              </w:trPr>
              <w:tc>
                <w:tcPr>
                  <w:tcW w:w="0" w:type="auto"/>
                  <w:vAlign w:val="center"/>
                </w:tcPr>
                <w:p w14:paraId="3330FCED" w14:textId="77777777" w:rsidR="00A561E0" w:rsidRDefault="00854BE4">
                  <w:pPr>
                    <w:spacing w:after="0" w:line="240" w:lineRule="auto"/>
                  </w:pPr>
                  <w:r>
                    <w:rPr>
                      <w:rFonts w:ascii="Wingdings" w:eastAsia="Wingdings" w:hAnsi="Wingdings" w:cs="Wingdings"/>
                      <w:color w:val="2CABFF"/>
                      <w:sz w:val="16"/>
                      <w:szCs w:val="16"/>
                    </w:rPr>
                    <w:t>l</w:t>
                  </w:r>
                </w:p>
              </w:tc>
              <w:tc>
                <w:tcPr>
                  <w:tcW w:w="0" w:type="auto"/>
                  <w:vAlign w:val="center"/>
                </w:tcPr>
                <w:p w14:paraId="7963D82D" w14:textId="77777777" w:rsidR="00A561E0" w:rsidRDefault="00854BE4">
                  <w:pPr>
                    <w:spacing w:after="0" w:line="240" w:lineRule="auto"/>
                  </w:pPr>
                  <w:r>
                    <w:rPr>
                      <w:rFonts w:ascii="Poppins" w:eastAsia="Poppins" w:hAnsi="Poppins" w:cs="Poppins"/>
                      <w:sz w:val="16"/>
                      <w:szCs w:val="16"/>
                    </w:rPr>
                    <w:t>Cash - Short Term Money Market</w:t>
                  </w:r>
                </w:p>
              </w:tc>
              <w:tc>
                <w:tcPr>
                  <w:tcW w:w="550" w:type="pct"/>
                  <w:vAlign w:val="center"/>
                </w:tcPr>
                <w:p w14:paraId="06692C83" w14:textId="77777777" w:rsidR="00A561E0" w:rsidRDefault="00854BE4">
                  <w:pPr>
                    <w:spacing w:after="0" w:line="240" w:lineRule="auto"/>
                    <w:jc w:val="right"/>
                  </w:pPr>
                  <w:r>
                    <w:rPr>
                      <w:rFonts w:ascii="Poppins" w:eastAsia="Poppins" w:hAnsi="Poppins" w:cs="Poppins"/>
                      <w:sz w:val="16"/>
                      <w:szCs w:val="16"/>
                    </w:rPr>
                    <w:t>0.21</w:t>
                  </w:r>
                </w:p>
              </w:tc>
              <w:tc>
                <w:tcPr>
                  <w:tcW w:w="550" w:type="pct"/>
                  <w:vAlign w:val="center"/>
                </w:tcPr>
                <w:p w14:paraId="0BDD624D" w14:textId="77777777" w:rsidR="00A561E0" w:rsidRDefault="00854BE4">
                  <w:pPr>
                    <w:spacing w:after="0" w:line="240" w:lineRule="auto"/>
                    <w:jc w:val="right"/>
                  </w:pPr>
                  <w:r>
                    <w:rPr>
                      <w:rFonts w:ascii="Poppins" w:eastAsia="Poppins" w:hAnsi="Poppins" w:cs="Poppins"/>
                      <w:sz w:val="16"/>
                      <w:szCs w:val="16"/>
                    </w:rPr>
                    <w:t>-0.01</w:t>
                  </w:r>
                </w:p>
              </w:tc>
              <w:tc>
                <w:tcPr>
                  <w:tcW w:w="550" w:type="pct"/>
                  <w:vAlign w:val="center"/>
                </w:tcPr>
                <w:p w14:paraId="4710ED1A" w14:textId="77777777" w:rsidR="00A561E0" w:rsidRDefault="00854BE4">
                  <w:pPr>
                    <w:spacing w:after="0" w:line="240" w:lineRule="auto"/>
                    <w:jc w:val="right"/>
                  </w:pPr>
                  <w:r>
                    <w:rPr>
                      <w:rFonts w:ascii="Poppins" w:eastAsia="Poppins" w:hAnsi="Poppins" w:cs="Poppins"/>
                      <w:sz w:val="16"/>
                      <w:szCs w:val="16"/>
                    </w:rPr>
                    <w:t>0.22</w:t>
                  </w:r>
                </w:p>
              </w:tc>
            </w:tr>
            <w:tr w:rsidR="00A561E0" w14:paraId="4F423C5B" w14:textId="77777777">
              <w:trPr>
                <w:tblCellSpacing w:w="15" w:type="dxa"/>
              </w:trPr>
              <w:tc>
                <w:tcPr>
                  <w:tcW w:w="0" w:type="auto"/>
                  <w:vAlign w:val="center"/>
                </w:tcPr>
                <w:p w14:paraId="0C682792" w14:textId="77777777" w:rsidR="00A561E0" w:rsidRDefault="00854BE4">
                  <w:pPr>
                    <w:spacing w:after="0" w:line="240" w:lineRule="auto"/>
                  </w:pPr>
                  <w:r>
                    <w:rPr>
                      <w:rFonts w:ascii="Wingdings" w:eastAsia="Wingdings" w:hAnsi="Wingdings" w:cs="Wingdings"/>
                      <w:color w:val="A1D6B5"/>
                      <w:sz w:val="16"/>
                      <w:szCs w:val="16"/>
                    </w:rPr>
                    <w:t>l</w:t>
                  </w:r>
                </w:p>
              </w:tc>
              <w:tc>
                <w:tcPr>
                  <w:tcW w:w="0" w:type="auto"/>
                  <w:vAlign w:val="center"/>
                </w:tcPr>
                <w:p w14:paraId="12C2D399" w14:textId="77777777" w:rsidR="00A561E0" w:rsidRDefault="00854BE4">
                  <w:pPr>
                    <w:spacing w:after="0" w:line="240" w:lineRule="auto"/>
                  </w:pPr>
                  <w:r>
                    <w:rPr>
                      <w:rFonts w:ascii="Poppins" w:eastAsia="Poppins" w:hAnsi="Poppins" w:cs="Poppins"/>
                      <w:sz w:val="16"/>
                      <w:szCs w:val="16"/>
                    </w:rPr>
                    <w:t>Other</w:t>
                  </w:r>
                </w:p>
              </w:tc>
              <w:tc>
                <w:tcPr>
                  <w:tcW w:w="550" w:type="pct"/>
                  <w:vAlign w:val="center"/>
                </w:tcPr>
                <w:p w14:paraId="573C59F7" w14:textId="77777777" w:rsidR="00A561E0" w:rsidRDefault="00854BE4">
                  <w:pPr>
                    <w:spacing w:after="0" w:line="240" w:lineRule="auto"/>
                    <w:jc w:val="right"/>
                  </w:pPr>
                  <w:r>
                    <w:rPr>
                      <w:rFonts w:ascii="Poppins" w:eastAsia="Poppins" w:hAnsi="Poppins" w:cs="Poppins"/>
                      <w:sz w:val="16"/>
                      <w:szCs w:val="16"/>
                    </w:rPr>
                    <w:t>-0.04</w:t>
                  </w:r>
                </w:p>
              </w:tc>
              <w:tc>
                <w:tcPr>
                  <w:tcW w:w="550" w:type="pct"/>
                  <w:vAlign w:val="center"/>
                </w:tcPr>
                <w:p w14:paraId="41543A36" w14:textId="77777777" w:rsidR="00A561E0" w:rsidRDefault="00854BE4">
                  <w:pPr>
                    <w:spacing w:after="0" w:line="240" w:lineRule="auto"/>
                    <w:jc w:val="right"/>
                  </w:pPr>
                  <w:r>
                    <w:rPr>
                      <w:rFonts w:ascii="Poppins" w:eastAsia="Poppins" w:hAnsi="Poppins" w:cs="Poppins"/>
                      <w:sz w:val="16"/>
                      <w:szCs w:val="16"/>
                    </w:rPr>
                    <w:t>-40.12</w:t>
                  </w:r>
                </w:p>
              </w:tc>
              <w:tc>
                <w:tcPr>
                  <w:tcW w:w="550" w:type="pct"/>
                  <w:vAlign w:val="center"/>
                </w:tcPr>
                <w:p w14:paraId="574A0F85" w14:textId="77777777" w:rsidR="00A561E0" w:rsidRDefault="00854BE4">
                  <w:pPr>
                    <w:spacing w:after="0" w:line="240" w:lineRule="auto"/>
                    <w:jc w:val="right"/>
                  </w:pPr>
                  <w:r>
                    <w:rPr>
                      <w:rFonts w:ascii="Poppins" w:eastAsia="Poppins" w:hAnsi="Poppins" w:cs="Poppins"/>
                      <w:sz w:val="16"/>
                      <w:szCs w:val="16"/>
                    </w:rPr>
                    <w:t>40.08</w:t>
                  </w:r>
                </w:p>
              </w:tc>
            </w:tr>
          </w:tbl>
          <w:p w14:paraId="3B123D22" w14:textId="77777777" w:rsidR="00A561E0" w:rsidRDefault="00A561E0">
            <w:pPr>
              <w:spacing w:after="0"/>
            </w:pPr>
          </w:p>
        </w:tc>
      </w:tr>
      <w:tr w:rsidR="00A561E0" w14:paraId="1E412843" w14:textId="77777777">
        <w:trPr>
          <w:tblCellSpacing w:w="15" w:type="dxa"/>
        </w:trPr>
        <w:tc>
          <w:tcPr>
            <w:tcW w:w="0" w:type="auto"/>
            <w:gridSpan w:val="2"/>
          </w:tcPr>
          <w:p w14:paraId="776CA69F" w14:textId="77777777" w:rsidR="00A561E0" w:rsidRDefault="00854BE4">
            <w:pPr>
              <w:spacing w:after="0"/>
            </w:pPr>
            <w:r>
              <w:rPr>
                <w:rFonts w:ascii="Poppins" w:eastAsia="Poppins" w:hAnsi="Poppins" w:cs="Poppins"/>
                <w:sz w:val="16"/>
                <w:szCs w:val="16"/>
              </w:rPr>
              <w:t>⁽</w:t>
            </w:r>
            <w:r>
              <w:rPr>
                <w:rFonts w:ascii="Poppins" w:eastAsia="Poppins" w:hAnsi="Poppins" w:cs="Poppins"/>
                <w:sz w:val="16"/>
                <w:szCs w:val="16"/>
              </w:rPr>
              <w:t>¹⁾ Due to the negative asset allocation within the selected portfolio the investment allocation chart is unavailable.</w:t>
            </w:r>
            <w:r>
              <w:rPr>
                <w:rFonts w:ascii="Poppins" w:eastAsia="Poppins" w:hAnsi="Poppins" w:cs="Poppins"/>
                <w:sz w:val="16"/>
                <w:szCs w:val="16"/>
              </w:rPr>
              <w:br/>
              <w:t>⁽²⁾ Due to rounding there may be a discrepancy between the Long/Short % and the Net %.</w:t>
            </w:r>
          </w:p>
        </w:tc>
      </w:tr>
    </w:tbl>
    <w:p w14:paraId="44B2479D" w14:textId="77777777" w:rsidR="00A561E0" w:rsidRDefault="00A561E0">
      <w:pPr>
        <w:spacing w:after="280" w:afterAutospacing="1"/>
        <w:sectPr w:rsidR="00A561E0">
          <w:headerReference w:type="default" r:id="rId43"/>
          <w:footerReference w:type="default" r:id="rId44"/>
          <w:pgSz w:w="11906" w:h="16838"/>
          <w:pgMar w:top="709" w:right="640" w:bottom="376" w:left="640" w:header="200" w:footer="200" w:gutter="0"/>
          <w:cols w:space="708"/>
          <w:docGrid w:linePitch="360"/>
        </w:sectPr>
      </w:pPr>
    </w:p>
    <w:p w14:paraId="0672317F" w14:textId="77777777" w:rsidR="00A561E0" w:rsidRDefault="00854BE4">
      <w:pPr>
        <w:pStyle w:val="DefaqtoHeading2"/>
      </w:pPr>
      <w:bookmarkStart w:id="25" w:name="_Toc3558338"/>
      <w:r>
        <w:t>Filters</w:t>
      </w:r>
      <w:bookmarkEnd w:id="25"/>
    </w:p>
    <w:p w14:paraId="65E19858" w14:textId="77777777" w:rsidR="00A561E0" w:rsidRDefault="00854BE4">
      <w:pPr>
        <w:pStyle w:val="DefaqtoBody"/>
      </w:pPr>
      <w:r>
        <w:t xml:space="preserve">The following are the criteria applied to select the most suitable investments. </w:t>
      </w:r>
    </w:p>
    <w:p w14:paraId="1A9E658D" w14:textId="77777777" w:rsidR="00A561E0" w:rsidRDefault="00A561E0">
      <w:pPr>
        <w:spacing w:line="240" w:lineRule="auto"/>
      </w:pPr>
    </w:p>
    <w:tbl>
      <w:tblPr>
        <w:tblStyle w:val="Custom1"/>
        <w:tblW w:w="0" w:type="auto"/>
        <w:tblLook w:val="04A0" w:firstRow="1" w:lastRow="0" w:firstColumn="1" w:lastColumn="0" w:noHBand="0" w:noVBand="1"/>
      </w:tblPr>
      <w:tblGrid>
        <w:gridCol w:w="2117"/>
        <w:gridCol w:w="8329"/>
      </w:tblGrid>
      <w:tr w:rsidR="00A561E0" w14:paraId="157CAD5E" w14:textId="77777777" w:rsidTr="00A5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tcPr>
          <w:p w14:paraId="49AA962F" w14:textId="77777777" w:rsidR="00A561E0" w:rsidRDefault="00854BE4">
            <w:pPr>
              <w:pStyle w:val="DefaqtoTableBody2"/>
            </w:pPr>
            <w:r>
              <w:t>Investment(s)</w:t>
            </w:r>
          </w:p>
        </w:tc>
        <w:tc>
          <w:tcPr>
            <w:tcW w:w="8329" w:type="dxa"/>
          </w:tcPr>
          <w:p w14:paraId="30505940"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CT Universal MAP Cautious Fund C Acc (GBP)</w:t>
            </w:r>
          </w:p>
        </w:tc>
      </w:tr>
      <w:tr w:rsidR="00A561E0" w14:paraId="54F4AF36" w14:textId="77777777" w:rsidTr="00A561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tcPr>
          <w:p w14:paraId="6B139CB4" w14:textId="77777777" w:rsidR="00A561E0" w:rsidRDefault="00854BE4">
            <w:pPr>
              <w:pStyle w:val="DefaqtoTableBody2"/>
            </w:pPr>
            <w:r>
              <w:t>Panel</w:t>
            </w:r>
          </w:p>
        </w:tc>
        <w:tc>
          <w:tcPr>
            <w:tcW w:w="8329" w:type="dxa"/>
          </w:tcPr>
          <w:p w14:paraId="6A6F9003" w14:textId="77777777" w:rsidR="00A561E0" w:rsidRDefault="00854BE4">
            <w:pPr>
              <w:pStyle w:val="DefaqtoTableBody2"/>
              <w:cnfStyle w:val="000000010000" w:firstRow="0" w:lastRow="0" w:firstColumn="0" w:lastColumn="0" w:oddVBand="0" w:evenVBand="0" w:oddHBand="0" w:evenHBand="1" w:firstRowFirstColumn="0" w:firstRowLastColumn="0" w:lastRowFirstColumn="0" w:lastRowLastColumn="0"/>
            </w:pPr>
            <w:r>
              <w:t>TFAS</w:t>
            </w:r>
          </w:p>
        </w:tc>
      </w:tr>
      <w:tr w:rsidR="00A561E0" w14:paraId="3E74ADB9" w14:textId="77777777" w:rsidTr="00A5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tcPr>
          <w:p w14:paraId="49F28894" w14:textId="77777777" w:rsidR="00A561E0" w:rsidRDefault="00854BE4">
            <w:pPr>
              <w:pStyle w:val="DefaqtoTableBody2"/>
            </w:pPr>
            <w:r>
              <w:t>Filter settings</w:t>
            </w:r>
          </w:p>
        </w:tc>
        <w:tc>
          <w:tcPr>
            <w:tcW w:w="8329" w:type="dxa"/>
          </w:tcPr>
          <w:p w14:paraId="786E670F"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Currency is GBP</w:t>
            </w:r>
          </w:p>
        </w:tc>
      </w:tr>
      <w:tr w:rsidR="00A561E0" w14:paraId="36A4E12D" w14:textId="77777777" w:rsidTr="00A561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tcPr>
          <w:p w14:paraId="1D39750A" w14:textId="77777777" w:rsidR="00A561E0" w:rsidRDefault="00854BE4">
            <w:pPr>
              <w:pStyle w:val="DefaqtoTableBody2"/>
            </w:pPr>
            <w:r>
              <w:t>Sort settings</w:t>
            </w:r>
          </w:p>
        </w:tc>
        <w:tc>
          <w:tcPr>
            <w:tcW w:w="8329" w:type="dxa"/>
          </w:tcPr>
          <w:p w14:paraId="404BCA83" w14:textId="77777777" w:rsidR="00A561E0" w:rsidRDefault="00854BE4">
            <w:pPr>
              <w:pStyle w:val="DefaqtoTableBody2"/>
              <w:cnfStyle w:val="000000010000" w:firstRow="0" w:lastRow="0" w:firstColumn="0" w:lastColumn="0" w:oddVBand="0" w:evenVBand="0" w:oddHBand="0" w:evenHBand="1" w:firstRowFirstColumn="0" w:firstRowLastColumn="0" w:lastRowFirstColumn="0" w:lastRowLastColumn="0"/>
            </w:pPr>
            <w:r>
              <w:t>None Applied</w:t>
            </w:r>
          </w:p>
        </w:tc>
      </w:tr>
    </w:tbl>
    <w:p w14:paraId="6E5F502A" w14:textId="77777777" w:rsidR="00A561E0" w:rsidRDefault="00854BE4">
      <w:pPr>
        <w:spacing w:line="240" w:lineRule="auto"/>
        <w:rPr>
          <w:color w:val="808080"/>
          <w:lang w:val="en-NZ"/>
        </w:rPr>
      </w:pPr>
      <w:r>
        <w:rPr>
          <w:color w:val="808080"/>
          <w:lang w:val="en-NZ"/>
        </w:rPr>
        <w:br/>
      </w:r>
    </w:p>
    <w:p w14:paraId="59934CC6" w14:textId="77777777" w:rsidR="00A561E0" w:rsidRDefault="00A561E0">
      <w:pPr>
        <w:pStyle w:val="Defaqtosmallprint"/>
      </w:pPr>
    </w:p>
    <w:p w14:paraId="02F528F7" w14:textId="77777777" w:rsidR="00A561E0" w:rsidRDefault="00854BE4">
      <w:pPr>
        <w:pStyle w:val="DefaqtoHeading2"/>
      </w:pPr>
      <w:bookmarkStart w:id="26" w:name="_Toc3558339"/>
      <w:r>
        <w:t>Shortlist</w:t>
      </w:r>
      <w:bookmarkEnd w:id="26"/>
    </w:p>
    <w:p w14:paraId="123147D3" w14:textId="77777777" w:rsidR="00A561E0" w:rsidRDefault="00854BE4">
      <w:pPr>
        <w:pStyle w:val="DefaqtoBody"/>
      </w:pPr>
      <w:r>
        <w:rPr>
          <w:lang w:val="en-NZ"/>
        </w:rPr>
        <w:t>6</w:t>
      </w:r>
      <w:r>
        <w:t xml:space="preserve"> </w:t>
      </w:r>
      <w:r>
        <w:rPr>
          <w:noProof/>
        </w:rPr>
        <w:t>investments</w:t>
      </w:r>
      <w:r>
        <w:t xml:space="preserve"> from a total of </w:t>
      </w:r>
      <w:r>
        <w:rPr>
          <w:lang w:val="en-NZ"/>
        </w:rPr>
        <w:t>6</w:t>
      </w:r>
      <w:r>
        <w:t xml:space="preserve"> risk level  </w:t>
      </w:r>
      <w:r>
        <w:rPr>
          <w:noProof/>
        </w:rPr>
        <w:t>investments</w:t>
      </w:r>
      <w:r>
        <w:t>, as rated by Defaqto, matched the filters applied.</w:t>
      </w:r>
    </w:p>
    <w:tbl>
      <w:tblPr>
        <w:tblStyle w:val="DefaqtoTable"/>
        <w:tblW w:w="5000" w:type="pct"/>
        <w:tblLayout w:type="fixed"/>
        <w:tblLook w:val="0420" w:firstRow="1" w:lastRow="0" w:firstColumn="0" w:lastColumn="0" w:noHBand="0" w:noVBand="1"/>
      </w:tblPr>
      <w:tblGrid>
        <w:gridCol w:w="3739"/>
        <w:gridCol w:w="2773"/>
        <w:gridCol w:w="1827"/>
        <w:gridCol w:w="1175"/>
        <w:gridCol w:w="1102"/>
      </w:tblGrid>
      <w:tr w:rsidR="00A561E0" w14:paraId="45BADC77" w14:textId="77777777" w:rsidTr="00A561E0">
        <w:trPr>
          <w:cnfStyle w:val="100000000000" w:firstRow="1" w:lastRow="0" w:firstColumn="0" w:lastColumn="0" w:oddVBand="0" w:evenVBand="0" w:oddHBand="0" w:evenHBand="0" w:firstRowFirstColumn="0" w:firstRowLastColumn="0" w:lastRowFirstColumn="0" w:lastRowLastColumn="0"/>
          <w:trHeight w:val="432"/>
        </w:trPr>
        <w:tc>
          <w:tcPr>
            <w:tcW w:w="3684" w:type="dxa"/>
            <w:hideMark/>
          </w:tcPr>
          <w:p w14:paraId="079D370F" w14:textId="77777777" w:rsidR="00A561E0" w:rsidRDefault="00854BE4">
            <w:pPr>
              <w:pStyle w:val="DefaqtoTableBody2"/>
              <w:rPr>
                <w:b w:val="0"/>
                <w:bCs w:val="0"/>
              </w:rPr>
            </w:pPr>
            <w:r>
              <w:t>Investment</w:t>
            </w:r>
          </w:p>
        </w:tc>
        <w:tc>
          <w:tcPr>
            <w:tcW w:w="2731" w:type="dxa"/>
            <w:hideMark/>
          </w:tcPr>
          <w:p w14:paraId="3555F6EB" w14:textId="77777777" w:rsidR="00A561E0" w:rsidRDefault="00854BE4">
            <w:pPr>
              <w:pStyle w:val="DefaqtoTableBody2"/>
              <w:rPr>
                <w:b w:val="0"/>
                <w:bCs w:val="0"/>
              </w:rPr>
            </w:pPr>
            <w:r>
              <w:t>Provider</w:t>
            </w:r>
          </w:p>
        </w:tc>
        <w:tc>
          <w:tcPr>
            <w:tcW w:w="1799" w:type="dxa"/>
            <w:hideMark/>
          </w:tcPr>
          <w:p w14:paraId="3DEE5F40" w14:textId="77777777" w:rsidR="00A561E0" w:rsidRDefault="00854BE4">
            <w:pPr>
              <w:pStyle w:val="DefaqtoTableBody2"/>
              <w:rPr>
                <w:b w:val="0"/>
                <w:bCs w:val="0"/>
              </w:rPr>
            </w:pPr>
            <w:r>
              <w:t>ISIN</w:t>
            </w:r>
          </w:p>
        </w:tc>
        <w:tc>
          <w:tcPr>
            <w:tcW w:w="1157" w:type="dxa"/>
          </w:tcPr>
          <w:p w14:paraId="7CC8F7D5" w14:textId="77777777" w:rsidR="00A561E0" w:rsidRDefault="00854BE4">
            <w:pPr>
              <w:pStyle w:val="DefaqtoTableBody2"/>
              <w:rPr>
                <w:b w:val="0"/>
                <w:bCs w:val="0"/>
              </w:rPr>
            </w:pPr>
            <w:r>
              <w:t>Risk controlled</w:t>
            </w:r>
          </w:p>
        </w:tc>
        <w:tc>
          <w:tcPr>
            <w:tcW w:w="1085" w:type="dxa"/>
            <w:hideMark/>
          </w:tcPr>
          <w:p w14:paraId="44D8A190" w14:textId="77777777" w:rsidR="00A561E0" w:rsidRDefault="00854BE4">
            <w:pPr>
              <w:pStyle w:val="DefaqtoTableBody2"/>
              <w:jc w:val="center"/>
              <w:rPr>
                <w:b w:val="0"/>
                <w:bCs w:val="0"/>
              </w:rPr>
            </w:pPr>
            <w:r>
              <w:t>Diamond rating</w:t>
            </w:r>
          </w:p>
        </w:tc>
      </w:tr>
      <w:tr w:rsidR="00A561E0" w14:paraId="5D8390C7" w14:textId="77777777" w:rsidTr="00A561E0">
        <w:trPr>
          <w:cnfStyle w:val="000000100000" w:firstRow="0" w:lastRow="0" w:firstColumn="0" w:lastColumn="0" w:oddVBand="0" w:evenVBand="0" w:oddHBand="1" w:evenHBand="0" w:firstRowFirstColumn="0" w:firstRowLastColumn="0" w:lastRowFirstColumn="0" w:lastRowLastColumn="0"/>
          <w:trHeight w:val="432"/>
        </w:trPr>
        <w:tc>
          <w:tcPr>
            <w:tcW w:w="3684" w:type="dxa"/>
          </w:tcPr>
          <w:p w14:paraId="2CA8A230" w14:textId="77777777" w:rsidR="00A561E0" w:rsidRDefault="00854BE4">
            <w:pPr>
              <w:pStyle w:val="DefaqtoTableBody2"/>
            </w:pPr>
            <w:r>
              <w:t>Aviva Investors Multi-asset Plus Fund II Class 2 GBP Acc</w:t>
            </w:r>
          </w:p>
        </w:tc>
        <w:tc>
          <w:tcPr>
            <w:tcW w:w="2731" w:type="dxa"/>
          </w:tcPr>
          <w:p w14:paraId="5C62E6EC" w14:textId="77777777" w:rsidR="00A561E0" w:rsidRDefault="00854BE4">
            <w:pPr>
              <w:pStyle w:val="DefaqtoTableBody2"/>
            </w:pPr>
            <w:r>
              <w:t>Aviva Investors UK Fund Services Limited</w:t>
            </w:r>
          </w:p>
        </w:tc>
        <w:tc>
          <w:tcPr>
            <w:tcW w:w="1799" w:type="dxa"/>
          </w:tcPr>
          <w:p w14:paraId="5941E39E" w14:textId="77777777" w:rsidR="00A561E0" w:rsidRDefault="00854BE4">
            <w:pPr>
              <w:pStyle w:val="DefaqtoTableBody2"/>
            </w:pPr>
            <w:r>
              <w:t>GB00B7JRQQ84</w:t>
            </w:r>
          </w:p>
        </w:tc>
        <w:tc>
          <w:tcPr>
            <w:tcW w:w="1157" w:type="dxa"/>
          </w:tcPr>
          <w:p w14:paraId="4FC61637" w14:textId="77777777" w:rsidR="00A561E0" w:rsidRDefault="00854BE4">
            <w:pPr>
              <w:pStyle w:val="DefaqtoTableBody2"/>
            </w:pPr>
            <w:r>
              <w:pict w14:anchorId="57DD8FCF">
                <v:shape id="_x0000_i1038" type="#_x0000_t75" style="width:33pt;height:30pt;visibility:visible">
                  <v:imagedata r:id="rId28" o:title=""/>
                </v:shape>
              </w:pict>
            </w:r>
          </w:p>
        </w:tc>
        <w:tc>
          <w:tcPr>
            <w:tcW w:w="1085" w:type="dxa"/>
          </w:tcPr>
          <w:p w14:paraId="7D4F1272" w14:textId="77777777" w:rsidR="00A561E0" w:rsidRDefault="00854BE4">
            <w:pPr>
              <w:pStyle w:val="DefaqtoTableBody2"/>
              <w:jc w:val="center"/>
            </w:pPr>
            <w:r>
              <w:pict w14:anchorId="69E2E571">
                <v:shape id="_x0000_i1039" type="#_x0000_t75" style="width:.6pt;height:.6pt;visibility:visible">
                  <v:imagedata r:id="rId29" o:title=""/>
                </v:shape>
              </w:pict>
            </w:r>
            <w:r>
              <w:t>N/A</w:t>
            </w:r>
          </w:p>
        </w:tc>
      </w:tr>
      <w:tr w:rsidR="00A561E0" w14:paraId="2ACDA300" w14:textId="77777777" w:rsidTr="00A561E0">
        <w:trPr>
          <w:cnfStyle w:val="000000010000" w:firstRow="0" w:lastRow="0" w:firstColumn="0" w:lastColumn="0" w:oddVBand="0" w:evenVBand="0" w:oddHBand="0" w:evenHBand="1" w:firstRowFirstColumn="0" w:firstRowLastColumn="0" w:lastRowFirstColumn="0" w:lastRowLastColumn="0"/>
          <w:trHeight w:val="432"/>
        </w:trPr>
        <w:tc>
          <w:tcPr>
            <w:tcW w:w="3684" w:type="dxa"/>
          </w:tcPr>
          <w:p w14:paraId="1B561BC1" w14:textId="77777777" w:rsidR="00A561E0" w:rsidRDefault="00854BE4">
            <w:pPr>
              <w:pStyle w:val="DefaqtoTableBody2"/>
            </w:pPr>
            <w:r>
              <w:t>CT Sustainable Universal MAP Cautious C Acc</w:t>
            </w:r>
          </w:p>
        </w:tc>
        <w:tc>
          <w:tcPr>
            <w:tcW w:w="2731" w:type="dxa"/>
          </w:tcPr>
          <w:p w14:paraId="51737F72" w14:textId="77777777" w:rsidR="00A561E0" w:rsidRDefault="00854BE4">
            <w:pPr>
              <w:pStyle w:val="DefaqtoTableBody2"/>
            </w:pPr>
            <w:r>
              <w:t>Columbia Threadneedle Fund Management Limited</w:t>
            </w:r>
          </w:p>
        </w:tc>
        <w:tc>
          <w:tcPr>
            <w:tcW w:w="1799" w:type="dxa"/>
          </w:tcPr>
          <w:p w14:paraId="56ED2B6E" w14:textId="77777777" w:rsidR="00A561E0" w:rsidRDefault="00854BE4">
            <w:pPr>
              <w:pStyle w:val="DefaqtoTableBody2"/>
            </w:pPr>
            <w:r>
              <w:t>GB00BKV44647</w:t>
            </w:r>
          </w:p>
        </w:tc>
        <w:tc>
          <w:tcPr>
            <w:tcW w:w="1157" w:type="dxa"/>
          </w:tcPr>
          <w:p w14:paraId="63A7EDD4" w14:textId="77777777" w:rsidR="00A561E0" w:rsidRDefault="00854BE4">
            <w:pPr>
              <w:pStyle w:val="DefaqtoTableBody2"/>
            </w:pPr>
            <w:r>
              <w:pict w14:anchorId="408919CF">
                <v:shape id="_x0000_i1040" type="#_x0000_t75" style="width:33pt;height:30pt;visibility:visible">
                  <v:imagedata r:id="rId28" o:title=""/>
                </v:shape>
              </w:pict>
            </w:r>
          </w:p>
        </w:tc>
        <w:tc>
          <w:tcPr>
            <w:tcW w:w="1085" w:type="dxa"/>
          </w:tcPr>
          <w:p w14:paraId="3C5BDA2C" w14:textId="77777777" w:rsidR="00A561E0" w:rsidRDefault="00854BE4">
            <w:pPr>
              <w:pStyle w:val="DefaqtoTableBody2"/>
              <w:jc w:val="center"/>
            </w:pPr>
            <w:r>
              <w:pict w14:anchorId="66AFFA68">
                <v:shape id="_x0000_i1041" type="#_x0000_t75" style="width:.6pt;height:.6pt;visibility:visible">
                  <v:imagedata r:id="rId29" o:title=""/>
                </v:shape>
              </w:pict>
            </w:r>
            <w:r>
              <w:t>N/A</w:t>
            </w:r>
          </w:p>
        </w:tc>
      </w:tr>
      <w:tr w:rsidR="00A561E0" w14:paraId="65BE3626" w14:textId="77777777" w:rsidTr="00A561E0">
        <w:trPr>
          <w:cnfStyle w:val="000000100000" w:firstRow="0" w:lastRow="0" w:firstColumn="0" w:lastColumn="0" w:oddVBand="0" w:evenVBand="0" w:oddHBand="1" w:evenHBand="0" w:firstRowFirstColumn="0" w:firstRowLastColumn="0" w:lastRowFirstColumn="0" w:lastRowLastColumn="0"/>
          <w:trHeight w:val="432"/>
        </w:trPr>
        <w:tc>
          <w:tcPr>
            <w:tcW w:w="3684" w:type="dxa"/>
          </w:tcPr>
          <w:p w14:paraId="2DF308C0" w14:textId="77777777" w:rsidR="00A561E0" w:rsidRDefault="00854BE4">
            <w:pPr>
              <w:pStyle w:val="DefaqtoTableBody2"/>
            </w:pPr>
            <w:r>
              <w:t>CT Universal MAP Cautious Fund C Acc</w:t>
            </w:r>
          </w:p>
        </w:tc>
        <w:tc>
          <w:tcPr>
            <w:tcW w:w="2731" w:type="dxa"/>
          </w:tcPr>
          <w:p w14:paraId="5FA367BE" w14:textId="77777777" w:rsidR="00A561E0" w:rsidRDefault="00854BE4">
            <w:pPr>
              <w:pStyle w:val="DefaqtoTableBody2"/>
            </w:pPr>
            <w:r>
              <w:t>Columbia Threadneedle Fund Management Limited</w:t>
            </w:r>
          </w:p>
        </w:tc>
        <w:tc>
          <w:tcPr>
            <w:tcW w:w="1799" w:type="dxa"/>
          </w:tcPr>
          <w:p w14:paraId="1ACFD47E" w14:textId="77777777" w:rsidR="00A561E0" w:rsidRDefault="00854BE4">
            <w:pPr>
              <w:pStyle w:val="DefaqtoTableBody2"/>
            </w:pPr>
            <w:r>
              <w:t>GB00BF99VY38</w:t>
            </w:r>
          </w:p>
        </w:tc>
        <w:tc>
          <w:tcPr>
            <w:tcW w:w="1157" w:type="dxa"/>
          </w:tcPr>
          <w:p w14:paraId="3217B1E7" w14:textId="77777777" w:rsidR="00A561E0" w:rsidRDefault="00854BE4">
            <w:pPr>
              <w:pStyle w:val="DefaqtoTableBody2"/>
            </w:pPr>
            <w:r>
              <w:pict w14:anchorId="08264A51">
                <v:shape id="_x0000_i1042" type="#_x0000_t75" style="width:33pt;height:30pt;visibility:visible">
                  <v:imagedata r:id="rId28" o:title=""/>
                </v:shape>
              </w:pict>
            </w:r>
          </w:p>
        </w:tc>
        <w:tc>
          <w:tcPr>
            <w:tcW w:w="1085" w:type="dxa"/>
          </w:tcPr>
          <w:p w14:paraId="5210B35F" w14:textId="77777777" w:rsidR="00A561E0" w:rsidRDefault="00854BE4">
            <w:pPr>
              <w:pStyle w:val="DefaqtoTableBody2"/>
              <w:jc w:val="center"/>
            </w:pPr>
            <w:r>
              <w:pict w14:anchorId="3FFDB36F">
                <v:shape id="_x0000_i1043" type="#_x0000_t75" style="width:.6pt;height:.6pt;visibility:visible">
                  <v:imagedata r:id="rId29" o:title=""/>
                </v:shape>
              </w:pict>
            </w:r>
            <w:r>
              <w:t>N/A</w:t>
            </w:r>
          </w:p>
        </w:tc>
      </w:tr>
      <w:tr w:rsidR="00A561E0" w14:paraId="2ED37929" w14:textId="77777777" w:rsidTr="00A561E0">
        <w:trPr>
          <w:cnfStyle w:val="000000010000" w:firstRow="0" w:lastRow="0" w:firstColumn="0" w:lastColumn="0" w:oddVBand="0" w:evenVBand="0" w:oddHBand="0" w:evenHBand="1" w:firstRowFirstColumn="0" w:firstRowLastColumn="0" w:lastRowFirstColumn="0" w:lastRowLastColumn="0"/>
          <w:trHeight w:val="432"/>
        </w:trPr>
        <w:tc>
          <w:tcPr>
            <w:tcW w:w="3684" w:type="dxa"/>
          </w:tcPr>
          <w:p w14:paraId="4D304C8F" w14:textId="77777777" w:rsidR="00A561E0" w:rsidRDefault="00854BE4">
            <w:pPr>
              <w:pStyle w:val="DefaqtoTableBody2"/>
            </w:pPr>
            <w:r>
              <w:t>HSBC Global Strategy Conservative Portfolio AC</w:t>
            </w:r>
          </w:p>
        </w:tc>
        <w:tc>
          <w:tcPr>
            <w:tcW w:w="2731" w:type="dxa"/>
          </w:tcPr>
          <w:p w14:paraId="50F5F459" w14:textId="77777777" w:rsidR="00A561E0" w:rsidRDefault="00854BE4">
            <w:pPr>
              <w:pStyle w:val="DefaqtoTableBody2"/>
            </w:pPr>
            <w:r>
              <w:t>HSBC Asset Management (Fund Services UK) Limited</w:t>
            </w:r>
          </w:p>
        </w:tc>
        <w:tc>
          <w:tcPr>
            <w:tcW w:w="1799" w:type="dxa"/>
          </w:tcPr>
          <w:p w14:paraId="06ABD17A" w14:textId="77777777" w:rsidR="00A561E0" w:rsidRDefault="00854BE4">
            <w:pPr>
              <w:pStyle w:val="DefaqtoTableBody2"/>
            </w:pPr>
            <w:r>
              <w:t>GB00BYVXBK29</w:t>
            </w:r>
          </w:p>
        </w:tc>
        <w:tc>
          <w:tcPr>
            <w:tcW w:w="1157" w:type="dxa"/>
          </w:tcPr>
          <w:p w14:paraId="088FF251" w14:textId="77777777" w:rsidR="00A561E0" w:rsidRDefault="00854BE4">
            <w:pPr>
              <w:pStyle w:val="DefaqtoTableBody2"/>
            </w:pPr>
            <w:r>
              <w:pict w14:anchorId="02D97109">
                <v:shape id="_x0000_i1044" type="#_x0000_t75" style="width:.6pt;height:.6pt;visibility:visible">
                  <v:imagedata r:id="rId29" o:title=""/>
                </v:shape>
              </w:pict>
            </w:r>
          </w:p>
        </w:tc>
        <w:tc>
          <w:tcPr>
            <w:tcW w:w="1085" w:type="dxa"/>
          </w:tcPr>
          <w:p w14:paraId="154FBB5C" w14:textId="77777777" w:rsidR="00A561E0" w:rsidRDefault="00854BE4">
            <w:pPr>
              <w:pStyle w:val="DefaqtoTableBody2"/>
              <w:jc w:val="center"/>
            </w:pPr>
            <w:r>
              <w:pict w14:anchorId="6AD21339">
                <v:shape id="_x0000_i1045" type="#_x0000_t75" style="width:.6pt;height:.6pt;visibility:visible">
                  <v:imagedata r:id="rId29" o:title=""/>
                </v:shape>
              </w:pict>
            </w:r>
            <w:r>
              <w:t>N/A</w:t>
            </w:r>
          </w:p>
        </w:tc>
      </w:tr>
      <w:tr w:rsidR="00A561E0" w14:paraId="346E295A" w14:textId="77777777" w:rsidTr="00A561E0">
        <w:trPr>
          <w:cnfStyle w:val="000000100000" w:firstRow="0" w:lastRow="0" w:firstColumn="0" w:lastColumn="0" w:oddVBand="0" w:evenVBand="0" w:oddHBand="1" w:evenHBand="0" w:firstRowFirstColumn="0" w:firstRowLastColumn="0" w:lastRowFirstColumn="0" w:lastRowLastColumn="0"/>
          <w:trHeight w:val="432"/>
        </w:trPr>
        <w:tc>
          <w:tcPr>
            <w:tcW w:w="3684" w:type="dxa"/>
          </w:tcPr>
          <w:p w14:paraId="01DBF157" w14:textId="77777777" w:rsidR="00A561E0" w:rsidRDefault="00854BE4">
            <w:pPr>
              <w:pStyle w:val="DefaqtoTableBody2"/>
            </w:pPr>
            <w:r>
              <w:t>Liontrust Sustainable Future Cautious Managed Fund Class 2 Net Income</w:t>
            </w:r>
          </w:p>
        </w:tc>
        <w:tc>
          <w:tcPr>
            <w:tcW w:w="2731" w:type="dxa"/>
          </w:tcPr>
          <w:p w14:paraId="6DC6491B" w14:textId="77777777" w:rsidR="00A561E0" w:rsidRDefault="00854BE4">
            <w:pPr>
              <w:pStyle w:val="DefaqtoTableBody2"/>
            </w:pPr>
            <w:r>
              <w:t>Liontrust Fund Partners LLP</w:t>
            </w:r>
          </w:p>
        </w:tc>
        <w:tc>
          <w:tcPr>
            <w:tcW w:w="1799" w:type="dxa"/>
          </w:tcPr>
          <w:p w14:paraId="6AEF7AFB" w14:textId="77777777" w:rsidR="00A561E0" w:rsidRDefault="00854BE4">
            <w:pPr>
              <w:pStyle w:val="DefaqtoTableBody2"/>
            </w:pPr>
            <w:r>
              <w:t>GB00BMN90304</w:t>
            </w:r>
          </w:p>
        </w:tc>
        <w:tc>
          <w:tcPr>
            <w:tcW w:w="1157" w:type="dxa"/>
          </w:tcPr>
          <w:p w14:paraId="004DEECA" w14:textId="77777777" w:rsidR="00A561E0" w:rsidRDefault="00854BE4">
            <w:pPr>
              <w:pStyle w:val="DefaqtoTableBody2"/>
            </w:pPr>
            <w:r>
              <w:pict w14:anchorId="18387151">
                <v:shape id="_x0000_i1046" type="#_x0000_t75" style="width:.6pt;height:.6pt;visibility:visible">
                  <v:imagedata r:id="rId29" o:title=""/>
                </v:shape>
              </w:pict>
            </w:r>
          </w:p>
        </w:tc>
        <w:tc>
          <w:tcPr>
            <w:tcW w:w="1085" w:type="dxa"/>
          </w:tcPr>
          <w:p w14:paraId="48CE7BBF" w14:textId="77777777" w:rsidR="00A561E0" w:rsidRDefault="00854BE4">
            <w:pPr>
              <w:pStyle w:val="DefaqtoTableBody2"/>
              <w:jc w:val="center"/>
            </w:pPr>
            <w:r>
              <w:pict w14:anchorId="485FE15B">
                <v:shape id="_x0000_i1047" type="#_x0000_t75" style="width:31.8pt;height:13.2pt;visibility:visible">
                  <v:imagedata r:id="rId45" o:title=""/>
                </v:shape>
              </w:pict>
            </w:r>
          </w:p>
        </w:tc>
      </w:tr>
      <w:tr w:rsidR="00A561E0" w14:paraId="30F1A351" w14:textId="77777777" w:rsidTr="00A561E0">
        <w:trPr>
          <w:cnfStyle w:val="000000010000" w:firstRow="0" w:lastRow="0" w:firstColumn="0" w:lastColumn="0" w:oddVBand="0" w:evenVBand="0" w:oddHBand="0" w:evenHBand="1" w:firstRowFirstColumn="0" w:firstRowLastColumn="0" w:lastRowFirstColumn="0" w:lastRowLastColumn="0"/>
          <w:trHeight w:val="432"/>
        </w:trPr>
        <w:tc>
          <w:tcPr>
            <w:tcW w:w="3684" w:type="dxa"/>
          </w:tcPr>
          <w:p w14:paraId="01353731" w14:textId="77777777" w:rsidR="00A561E0" w:rsidRDefault="00854BE4">
            <w:pPr>
              <w:pStyle w:val="DefaqtoTableBody2"/>
            </w:pPr>
            <w:r>
              <w:t>Vanguard LifeStrategy 40% Equity Fund A Acc</w:t>
            </w:r>
          </w:p>
        </w:tc>
        <w:tc>
          <w:tcPr>
            <w:tcW w:w="2731" w:type="dxa"/>
          </w:tcPr>
          <w:p w14:paraId="71930FF1" w14:textId="77777777" w:rsidR="00A561E0" w:rsidRDefault="00854BE4">
            <w:pPr>
              <w:pStyle w:val="DefaqtoTableBody2"/>
            </w:pPr>
            <w:r>
              <w:t>Vanguard Investments UK, Limited</w:t>
            </w:r>
          </w:p>
        </w:tc>
        <w:tc>
          <w:tcPr>
            <w:tcW w:w="1799" w:type="dxa"/>
          </w:tcPr>
          <w:p w14:paraId="31D772C9" w14:textId="77777777" w:rsidR="00A561E0" w:rsidRDefault="00854BE4">
            <w:pPr>
              <w:pStyle w:val="DefaqtoTableBody2"/>
            </w:pPr>
            <w:r>
              <w:t>GB00B3ZHN960</w:t>
            </w:r>
          </w:p>
        </w:tc>
        <w:tc>
          <w:tcPr>
            <w:tcW w:w="1157" w:type="dxa"/>
          </w:tcPr>
          <w:p w14:paraId="315B4D21" w14:textId="77777777" w:rsidR="00A561E0" w:rsidRDefault="00854BE4">
            <w:pPr>
              <w:pStyle w:val="DefaqtoTableBody2"/>
            </w:pPr>
            <w:r>
              <w:pict w14:anchorId="21552AFD">
                <v:shape id="_x0000_i1048" type="#_x0000_t75" style="width:.6pt;height:.6pt;visibility:visible">
                  <v:imagedata r:id="rId29" o:title=""/>
                </v:shape>
              </w:pict>
            </w:r>
          </w:p>
        </w:tc>
        <w:tc>
          <w:tcPr>
            <w:tcW w:w="1085" w:type="dxa"/>
          </w:tcPr>
          <w:p w14:paraId="16AAC91A" w14:textId="77777777" w:rsidR="00A561E0" w:rsidRDefault="00854BE4">
            <w:pPr>
              <w:pStyle w:val="DefaqtoTableBody2"/>
              <w:jc w:val="center"/>
            </w:pPr>
            <w:r>
              <w:pict w14:anchorId="5B5EF7F6">
                <v:shape id="_x0000_i1049" type="#_x0000_t75" style="width:31.8pt;height:13.2pt;visibility:visible">
                  <v:imagedata r:id="rId45" o:title=""/>
                </v:shape>
              </w:pict>
            </w:r>
          </w:p>
        </w:tc>
      </w:tr>
    </w:tbl>
    <w:p w14:paraId="41132F18" w14:textId="77777777" w:rsidR="00A561E0" w:rsidRDefault="00A561E0">
      <w:pPr>
        <w:sectPr w:rsidR="00A561E0">
          <w:headerReference w:type="default" r:id="rId46"/>
          <w:footerReference w:type="default" r:id="rId47"/>
          <w:pgSz w:w="11906" w:h="16838"/>
          <w:pgMar w:top="709" w:right="640" w:bottom="376" w:left="640" w:header="200" w:footer="200" w:gutter="0"/>
          <w:cols w:space="708"/>
          <w:docGrid w:linePitch="360"/>
        </w:sectPr>
      </w:pPr>
    </w:p>
    <w:p w14:paraId="18028F4D" w14:textId="77777777" w:rsidR="00A561E0" w:rsidRDefault="00854BE4">
      <w:pPr>
        <w:pStyle w:val="DefaqtoHeading2"/>
      </w:pPr>
      <w:bookmarkStart w:id="27" w:name="_Toc3558340"/>
      <w:r>
        <w:t>Supplementary research</w:t>
      </w:r>
      <w:bookmarkEnd w:id="27"/>
    </w:p>
    <w:p w14:paraId="35403FCF" w14:textId="77777777" w:rsidR="00A561E0" w:rsidRDefault="00A561E0">
      <w:pPr>
        <w:pStyle w:val="Tag"/>
        <w:rPr>
          <w:sz w:val="24"/>
          <w:szCs w:val="24"/>
        </w:rPr>
        <w:sectPr w:rsidR="00A561E0">
          <w:headerReference w:type="default" r:id="rId48"/>
          <w:footerReference w:type="default" r:id="rId49"/>
          <w:pgSz w:w="11906" w:h="16838"/>
          <w:pgMar w:top="709" w:right="640" w:bottom="376" w:left="640" w:header="200" w:footer="200" w:gutter="0"/>
          <w:cols w:space="708"/>
          <w:docGrid w:linePitch="360"/>
        </w:sectPr>
      </w:pPr>
    </w:p>
    <w:p w14:paraId="7CDCC2EF" w14:textId="77777777" w:rsidR="00A561E0" w:rsidRDefault="00854BE4">
      <w:pPr>
        <w:pStyle w:val="DefaqtoHeading3"/>
      </w:pPr>
      <w:bookmarkStart w:id="28" w:name="_Toc3558344"/>
      <w:r>
        <w:t>Data comparisons</w:t>
      </w:r>
      <w:bookmarkEnd w:id="28"/>
    </w:p>
    <w:p w14:paraId="3C2F49C1" w14:textId="77777777" w:rsidR="00A561E0" w:rsidRDefault="00854BE4">
      <w:pPr>
        <w:pStyle w:val="DefaqtoHeading4"/>
        <w:rPr>
          <w:noProof/>
        </w:rPr>
      </w:pPr>
      <w:r>
        <w:rPr>
          <w:noProof/>
        </w:rPr>
        <w:t>Data Compare 03/12/2025 11:51</w:t>
      </w:r>
    </w:p>
    <w:tbl>
      <w:tblPr>
        <w:tblStyle w:val="DefaqtoTable"/>
        <w:tblW w:w="5000" w:type="pct"/>
        <w:tblLook w:val="04A0" w:firstRow="1" w:lastRow="0" w:firstColumn="1" w:lastColumn="0" w:noHBand="0" w:noVBand="1"/>
      </w:tblPr>
      <w:tblGrid>
        <w:gridCol w:w="3110"/>
        <w:gridCol w:w="3110"/>
        <w:gridCol w:w="3111"/>
        <w:gridCol w:w="3111"/>
        <w:gridCol w:w="3111"/>
      </w:tblGrid>
      <w:tr w:rsidR="00A561E0" w14:paraId="730E6F98" w14:textId="77777777" w:rsidTr="00A561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top w:val="nil"/>
              <w:left w:val="nil"/>
              <w:right w:val="single" w:sz="18" w:space="0" w:color="614FA0"/>
            </w:tcBorders>
          </w:tcPr>
          <w:p w14:paraId="7D2D3F8F" w14:textId="77777777" w:rsidR="00A561E0" w:rsidRDefault="00854BE4">
            <w:pPr>
              <w:pStyle w:val="DefaqtoTableBody2"/>
              <w:rPr>
                <w:rFonts w:eastAsia="Poppins" w:cs="Poppins"/>
              </w:rPr>
            </w:pPr>
            <w:r>
              <w:rPr>
                <w:rFonts w:eastAsia="Poppins" w:cs="Poppins"/>
              </w:rPr>
              <w:t xml:space="preserve"> </w:t>
            </w:r>
          </w:p>
        </w:tc>
        <w:tc>
          <w:tcPr>
            <w:tcW w:w="1000" w:type="pct"/>
          </w:tcPr>
          <w:p w14:paraId="4BEC57F8" w14:textId="77777777" w:rsidR="00A561E0" w:rsidRDefault="00854BE4">
            <w:pPr>
              <w:pStyle w:val="DefaqtoTableBody2"/>
              <w:jc w:val="center"/>
              <w:cnfStyle w:val="100000000000" w:firstRow="1" w:lastRow="0" w:firstColumn="0" w:lastColumn="0" w:oddVBand="0" w:evenVBand="0" w:oddHBand="0" w:evenHBand="0" w:firstRowFirstColumn="0" w:firstRowLastColumn="0" w:lastRowFirstColumn="0" w:lastRowLastColumn="0"/>
              <w:rPr>
                <w:rFonts w:eastAsia="Poppins" w:cs="Poppins"/>
              </w:rPr>
            </w:pPr>
            <w:r>
              <w:rPr>
                <w:rFonts w:eastAsia="Poppins" w:cs="Poppins"/>
              </w:rPr>
              <w:t>Aviva Investors Multi-asset Plus Fund II Class 2 GBP Acc</w:t>
            </w:r>
          </w:p>
        </w:tc>
        <w:tc>
          <w:tcPr>
            <w:tcW w:w="1000" w:type="pct"/>
          </w:tcPr>
          <w:p w14:paraId="44F7AB39" w14:textId="77777777" w:rsidR="00A561E0" w:rsidRDefault="00854BE4">
            <w:pPr>
              <w:pStyle w:val="DefaqtoTableBody2"/>
              <w:jc w:val="center"/>
              <w:cnfStyle w:val="100000000000" w:firstRow="1" w:lastRow="0" w:firstColumn="0" w:lastColumn="0" w:oddVBand="0" w:evenVBand="0" w:oddHBand="0" w:evenHBand="0" w:firstRowFirstColumn="0" w:firstRowLastColumn="0" w:lastRowFirstColumn="0" w:lastRowLastColumn="0"/>
              <w:rPr>
                <w:rFonts w:eastAsia="Poppins" w:cs="Poppins"/>
              </w:rPr>
            </w:pPr>
            <w:r>
              <w:rPr>
                <w:rFonts w:eastAsia="Poppins" w:cs="Poppins"/>
              </w:rPr>
              <w:t>CT Universal MAP Cautious Fund C Acc</w:t>
            </w:r>
          </w:p>
        </w:tc>
        <w:tc>
          <w:tcPr>
            <w:tcW w:w="1000" w:type="pct"/>
          </w:tcPr>
          <w:p w14:paraId="6C707349" w14:textId="77777777" w:rsidR="00A561E0" w:rsidRDefault="00854BE4">
            <w:pPr>
              <w:pStyle w:val="DefaqtoTableBody2"/>
              <w:jc w:val="center"/>
              <w:cnfStyle w:val="100000000000" w:firstRow="1" w:lastRow="0" w:firstColumn="0" w:lastColumn="0" w:oddVBand="0" w:evenVBand="0" w:oddHBand="0" w:evenHBand="0" w:firstRowFirstColumn="0" w:firstRowLastColumn="0" w:lastRowFirstColumn="0" w:lastRowLastColumn="0"/>
              <w:rPr>
                <w:rFonts w:eastAsia="Poppins" w:cs="Poppins"/>
              </w:rPr>
            </w:pPr>
            <w:r>
              <w:rPr>
                <w:rFonts w:eastAsia="Poppins" w:cs="Poppins"/>
              </w:rPr>
              <w:t>HSBC Global Strategy Conservative Portfolio AC</w:t>
            </w:r>
          </w:p>
        </w:tc>
        <w:tc>
          <w:tcPr>
            <w:tcW w:w="1000" w:type="pct"/>
          </w:tcPr>
          <w:p w14:paraId="31039F99" w14:textId="77777777" w:rsidR="00A561E0" w:rsidRDefault="00854BE4">
            <w:pPr>
              <w:pStyle w:val="DefaqtoTableBody2"/>
              <w:jc w:val="center"/>
              <w:cnfStyle w:val="100000000000" w:firstRow="1" w:lastRow="0" w:firstColumn="0" w:lastColumn="0" w:oddVBand="0" w:evenVBand="0" w:oddHBand="0" w:evenHBand="0" w:firstRowFirstColumn="0" w:firstRowLastColumn="0" w:lastRowFirstColumn="0" w:lastRowLastColumn="0"/>
              <w:rPr>
                <w:rFonts w:eastAsia="Poppins" w:cs="Poppins"/>
              </w:rPr>
            </w:pPr>
            <w:r>
              <w:rPr>
                <w:rFonts w:eastAsia="Poppins" w:cs="Poppins"/>
              </w:rPr>
              <w:t>Vanguard LifeStrategy 40% Equity Fund A Acc</w:t>
            </w:r>
          </w:p>
        </w:tc>
      </w:tr>
      <w:tr w:rsidR="00A561E0" w14:paraId="13D0755F" w14:textId="77777777" w:rsidTr="00A5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0BDC1135" w14:textId="77777777" w:rsidR="00A561E0" w:rsidRDefault="00854BE4">
            <w:pPr>
              <w:pStyle w:val="DefaqtoTableBody2"/>
              <w:rPr>
                <w:rFonts w:eastAsia="Poppins" w:cs="Poppins"/>
              </w:rPr>
            </w:pPr>
            <w:r>
              <w:rPr>
                <w:rFonts w:eastAsia="Poppins" w:cs="Poppins"/>
                <w:b/>
                <w:bCs/>
              </w:rPr>
              <w:t>ISIN</w:t>
            </w:r>
          </w:p>
        </w:tc>
        <w:tc>
          <w:tcPr>
            <w:tcW w:w="1000" w:type="pct"/>
          </w:tcPr>
          <w:p w14:paraId="148CE2D1" w14:textId="77777777" w:rsidR="00A561E0" w:rsidRDefault="00854BE4">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GB00B7JRQQ84</w:t>
            </w:r>
          </w:p>
        </w:tc>
        <w:tc>
          <w:tcPr>
            <w:tcW w:w="1000" w:type="pct"/>
          </w:tcPr>
          <w:p w14:paraId="7BE6271E" w14:textId="77777777" w:rsidR="00A561E0" w:rsidRDefault="00854BE4">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GB00BF99VY38</w:t>
            </w:r>
          </w:p>
        </w:tc>
        <w:tc>
          <w:tcPr>
            <w:tcW w:w="1000" w:type="pct"/>
          </w:tcPr>
          <w:p w14:paraId="477796C5" w14:textId="77777777" w:rsidR="00A561E0" w:rsidRDefault="00854BE4">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GB00BYVXBK29</w:t>
            </w:r>
          </w:p>
        </w:tc>
        <w:tc>
          <w:tcPr>
            <w:tcW w:w="1000" w:type="pct"/>
          </w:tcPr>
          <w:p w14:paraId="51DFDA8F" w14:textId="77777777" w:rsidR="00A561E0" w:rsidRDefault="00854BE4">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GB00B3ZHN960</w:t>
            </w:r>
          </w:p>
        </w:tc>
      </w:tr>
      <w:tr w:rsidR="00A561E0" w14:paraId="5E4CC3DC" w14:textId="77777777" w:rsidTr="00A561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3F3373AF" w14:textId="77777777" w:rsidR="00A561E0" w:rsidRDefault="00854BE4">
            <w:pPr>
              <w:pStyle w:val="DefaqtoTableBody2"/>
              <w:rPr>
                <w:rFonts w:eastAsia="Poppins" w:cs="Poppins"/>
              </w:rPr>
            </w:pPr>
            <w:r>
              <w:rPr>
                <w:rFonts w:eastAsia="Poppins" w:cs="Poppins"/>
                <w:b/>
                <w:bCs/>
              </w:rPr>
              <w:t>Defaqto Risk Rating</w:t>
            </w:r>
          </w:p>
        </w:tc>
        <w:tc>
          <w:tcPr>
            <w:tcW w:w="1000" w:type="pct"/>
          </w:tcPr>
          <w:p w14:paraId="33E9E6ED" w14:textId="77777777" w:rsidR="00A561E0" w:rsidRDefault="00854BE4">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4</w:t>
            </w:r>
          </w:p>
        </w:tc>
        <w:tc>
          <w:tcPr>
            <w:tcW w:w="1000" w:type="pct"/>
          </w:tcPr>
          <w:p w14:paraId="2F4CF095" w14:textId="77777777" w:rsidR="00A561E0" w:rsidRDefault="00854BE4">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4</w:t>
            </w:r>
          </w:p>
        </w:tc>
        <w:tc>
          <w:tcPr>
            <w:tcW w:w="1000" w:type="pct"/>
          </w:tcPr>
          <w:p w14:paraId="35B65FD8" w14:textId="77777777" w:rsidR="00A561E0" w:rsidRDefault="00854BE4">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4</w:t>
            </w:r>
          </w:p>
        </w:tc>
        <w:tc>
          <w:tcPr>
            <w:tcW w:w="1000" w:type="pct"/>
          </w:tcPr>
          <w:p w14:paraId="3087A189" w14:textId="77777777" w:rsidR="00A561E0" w:rsidRDefault="00854BE4">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4</w:t>
            </w:r>
          </w:p>
        </w:tc>
      </w:tr>
      <w:tr w:rsidR="00A561E0" w14:paraId="1798D81A" w14:textId="77777777" w:rsidTr="00A5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4202A683" w14:textId="77777777" w:rsidR="00A561E0" w:rsidRDefault="00854BE4">
            <w:pPr>
              <w:pStyle w:val="DefaqtoTableBody2"/>
              <w:rPr>
                <w:rFonts w:eastAsia="Poppins" w:cs="Poppins"/>
              </w:rPr>
            </w:pPr>
            <w:r>
              <w:rPr>
                <w:rFonts w:eastAsia="Poppins" w:cs="Poppins"/>
                <w:b/>
                <w:bCs/>
              </w:rPr>
              <w:t>Risk Bound</w:t>
            </w:r>
          </w:p>
        </w:tc>
        <w:tc>
          <w:tcPr>
            <w:tcW w:w="1000" w:type="pct"/>
          </w:tcPr>
          <w:p w14:paraId="7ABAD663" w14:textId="77777777" w:rsidR="00A561E0" w:rsidRDefault="00854BE4">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Yes</w:t>
            </w:r>
          </w:p>
        </w:tc>
        <w:tc>
          <w:tcPr>
            <w:tcW w:w="1000" w:type="pct"/>
          </w:tcPr>
          <w:p w14:paraId="6CBF9C42" w14:textId="77777777" w:rsidR="00A561E0" w:rsidRDefault="00854BE4">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Yes</w:t>
            </w:r>
          </w:p>
        </w:tc>
        <w:tc>
          <w:tcPr>
            <w:tcW w:w="1000" w:type="pct"/>
          </w:tcPr>
          <w:p w14:paraId="0DDA7967" w14:textId="77777777" w:rsidR="00A561E0" w:rsidRDefault="00854BE4">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Yes</w:t>
            </w:r>
          </w:p>
        </w:tc>
        <w:tc>
          <w:tcPr>
            <w:tcW w:w="1000" w:type="pct"/>
          </w:tcPr>
          <w:p w14:paraId="11702DC7" w14:textId="77777777" w:rsidR="00A561E0" w:rsidRDefault="00854BE4">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Yes</w:t>
            </w:r>
          </w:p>
        </w:tc>
      </w:tr>
      <w:tr w:rsidR="00A561E0" w14:paraId="0B2C5581" w14:textId="77777777" w:rsidTr="00A561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5DA728BF" w14:textId="77777777" w:rsidR="00A561E0" w:rsidRDefault="00854BE4">
            <w:pPr>
              <w:pStyle w:val="DefaqtoTableBody2"/>
              <w:rPr>
                <w:rFonts w:eastAsia="Poppins" w:cs="Poppins"/>
              </w:rPr>
            </w:pPr>
            <w:r>
              <w:rPr>
                <w:rFonts w:eastAsia="Poppins" w:cs="Poppins"/>
                <w:b/>
                <w:bCs/>
              </w:rPr>
              <w:t>Multi Asset</w:t>
            </w:r>
          </w:p>
        </w:tc>
        <w:tc>
          <w:tcPr>
            <w:tcW w:w="1000" w:type="pct"/>
          </w:tcPr>
          <w:p w14:paraId="70D31647" w14:textId="77777777" w:rsidR="00A561E0" w:rsidRDefault="00854BE4">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Yes</w:t>
            </w:r>
          </w:p>
        </w:tc>
        <w:tc>
          <w:tcPr>
            <w:tcW w:w="1000" w:type="pct"/>
          </w:tcPr>
          <w:p w14:paraId="6D0A9B66" w14:textId="77777777" w:rsidR="00A561E0" w:rsidRDefault="00854BE4">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Yes</w:t>
            </w:r>
          </w:p>
        </w:tc>
        <w:tc>
          <w:tcPr>
            <w:tcW w:w="1000" w:type="pct"/>
          </w:tcPr>
          <w:p w14:paraId="4AF890C4" w14:textId="77777777" w:rsidR="00A561E0" w:rsidRDefault="00854BE4">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Yes</w:t>
            </w:r>
          </w:p>
        </w:tc>
        <w:tc>
          <w:tcPr>
            <w:tcW w:w="1000" w:type="pct"/>
          </w:tcPr>
          <w:p w14:paraId="3CD67AA8" w14:textId="77777777" w:rsidR="00A561E0" w:rsidRDefault="00854BE4">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Yes</w:t>
            </w:r>
          </w:p>
        </w:tc>
      </w:tr>
      <w:tr w:rsidR="00A561E0" w14:paraId="08921F13" w14:textId="77777777" w:rsidTr="00A5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3ED8DA81" w14:textId="77777777" w:rsidR="00A561E0" w:rsidRDefault="00854BE4">
            <w:pPr>
              <w:pStyle w:val="DefaqtoTableBody2"/>
              <w:rPr>
                <w:rFonts w:eastAsia="Poppins" w:cs="Poppins"/>
              </w:rPr>
            </w:pPr>
            <w:r>
              <w:rPr>
                <w:rFonts w:eastAsia="Poppins" w:cs="Poppins"/>
                <w:b/>
                <w:bCs/>
              </w:rPr>
              <w:t>Stock Selection</w:t>
            </w:r>
          </w:p>
        </w:tc>
        <w:tc>
          <w:tcPr>
            <w:tcW w:w="1000" w:type="pct"/>
          </w:tcPr>
          <w:p w14:paraId="204359E3" w14:textId="77777777" w:rsidR="00A561E0" w:rsidRDefault="00854BE4">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Active</w:t>
            </w:r>
          </w:p>
        </w:tc>
        <w:tc>
          <w:tcPr>
            <w:tcW w:w="1000" w:type="pct"/>
          </w:tcPr>
          <w:p w14:paraId="52DC16D5" w14:textId="77777777" w:rsidR="00A561E0" w:rsidRDefault="00854BE4">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Active</w:t>
            </w:r>
          </w:p>
        </w:tc>
        <w:tc>
          <w:tcPr>
            <w:tcW w:w="1000" w:type="pct"/>
          </w:tcPr>
          <w:p w14:paraId="6064BA26" w14:textId="77777777" w:rsidR="00A561E0" w:rsidRDefault="00854BE4">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Passive</w:t>
            </w:r>
          </w:p>
        </w:tc>
        <w:tc>
          <w:tcPr>
            <w:tcW w:w="1000" w:type="pct"/>
          </w:tcPr>
          <w:p w14:paraId="13463CAB" w14:textId="77777777" w:rsidR="00A561E0" w:rsidRDefault="00854BE4">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Passive</w:t>
            </w:r>
          </w:p>
        </w:tc>
      </w:tr>
      <w:tr w:rsidR="00A561E0" w14:paraId="22F69700" w14:textId="77777777" w:rsidTr="00A561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68BEE328" w14:textId="77777777" w:rsidR="00A561E0" w:rsidRDefault="00854BE4">
            <w:pPr>
              <w:pStyle w:val="DefaqtoTableBody2"/>
              <w:rPr>
                <w:rFonts w:eastAsia="Poppins" w:cs="Poppins"/>
              </w:rPr>
            </w:pPr>
            <w:r>
              <w:rPr>
                <w:rFonts w:eastAsia="Poppins" w:cs="Poppins"/>
                <w:b/>
                <w:bCs/>
              </w:rPr>
              <w:t>5 Yr Cum. Return</w:t>
            </w:r>
          </w:p>
        </w:tc>
        <w:tc>
          <w:tcPr>
            <w:tcW w:w="1000" w:type="pct"/>
          </w:tcPr>
          <w:p w14:paraId="7E1D6BC4" w14:textId="77777777" w:rsidR="00A561E0" w:rsidRDefault="00854BE4">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35.52%</w:t>
            </w:r>
          </w:p>
        </w:tc>
        <w:tc>
          <w:tcPr>
            <w:tcW w:w="1000" w:type="pct"/>
          </w:tcPr>
          <w:p w14:paraId="49BC302B" w14:textId="77777777" w:rsidR="00A561E0" w:rsidRDefault="00854BE4">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31.28%</w:t>
            </w:r>
          </w:p>
        </w:tc>
        <w:tc>
          <w:tcPr>
            <w:tcW w:w="1000" w:type="pct"/>
          </w:tcPr>
          <w:p w14:paraId="5390C619" w14:textId="77777777" w:rsidR="00A561E0" w:rsidRDefault="00854BE4">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25.90%</w:t>
            </w:r>
          </w:p>
        </w:tc>
        <w:tc>
          <w:tcPr>
            <w:tcW w:w="1000" w:type="pct"/>
          </w:tcPr>
          <w:p w14:paraId="740C9D2C" w14:textId="77777777" w:rsidR="00A561E0" w:rsidRDefault="00854BE4">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21.49%</w:t>
            </w:r>
          </w:p>
        </w:tc>
      </w:tr>
      <w:tr w:rsidR="00A561E0" w14:paraId="4A793D98" w14:textId="77777777" w:rsidTr="00A5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690B91C5" w14:textId="77777777" w:rsidR="00A561E0" w:rsidRDefault="00854BE4">
            <w:pPr>
              <w:pStyle w:val="DefaqtoTableBody2"/>
              <w:rPr>
                <w:rFonts w:eastAsia="Poppins" w:cs="Poppins"/>
              </w:rPr>
            </w:pPr>
            <w:r>
              <w:rPr>
                <w:rFonts w:eastAsia="Poppins" w:cs="Poppins"/>
                <w:b/>
                <w:bCs/>
              </w:rPr>
              <w:t>10 Yr Cum. Return</w:t>
            </w:r>
          </w:p>
        </w:tc>
        <w:tc>
          <w:tcPr>
            <w:tcW w:w="1000" w:type="pct"/>
          </w:tcPr>
          <w:p w14:paraId="7BE42A4C" w14:textId="77777777" w:rsidR="00A561E0" w:rsidRDefault="00854BE4">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68.02%</w:t>
            </w:r>
          </w:p>
        </w:tc>
        <w:tc>
          <w:tcPr>
            <w:tcW w:w="1000" w:type="pct"/>
          </w:tcPr>
          <w:p w14:paraId="7B37AFD9" w14:textId="77777777" w:rsidR="00A561E0" w:rsidRDefault="00A561E0">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p>
        </w:tc>
        <w:tc>
          <w:tcPr>
            <w:tcW w:w="1000" w:type="pct"/>
          </w:tcPr>
          <w:p w14:paraId="22621CFB" w14:textId="77777777" w:rsidR="00A561E0" w:rsidRDefault="00A561E0">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p>
        </w:tc>
        <w:tc>
          <w:tcPr>
            <w:tcW w:w="1000" w:type="pct"/>
          </w:tcPr>
          <w:p w14:paraId="28FE9A7C" w14:textId="77777777" w:rsidR="00A561E0" w:rsidRDefault="00854BE4">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66.95%</w:t>
            </w:r>
          </w:p>
        </w:tc>
      </w:tr>
      <w:tr w:rsidR="00A561E0" w14:paraId="572765AA" w14:textId="77777777" w:rsidTr="00A561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283CD30D" w14:textId="77777777" w:rsidR="00A561E0" w:rsidRDefault="00854BE4">
            <w:pPr>
              <w:pStyle w:val="DefaqtoTableBody2"/>
              <w:rPr>
                <w:rFonts w:eastAsia="Poppins" w:cs="Poppins"/>
              </w:rPr>
            </w:pPr>
            <w:r>
              <w:rPr>
                <w:rFonts w:eastAsia="Poppins" w:cs="Poppins"/>
                <w:b/>
                <w:bCs/>
              </w:rPr>
              <w:t>5 Yr Volatility</w:t>
            </w:r>
          </w:p>
        </w:tc>
        <w:tc>
          <w:tcPr>
            <w:tcW w:w="1000" w:type="pct"/>
          </w:tcPr>
          <w:p w14:paraId="4079639A" w14:textId="77777777" w:rsidR="00A561E0" w:rsidRDefault="00854BE4">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6.6</w:t>
            </w:r>
          </w:p>
        </w:tc>
        <w:tc>
          <w:tcPr>
            <w:tcW w:w="1000" w:type="pct"/>
          </w:tcPr>
          <w:p w14:paraId="0BEEE889" w14:textId="77777777" w:rsidR="00A561E0" w:rsidRDefault="00854BE4">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6.9</w:t>
            </w:r>
          </w:p>
        </w:tc>
        <w:tc>
          <w:tcPr>
            <w:tcW w:w="1000" w:type="pct"/>
          </w:tcPr>
          <w:p w14:paraId="675B7E39" w14:textId="77777777" w:rsidR="00A561E0" w:rsidRDefault="00854BE4">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6.38</w:t>
            </w:r>
          </w:p>
        </w:tc>
        <w:tc>
          <w:tcPr>
            <w:tcW w:w="1000" w:type="pct"/>
          </w:tcPr>
          <w:p w14:paraId="3C064239" w14:textId="77777777" w:rsidR="00A561E0" w:rsidRDefault="00854BE4">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7.25</w:t>
            </w:r>
          </w:p>
        </w:tc>
      </w:tr>
      <w:tr w:rsidR="00A561E0" w14:paraId="06EC6999" w14:textId="77777777" w:rsidTr="00A5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1D74063F" w14:textId="77777777" w:rsidR="00A561E0" w:rsidRDefault="00854BE4">
            <w:pPr>
              <w:pStyle w:val="DefaqtoTableBody2"/>
              <w:rPr>
                <w:rFonts w:eastAsia="Poppins" w:cs="Poppins"/>
              </w:rPr>
            </w:pPr>
            <w:r>
              <w:rPr>
                <w:rFonts w:eastAsia="Poppins" w:cs="Poppins"/>
                <w:b/>
                <w:bCs/>
              </w:rPr>
              <w:t>10 Yr Volatility</w:t>
            </w:r>
          </w:p>
        </w:tc>
        <w:tc>
          <w:tcPr>
            <w:tcW w:w="1000" w:type="pct"/>
          </w:tcPr>
          <w:p w14:paraId="0720706A" w14:textId="77777777" w:rsidR="00A561E0" w:rsidRDefault="00854BE4">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6.86</w:t>
            </w:r>
          </w:p>
        </w:tc>
        <w:tc>
          <w:tcPr>
            <w:tcW w:w="1000" w:type="pct"/>
          </w:tcPr>
          <w:p w14:paraId="0285379A" w14:textId="77777777" w:rsidR="00A561E0" w:rsidRDefault="00A561E0">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p>
        </w:tc>
        <w:tc>
          <w:tcPr>
            <w:tcW w:w="1000" w:type="pct"/>
          </w:tcPr>
          <w:p w14:paraId="4BB2BF0D" w14:textId="77777777" w:rsidR="00A561E0" w:rsidRDefault="00A561E0">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p>
        </w:tc>
        <w:tc>
          <w:tcPr>
            <w:tcW w:w="1000" w:type="pct"/>
          </w:tcPr>
          <w:p w14:paraId="235820BB" w14:textId="77777777" w:rsidR="00A561E0" w:rsidRDefault="00854BE4">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6.55</w:t>
            </w:r>
          </w:p>
        </w:tc>
      </w:tr>
      <w:tr w:rsidR="00A561E0" w14:paraId="5A9C34DC" w14:textId="77777777" w:rsidTr="00A561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369BC6E2" w14:textId="77777777" w:rsidR="00A561E0" w:rsidRDefault="00854BE4">
            <w:pPr>
              <w:pStyle w:val="DefaqtoTableBody2"/>
              <w:rPr>
                <w:rFonts w:eastAsia="Poppins" w:cs="Poppins"/>
              </w:rPr>
            </w:pPr>
            <w:r>
              <w:rPr>
                <w:rFonts w:eastAsia="Poppins" w:cs="Poppins"/>
                <w:b/>
                <w:bCs/>
              </w:rPr>
              <w:t>AMC</w:t>
            </w:r>
          </w:p>
        </w:tc>
        <w:tc>
          <w:tcPr>
            <w:tcW w:w="1000" w:type="pct"/>
          </w:tcPr>
          <w:p w14:paraId="11299DB4" w14:textId="77777777" w:rsidR="00A561E0" w:rsidRDefault="00854BE4">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0.50%</w:t>
            </w:r>
          </w:p>
        </w:tc>
        <w:tc>
          <w:tcPr>
            <w:tcW w:w="1000" w:type="pct"/>
          </w:tcPr>
          <w:p w14:paraId="0493AE74" w14:textId="77777777" w:rsidR="00A561E0" w:rsidRDefault="00854BE4">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0.29%</w:t>
            </w:r>
          </w:p>
        </w:tc>
        <w:tc>
          <w:tcPr>
            <w:tcW w:w="1000" w:type="pct"/>
          </w:tcPr>
          <w:p w14:paraId="30984420" w14:textId="77777777" w:rsidR="00A561E0" w:rsidRDefault="00854BE4">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0.10%</w:t>
            </w:r>
          </w:p>
        </w:tc>
        <w:tc>
          <w:tcPr>
            <w:tcW w:w="1000" w:type="pct"/>
          </w:tcPr>
          <w:p w14:paraId="5C7A4B00" w14:textId="77777777" w:rsidR="00A561E0" w:rsidRDefault="00854BE4">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0.22%</w:t>
            </w:r>
          </w:p>
        </w:tc>
      </w:tr>
      <w:tr w:rsidR="00A561E0" w14:paraId="6546BEE1" w14:textId="77777777" w:rsidTr="00A5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35A4D169" w14:textId="77777777" w:rsidR="00A561E0" w:rsidRDefault="00854BE4">
            <w:pPr>
              <w:pStyle w:val="DefaqtoTableBody2"/>
              <w:rPr>
                <w:rFonts w:eastAsia="Poppins" w:cs="Poppins"/>
              </w:rPr>
            </w:pPr>
            <w:r>
              <w:rPr>
                <w:rFonts w:eastAsia="Poppins" w:cs="Poppins"/>
                <w:b/>
                <w:bCs/>
              </w:rPr>
              <w:t>Ongoing Charges</w:t>
            </w:r>
          </w:p>
        </w:tc>
        <w:tc>
          <w:tcPr>
            <w:tcW w:w="1000" w:type="pct"/>
          </w:tcPr>
          <w:p w14:paraId="0F027BCB" w14:textId="77777777" w:rsidR="00A561E0" w:rsidRDefault="00854BE4">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0.60%</w:t>
            </w:r>
          </w:p>
        </w:tc>
        <w:tc>
          <w:tcPr>
            <w:tcW w:w="1000" w:type="pct"/>
          </w:tcPr>
          <w:p w14:paraId="6D53DBA2" w14:textId="77777777" w:rsidR="00A561E0" w:rsidRDefault="00854BE4">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0.29%</w:t>
            </w:r>
          </w:p>
        </w:tc>
        <w:tc>
          <w:tcPr>
            <w:tcW w:w="1000" w:type="pct"/>
          </w:tcPr>
          <w:p w14:paraId="451DBB3B" w14:textId="77777777" w:rsidR="00A561E0" w:rsidRDefault="00854BE4">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0.21%</w:t>
            </w:r>
          </w:p>
        </w:tc>
        <w:tc>
          <w:tcPr>
            <w:tcW w:w="1000" w:type="pct"/>
          </w:tcPr>
          <w:p w14:paraId="20A49722" w14:textId="77777777" w:rsidR="00A561E0" w:rsidRDefault="00854BE4">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0.22%</w:t>
            </w:r>
          </w:p>
        </w:tc>
      </w:tr>
    </w:tbl>
    <w:p w14:paraId="66159B2C" w14:textId="77777777" w:rsidR="00A561E0" w:rsidRDefault="00854BE4">
      <w:pPr>
        <w:pStyle w:val="DefaqtoHeading4"/>
        <w:rPr>
          <w:noProof/>
        </w:rPr>
      </w:pPr>
      <w:r>
        <w:rPr>
          <w:noProof/>
        </w:rPr>
        <w:br/>
      </w:r>
    </w:p>
    <w:p w14:paraId="65EED43A" w14:textId="77777777" w:rsidR="00A561E0" w:rsidRDefault="00A561E0">
      <w:pPr>
        <w:rPr>
          <w:lang w:eastAsia="en-US"/>
        </w:rPr>
      </w:pPr>
    </w:p>
    <w:p w14:paraId="1650AED5" w14:textId="77777777" w:rsidR="00A561E0" w:rsidRDefault="00A561E0">
      <w:pPr>
        <w:rPr>
          <w:lang w:eastAsia="en-US"/>
        </w:rPr>
        <w:sectPr w:rsidR="00A561E0">
          <w:headerReference w:type="default" r:id="rId50"/>
          <w:footerReference w:type="default" r:id="rId51"/>
          <w:pgSz w:w="16838" w:h="11906" w:orient="landscape"/>
          <w:pgMar w:top="709" w:right="640" w:bottom="376" w:left="640" w:header="200" w:footer="200" w:gutter="0"/>
          <w:cols w:space="708"/>
          <w:docGrid w:linePitch="360"/>
        </w:sectPr>
      </w:pPr>
    </w:p>
    <w:p w14:paraId="304FDB3A" w14:textId="77777777" w:rsidR="00A561E0" w:rsidRDefault="00A561E0">
      <w:pPr>
        <w:pStyle w:val="Defaqtosmallprint"/>
        <w:rPr>
          <w:lang w:val="en-NZ"/>
        </w:rPr>
      </w:pPr>
    </w:p>
    <w:p w14:paraId="0299FC3E" w14:textId="77777777" w:rsidR="00A561E0" w:rsidRDefault="00A561E0">
      <w:pPr>
        <w:pStyle w:val="Defaqtosmallprint"/>
        <w:rPr>
          <w:lang w:val="en-NZ"/>
        </w:rPr>
      </w:pPr>
    </w:p>
    <w:p w14:paraId="686E8487" w14:textId="77777777" w:rsidR="00A561E0" w:rsidRDefault="00854BE4">
      <w:pPr>
        <w:pStyle w:val="Defaqtosmallprint"/>
        <w:rPr>
          <w:rFonts w:cs="Arial"/>
        </w:rPr>
      </w:pPr>
      <w:r>
        <w:rPr>
          <w:rFonts w:cs="Arial"/>
        </w:rPr>
        <w:t xml:space="preserve">The funds data used within Defaqto Engage is sourced from Morningstar UK. </w:t>
      </w:r>
    </w:p>
    <w:p w14:paraId="72DF1D1D" w14:textId="77777777" w:rsidR="00A561E0" w:rsidRDefault="00854BE4">
      <w:pPr>
        <w:pStyle w:val="Defaqtosmallprint"/>
        <w:rPr>
          <w:rFonts w:cs="Arial"/>
        </w:rPr>
      </w:pPr>
      <w:r>
        <w:rPr>
          <w:rFonts w:cs="Arial"/>
          <w:b/>
          <w:bCs/>
        </w:rPr>
        <w:t>Morningstar UK Data Disclaimer</w:t>
      </w:r>
      <w:r>
        <w:rPr>
          <w:rFonts w:cs="Arial"/>
          <w:b/>
          <w:bCs/>
        </w:rPr>
        <w:br/>
      </w:r>
      <w:r>
        <w:rPr>
          <w:rFonts w:cs="Arial"/>
        </w:rPr>
        <w:t>The data and calculations contained herein are: (i) proprietary to Morningstar; (ii) not warranted to be accurate, complete or timely; and (iii) provided to you by Defaqto Engage at your own risk. You agree that neither Morningstar nor Defaqto Engage is responsible for any damages or losses arising from any use of this information and that the information must not be relied upon by you, the user, without appropriate verification. Morningstar and Defaqto Engage inform you as follows: (i) no investment decis</w:t>
      </w:r>
      <w:r>
        <w:rPr>
          <w:rFonts w:cs="Arial"/>
        </w:rPr>
        <w:t>ion should be made in relation to any of the information provided other than on the advice of a professional financial adviser; (ii) past performance is no guarantee of future results; and (iii) the value and income derived from investments can go down as well as up.</w:t>
      </w:r>
    </w:p>
    <w:p w14:paraId="746CCBDB" w14:textId="77777777" w:rsidR="00A561E0" w:rsidRDefault="00854BE4">
      <w:pPr>
        <w:pStyle w:val="Defaqtosmallprint"/>
        <w:rPr>
          <w:rFonts w:cs="Arial"/>
        </w:rPr>
      </w:pPr>
      <w:r>
        <w:rPr>
          <w:rFonts w:cs="Arial"/>
        </w:rPr>
        <w:t xml:space="preserve">Data and Calculations: © </w:t>
      </w:r>
      <w:r>
        <w:rPr>
          <w:noProof/>
          <w:lang w:val="en-NZ"/>
        </w:rPr>
        <w:t>2025</w:t>
      </w:r>
      <w:r>
        <w:rPr>
          <w:lang w:val="en-NZ"/>
        </w:rPr>
        <w:t xml:space="preserve"> </w:t>
      </w:r>
      <w:r>
        <w:rPr>
          <w:rFonts w:cs="Arial"/>
        </w:rPr>
        <w:t xml:space="preserve"> Morningstar UK. All Rights Reserved.</w:t>
      </w:r>
    </w:p>
    <w:p w14:paraId="0CD5872C" w14:textId="77777777" w:rsidR="00A561E0" w:rsidRDefault="00A561E0">
      <w:pPr>
        <w:rPr>
          <w:lang w:eastAsia="en-US"/>
        </w:rPr>
      </w:pPr>
    </w:p>
    <w:p w14:paraId="76AF6B23" w14:textId="77777777" w:rsidR="00A561E0" w:rsidRDefault="00A561E0">
      <w:pPr>
        <w:rPr>
          <w:lang w:eastAsia="en-US"/>
        </w:rPr>
      </w:pPr>
    </w:p>
    <w:p w14:paraId="42AE1AD8" w14:textId="77777777" w:rsidR="00A561E0" w:rsidRDefault="00A561E0">
      <w:pPr>
        <w:rPr>
          <w:lang w:eastAsia="en-US"/>
        </w:rPr>
      </w:pPr>
    </w:p>
    <w:p w14:paraId="2C48B77F" w14:textId="77777777" w:rsidR="00A561E0" w:rsidRDefault="00A561E0">
      <w:pPr>
        <w:rPr>
          <w:lang w:eastAsia="en-US"/>
        </w:rPr>
      </w:pPr>
    </w:p>
    <w:p w14:paraId="7CB4539B" w14:textId="77777777" w:rsidR="00A561E0" w:rsidRDefault="00A561E0">
      <w:pPr>
        <w:rPr>
          <w:lang w:eastAsia="en-US"/>
        </w:rPr>
      </w:pPr>
    </w:p>
    <w:p w14:paraId="2CF864A9" w14:textId="77777777" w:rsidR="00A561E0" w:rsidRDefault="00A561E0">
      <w:pPr>
        <w:rPr>
          <w:lang w:eastAsia="en-US"/>
        </w:rPr>
      </w:pPr>
    </w:p>
    <w:p w14:paraId="503A6AE7" w14:textId="77777777" w:rsidR="00A561E0" w:rsidRDefault="00A561E0">
      <w:pPr>
        <w:rPr>
          <w:lang w:eastAsia="en-US"/>
        </w:rPr>
      </w:pPr>
    </w:p>
    <w:p w14:paraId="6C241301" w14:textId="77777777" w:rsidR="00A561E0" w:rsidRDefault="00A561E0">
      <w:pPr>
        <w:rPr>
          <w:lang w:eastAsia="en-US"/>
        </w:rPr>
      </w:pPr>
    </w:p>
    <w:p w14:paraId="3EFA0D91" w14:textId="77777777" w:rsidR="00A561E0" w:rsidRDefault="00A561E0">
      <w:pPr>
        <w:rPr>
          <w:lang w:eastAsia="en-US"/>
        </w:rPr>
      </w:pPr>
    </w:p>
    <w:p w14:paraId="19E7456D" w14:textId="77777777" w:rsidR="00A561E0" w:rsidRDefault="00A561E0">
      <w:pPr>
        <w:rPr>
          <w:lang w:eastAsia="en-US"/>
        </w:rPr>
      </w:pPr>
    </w:p>
    <w:p w14:paraId="585F2097" w14:textId="77777777" w:rsidR="00A561E0" w:rsidRDefault="00A561E0">
      <w:pPr>
        <w:rPr>
          <w:lang w:eastAsia="en-US"/>
        </w:rPr>
      </w:pPr>
    </w:p>
    <w:p w14:paraId="54723152" w14:textId="77777777" w:rsidR="00A561E0" w:rsidRDefault="00A561E0">
      <w:pPr>
        <w:rPr>
          <w:lang w:eastAsia="en-US"/>
        </w:rPr>
      </w:pPr>
    </w:p>
    <w:p w14:paraId="3BDB0948" w14:textId="77777777" w:rsidR="00A561E0" w:rsidRDefault="00A561E0">
      <w:pPr>
        <w:rPr>
          <w:lang w:eastAsia="en-US"/>
        </w:rPr>
      </w:pPr>
    </w:p>
    <w:p w14:paraId="5CFFD79C" w14:textId="77777777" w:rsidR="00A561E0" w:rsidRDefault="00A561E0">
      <w:pPr>
        <w:rPr>
          <w:lang w:eastAsia="en-US"/>
        </w:rPr>
      </w:pPr>
    </w:p>
    <w:p w14:paraId="5DFF6E50" w14:textId="77777777" w:rsidR="00A561E0" w:rsidRDefault="00A561E0">
      <w:pPr>
        <w:rPr>
          <w:lang w:eastAsia="en-US"/>
        </w:rPr>
      </w:pPr>
    </w:p>
    <w:p w14:paraId="2B37C975" w14:textId="77777777" w:rsidR="00A561E0" w:rsidRDefault="00A561E0">
      <w:pPr>
        <w:rPr>
          <w:lang w:eastAsia="en-US"/>
        </w:rPr>
      </w:pPr>
    </w:p>
    <w:p w14:paraId="1638518B" w14:textId="77777777" w:rsidR="00A561E0" w:rsidRDefault="00A561E0">
      <w:pPr>
        <w:rPr>
          <w:lang w:eastAsia="en-US"/>
        </w:rPr>
      </w:pPr>
    </w:p>
    <w:p w14:paraId="099CF247" w14:textId="77777777" w:rsidR="00A561E0" w:rsidRDefault="00A561E0">
      <w:pPr>
        <w:rPr>
          <w:lang w:eastAsia="en-US"/>
        </w:rPr>
      </w:pPr>
    </w:p>
    <w:p w14:paraId="65074AC8" w14:textId="77777777" w:rsidR="00A561E0" w:rsidRDefault="00A561E0">
      <w:pPr>
        <w:rPr>
          <w:lang w:eastAsia="en-US"/>
        </w:rPr>
      </w:pPr>
    </w:p>
    <w:p w14:paraId="63CCD550" w14:textId="77777777" w:rsidR="00A561E0" w:rsidRDefault="00A561E0">
      <w:pPr>
        <w:rPr>
          <w:lang w:eastAsia="en-US"/>
        </w:rPr>
      </w:pPr>
    </w:p>
    <w:p w14:paraId="4420452A" w14:textId="77777777" w:rsidR="00A561E0" w:rsidRDefault="00A561E0">
      <w:pPr>
        <w:rPr>
          <w:lang w:eastAsia="en-US"/>
        </w:rPr>
      </w:pPr>
    </w:p>
    <w:p w14:paraId="250A33B3" w14:textId="77777777" w:rsidR="00A561E0" w:rsidRDefault="00A561E0">
      <w:pPr>
        <w:rPr>
          <w:lang w:eastAsia="en-US"/>
        </w:rPr>
      </w:pPr>
    </w:p>
    <w:p w14:paraId="136E32E5" w14:textId="77777777" w:rsidR="00A561E0" w:rsidRDefault="00854BE4">
      <w:pPr>
        <w:tabs>
          <w:tab w:val="left" w:pos="985"/>
        </w:tabs>
        <w:rPr>
          <w:rFonts w:ascii="Arial" w:eastAsia="Arial" w:hAnsi="Arial" w:cs="Times New Roman"/>
          <w:b/>
          <w:bCs/>
          <w:color w:val="FF0000"/>
          <w:sz w:val="28"/>
          <w:szCs w:val="28"/>
          <w:lang w:eastAsia="en-US"/>
        </w:rPr>
      </w:pPr>
      <w:r>
        <w:rPr>
          <w:rFonts w:ascii="Arial" w:eastAsia="Arial" w:hAnsi="Arial" w:cs="Times New Roman"/>
          <w:b/>
          <w:bCs/>
          <w:color w:val="FF0000"/>
          <w:sz w:val="28"/>
          <w:szCs w:val="28"/>
          <w:lang w:eastAsia="en-US"/>
        </w:rPr>
        <w:tab/>
      </w:r>
    </w:p>
    <w:p w14:paraId="05A33F01" w14:textId="77777777" w:rsidR="00A561E0" w:rsidRDefault="00A561E0">
      <w:pPr>
        <w:rPr>
          <w:lang w:eastAsia="en-US"/>
        </w:rPr>
        <w:sectPr w:rsidR="00A561E0">
          <w:headerReference w:type="default" r:id="rId52"/>
          <w:footerReference w:type="default" r:id="rId53"/>
          <w:pgSz w:w="11906" w:h="16838"/>
          <w:pgMar w:top="709" w:right="640" w:bottom="376" w:left="640" w:header="200" w:footer="200" w:gutter="0"/>
          <w:cols w:space="720"/>
          <w:docGrid w:linePitch="360"/>
        </w:sectPr>
      </w:pPr>
    </w:p>
    <w:p w14:paraId="62B4CB99" w14:textId="77777777" w:rsidR="00A561E0" w:rsidRDefault="00854BE4">
      <w:pPr>
        <w:pStyle w:val="DefaqtoHeading1"/>
      </w:pPr>
      <w:bookmarkStart w:id="29" w:name="_Toc20"/>
      <w:r>
        <w:t>Product selection</w:t>
      </w:r>
      <w:bookmarkEnd w:id="29"/>
    </w:p>
    <w:p w14:paraId="4CF39C4D" w14:textId="77777777" w:rsidR="00A561E0" w:rsidRDefault="00854BE4">
      <w:pPr>
        <w:pStyle w:val="DefaqtoIntroText"/>
      </w:pPr>
      <w:r>
        <w:rPr>
          <w:u w:color="000000"/>
        </w:rPr>
        <w:t>This section details the issues identified as being important to the selection of a product and the other criteria used in selecting the most suitable product.</w:t>
      </w:r>
    </w:p>
    <w:p w14:paraId="38C00925" w14:textId="77777777" w:rsidR="00A561E0" w:rsidRDefault="00854BE4">
      <w:pPr>
        <w:pStyle w:val="DefaqtoHeading2"/>
      </w:pPr>
      <w:bookmarkStart w:id="30" w:name="_Toc21"/>
      <w:r>
        <w:t>Selected Research Area</w:t>
      </w:r>
      <w:bookmarkEnd w:id="30"/>
    </w:p>
    <w:p w14:paraId="3A2B9BBF" w14:textId="77777777" w:rsidR="00A561E0" w:rsidRDefault="00854BE4">
      <w:pPr>
        <w:pStyle w:val="DefaqtoBody"/>
      </w:pPr>
      <w:r>
        <w:rPr>
          <w:u w:color="000000"/>
        </w:rPr>
        <w:t>The selected research area is Investment ISA</w:t>
      </w:r>
    </w:p>
    <w:p w14:paraId="3602B6EB" w14:textId="77777777" w:rsidR="00A561E0" w:rsidRDefault="00854BE4">
      <w:pPr>
        <w:pStyle w:val="DefaqtoHeading2"/>
      </w:pPr>
      <w:bookmarkStart w:id="31" w:name="_Toc22"/>
      <w:r>
        <w:t>Recommended Product</w:t>
      </w:r>
      <w:bookmarkEnd w:id="31"/>
    </w:p>
    <w:p w14:paraId="2130289E" w14:textId="77777777" w:rsidR="00A561E0" w:rsidRDefault="00854BE4">
      <w:pPr>
        <w:pStyle w:val="DefaqtoBody"/>
      </w:pPr>
      <w:r>
        <w:rPr>
          <w:u w:color="000000"/>
        </w:rPr>
        <w:t>No additional justification text has been entered</w:t>
      </w:r>
    </w:p>
    <w:tbl>
      <w:tblPr>
        <w:tblStyle w:val="Custom1"/>
        <w:tblW w:w="5000" w:type="pct"/>
        <w:tblLook w:val="01E0" w:firstRow="1" w:lastRow="1" w:firstColumn="1" w:lastColumn="1" w:noHBand="0" w:noVBand="0"/>
      </w:tblPr>
      <w:tblGrid>
        <w:gridCol w:w="2654"/>
        <w:gridCol w:w="7963"/>
      </w:tblGrid>
      <w:tr w:rsidR="00A561E0" w14:paraId="7046C5CF" w14:textId="77777777" w:rsidTr="00A5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4F9307AB" w14:textId="77777777" w:rsidR="00A561E0" w:rsidRDefault="00854BE4">
            <w:pPr>
              <w:pStyle w:val="DefaqtoTableBody2"/>
            </w:pPr>
            <w:r>
              <w:t>Product / Provider</w:t>
            </w:r>
          </w:p>
        </w:tc>
        <w:tc>
          <w:tcPr>
            <w:tcW w:w="3750" w:type="pct"/>
          </w:tcPr>
          <w:p w14:paraId="569A15E5"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Aviva ISA Portfolio</w:t>
            </w:r>
            <w:r>
              <w:br/>
              <w:t>Aviva</w:t>
            </w:r>
          </w:p>
        </w:tc>
      </w:tr>
      <w:tr w:rsidR="00A561E0" w14:paraId="4FD256C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1F8B4F" w14:textId="77777777" w:rsidR="00A561E0" w:rsidRDefault="00854BE4">
            <w:pPr>
              <w:pStyle w:val="DefaqtoTableBody2"/>
            </w:pPr>
            <w:r>
              <w:t>Product type</w:t>
            </w:r>
          </w:p>
        </w:tc>
        <w:tc>
          <w:tcPr>
            <w:tcW w:w="0" w:type="auto"/>
          </w:tcPr>
          <w:p w14:paraId="6330524E" w14:textId="77777777" w:rsidR="00A561E0" w:rsidRDefault="00854BE4">
            <w:pPr>
              <w:pStyle w:val="DefaqtoTableBody2"/>
              <w:cnfStyle w:val="000000010000" w:firstRow="0" w:lastRow="0" w:firstColumn="0" w:lastColumn="0" w:oddVBand="0" w:evenVBand="0" w:oddHBand="0" w:evenHBand="1" w:firstRowFirstColumn="0" w:firstRowLastColumn="0" w:lastRowFirstColumn="0" w:lastRowLastColumn="0"/>
            </w:pPr>
            <w:r>
              <w:t>Aviva ISA Portfolio</w:t>
            </w:r>
          </w:p>
        </w:tc>
      </w:tr>
      <w:tr w:rsidR="00A561E0" w14:paraId="2791FF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58AF7E" w14:textId="77777777" w:rsidR="00A561E0" w:rsidRDefault="00854BE4">
            <w:pPr>
              <w:pStyle w:val="DefaqtoTableBody2"/>
            </w:pPr>
            <w:r>
              <w:t>Profile</w:t>
            </w:r>
          </w:p>
        </w:tc>
        <w:tc>
          <w:tcPr>
            <w:tcW w:w="0" w:type="auto"/>
          </w:tcPr>
          <w:p w14:paraId="0C515762"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 xml:space="preserve">Aviva is the largest insurance group in the UK is also a provider of life and pensions products to Europe.  </w:t>
            </w:r>
            <w:r>
              <w:br/>
            </w:r>
            <w:r>
              <w:br/>
              <w:t>The Aviva brand name was launched in July 2002. The group was formed by the merger of CGU and Norwich Union in 2000. CGU came from the merger of Commercial Union and General Accident in 1998.</w:t>
            </w:r>
            <w:r>
              <w:br/>
              <w:t xml:space="preserve"> </w:t>
            </w:r>
            <w:r>
              <w:br/>
              <w:t xml:space="preserve">Aviva provide savings, retirement and insurance. </w:t>
            </w:r>
            <w:r>
              <w:br/>
            </w:r>
            <w:r>
              <w:br/>
            </w:r>
          </w:p>
        </w:tc>
      </w:tr>
    </w:tbl>
    <w:p w14:paraId="2706945A" w14:textId="77777777" w:rsidR="00A561E0" w:rsidRDefault="00A561E0">
      <w:pPr>
        <w:sectPr w:rsidR="00A561E0">
          <w:headerReference w:type="default" r:id="rId54"/>
          <w:footerReference w:type="default" r:id="rId55"/>
          <w:pgSz w:w="11907" w:h="16839" w:code="9"/>
          <w:pgMar w:top="709" w:right="640" w:bottom="376" w:left="640" w:header="200" w:footer="200" w:gutter="0"/>
          <w:cols w:space="708"/>
          <w:docGrid w:linePitch="360"/>
        </w:sectPr>
      </w:pPr>
    </w:p>
    <w:p w14:paraId="42761464" w14:textId="77777777" w:rsidR="00A561E0" w:rsidRDefault="00854BE4">
      <w:pPr>
        <w:pStyle w:val="DefaqtoHeading2"/>
      </w:pPr>
      <w:bookmarkStart w:id="32" w:name="_Toc23"/>
      <w:r>
        <w:t>Panel</w:t>
      </w:r>
      <w:bookmarkEnd w:id="32"/>
    </w:p>
    <w:p w14:paraId="46F9160C" w14:textId="77777777" w:rsidR="00A561E0" w:rsidRDefault="00854BE4">
      <w:pPr>
        <w:pStyle w:val="DefaqtoBody"/>
      </w:pPr>
      <w:r>
        <w:rPr>
          <w:u w:color="000000"/>
        </w:rPr>
        <w:t>The Whole of Market has been used in the product selection.</w:t>
      </w:r>
    </w:p>
    <w:p w14:paraId="5CCF9C68" w14:textId="77777777" w:rsidR="00A561E0" w:rsidRDefault="00854BE4">
      <w:pPr>
        <w:pStyle w:val="DefaqtoHeading2"/>
      </w:pPr>
      <w:bookmarkStart w:id="33" w:name="_Toc24"/>
      <w:r>
        <w:t>Template</w:t>
      </w:r>
      <w:bookmarkEnd w:id="33"/>
    </w:p>
    <w:p w14:paraId="23B017A7" w14:textId="77777777" w:rsidR="00A561E0" w:rsidRDefault="00854BE4">
      <w:pPr>
        <w:pStyle w:val="DefaqtoBody"/>
      </w:pPr>
      <w:r>
        <w:rPr>
          <w:u w:color="000000"/>
        </w:rPr>
        <w:t>No template has been used in the product selection.</w:t>
      </w:r>
    </w:p>
    <w:p w14:paraId="35881B4A" w14:textId="77777777" w:rsidR="00A561E0" w:rsidRDefault="00854BE4">
      <w:pPr>
        <w:pStyle w:val="DefaqtoHeading2"/>
      </w:pPr>
      <w:bookmarkStart w:id="34" w:name="_Toc25"/>
      <w:r>
        <w:t>Filters</w:t>
      </w:r>
      <w:bookmarkEnd w:id="34"/>
    </w:p>
    <w:p w14:paraId="418BB382" w14:textId="77777777" w:rsidR="00A561E0" w:rsidRDefault="00854BE4">
      <w:pPr>
        <w:pStyle w:val="DefaqtoBody"/>
      </w:pPr>
      <w:r>
        <w:rPr>
          <w:u w:color="000000"/>
        </w:rPr>
        <w:t>The table below lists the filters applied and the feature value for the recommended product.</w:t>
      </w:r>
    </w:p>
    <w:tbl>
      <w:tblPr>
        <w:tblStyle w:val="DefaqtoTable"/>
        <w:tblW w:w="5000" w:type="pct"/>
        <w:tblLook w:val="01E0" w:firstRow="1" w:lastRow="1" w:firstColumn="1" w:lastColumn="1" w:noHBand="0" w:noVBand="0"/>
      </w:tblPr>
      <w:tblGrid>
        <w:gridCol w:w="2745"/>
        <w:gridCol w:w="4404"/>
        <w:gridCol w:w="3468"/>
      </w:tblGrid>
      <w:tr w:rsidR="00A561E0" w14:paraId="50C6229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7262F6" w14:textId="77777777" w:rsidR="00A561E0" w:rsidRDefault="00854BE4">
            <w:pPr>
              <w:pStyle w:val="DefaqtoTableBody2"/>
            </w:pPr>
            <w:r>
              <w:t>Feature</w:t>
            </w:r>
          </w:p>
        </w:tc>
        <w:tc>
          <w:tcPr>
            <w:tcW w:w="0" w:type="auto"/>
          </w:tcPr>
          <w:p w14:paraId="6A4B3DF3" w14:textId="77777777" w:rsidR="00A561E0" w:rsidRDefault="00854BE4">
            <w:pPr>
              <w:pStyle w:val="DefaqtoTableBody2"/>
              <w:cnfStyle w:val="100000000000" w:firstRow="1" w:lastRow="0" w:firstColumn="0" w:lastColumn="0" w:oddVBand="0" w:evenVBand="0" w:oddHBand="0" w:evenHBand="0" w:firstRowFirstColumn="0" w:firstRowLastColumn="0" w:lastRowFirstColumn="0" w:lastRowLastColumn="0"/>
            </w:pPr>
            <w:r>
              <w:t>Filter</w:t>
            </w:r>
          </w:p>
        </w:tc>
        <w:tc>
          <w:tcPr>
            <w:tcW w:w="0" w:type="auto"/>
          </w:tcPr>
          <w:p w14:paraId="63947129" w14:textId="77777777" w:rsidR="00A561E0" w:rsidRDefault="00854BE4">
            <w:pPr>
              <w:pStyle w:val="DefaqtoTableBody2"/>
              <w:cnfStyle w:val="100000000000" w:firstRow="1" w:lastRow="0" w:firstColumn="0" w:lastColumn="0" w:oddVBand="0" w:evenVBand="0" w:oddHBand="0" w:evenHBand="0" w:firstRowFirstColumn="0" w:firstRowLastColumn="0" w:lastRowFirstColumn="0" w:lastRowLastColumn="0"/>
            </w:pPr>
            <w:r>
              <w:t>Recommended feature value</w:t>
            </w:r>
          </w:p>
        </w:tc>
      </w:tr>
      <w:tr w:rsidR="00A561E0" w14:paraId="1BDD1EB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29B586" w14:textId="77777777" w:rsidR="00A561E0" w:rsidRDefault="00854BE4">
            <w:pPr>
              <w:pStyle w:val="DefaqtoTableBody2"/>
            </w:pPr>
            <w:r>
              <w:t>Platform/Self Select ISA</w:t>
            </w:r>
          </w:p>
        </w:tc>
        <w:tc>
          <w:tcPr>
            <w:tcW w:w="0" w:type="auto"/>
          </w:tcPr>
          <w:p w14:paraId="4725B823"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DNA 5 - Platform/Self Select ISA</w:t>
            </w:r>
            <w:r>
              <w:br/>
            </w:r>
          </w:p>
        </w:tc>
        <w:tc>
          <w:tcPr>
            <w:tcW w:w="0" w:type="auto"/>
          </w:tcPr>
          <w:p w14:paraId="0D15E41F"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Yes</w:t>
            </w:r>
          </w:p>
        </w:tc>
      </w:tr>
      <w:tr w:rsidR="00A561E0" w14:paraId="33888DF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F09885" w14:textId="77777777" w:rsidR="00A561E0" w:rsidRDefault="00854BE4">
            <w:pPr>
              <w:pStyle w:val="DefaqtoTableBody2"/>
            </w:pPr>
            <w:r>
              <w:t>Online Valuations</w:t>
            </w:r>
          </w:p>
        </w:tc>
        <w:tc>
          <w:tcPr>
            <w:tcW w:w="0" w:type="auto"/>
          </w:tcPr>
          <w:p w14:paraId="0517DCB8" w14:textId="77777777" w:rsidR="00A561E0" w:rsidRDefault="00854BE4">
            <w:pPr>
              <w:pStyle w:val="DefaqtoTableBody2"/>
              <w:cnfStyle w:val="000000010000" w:firstRow="0" w:lastRow="0" w:firstColumn="0" w:lastColumn="0" w:oddVBand="0" w:evenVBand="0" w:oddHBand="0" w:evenHBand="1" w:firstRowFirstColumn="0" w:firstRowLastColumn="0" w:lastRowFirstColumn="0" w:lastRowLastColumn="0"/>
            </w:pPr>
            <w:r>
              <w:t>DNA 5 - Online valuations are provided</w:t>
            </w:r>
            <w:r>
              <w:br/>
            </w:r>
          </w:p>
        </w:tc>
        <w:tc>
          <w:tcPr>
            <w:tcW w:w="0" w:type="auto"/>
          </w:tcPr>
          <w:p w14:paraId="7F7B2D5F" w14:textId="77777777" w:rsidR="00A561E0" w:rsidRDefault="00854BE4">
            <w:pPr>
              <w:pStyle w:val="DefaqtoTableBody2"/>
              <w:cnfStyle w:val="000000010000" w:firstRow="0" w:lastRow="0" w:firstColumn="0" w:lastColumn="0" w:oddVBand="0" w:evenVBand="0" w:oddHBand="0" w:evenHBand="1" w:firstRowFirstColumn="0" w:firstRowLastColumn="0" w:lastRowFirstColumn="0" w:lastRowLastColumn="0"/>
            </w:pPr>
            <w:r>
              <w:t>Yes</w:t>
            </w:r>
          </w:p>
        </w:tc>
      </w:tr>
      <w:tr w:rsidR="00A561E0" w14:paraId="36BC831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8BC4C7A" w14:textId="77777777" w:rsidR="00A561E0" w:rsidRDefault="00854BE4">
            <w:pPr>
              <w:pStyle w:val="DefaqtoTableBody2"/>
            </w:pPr>
            <w:r>
              <w:t>Bed and ISA</w:t>
            </w:r>
          </w:p>
        </w:tc>
        <w:tc>
          <w:tcPr>
            <w:tcW w:w="0" w:type="auto"/>
          </w:tcPr>
          <w:p w14:paraId="0ACE99D3"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DNA 5 - Bed and ISA available</w:t>
            </w:r>
            <w:r>
              <w:br/>
            </w:r>
          </w:p>
        </w:tc>
        <w:tc>
          <w:tcPr>
            <w:tcW w:w="0" w:type="auto"/>
          </w:tcPr>
          <w:p w14:paraId="32EFDB4A"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Yes</w:t>
            </w:r>
          </w:p>
        </w:tc>
      </w:tr>
    </w:tbl>
    <w:p w14:paraId="78FE080E" w14:textId="77777777" w:rsidR="00A561E0" w:rsidRDefault="00A561E0">
      <w:pPr>
        <w:sectPr w:rsidR="00A561E0">
          <w:headerReference w:type="default" r:id="rId56"/>
          <w:footerReference w:type="default" r:id="rId57"/>
          <w:pgSz w:w="11907" w:h="16839" w:code="9"/>
          <w:pgMar w:top="709" w:right="640" w:bottom="376" w:left="640" w:header="200" w:footer="200" w:gutter="0"/>
          <w:cols w:space="708"/>
          <w:docGrid w:linePitch="360"/>
        </w:sectPr>
      </w:pPr>
    </w:p>
    <w:p w14:paraId="44880735" w14:textId="77777777" w:rsidR="00A561E0" w:rsidRDefault="00854BE4">
      <w:pPr>
        <w:pStyle w:val="DefaqtoHeading2"/>
      </w:pPr>
      <w:bookmarkStart w:id="35" w:name="_Toc26"/>
      <w:r>
        <w:t>Shortlist</w:t>
      </w:r>
      <w:bookmarkEnd w:id="35"/>
    </w:p>
    <w:p w14:paraId="31895B7D" w14:textId="77777777" w:rsidR="00A561E0" w:rsidRDefault="00854BE4">
      <w:pPr>
        <w:pStyle w:val="DefaqtoBody"/>
      </w:pPr>
      <w:r>
        <w:rPr>
          <w:u w:color="000000"/>
        </w:rPr>
        <w:t>1 products from a total of 168 matched the filters applied.</w:t>
      </w:r>
    </w:p>
    <w:tbl>
      <w:tblPr>
        <w:tblStyle w:val="DefaqtoTable"/>
        <w:tblW w:w="5000" w:type="pct"/>
        <w:tblLook w:val="01E0" w:firstRow="1" w:lastRow="1" w:firstColumn="1" w:lastColumn="1" w:noHBand="0" w:noVBand="0"/>
      </w:tblPr>
      <w:tblGrid>
        <w:gridCol w:w="2760"/>
        <w:gridCol w:w="2422"/>
        <w:gridCol w:w="5435"/>
      </w:tblGrid>
      <w:tr w:rsidR="00A561E0" w14:paraId="3F56B2B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879F13" w14:textId="77777777" w:rsidR="00A561E0" w:rsidRDefault="00854BE4">
            <w:pPr>
              <w:pStyle w:val="DefaqtoTableBody2"/>
            </w:pPr>
            <w:r>
              <w:t>Product name</w:t>
            </w:r>
          </w:p>
        </w:tc>
        <w:tc>
          <w:tcPr>
            <w:tcW w:w="0" w:type="auto"/>
          </w:tcPr>
          <w:p w14:paraId="56EEA5D8" w14:textId="77777777" w:rsidR="00A561E0" w:rsidRDefault="00854BE4">
            <w:pPr>
              <w:pStyle w:val="DefaqtoTableBody2"/>
              <w:cnfStyle w:val="100000000000" w:firstRow="1" w:lastRow="0" w:firstColumn="0" w:lastColumn="0" w:oddVBand="0" w:evenVBand="0" w:oddHBand="0" w:evenHBand="0" w:firstRowFirstColumn="0" w:firstRowLastColumn="0" w:lastRowFirstColumn="0" w:lastRowLastColumn="0"/>
            </w:pPr>
            <w:r>
              <w:t>Provider name</w:t>
            </w:r>
          </w:p>
        </w:tc>
        <w:tc>
          <w:tcPr>
            <w:tcW w:w="0" w:type="auto"/>
          </w:tcPr>
          <w:p w14:paraId="1C5D38BF" w14:textId="77777777" w:rsidR="00A561E0" w:rsidRDefault="00854BE4">
            <w:pPr>
              <w:pStyle w:val="DefaqtoTableBody2"/>
              <w:cnfStyle w:val="100000000000" w:firstRow="1" w:lastRow="0" w:firstColumn="0" w:lastColumn="0" w:oddVBand="0" w:evenVBand="0" w:oddHBand="0" w:evenHBand="0" w:firstRowFirstColumn="0" w:firstRowLastColumn="0" w:lastRowFirstColumn="0" w:lastRowLastColumn="0"/>
            </w:pPr>
            <w:r>
              <w:t>Total DNA for DNA features analysed</w:t>
            </w:r>
          </w:p>
        </w:tc>
      </w:tr>
      <w:tr w:rsidR="00A561E0" w14:paraId="6EF2CD9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138460" w14:textId="77777777" w:rsidR="00A561E0" w:rsidRDefault="00854BE4">
            <w:pPr>
              <w:pStyle w:val="DefaqtoTableBody2"/>
            </w:pPr>
            <w:r>
              <w:t>Aviva ISA Portfolio</w:t>
            </w:r>
          </w:p>
        </w:tc>
        <w:tc>
          <w:tcPr>
            <w:tcW w:w="0" w:type="auto"/>
          </w:tcPr>
          <w:p w14:paraId="13CA4BEB"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Aviva</w:t>
            </w:r>
          </w:p>
        </w:tc>
        <w:tc>
          <w:tcPr>
            <w:tcW w:w="0" w:type="auto"/>
          </w:tcPr>
          <w:p w14:paraId="52CF1F5B"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No DNA applied</w:t>
            </w:r>
          </w:p>
        </w:tc>
      </w:tr>
    </w:tbl>
    <w:p w14:paraId="73C6B48F" w14:textId="77777777" w:rsidR="00A561E0" w:rsidRDefault="00A561E0">
      <w:pPr>
        <w:sectPr w:rsidR="00A561E0">
          <w:headerReference w:type="default" r:id="rId58"/>
          <w:footerReference w:type="default" r:id="rId59"/>
          <w:pgSz w:w="11907" w:h="16839" w:code="9"/>
          <w:pgMar w:top="709" w:right="640" w:bottom="376" w:left="640" w:header="200" w:footer="200" w:gutter="0"/>
          <w:cols w:space="708"/>
          <w:docGrid w:linePitch="360"/>
        </w:sectPr>
      </w:pPr>
    </w:p>
    <w:p w14:paraId="2909B887" w14:textId="77777777" w:rsidR="00A561E0" w:rsidRDefault="00854BE4">
      <w:pPr>
        <w:pStyle w:val="DefaqtoHeading2"/>
      </w:pPr>
      <w:bookmarkStart w:id="36" w:name="_Toc27"/>
      <w:r>
        <w:t>DNA features</w:t>
      </w:r>
      <w:bookmarkEnd w:id="36"/>
    </w:p>
    <w:p w14:paraId="74F8E024" w14:textId="77777777" w:rsidR="00A561E0" w:rsidRDefault="00854BE4">
      <w:pPr>
        <w:pStyle w:val="DefaqtoBody"/>
      </w:pPr>
      <w:r>
        <w:rPr>
          <w:u w:color="000000"/>
        </w:rPr>
        <w:t>Quantitative benchmarking enabling detailed product feature analysis</w:t>
      </w:r>
    </w:p>
    <w:p w14:paraId="0ABBC1C3" w14:textId="77777777" w:rsidR="00A561E0" w:rsidRDefault="00854BE4">
      <w:pPr>
        <w:pStyle w:val="DefaqtoBody"/>
      </w:pPr>
      <w:r>
        <w:rPr>
          <w:u w:color="000000"/>
        </w:rPr>
        <w:t>Defaqto’s unique quantitative Data Numerical Analysis (DNA) helps you benchmark products based on the features they offer.</w:t>
      </w:r>
    </w:p>
    <w:p w14:paraId="600512E8" w14:textId="77777777" w:rsidR="00A561E0" w:rsidRDefault="00854BE4">
      <w:pPr>
        <w:pStyle w:val="DefaqtoBody"/>
      </w:pPr>
      <w:r>
        <w:rPr>
          <w:u w:color="000000"/>
        </w:rPr>
        <w:t>A value is applied to each feature within a product, helping you filter out products with features that are unsuitable for your client.</w:t>
      </w:r>
    </w:p>
    <w:p w14:paraId="3DB3298B" w14:textId="77777777" w:rsidR="00A561E0" w:rsidRDefault="00854BE4">
      <w:pPr>
        <w:pStyle w:val="DefaqtoBody"/>
        <w:sectPr w:rsidR="00A561E0">
          <w:headerReference w:type="default" r:id="rId60"/>
          <w:footerReference w:type="default" r:id="rId61"/>
          <w:pgSz w:w="11907" w:h="16839" w:code="9"/>
          <w:pgMar w:top="709" w:right="640" w:bottom="376" w:left="640" w:header="200" w:footer="200" w:gutter="0"/>
          <w:cols w:space="708"/>
          <w:docGrid w:linePitch="360"/>
        </w:sectPr>
      </w:pPr>
      <w:r>
        <w:rPr>
          <w:u w:color="000000"/>
        </w:rPr>
        <w:t>No Product DNA analysis was carried out.</w:t>
      </w:r>
    </w:p>
    <w:p w14:paraId="1D4D9C7B" w14:textId="77777777" w:rsidR="00A561E0" w:rsidRDefault="00854BE4">
      <w:pPr>
        <w:pStyle w:val="DefaqtoHeading2"/>
      </w:pPr>
      <w:bookmarkStart w:id="37" w:name="_Toc28"/>
      <w:r>
        <w:t>Brochure comparisons</w:t>
      </w:r>
      <w:bookmarkEnd w:id="37"/>
    </w:p>
    <w:tbl>
      <w:tblPr>
        <w:tblStyle w:val="DefaqtoTable"/>
        <w:tblW w:w="5000" w:type="pct"/>
        <w:tblCellSpacing w:w="0" w:type="dxa"/>
        <w:tblBorders>
          <w:top w:val="single" w:sz="2" w:space="0" w:color="000000"/>
          <w:left w:val="single" w:sz="2" w:space="0" w:color="000000"/>
          <w:bottom w:val="single" w:sz="2" w:space="0" w:color="000000"/>
          <w:right w:val="single" w:sz="2" w:space="0" w:color="000000"/>
          <w:insideH w:val="nil"/>
          <w:insideV w:val="nil"/>
        </w:tblBorders>
        <w:tblCellMar>
          <w:top w:w="60" w:type="dxa"/>
          <w:left w:w="60" w:type="dxa"/>
          <w:bottom w:w="60" w:type="dxa"/>
          <w:right w:w="60" w:type="dxa"/>
        </w:tblCellMar>
        <w:tblLook w:val="0600" w:firstRow="0" w:lastRow="0" w:firstColumn="0" w:lastColumn="0" w:noHBand="1" w:noVBand="1"/>
      </w:tblPr>
      <w:tblGrid>
        <w:gridCol w:w="3111"/>
        <w:gridCol w:w="12442"/>
      </w:tblGrid>
      <w:tr w:rsidR="00A561E0" w14:paraId="0E0C8505" w14:textId="77777777" w:rsidTr="00A561E0">
        <w:trPr>
          <w:tblHeader/>
          <w:tblCellSpacing w:w="0" w:type="dxa"/>
        </w:trPr>
        <w:tc>
          <w:tcPr>
            <w:tcW w:w="1000" w:type="pct"/>
            <w:vMerge w:val="restart"/>
            <w:tcBorders>
              <w:top w:val="single" w:sz="2" w:space="0" w:color="000000"/>
              <w:left w:val="single" w:sz="2" w:space="0" w:color="000000"/>
              <w:bottom w:val="single" w:sz="2" w:space="0" w:color="000000"/>
              <w:right w:val="single" w:sz="2" w:space="0" w:color="000000"/>
            </w:tcBorders>
            <w:shd w:val="clear" w:color="auto" w:fill="E4E4E4"/>
          </w:tcPr>
          <w:p w14:paraId="4578CC23" w14:textId="77777777" w:rsidR="00A561E0" w:rsidRDefault="00A561E0"/>
        </w:tc>
        <w:tc>
          <w:tcPr>
            <w:tcW w:w="4500" w:type="pct"/>
            <w:tcBorders>
              <w:top w:val="single" w:sz="2" w:space="0" w:color="000000"/>
              <w:left w:val="single" w:sz="2" w:space="0" w:color="000000"/>
              <w:bottom w:val="single" w:sz="2" w:space="0" w:color="000000"/>
              <w:right w:val="single" w:sz="2" w:space="0" w:color="000000"/>
            </w:tcBorders>
            <w:shd w:val="clear" w:color="auto" w:fill="E4E4E4"/>
          </w:tcPr>
          <w:p w14:paraId="463C300F" w14:textId="77777777" w:rsidR="00A561E0" w:rsidRDefault="00854BE4">
            <w:r>
              <w:rPr>
                <w:b/>
                <w:bCs/>
                <w:color w:val="000000"/>
                <w:sz w:val="16"/>
                <w:szCs w:val="16"/>
              </w:rPr>
              <w:t>Aviva ISA Portfolio</w:t>
            </w:r>
          </w:p>
        </w:tc>
      </w:tr>
      <w:tr w:rsidR="00A561E0" w14:paraId="4BADDE7D" w14:textId="77777777" w:rsidTr="00A561E0">
        <w:trPr>
          <w:tblHeader/>
          <w:tblCellSpacing w:w="0" w:type="dxa"/>
        </w:trPr>
        <w:tc>
          <w:tcPr>
            <w:tcW w:w="0" w:type="auto"/>
            <w:vMerge/>
            <w:tcBorders>
              <w:top w:val="single" w:sz="2" w:space="0" w:color="000000"/>
              <w:left w:val="single" w:sz="2" w:space="0" w:color="000000"/>
              <w:bottom w:val="single" w:sz="2" w:space="0" w:color="000000"/>
              <w:right w:val="single" w:sz="2" w:space="0" w:color="000000"/>
            </w:tcBorders>
          </w:tcPr>
          <w:p w14:paraId="1157D4EE" w14:textId="77777777" w:rsidR="00A561E0" w:rsidRDefault="00A561E0"/>
        </w:tc>
        <w:tc>
          <w:tcPr>
            <w:tcW w:w="0" w:type="auto"/>
            <w:tcBorders>
              <w:top w:val="single" w:sz="2" w:space="0" w:color="000000"/>
              <w:left w:val="single" w:sz="2" w:space="0" w:color="000000"/>
              <w:bottom w:val="single" w:sz="2" w:space="0" w:color="000000"/>
              <w:right w:val="single" w:sz="2" w:space="0" w:color="000000"/>
            </w:tcBorders>
            <w:shd w:val="clear" w:color="auto" w:fill="E4E4E4"/>
          </w:tcPr>
          <w:p w14:paraId="71906634" w14:textId="77777777" w:rsidR="00A561E0" w:rsidRDefault="00854BE4">
            <w:r>
              <w:rPr>
                <w:color w:val="000000"/>
                <w:sz w:val="16"/>
                <w:szCs w:val="16"/>
              </w:rPr>
              <w:t>Aviva</w:t>
            </w:r>
          </w:p>
        </w:tc>
      </w:tr>
      <w:tr w:rsidR="00A561E0" w14:paraId="0CB23190" w14:textId="77777777" w:rsidTr="00A561E0">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683D3627" w14:textId="77777777" w:rsidR="00A561E0" w:rsidRDefault="00854BE4">
            <w:pPr>
              <w:spacing w:after="0"/>
              <w:rPr>
                <w:rFonts w:ascii="Poppins" w:eastAsia="Poppins" w:hAnsi="Poppins" w:cs="Poppins"/>
                <w:color w:val="392388"/>
              </w:rPr>
            </w:pPr>
            <w:r>
              <w:rPr>
                <w:b/>
                <w:bCs/>
                <w:color w:val="000000"/>
                <w:sz w:val="16"/>
                <w:szCs w:val="16"/>
              </w:rPr>
              <w:t>Platform/Self Select ISA</w:t>
            </w:r>
            <w:r>
              <w:br/>
            </w:r>
            <w:r>
              <w:rPr>
                <w:b/>
                <w:bCs/>
                <w:color w:val="000000"/>
                <w:sz w:val="16"/>
                <w:szCs w:val="16"/>
              </w:rPr>
              <w:t>Is this a Platform/Self Select ISA.</w:t>
            </w:r>
          </w:p>
        </w:tc>
        <w:tc>
          <w:tcPr>
            <w:tcW w:w="0" w:type="auto"/>
            <w:tcBorders>
              <w:top w:val="single" w:sz="2" w:space="0" w:color="000000"/>
              <w:left w:val="single" w:sz="2" w:space="0" w:color="000000"/>
              <w:bottom w:val="single" w:sz="2" w:space="0" w:color="000000"/>
              <w:right w:val="single" w:sz="2" w:space="0" w:color="000000"/>
            </w:tcBorders>
            <w:vAlign w:val="top"/>
          </w:tcPr>
          <w:p w14:paraId="0F5360B8" w14:textId="77777777" w:rsidR="00A561E0" w:rsidRDefault="00854BE4">
            <w:pPr>
              <w:spacing w:after="0"/>
              <w:rPr>
                <w:rFonts w:ascii="Poppins" w:eastAsia="Poppins" w:hAnsi="Poppins" w:cs="Poppins"/>
                <w:color w:val="392388"/>
              </w:rPr>
            </w:pPr>
            <w:r>
              <w:rPr>
                <w:color w:val="000000"/>
                <w:sz w:val="16"/>
                <w:szCs w:val="16"/>
              </w:rPr>
              <w:t>This is a platform/self select ISA.</w:t>
            </w:r>
          </w:p>
        </w:tc>
      </w:tr>
      <w:tr w:rsidR="00A561E0" w14:paraId="1FE5099E" w14:textId="77777777" w:rsidTr="00A561E0">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2B241610" w14:textId="77777777" w:rsidR="00A561E0" w:rsidRDefault="00854BE4">
            <w:pPr>
              <w:spacing w:after="0"/>
              <w:rPr>
                <w:rFonts w:ascii="Poppins" w:eastAsia="Poppins" w:hAnsi="Poppins" w:cs="Poppins"/>
                <w:color w:val="392388"/>
              </w:rPr>
            </w:pPr>
            <w:r>
              <w:rPr>
                <w:b/>
                <w:bCs/>
                <w:color w:val="000000"/>
                <w:sz w:val="16"/>
                <w:szCs w:val="16"/>
              </w:rPr>
              <w:t>Online Valuations</w:t>
            </w:r>
            <w:r>
              <w:br/>
            </w:r>
            <w:r>
              <w:rPr>
                <w:b/>
                <w:bCs/>
                <w:color w:val="000000"/>
                <w:sz w:val="16"/>
                <w:szCs w:val="16"/>
              </w:rPr>
              <w:t>Valuations of underlying portfolio can be viewed online</w:t>
            </w:r>
          </w:p>
        </w:tc>
        <w:tc>
          <w:tcPr>
            <w:tcW w:w="0" w:type="auto"/>
            <w:tcBorders>
              <w:top w:val="single" w:sz="2" w:space="0" w:color="000000"/>
              <w:left w:val="single" w:sz="2" w:space="0" w:color="000000"/>
              <w:bottom w:val="single" w:sz="2" w:space="0" w:color="000000"/>
              <w:right w:val="single" w:sz="2" w:space="0" w:color="000000"/>
            </w:tcBorders>
            <w:vAlign w:val="top"/>
          </w:tcPr>
          <w:p w14:paraId="226F38DC" w14:textId="77777777" w:rsidR="00A561E0" w:rsidRDefault="00854BE4">
            <w:pPr>
              <w:spacing w:after="0"/>
              <w:rPr>
                <w:rFonts w:ascii="Poppins" w:eastAsia="Poppins" w:hAnsi="Poppins" w:cs="Poppins"/>
                <w:color w:val="392388"/>
              </w:rPr>
            </w:pPr>
            <w:r>
              <w:rPr>
                <w:color w:val="000000"/>
                <w:sz w:val="16"/>
                <w:szCs w:val="16"/>
              </w:rPr>
              <w:t xml:space="preserve">Yes </w:t>
            </w:r>
          </w:p>
        </w:tc>
      </w:tr>
      <w:tr w:rsidR="00A561E0" w14:paraId="071DFD6D" w14:textId="77777777" w:rsidTr="00A561E0">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30AEC6FE" w14:textId="77777777" w:rsidR="00A561E0" w:rsidRDefault="00854BE4">
            <w:pPr>
              <w:spacing w:after="0"/>
              <w:rPr>
                <w:rFonts w:ascii="Poppins" w:eastAsia="Poppins" w:hAnsi="Poppins" w:cs="Poppins"/>
                <w:color w:val="392388"/>
              </w:rPr>
            </w:pPr>
            <w:r>
              <w:rPr>
                <w:b/>
                <w:bCs/>
                <w:color w:val="000000"/>
                <w:sz w:val="16"/>
                <w:szCs w:val="16"/>
              </w:rPr>
              <w:t>Bed and ISA</w:t>
            </w:r>
            <w:r>
              <w:br/>
            </w:r>
            <w:r>
              <w:rPr>
                <w:b/>
                <w:bCs/>
                <w:color w:val="000000"/>
                <w:sz w:val="16"/>
                <w:szCs w:val="16"/>
              </w:rPr>
              <w:t>May Bed and ISA an investment, selling an investment held outside the ISA and then repurchase it when in the ISA</w:t>
            </w:r>
          </w:p>
        </w:tc>
        <w:tc>
          <w:tcPr>
            <w:tcW w:w="0" w:type="auto"/>
            <w:tcBorders>
              <w:top w:val="single" w:sz="2" w:space="0" w:color="000000"/>
              <w:left w:val="single" w:sz="2" w:space="0" w:color="000000"/>
              <w:bottom w:val="single" w:sz="2" w:space="0" w:color="000000"/>
              <w:right w:val="single" w:sz="2" w:space="0" w:color="000000"/>
            </w:tcBorders>
            <w:vAlign w:val="top"/>
          </w:tcPr>
          <w:p w14:paraId="3C14DAE3" w14:textId="77777777" w:rsidR="00A561E0" w:rsidRDefault="00854BE4">
            <w:pPr>
              <w:spacing w:after="0"/>
              <w:rPr>
                <w:rFonts w:ascii="Poppins" w:eastAsia="Poppins" w:hAnsi="Poppins" w:cs="Poppins"/>
                <w:color w:val="392388"/>
              </w:rPr>
            </w:pPr>
            <w:r>
              <w:rPr>
                <w:color w:val="000000"/>
                <w:sz w:val="16"/>
                <w:szCs w:val="16"/>
              </w:rPr>
              <w:t>Yes</w:t>
            </w:r>
          </w:p>
        </w:tc>
      </w:tr>
      <w:tr w:rsidR="00A561E0" w14:paraId="415AB3AB" w14:textId="77777777" w:rsidTr="00A561E0">
        <w:trPr>
          <w:tblCellSpacing w:w="0" w:type="dxa"/>
        </w:trPr>
        <w:tc>
          <w:tcPr>
            <w:tcW w:w="0" w:type="auto"/>
            <w:gridSpan w:val="2"/>
            <w:tcBorders>
              <w:top w:val="single" w:sz="2" w:space="0" w:color="000000"/>
            </w:tcBorders>
          </w:tcPr>
          <w:p w14:paraId="248FF29A" w14:textId="77777777" w:rsidR="00A561E0" w:rsidRDefault="00854BE4">
            <w:pPr>
              <w:spacing w:after="0"/>
              <w:jc w:val="center"/>
            </w:pPr>
            <w:r>
              <w:rPr>
                <w:rFonts w:ascii="Calibri Light" w:eastAsia="Calibri Light" w:hAnsi="Calibri Light" w:cs="Calibri Light"/>
              </w:rPr>
              <w:t>Brochure Comparison 03/12/2025 11:47</w:t>
            </w:r>
          </w:p>
        </w:tc>
      </w:tr>
    </w:tbl>
    <w:p w14:paraId="4FAB8A07" w14:textId="77777777" w:rsidR="00A561E0" w:rsidRDefault="00854BE4">
      <w:pPr>
        <w:sectPr w:rsidR="00A561E0">
          <w:headerReference w:type="default" r:id="rId62"/>
          <w:footerReference w:type="default" r:id="rId63"/>
          <w:pgSz w:w="16839" w:h="11907" w:orient="landscape" w:code="9"/>
          <w:pgMar w:top="709" w:right="640" w:bottom="376" w:left="640" w:header="200" w:footer="200" w:gutter="0"/>
          <w:cols w:space="708"/>
          <w:docGrid w:linePitch="360"/>
        </w:sectPr>
      </w:pPr>
      <w:r>
        <w:t xml:space="preserve"> </w:t>
      </w:r>
    </w:p>
    <w:p w14:paraId="02DAFF65" w14:textId="77777777" w:rsidR="00A561E0" w:rsidRDefault="00854BE4">
      <w:pPr>
        <w:pStyle w:val="DefaqtoHeading1"/>
      </w:pPr>
      <w:bookmarkStart w:id="38" w:name="_Toc29"/>
      <w:r>
        <w:t>Platform selection</w:t>
      </w:r>
      <w:bookmarkEnd w:id="38"/>
    </w:p>
    <w:p w14:paraId="268478CB" w14:textId="77777777" w:rsidR="00A561E0" w:rsidRDefault="00854BE4">
      <w:pPr>
        <w:pStyle w:val="DefaqtoIntroText"/>
      </w:pPr>
      <w:r>
        <w:rPr>
          <w:u w:color="000000"/>
        </w:rPr>
        <w:t>This section details the issues identified as being important to the selection of a platform and the other criteria used in selecting the most suitable platform.</w:t>
      </w:r>
    </w:p>
    <w:p w14:paraId="431AD8F1" w14:textId="77777777" w:rsidR="00A561E0" w:rsidRDefault="00854BE4">
      <w:pPr>
        <w:pStyle w:val="DefaqtoHeading2"/>
      </w:pPr>
      <w:bookmarkStart w:id="39" w:name="_Toc30"/>
      <w:r>
        <w:t>Recommended Platform</w:t>
      </w:r>
      <w:bookmarkEnd w:id="39"/>
    </w:p>
    <w:p w14:paraId="7801742F" w14:textId="77777777" w:rsidR="00A561E0" w:rsidRDefault="00854BE4">
      <w:pPr>
        <w:pStyle w:val="DefaqtoBody"/>
      </w:pPr>
      <w:r>
        <w:rPr>
          <w:u w:color="000000"/>
        </w:rPr>
        <w:t>No additional justification text has been entered</w:t>
      </w:r>
    </w:p>
    <w:tbl>
      <w:tblPr>
        <w:tblStyle w:val="Custom1"/>
        <w:tblW w:w="5000" w:type="pct"/>
        <w:tblLook w:val="01E0" w:firstRow="1" w:lastRow="1" w:firstColumn="1" w:lastColumn="1" w:noHBand="0" w:noVBand="0"/>
      </w:tblPr>
      <w:tblGrid>
        <w:gridCol w:w="2654"/>
        <w:gridCol w:w="7963"/>
      </w:tblGrid>
      <w:tr w:rsidR="00A561E0" w14:paraId="1FC05559" w14:textId="77777777" w:rsidTr="00A561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6AD318B9" w14:textId="77777777" w:rsidR="00A561E0" w:rsidRDefault="00854BE4">
            <w:pPr>
              <w:pStyle w:val="DefaqtoTableBody2"/>
            </w:pPr>
            <w:r>
              <w:t>Product / Provider</w:t>
            </w:r>
          </w:p>
        </w:tc>
        <w:tc>
          <w:tcPr>
            <w:tcW w:w="3750" w:type="pct"/>
          </w:tcPr>
          <w:p w14:paraId="3F684F8B"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Aviva Platform</w:t>
            </w:r>
            <w:r>
              <w:br/>
              <w:t>Aviva</w:t>
            </w:r>
          </w:p>
        </w:tc>
      </w:tr>
      <w:tr w:rsidR="00A561E0" w14:paraId="732A31D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97069C" w14:textId="77777777" w:rsidR="00A561E0" w:rsidRDefault="00854BE4">
            <w:pPr>
              <w:pStyle w:val="DefaqtoTableBody2"/>
            </w:pPr>
            <w:r>
              <w:t>Profile</w:t>
            </w:r>
          </w:p>
        </w:tc>
        <w:tc>
          <w:tcPr>
            <w:tcW w:w="0" w:type="auto"/>
          </w:tcPr>
          <w:p w14:paraId="2CE548E5" w14:textId="77777777" w:rsidR="00A561E0" w:rsidRDefault="00854BE4">
            <w:pPr>
              <w:pStyle w:val="DefaqtoTableBody2"/>
              <w:cnfStyle w:val="000000010000" w:firstRow="0" w:lastRow="0" w:firstColumn="0" w:lastColumn="0" w:oddVBand="0" w:evenVBand="0" w:oddHBand="0" w:evenHBand="1" w:firstRowFirstColumn="0" w:firstRowLastColumn="0" w:lastRowFirstColumn="0" w:lastRowLastColumn="0"/>
            </w:pPr>
            <w:r>
              <w:t xml:space="preserve">Aviva is the largest insurance group in the UK is also a provider of life and pensions products to Europe.  </w:t>
            </w:r>
            <w:r>
              <w:br/>
            </w:r>
            <w:r>
              <w:br/>
              <w:t>The Aviva brand name was launched in July 2002. The group was formed by the merger of CGU and Norwich Union in 2000. CGU came from the merger of Commercial Union and General Accident in 1998.</w:t>
            </w:r>
            <w:r>
              <w:br/>
              <w:t xml:space="preserve"> </w:t>
            </w:r>
            <w:r>
              <w:br/>
              <w:t xml:space="preserve">Aviva provide savings, retirement and insurance. </w:t>
            </w:r>
            <w:r>
              <w:br/>
            </w:r>
            <w:r>
              <w:br/>
            </w:r>
          </w:p>
        </w:tc>
      </w:tr>
    </w:tbl>
    <w:p w14:paraId="34C6C4DF" w14:textId="77777777" w:rsidR="00A561E0" w:rsidRDefault="00A561E0">
      <w:pPr>
        <w:sectPr w:rsidR="00A561E0">
          <w:headerReference w:type="default" r:id="rId64"/>
          <w:footerReference w:type="default" r:id="rId65"/>
          <w:pgSz w:w="11907" w:h="16839" w:code="9"/>
          <w:pgMar w:top="709" w:right="640" w:bottom="376" w:left="640" w:header="200" w:footer="200" w:gutter="0"/>
          <w:cols w:space="708"/>
          <w:docGrid w:linePitch="360"/>
        </w:sectPr>
      </w:pPr>
    </w:p>
    <w:p w14:paraId="487B68AB" w14:textId="77777777" w:rsidR="00A561E0" w:rsidRDefault="00854BE4">
      <w:pPr>
        <w:pStyle w:val="DefaqtoHeading2"/>
      </w:pPr>
      <w:bookmarkStart w:id="40" w:name="_Toc31"/>
      <w:r>
        <w:t>Panel</w:t>
      </w:r>
      <w:bookmarkEnd w:id="40"/>
    </w:p>
    <w:p w14:paraId="416B30CD" w14:textId="77777777" w:rsidR="00A561E0" w:rsidRDefault="00854BE4">
      <w:pPr>
        <w:pStyle w:val="DefaqtoBody"/>
      </w:pPr>
      <w:r>
        <w:rPr>
          <w:u w:color="000000"/>
        </w:rPr>
        <w:t>The TFAS panel has been used in the platform selection.</w:t>
      </w:r>
    </w:p>
    <w:p w14:paraId="483C09A8" w14:textId="77777777" w:rsidR="00A561E0" w:rsidRDefault="00854BE4">
      <w:pPr>
        <w:pStyle w:val="DefaqtoHeading2"/>
      </w:pPr>
      <w:bookmarkStart w:id="41" w:name="_Toc32"/>
      <w:r>
        <w:t>Template</w:t>
      </w:r>
      <w:bookmarkEnd w:id="41"/>
    </w:p>
    <w:p w14:paraId="424B3C10" w14:textId="77777777" w:rsidR="00A561E0" w:rsidRDefault="00854BE4">
      <w:pPr>
        <w:pStyle w:val="DefaqtoBody"/>
      </w:pPr>
      <w:r>
        <w:rPr>
          <w:u w:color="000000"/>
        </w:rPr>
        <w:t>No template has been used in the product selection.</w:t>
      </w:r>
    </w:p>
    <w:p w14:paraId="5B4BF6F8" w14:textId="77777777" w:rsidR="00A561E0" w:rsidRDefault="00854BE4">
      <w:pPr>
        <w:pStyle w:val="DefaqtoHeading2"/>
      </w:pPr>
      <w:bookmarkStart w:id="42" w:name="_Toc33"/>
      <w:r>
        <w:t>Filters</w:t>
      </w:r>
      <w:bookmarkEnd w:id="42"/>
    </w:p>
    <w:p w14:paraId="0C4E7B0A" w14:textId="77777777" w:rsidR="00A561E0" w:rsidRDefault="00854BE4">
      <w:pPr>
        <w:pStyle w:val="DefaqtoBody"/>
      </w:pPr>
      <w:r>
        <w:rPr>
          <w:u w:color="000000"/>
        </w:rPr>
        <w:t>The table below lists the filters applied and the feature value for the recommended platform.</w:t>
      </w:r>
    </w:p>
    <w:tbl>
      <w:tblPr>
        <w:tblStyle w:val="DefaqtoTable"/>
        <w:tblW w:w="5000" w:type="pct"/>
        <w:tblLook w:val="01E0" w:firstRow="1" w:lastRow="1" w:firstColumn="1" w:lastColumn="1" w:noHBand="0" w:noVBand="0"/>
      </w:tblPr>
      <w:tblGrid>
        <w:gridCol w:w="3086"/>
        <w:gridCol w:w="5072"/>
        <w:gridCol w:w="2459"/>
      </w:tblGrid>
      <w:tr w:rsidR="00A561E0" w14:paraId="7F93406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D2D42C" w14:textId="77777777" w:rsidR="00A561E0" w:rsidRDefault="00854BE4">
            <w:pPr>
              <w:pStyle w:val="DefaqtoTableBody2"/>
            </w:pPr>
            <w:r>
              <w:t>Feature</w:t>
            </w:r>
          </w:p>
        </w:tc>
        <w:tc>
          <w:tcPr>
            <w:tcW w:w="0" w:type="auto"/>
          </w:tcPr>
          <w:p w14:paraId="682275E5" w14:textId="77777777" w:rsidR="00A561E0" w:rsidRDefault="00854BE4">
            <w:pPr>
              <w:pStyle w:val="DefaqtoTableBody2"/>
              <w:cnfStyle w:val="100000000000" w:firstRow="1" w:lastRow="0" w:firstColumn="0" w:lastColumn="0" w:oddVBand="0" w:evenVBand="0" w:oddHBand="0" w:evenHBand="0" w:firstRowFirstColumn="0" w:firstRowLastColumn="0" w:lastRowFirstColumn="0" w:lastRowLastColumn="0"/>
            </w:pPr>
            <w:r>
              <w:t>Filter</w:t>
            </w:r>
          </w:p>
        </w:tc>
        <w:tc>
          <w:tcPr>
            <w:tcW w:w="0" w:type="auto"/>
          </w:tcPr>
          <w:p w14:paraId="0D11D133" w14:textId="77777777" w:rsidR="00A561E0" w:rsidRDefault="00854BE4">
            <w:pPr>
              <w:pStyle w:val="DefaqtoTableBody2"/>
              <w:cnfStyle w:val="100000000000" w:firstRow="1" w:lastRow="0" w:firstColumn="0" w:lastColumn="0" w:oddVBand="0" w:evenVBand="0" w:oddHBand="0" w:evenHBand="0" w:firstRowFirstColumn="0" w:firstRowLastColumn="0" w:lastRowFirstColumn="0" w:lastRowLastColumn="0"/>
            </w:pPr>
            <w:r>
              <w:t>Recommended feature value</w:t>
            </w:r>
          </w:p>
        </w:tc>
      </w:tr>
      <w:tr w:rsidR="00A561E0" w14:paraId="1AE623E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1BB0EC" w14:textId="77777777" w:rsidR="00A561E0" w:rsidRDefault="00854BE4">
            <w:pPr>
              <w:pStyle w:val="DefaqtoTableBody2"/>
            </w:pPr>
            <w:r>
              <w:t>General Investment Account</w:t>
            </w:r>
          </w:p>
        </w:tc>
        <w:tc>
          <w:tcPr>
            <w:tcW w:w="0" w:type="auto"/>
          </w:tcPr>
          <w:p w14:paraId="745F3C67"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General investment account available (non-wrapped)</w:t>
            </w:r>
          </w:p>
        </w:tc>
        <w:tc>
          <w:tcPr>
            <w:tcW w:w="0" w:type="auto"/>
          </w:tcPr>
          <w:p w14:paraId="049D2020"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Yes</w:t>
            </w:r>
          </w:p>
        </w:tc>
      </w:tr>
      <w:tr w:rsidR="00A561E0" w14:paraId="352D008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FBF1D8" w14:textId="77777777" w:rsidR="00A561E0" w:rsidRDefault="00854BE4">
            <w:pPr>
              <w:pStyle w:val="DefaqtoTableBody2"/>
            </w:pPr>
            <w:r>
              <w:t>Platform Access - Adviser</w:t>
            </w:r>
          </w:p>
        </w:tc>
        <w:tc>
          <w:tcPr>
            <w:tcW w:w="0" w:type="auto"/>
          </w:tcPr>
          <w:p w14:paraId="2179A34B" w14:textId="77777777" w:rsidR="00A561E0" w:rsidRDefault="00854BE4">
            <w:pPr>
              <w:pStyle w:val="DefaqtoTableBody2"/>
              <w:cnfStyle w:val="000000010000" w:firstRow="0" w:lastRow="0" w:firstColumn="0" w:lastColumn="0" w:oddVBand="0" w:evenVBand="0" w:oddHBand="0" w:evenHBand="1" w:firstRowFirstColumn="0" w:firstRowLastColumn="0" w:lastRowFirstColumn="0" w:lastRowLastColumn="0"/>
            </w:pPr>
            <w:r>
              <w:t>Platforms that allow advisers access</w:t>
            </w:r>
          </w:p>
        </w:tc>
        <w:tc>
          <w:tcPr>
            <w:tcW w:w="0" w:type="auto"/>
          </w:tcPr>
          <w:p w14:paraId="527A3416" w14:textId="77777777" w:rsidR="00A561E0" w:rsidRDefault="00854BE4">
            <w:pPr>
              <w:pStyle w:val="DefaqtoTableBody2"/>
              <w:cnfStyle w:val="000000010000" w:firstRow="0" w:lastRow="0" w:firstColumn="0" w:lastColumn="0" w:oddVBand="0" w:evenVBand="0" w:oddHBand="0" w:evenHBand="1" w:firstRowFirstColumn="0" w:firstRowLastColumn="0" w:lastRowFirstColumn="0" w:lastRowLastColumn="0"/>
            </w:pPr>
            <w:r>
              <w:t>Yes</w:t>
            </w:r>
          </w:p>
        </w:tc>
      </w:tr>
      <w:tr w:rsidR="00A561E0" w14:paraId="1045B6D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7A9217" w14:textId="77777777" w:rsidR="00A561E0" w:rsidRDefault="00854BE4">
            <w:pPr>
              <w:pStyle w:val="DefaqtoTableBody2"/>
            </w:pPr>
            <w:r>
              <w:t>AKG Platform Financial Strength</w:t>
            </w:r>
          </w:p>
        </w:tc>
        <w:tc>
          <w:tcPr>
            <w:tcW w:w="0" w:type="auto"/>
          </w:tcPr>
          <w:p w14:paraId="6B433BAB"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DNA 5 - A  ranking is equivalent to excellent</w:t>
            </w:r>
            <w:r>
              <w:br/>
            </w:r>
          </w:p>
        </w:tc>
        <w:tc>
          <w:tcPr>
            <w:tcW w:w="0" w:type="auto"/>
          </w:tcPr>
          <w:p w14:paraId="0D54FB9F"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A</w:t>
            </w:r>
          </w:p>
        </w:tc>
      </w:tr>
      <w:tr w:rsidR="00A561E0" w14:paraId="48B75C7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8412CC" w14:textId="77777777" w:rsidR="00A561E0" w:rsidRDefault="00854BE4">
            <w:pPr>
              <w:pStyle w:val="DefaqtoTableBody2"/>
            </w:pPr>
            <w:r>
              <w:t xml:space="preserve">Weighted Satisfaction Score (%) </w:t>
            </w:r>
          </w:p>
        </w:tc>
        <w:tc>
          <w:tcPr>
            <w:tcW w:w="0" w:type="auto"/>
          </w:tcPr>
          <w:p w14:paraId="2ED1FAE5" w14:textId="77777777" w:rsidR="00A561E0" w:rsidRDefault="00854BE4">
            <w:pPr>
              <w:pStyle w:val="DefaqtoTableBody2"/>
              <w:cnfStyle w:val="000000010000" w:firstRow="0" w:lastRow="0" w:firstColumn="0" w:lastColumn="0" w:oddVBand="0" w:evenVBand="0" w:oddHBand="0" w:evenHBand="1" w:firstRowFirstColumn="0" w:firstRowLastColumn="0" w:lastRowFirstColumn="0" w:lastRowLastColumn="0"/>
            </w:pPr>
            <w:r>
              <w:t>DNA 5 - Highest satisfaction levels</w:t>
            </w:r>
            <w:r>
              <w:br/>
              <w:t>DNA 4 - Above average satisfaction levels</w:t>
            </w:r>
            <w:r>
              <w:br/>
            </w:r>
          </w:p>
        </w:tc>
        <w:tc>
          <w:tcPr>
            <w:tcW w:w="0" w:type="auto"/>
          </w:tcPr>
          <w:p w14:paraId="4892F46A" w14:textId="77777777" w:rsidR="00A561E0" w:rsidRDefault="00854BE4">
            <w:pPr>
              <w:pStyle w:val="DefaqtoTableBody2"/>
              <w:cnfStyle w:val="000000010000" w:firstRow="0" w:lastRow="0" w:firstColumn="0" w:lastColumn="0" w:oddVBand="0" w:evenVBand="0" w:oddHBand="0" w:evenHBand="1" w:firstRowFirstColumn="0" w:firstRowLastColumn="0" w:lastRowFirstColumn="0" w:lastRowLastColumn="0"/>
            </w:pPr>
            <w:r>
              <w:t>81</w:t>
            </w:r>
          </w:p>
        </w:tc>
      </w:tr>
      <w:tr w:rsidR="00A561E0" w14:paraId="7CC2072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628EBB" w14:textId="77777777" w:rsidR="00A561E0" w:rsidRDefault="00854BE4">
            <w:pPr>
              <w:pStyle w:val="DefaqtoTableBody2"/>
            </w:pPr>
            <w:r>
              <w:t>ISA</w:t>
            </w:r>
          </w:p>
        </w:tc>
        <w:tc>
          <w:tcPr>
            <w:tcW w:w="0" w:type="auto"/>
          </w:tcPr>
          <w:p w14:paraId="090A6571"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DNA 5 - ISA is available on the platform</w:t>
            </w:r>
            <w:r>
              <w:br/>
            </w:r>
          </w:p>
        </w:tc>
        <w:tc>
          <w:tcPr>
            <w:tcW w:w="0" w:type="auto"/>
          </w:tcPr>
          <w:p w14:paraId="6EE25ACB"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Yes</w:t>
            </w:r>
          </w:p>
        </w:tc>
      </w:tr>
      <w:tr w:rsidR="00A561E0" w14:paraId="274E810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99EC57" w14:textId="77777777" w:rsidR="00A561E0" w:rsidRDefault="00854BE4">
            <w:pPr>
              <w:pStyle w:val="DefaqtoTableBody2"/>
            </w:pPr>
            <w:r>
              <w:t>Personal Pension Plan or SIPP Available</w:t>
            </w:r>
          </w:p>
        </w:tc>
        <w:tc>
          <w:tcPr>
            <w:tcW w:w="0" w:type="auto"/>
          </w:tcPr>
          <w:p w14:paraId="3E0C98DA" w14:textId="77777777" w:rsidR="00A561E0" w:rsidRDefault="00854BE4">
            <w:pPr>
              <w:pStyle w:val="DefaqtoTableBody2"/>
              <w:cnfStyle w:val="000000010000" w:firstRow="0" w:lastRow="0" w:firstColumn="0" w:lastColumn="0" w:oddVBand="0" w:evenVBand="0" w:oddHBand="0" w:evenHBand="1" w:firstRowFirstColumn="0" w:firstRowLastColumn="0" w:lastRowFirstColumn="0" w:lastRowLastColumn="0"/>
            </w:pPr>
            <w:r>
              <w:t>DNA 5 - Personal pension product (PPP or SIPP) available</w:t>
            </w:r>
            <w:r>
              <w:br/>
            </w:r>
          </w:p>
        </w:tc>
        <w:tc>
          <w:tcPr>
            <w:tcW w:w="0" w:type="auto"/>
          </w:tcPr>
          <w:p w14:paraId="0450B578" w14:textId="77777777" w:rsidR="00A561E0" w:rsidRDefault="00854BE4">
            <w:pPr>
              <w:pStyle w:val="DefaqtoTableBody2"/>
              <w:cnfStyle w:val="000000010000" w:firstRow="0" w:lastRow="0" w:firstColumn="0" w:lastColumn="0" w:oddVBand="0" w:evenVBand="0" w:oddHBand="0" w:evenHBand="1" w:firstRowFirstColumn="0" w:firstRowLastColumn="0" w:lastRowFirstColumn="0" w:lastRowLastColumn="0"/>
            </w:pPr>
            <w:r>
              <w:t>Yes</w:t>
            </w:r>
          </w:p>
        </w:tc>
      </w:tr>
      <w:tr w:rsidR="00A561E0" w14:paraId="5BB32C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B7D6FD" w14:textId="77777777" w:rsidR="00A561E0" w:rsidRDefault="00854BE4">
            <w:pPr>
              <w:pStyle w:val="DefaqtoTableBody2"/>
            </w:pPr>
            <w:r>
              <w:t>Platform Access - Client</w:t>
            </w:r>
          </w:p>
        </w:tc>
        <w:tc>
          <w:tcPr>
            <w:tcW w:w="0" w:type="auto"/>
          </w:tcPr>
          <w:p w14:paraId="6CBF504B"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DNA 5 - Client may have platform access</w:t>
            </w:r>
            <w:r>
              <w:br/>
            </w:r>
          </w:p>
        </w:tc>
        <w:tc>
          <w:tcPr>
            <w:tcW w:w="0" w:type="auto"/>
          </w:tcPr>
          <w:p w14:paraId="027849C8"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Yes</w:t>
            </w:r>
          </w:p>
        </w:tc>
      </w:tr>
      <w:tr w:rsidR="00A561E0" w14:paraId="46E5F93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CFBE46" w14:textId="77777777" w:rsidR="00A561E0" w:rsidRDefault="00854BE4">
            <w:pPr>
              <w:pStyle w:val="DefaqtoTableBody2"/>
            </w:pPr>
            <w:r>
              <w:t>FAD (Flexi Access Drawdown)</w:t>
            </w:r>
          </w:p>
        </w:tc>
        <w:tc>
          <w:tcPr>
            <w:tcW w:w="0" w:type="auto"/>
          </w:tcPr>
          <w:p w14:paraId="53C327B2" w14:textId="77777777" w:rsidR="00A561E0" w:rsidRDefault="00854BE4">
            <w:pPr>
              <w:pStyle w:val="DefaqtoTableBody2"/>
              <w:cnfStyle w:val="000000010000" w:firstRow="0" w:lastRow="0" w:firstColumn="0" w:lastColumn="0" w:oddVBand="0" w:evenVBand="0" w:oddHBand="0" w:evenHBand="1" w:firstRowFirstColumn="0" w:firstRowLastColumn="0" w:lastRowFirstColumn="0" w:lastRowLastColumn="0"/>
            </w:pPr>
            <w:r>
              <w:t>DNA 5 - Flexi access drawdown available</w:t>
            </w:r>
            <w:r>
              <w:br/>
            </w:r>
          </w:p>
        </w:tc>
        <w:tc>
          <w:tcPr>
            <w:tcW w:w="0" w:type="auto"/>
          </w:tcPr>
          <w:p w14:paraId="00D6AE36" w14:textId="77777777" w:rsidR="00A561E0" w:rsidRDefault="00854BE4">
            <w:pPr>
              <w:pStyle w:val="DefaqtoTableBody2"/>
              <w:cnfStyle w:val="000000010000" w:firstRow="0" w:lastRow="0" w:firstColumn="0" w:lastColumn="0" w:oddVBand="0" w:evenVBand="0" w:oddHBand="0" w:evenHBand="1" w:firstRowFirstColumn="0" w:firstRowLastColumn="0" w:lastRowFirstColumn="0" w:lastRowLastColumn="0"/>
            </w:pPr>
            <w:r>
              <w:t>Yes</w:t>
            </w:r>
          </w:p>
        </w:tc>
      </w:tr>
      <w:tr w:rsidR="00A561E0" w14:paraId="2BABAE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F96F4F8" w14:textId="77777777" w:rsidR="00A561E0" w:rsidRDefault="00854BE4">
            <w:pPr>
              <w:pStyle w:val="DefaqtoTableBody2"/>
            </w:pPr>
            <w:r>
              <w:t>Uncrystalised Funds Pension Lump Sum</w:t>
            </w:r>
          </w:p>
        </w:tc>
        <w:tc>
          <w:tcPr>
            <w:tcW w:w="0" w:type="auto"/>
          </w:tcPr>
          <w:p w14:paraId="5D40BDA9"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DNA 5 - Uncrystalised Funds Pension Lump Sum available</w:t>
            </w:r>
            <w:r>
              <w:br/>
            </w:r>
          </w:p>
        </w:tc>
        <w:tc>
          <w:tcPr>
            <w:tcW w:w="0" w:type="auto"/>
          </w:tcPr>
          <w:p w14:paraId="17B8E812"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Yes</w:t>
            </w:r>
          </w:p>
        </w:tc>
      </w:tr>
      <w:tr w:rsidR="00A561E0" w14:paraId="38AE4E0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597FF5" w14:textId="77777777" w:rsidR="00A561E0" w:rsidRDefault="00854BE4">
            <w:pPr>
              <w:pStyle w:val="DefaqtoTableBody2"/>
            </w:pPr>
            <w:r>
              <w:t>Automatic Withdrawals</w:t>
            </w:r>
          </w:p>
        </w:tc>
        <w:tc>
          <w:tcPr>
            <w:tcW w:w="0" w:type="auto"/>
          </w:tcPr>
          <w:p w14:paraId="288EDB08" w14:textId="77777777" w:rsidR="00A561E0" w:rsidRDefault="00854BE4">
            <w:pPr>
              <w:pStyle w:val="DefaqtoTableBody2"/>
              <w:cnfStyle w:val="000000010000" w:firstRow="0" w:lastRow="0" w:firstColumn="0" w:lastColumn="0" w:oddVBand="0" w:evenVBand="0" w:oddHBand="0" w:evenHBand="1" w:firstRowFirstColumn="0" w:firstRowLastColumn="0" w:lastRowFirstColumn="0" w:lastRowLastColumn="0"/>
            </w:pPr>
            <w:r>
              <w:t>DNA 5 - Facility to set up fixed regular withdrawals from the platform</w:t>
            </w:r>
            <w:r>
              <w:br/>
            </w:r>
          </w:p>
        </w:tc>
        <w:tc>
          <w:tcPr>
            <w:tcW w:w="0" w:type="auto"/>
          </w:tcPr>
          <w:p w14:paraId="0B7593A8" w14:textId="77777777" w:rsidR="00A561E0" w:rsidRDefault="00854BE4">
            <w:pPr>
              <w:pStyle w:val="DefaqtoTableBody2"/>
              <w:cnfStyle w:val="000000010000" w:firstRow="0" w:lastRow="0" w:firstColumn="0" w:lastColumn="0" w:oddVBand="0" w:evenVBand="0" w:oddHBand="0" w:evenHBand="1" w:firstRowFirstColumn="0" w:firstRowLastColumn="0" w:lastRowFirstColumn="0" w:lastRowLastColumn="0"/>
            </w:pPr>
            <w:r>
              <w:t>Yes</w:t>
            </w:r>
          </w:p>
        </w:tc>
      </w:tr>
    </w:tbl>
    <w:p w14:paraId="11F42CA6" w14:textId="77777777" w:rsidR="00A561E0" w:rsidRDefault="00A561E0">
      <w:pPr>
        <w:sectPr w:rsidR="00A561E0">
          <w:headerReference w:type="default" r:id="rId66"/>
          <w:footerReference w:type="default" r:id="rId67"/>
          <w:pgSz w:w="11907" w:h="16839" w:code="9"/>
          <w:pgMar w:top="709" w:right="640" w:bottom="376" w:left="640" w:header="200" w:footer="200" w:gutter="0"/>
          <w:cols w:space="708"/>
          <w:docGrid w:linePitch="360"/>
        </w:sectPr>
      </w:pPr>
    </w:p>
    <w:p w14:paraId="5F61A86E" w14:textId="77777777" w:rsidR="00A561E0" w:rsidRDefault="00854BE4">
      <w:pPr>
        <w:pStyle w:val="DefaqtoHeading2"/>
      </w:pPr>
      <w:bookmarkStart w:id="43" w:name="_Toc34"/>
      <w:r>
        <w:t>Shortlist</w:t>
      </w:r>
      <w:bookmarkEnd w:id="43"/>
    </w:p>
    <w:p w14:paraId="408772C8" w14:textId="77777777" w:rsidR="00A561E0" w:rsidRDefault="00854BE4">
      <w:pPr>
        <w:pStyle w:val="DefaqtoBody"/>
      </w:pPr>
      <w:r>
        <w:rPr>
          <w:u w:color="000000"/>
        </w:rPr>
        <w:t>1 products from a total of 4 matched the filters applied.</w:t>
      </w:r>
    </w:p>
    <w:tbl>
      <w:tblPr>
        <w:tblStyle w:val="DefaqtoTable"/>
        <w:tblW w:w="5000" w:type="pct"/>
        <w:tblLook w:val="01E0" w:firstRow="1" w:lastRow="1" w:firstColumn="1" w:lastColumn="1" w:noHBand="0" w:noVBand="0"/>
      </w:tblPr>
      <w:tblGrid>
        <w:gridCol w:w="2441"/>
        <w:gridCol w:w="2521"/>
        <w:gridCol w:w="5655"/>
      </w:tblGrid>
      <w:tr w:rsidR="00A561E0" w14:paraId="5DA0ED6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4B2EEF" w14:textId="77777777" w:rsidR="00A561E0" w:rsidRDefault="00854BE4">
            <w:pPr>
              <w:pStyle w:val="DefaqtoTableBody2"/>
            </w:pPr>
            <w:r>
              <w:t>Product name</w:t>
            </w:r>
          </w:p>
        </w:tc>
        <w:tc>
          <w:tcPr>
            <w:tcW w:w="0" w:type="auto"/>
          </w:tcPr>
          <w:p w14:paraId="0A545D38" w14:textId="77777777" w:rsidR="00A561E0" w:rsidRDefault="00854BE4">
            <w:pPr>
              <w:pStyle w:val="DefaqtoTableBody2"/>
              <w:cnfStyle w:val="100000000000" w:firstRow="1" w:lastRow="0" w:firstColumn="0" w:lastColumn="0" w:oddVBand="0" w:evenVBand="0" w:oddHBand="0" w:evenHBand="0" w:firstRowFirstColumn="0" w:firstRowLastColumn="0" w:lastRowFirstColumn="0" w:lastRowLastColumn="0"/>
            </w:pPr>
            <w:r>
              <w:t>Provider name</w:t>
            </w:r>
          </w:p>
        </w:tc>
        <w:tc>
          <w:tcPr>
            <w:tcW w:w="0" w:type="auto"/>
          </w:tcPr>
          <w:p w14:paraId="6188F160" w14:textId="77777777" w:rsidR="00A561E0" w:rsidRDefault="00854BE4">
            <w:pPr>
              <w:pStyle w:val="DefaqtoTableBody2"/>
              <w:cnfStyle w:val="100000000000" w:firstRow="1" w:lastRow="0" w:firstColumn="0" w:lastColumn="0" w:oddVBand="0" w:evenVBand="0" w:oddHBand="0" w:evenHBand="0" w:firstRowFirstColumn="0" w:firstRowLastColumn="0" w:lastRowFirstColumn="0" w:lastRowLastColumn="0"/>
            </w:pPr>
            <w:r>
              <w:t>Total DNA for DNA features analysed</w:t>
            </w:r>
          </w:p>
        </w:tc>
      </w:tr>
      <w:tr w:rsidR="00A561E0" w14:paraId="4F3228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BF8599" w14:textId="77777777" w:rsidR="00A561E0" w:rsidRDefault="00854BE4">
            <w:pPr>
              <w:pStyle w:val="DefaqtoTableBody2"/>
            </w:pPr>
            <w:r>
              <w:t>Aviva Platform</w:t>
            </w:r>
          </w:p>
        </w:tc>
        <w:tc>
          <w:tcPr>
            <w:tcW w:w="0" w:type="auto"/>
          </w:tcPr>
          <w:p w14:paraId="2B74EC84"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Aviva</w:t>
            </w:r>
          </w:p>
        </w:tc>
        <w:tc>
          <w:tcPr>
            <w:tcW w:w="0" w:type="auto"/>
          </w:tcPr>
          <w:p w14:paraId="3FA244B2" w14:textId="77777777" w:rsidR="00A561E0" w:rsidRDefault="00854BE4">
            <w:pPr>
              <w:pStyle w:val="DefaqtoTableBody2"/>
              <w:cnfStyle w:val="000000100000" w:firstRow="0" w:lastRow="0" w:firstColumn="0" w:lastColumn="0" w:oddVBand="0" w:evenVBand="0" w:oddHBand="1" w:evenHBand="0" w:firstRowFirstColumn="0" w:firstRowLastColumn="0" w:lastRowFirstColumn="0" w:lastRowLastColumn="0"/>
            </w:pPr>
            <w:r>
              <w:t>No DNA applied</w:t>
            </w:r>
          </w:p>
        </w:tc>
      </w:tr>
    </w:tbl>
    <w:p w14:paraId="5251F72F" w14:textId="77777777" w:rsidR="00A561E0" w:rsidRDefault="00A561E0">
      <w:pPr>
        <w:sectPr w:rsidR="00A561E0">
          <w:headerReference w:type="default" r:id="rId68"/>
          <w:footerReference w:type="default" r:id="rId69"/>
          <w:pgSz w:w="11907" w:h="16839" w:code="9"/>
          <w:pgMar w:top="709" w:right="640" w:bottom="376" w:left="640" w:header="200" w:footer="200" w:gutter="0"/>
          <w:cols w:space="708"/>
          <w:docGrid w:linePitch="360"/>
        </w:sectPr>
      </w:pPr>
    </w:p>
    <w:p w14:paraId="2D84B113" w14:textId="77777777" w:rsidR="00A561E0" w:rsidRDefault="00854BE4">
      <w:pPr>
        <w:pStyle w:val="DefaqtoHeading2"/>
      </w:pPr>
      <w:bookmarkStart w:id="44" w:name="_Toc35"/>
      <w:r>
        <w:t>DNA features</w:t>
      </w:r>
      <w:bookmarkEnd w:id="44"/>
    </w:p>
    <w:p w14:paraId="5689E810" w14:textId="77777777" w:rsidR="00A561E0" w:rsidRDefault="00854BE4">
      <w:pPr>
        <w:pStyle w:val="DefaqtoBody"/>
      </w:pPr>
      <w:r>
        <w:rPr>
          <w:u w:color="000000"/>
        </w:rPr>
        <w:t>Quantitative benchmarking enabling detailed product feature analysis</w:t>
      </w:r>
    </w:p>
    <w:p w14:paraId="03989691" w14:textId="77777777" w:rsidR="00A561E0" w:rsidRDefault="00854BE4">
      <w:pPr>
        <w:pStyle w:val="DefaqtoBody"/>
      </w:pPr>
      <w:r>
        <w:rPr>
          <w:u w:color="000000"/>
        </w:rPr>
        <w:t>Defaqto’s unique quantitative Data Numerical Analysis (DNA) helps you benchmark products based on the features they offer.</w:t>
      </w:r>
    </w:p>
    <w:p w14:paraId="0FD4E99B" w14:textId="77777777" w:rsidR="00A561E0" w:rsidRDefault="00854BE4">
      <w:pPr>
        <w:pStyle w:val="DefaqtoBody"/>
      </w:pPr>
      <w:r>
        <w:rPr>
          <w:u w:color="000000"/>
        </w:rPr>
        <w:t>A value is applied to each feature within a product, helping you filter out products with features that are unsuitable for your client.</w:t>
      </w:r>
    </w:p>
    <w:p w14:paraId="7612AA3C" w14:textId="77777777" w:rsidR="00A561E0" w:rsidRDefault="00854BE4">
      <w:pPr>
        <w:pStyle w:val="DefaqtoBody"/>
        <w:sectPr w:rsidR="00A561E0">
          <w:headerReference w:type="default" r:id="rId70"/>
          <w:footerReference w:type="default" r:id="rId71"/>
          <w:pgSz w:w="11907" w:h="16839" w:code="9"/>
          <w:pgMar w:top="709" w:right="640" w:bottom="376" w:left="640" w:header="200" w:footer="200" w:gutter="0"/>
          <w:cols w:space="708"/>
          <w:docGrid w:linePitch="360"/>
        </w:sectPr>
      </w:pPr>
      <w:r>
        <w:rPr>
          <w:u w:color="000000"/>
        </w:rPr>
        <w:t>No Platform DNA analysis was carried out.</w:t>
      </w:r>
    </w:p>
    <w:p w14:paraId="4519B236" w14:textId="77777777" w:rsidR="00A561E0" w:rsidRDefault="00854BE4">
      <w:pPr>
        <w:pStyle w:val="DefaqtoHeading2"/>
      </w:pPr>
      <w:bookmarkStart w:id="45" w:name="_Toc36"/>
      <w:r>
        <w:t>Brochure comparisons</w:t>
      </w:r>
      <w:bookmarkEnd w:id="45"/>
    </w:p>
    <w:tbl>
      <w:tblPr>
        <w:tblStyle w:val="DefaqtoTable"/>
        <w:tblW w:w="5000" w:type="pct"/>
        <w:tblCellSpacing w:w="0" w:type="dxa"/>
        <w:tblBorders>
          <w:top w:val="single" w:sz="2" w:space="0" w:color="000000"/>
          <w:left w:val="single" w:sz="2" w:space="0" w:color="000000"/>
          <w:bottom w:val="single" w:sz="2" w:space="0" w:color="000000"/>
          <w:right w:val="single" w:sz="2" w:space="0" w:color="000000"/>
          <w:insideH w:val="nil"/>
          <w:insideV w:val="nil"/>
        </w:tblBorders>
        <w:tblCellMar>
          <w:top w:w="60" w:type="dxa"/>
          <w:left w:w="60" w:type="dxa"/>
          <w:bottom w:w="60" w:type="dxa"/>
          <w:right w:w="60" w:type="dxa"/>
        </w:tblCellMar>
        <w:tblLook w:val="0600" w:firstRow="0" w:lastRow="0" w:firstColumn="0" w:lastColumn="0" w:noHBand="1" w:noVBand="1"/>
      </w:tblPr>
      <w:tblGrid>
        <w:gridCol w:w="3111"/>
        <w:gridCol w:w="12442"/>
      </w:tblGrid>
      <w:tr w:rsidR="00A561E0" w14:paraId="1D1AC02F" w14:textId="77777777" w:rsidTr="00A561E0">
        <w:trPr>
          <w:tblHeader/>
          <w:tblCellSpacing w:w="0" w:type="dxa"/>
        </w:trPr>
        <w:tc>
          <w:tcPr>
            <w:tcW w:w="1000" w:type="pct"/>
            <w:vMerge w:val="restart"/>
            <w:tcBorders>
              <w:top w:val="single" w:sz="2" w:space="0" w:color="000000"/>
              <w:left w:val="single" w:sz="2" w:space="0" w:color="000000"/>
              <w:bottom w:val="single" w:sz="2" w:space="0" w:color="000000"/>
              <w:right w:val="single" w:sz="2" w:space="0" w:color="000000"/>
            </w:tcBorders>
            <w:shd w:val="clear" w:color="auto" w:fill="E4E4E4"/>
          </w:tcPr>
          <w:p w14:paraId="05D6A98C" w14:textId="77777777" w:rsidR="00A561E0" w:rsidRDefault="00A561E0"/>
        </w:tc>
        <w:tc>
          <w:tcPr>
            <w:tcW w:w="4500" w:type="pct"/>
            <w:tcBorders>
              <w:top w:val="single" w:sz="2" w:space="0" w:color="000000"/>
              <w:left w:val="single" w:sz="2" w:space="0" w:color="000000"/>
              <w:bottom w:val="single" w:sz="2" w:space="0" w:color="000000"/>
              <w:right w:val="single" w:sz="2" w:space="0" w:color="000000"/>
            </w:tcBorders>
            <w:shd w:val="clear" w:color="auto" w:fill="E4E4E4"/>
          </w:tcPr>
          <w:p w14:paraId="173310DE" w14:textId="77777777" w:rsidR="00A561E0" w:rsidRDefault="00854BE4">
            <w:r>
              <w:rPr>
                <w:b/>
                <w:bCs/>
                <w:color w:val="000000"/>
                <w:sz w:val="16"/>
                <w:szCs w:val="16"/>
              </w:rPr>
              <w:t>Aviva Platform</w:t>
            </w:r>
          </w:p>
        </w:tc>
      </w:tr>
      <w:tr w:rsidR="00A561E0" w14:paraId="68D2EEBB" w14:textId="77777777" w:rsidTr="00A561E0">
        <w:trPr>
          <w:tblHeader/>
          <w:tblCellSpacing w:w="0" w:type="dxa"/>
        </w:trPr>
        <w:tc>
          <w:tcPr>
            <w:tcW w:w="0" w:type="auto"/>
            <w:vMerge/>
            <w:tcBorders>
              <w:top w:val="single" w:sz="2" w:space="0" w:color="000000"/>
              <w:left w:val="single" w:sz="2" w:space="0" w:color="000000"/>
              <w:bottom w:val="single" w:sz="2" w:space="0" w:color="000000"/>
              <w:right w:val="single" w:sz="2" w:space="0" w:color="000000"/>
            </w:tcBorders>
          </w:tcPr>
          <w:p w14:paraId="264B9302" w14:textId="77777777" w:rsidR="00A561E0" w:rsidRDefault="00A561E0"/>
        </w:tc>
        <w:tc>
          <w:tcPr>
            <w:tcW w:w="0" w:type="auto"/>
            <w:tcBorders>
              <w:top w:val="single" w:sz="2" w:space="0" w:color="000000"/>
              <w:left w:val="single" w:sz="2" w:space="0" w:color="000000"/>
              <w:bottom w:val="single" w:sz="2" w:space="0" w:color="000000"/>
              <w:right w:val="single" w:sz="2" w:space="0" w:color="000000"/>
            </w:tcBorders>
            <w:shd w:val="clear" w:color="auto" w:fill="E4E4E4"/>
          </w:tcPr>
          <w:p w14:paraId="3C537597" w14:textId="77777777" w:rsidR="00A561E0" w:rsidRDefault="00854BE4">
            <w:r>
              <w:rPr>
                <w:color w:val="000000"/>
                <w:sz w:val="16"/>
                <w:szCs w:val="16"/>
              </w:rPr>
              <w:t>Aviva</w:t>
            </w:r>
          </w:p>
        </w:tc>
      </w:tr>
      <w:tr w:rsidR="00A561E0" w14:paraId="54AC5168" w14:textId="77777777" w:rsidTr="00A561E0">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7F1D63B5" w14:textId="77777777" w:rsidR="00A561E0" w:rsidRDefault="00854BE4">
            <w:pPr>
              <w:spacing w:after="0"/>
              <w:rPr>
                <w:rFonts w:ascii="Poppins" w:eastAsia="Poppins" w:hAnsi="Poppins" w:cs="Poppins"/>
                <w:color w:val="392388"/>
              </w:rPr>
            </w:pPr>
            <w:r>
              <w:rPr>
                <w:b/>
                <w:bCs/>
                <w:color w:val="000000"/>
                <w:sz w:val="16"/>
                <w:szCs w:val="16"/>
              </w:rPr>
              <w:t>Platform Financial Strength Rating provided by AKG</w:t>
            </w:r>
            <w:r>
              <w:br/>
            </w:r>
            <w:r>
              <w:rPr>
                <w:b/>
                <w:bCs/>
                <w:color w:val="000000"/>
                <w:sz w:val="16"/>
                <w:szCs w:val="16"/>
              </w:rPr>
              <w:t>Platform Financial strength rating provided by AKG</w:t>
            </w:r>
          </w:p>
        </w:tc>
        <w:tc>
          <w:tcPr>
            <w:tcW w:w="0" w:type="auto"/>
            <w:tcBorders>
              <w:top w:val="single" w:sz="2" w:space="0" w:color="000000"/>
              <w:left w:val="single" w:sz="2" w:space="0" w:color="000000"/>
              <w:bottom w:val="single" w:sz="2" w:space="0" w:color="000000"/>
              <w:right w:val="single" w:sz="2" w:space="0" w:color="000000"/>
            </w:tcBorders>
            <w:vAlign w:val="top"/>
          </w:tcPr>
          <w:p w14:paraId="2587068D" w14:textId="77777777" w:rsidR="00A561E0" w:rsidRDefault="00854BE4">
            <w:pPr>
              <w:spacing w:after="0"/>
              <w:rPr>
                <w:rFonts w:ascii="Poppins" w:eastAsia="Poppins" w:hAnsi="Poppins" w:cs="Poppins"/>
                <w:color w:val="392388"/>
              </w:rPr>
            </w:pPr>
            <w:r>
              <w:rPr>
                <w:color w:val="000000"/>
                <w:sz w:val="16"/>
                <w:szCs w:val="16"/>
              </w:rPr>
              <w:t xml:space="preserve">AKG Actuaries &amp; Consultants Ltd, specialists in this field, have allocated a rating factor of A, B+, B, B-, C or D to each company dependent on its financial strength. </w:t>
            </w:r>
            <w:r>
              <w:br/>
            </w:r>
            <w:r>
              <w:br/>
            </w:r>
            <w:r>
              <w:rPr>
                <w:color w:val="000000"/>
                <w:sz w:val="16"/>
                <w:szCs w:val="16"/>
              </w:rPr>
              <w:t xml:space="preserve">This company is rated A. </w:t>
            </w:r>
            <w:r>
              <w:br/>
            </w:r>
            <w:r>
              <w:br/>
            </w:r>
            <w:r>
              <w:rPr>
                <w:color w:val="000000"/>
                <w:sz w:val="16"/>
                <w:szCs w:val="16"/>
              </w:rPr>
              <w:t xml:space="preserve">A rating of 'A' denotes superior financial strength </w:t>
            </w:r>
            <w:r>
              <w:br/>
            </w:r>
            <w:r>
              <w:rPr>
                <w:color w:val="000000"/>
                <w:sz w:val="16"/>
                <w:szCs w:val="16"/>
              </w:rPr>
              <w:t xml:space="preserve">A rating of 'B+' denotes very strong financial strength </w:t>
            </w:r>
            <w:r>
              <w:br/>
            </w:r>
            <w:r>
              <w:rPr>
                <w:color w:val="000000"/>
                <w:sz w:val="16"/>
                <w:szCs w:val="16"/>
              </w:rPr>
              <w:t xml:space="preserve">A rating of 'B' denotes strong financial strength </w:t>
            </w:r>
            <w:r>
              <w:br/>
            </w:r>
            <w:r>
              <w:rPr>
                <w:color w:val="000000"/>
                <w:sz w:val="16"/>
                <w:szCs w:val="16"/>
              </w:rPr>
              <w:t xml:space="preserve">A rating of 'B-' denotes effective financial strength </w:t>
            </w:r>
            <w:r>
              <w:br/>
            </w:r>
            <w:r>
              <w:rPr>
                <w:color w:val="000000"/>
                <w:sz w:val="16"/>
                <w:szCs w:val="16"/>
              </w:rPr>
              <w:t xml:space="preserve">A rating of 'C' denotes challenged financial strength </w:t>
            </w:r>
            <w:r>
              <w:br/>
            </w:r>
            <w:r>
              <w:rPr>
                <w:color w:val="000000"/>
                <w:sz w:val="16"/>
                <w:szCs w:val="16"/>
              </w:rPr>
              <w:t xml:space="preserve">A rating of 'D' denotes very challenged financial strength. </w:t>
            </w:r>
            <w:r>
              <w:br/>
            </w:r>
            <w:r>
              <w:br/>
            </w:r>
            <w:r>
              <w:rPr>
                <w:color w:val="000000"/>
                <w:sz w:val="16"/>
                <w:szCs w:val="16"/>
              </w:rPr>
              <w:t>These ratings are the results of analysis of a range of key criteria, such as size, free assets, parentage, distribution image and reputation within t</w:t>
            </w:r>
            <w:r>
              <w:rPr>
                <w:color w:val="000000"/>
                <w:sz w:val="16"/>
                <w:szCs w:val="16"/>
              </w:rPr>
              <w:t xml:space="preserve">he IFA market, expenses levels, market share and profitability. </w:t>
            </w:r>
            <w:r>
              <w:br/>
            </w:r>
            <w:r>
              <w:br/>
            </w:r>
            <w:r>
              <w:rPr>
                <w:color w:val="000000"/>
                <w:sz w:val="16"/>
                <w:szCs w:val="16"/>
              </w:rPr>
              <w:t xml:space="preserve">AKG publish three financial strength report series or 'peer groups'. Each of these peer groups uses different criteria and weightings to arrive at a financial strength rating. </w:t>
            </w:r>
            <w:r>
              <w:br/>
            </w:r>
          </w:p>
          <w:tbl>
            <w:tblPr>
              <w:tblStyle w:val="DefaqtoTable"/>
              <w:tblW w:w="5000" w:type="pct"/>
              <w:tblCellSpacing w:w="0" w:type="dxa"/>
              <w:tblBorders>
                <w:top w:val="single" w:sz="2" w:space="0" w:color="000000"/>
                <w:left w:val="single" w:sz="2" w:space="0" w:color="000000"/>
                <w:bottom w:val="single" w:sz="2" w:space="0" w:color="000000"/>
                <w:right w:val="single" w:sz="2" w:space="0" w:color="000000"/>
                <w:insideH w:val="nil"/>
                <w:insideV w:val="nil"/>
              </w:tblBorders>
              <w:tblCellMar>
                <w:top w:w="60" w:type="dxa"/>
                <w:left w:w="60" w:type="dxa"/>
                <w:bottom w:w="60" w:type="dxa"/>
                <w:right w:w="60" w:type="dxa"/>
              </w:tblCellMar>
              <w:tblLook w:val="0600" w:firstRow="0" w:lastRow="0" w:firstColumn="0" w:lastColumn="0" w:noHBand="1" w:noVBand="1"/>
            </w:tblPr>
            <w:tblGrid>
              <w:gridCol w:w="6153"/>
              <w:gridCol w:w="6153"/>
            </w:tblGrid>
            <w:tr w:rsidR="00A561E0" w14:paraId="316679FB" w14:textId="77777777" w:rsidTr="00A561E0">
              <w:trPr>
                <w:tblCellSpacing w:w="0" w:type="dxa"/>
              </w:trPr>
              <w:tc>
                <w:tcPr>
                  <w:tcW w:w="2500" w:type="pct"/>
                  <w:tcBorders>
                    <w:top w:val="single" w:sz="2" w:space="0" w:color="000000"/>
                    <w:left w:val="single" w:sz="2" w:space="0" w:color="000000"/>
                    <w:bottom w:val="single" w:sz="2" w:space="0" w:color="000000"/>
                    <w:right w:val="single" w:sz="2" w:space="0" w:color="000000"/>
                  </w:tcBorders>
                  <w:shd w:val="clear" w:color="auto" w:fill="E4E4E4"/>
                </w:tcPr>
                <w:p w14:paraId="481302FF" w14:textId="77777777" w:rsidR="00A561E0" w:rsidRDefault="00854BE4">
                  <w:r>
                    <w:rPr>
                      <w:b/>
                      <w:bCs/>
                      <w:color w:val="000000"/>
                      <w:sz w:val="16"/>
                      <w:szCs w:val="16"/>
                    </w:rPr>
                    <w:t>Rating Type</w:t>
                  </w:r>
                </w:p>
              </w:tc>
              <w:tc>
                <w:tcPr>
                  <w:tcW w:w="0" w:type="auto"/>
                  <w:tcBorders>
                    <w:top w:val="single" w:sz="2" w:space="0" w:color="000000"/>
                    <w:left w:val="single" w:sz="2" w:space="0" w:color="000000"/>
                    <w:bottom w:val="single" w:sz="2" w:space="0" w:color="000000"/>
                    <w:right w:val="single" w:sz="2" w:space="0" w:color="000000"/>
                  </w:tcBorders>
                  <w:shd w:val="clear" w:color="auto" w:fill="E4E4E4"/>
                </w:tcPr>
                <w:p w14:paraId="1C66DE2F" w14:textId="77777777" w:rsidR="00A561E0" w:rsidRDefault="00854BE4">
                  <w:r>
                    <w:rPr>
                      <w:b/>
                      <w:bCs/>
                      <w:color w:val="000000"/>
                      <w:sz w:val="16"/>
                      <w:szCs w:val="16"/>
                    </w:rPr>
                    <w:t>Description</w:t>
                  </w:r>
                </w:p>
              </w:tc>
            </w:tr>
            <w:tr w:rsidR="00A561E0" w14:paraId="7733F458" w14:textId="77777777" w:rsidTr="00A561E0">
              <w:trPr>
                <w:tblCellSpacing w:w="0" w:type="dxa"/>
              </w:trPr>
              <w:tc>
                <w:tcPr>
                  <w:tcW w:w="0" w:type="auto"/>
                  <w:tcBorders>
                    <w:top w:val="single" w:sz="2" w:space="0" w:color="000000"/>
                    <w:left w:val="single" w:sz="2" w:space="0" w:color="000000"/>
                    <w:bottom w:val="single" w:sz="2" w:space="0" w:color="000000"/>
                    <w:right w:val="single" w:sz="2" w:space="0" w:color="000000"/>
                  </w:tcBorders>
                  <w:vAlign w:val="top"/>
                </w:tcPr>
                <w:p w14:paraId="436261E8" w14:textId="77777777" w:rsidR="00A561E0" w:rsidRDefault="00854BE4">
                  <w:pPr>
                    <w:spacing w:after="0"/>
                    <w:rPr>
                      <w:rFonts w:ascii="Poppins" w:eastAsia="Poppins" w:hAnsi="Poppins" w:cs="Poppins"/>
                      <w:color w:val="392388"/>
                    </w:rPr>
                  </w:pPr>
                  <w:r>
                    <w:rPr>
                      <w:color w:val="000000"/>
                      <w:sz w:val="16"/>
                      <w:szCs w:val="16"/>
                    </w:rPr>
                    <w:t>UK</w:t>
                  </w:r>
                </w:p>
              </w:tc>
              <w:tc>
                <w:tcPr>
                  <w:tcW w:w="0" w:type="auto"/>
                  <w:tcBorders>
                    <w:top w:val="single" w:sz="2" w:space="0" w:color="000000"/>
                    <w:left w:val="single" w:sz="2" w:space="0" w:color="000000"/>
                    <w:bottom w:val="single" w:sz="2" w:space="0" w:color="000000"/>
                    <w:right w:val="single" w:sz="2" w:space="0" w:color="000000"/>
                  </w:tcBorders>
                  <w:vAlign w:val="top"/>
                </w:tcPr>
                <w:p w14:paraId="3052E550" w14:textId="77777777" w:rsidR="00A561E0" w:rsidRDefault="00854BE4">
                  <w:pPr>
                    <w:spacing w:after="0"/>
                    <w:rPr>
                      <w:rFonts w:ascii="Poppins" w:eastAsia="Poppins" w:hAnsi="Poppins" w:cs="Poppins"/>
                      <w:color w:val="392388"/>
                    </w:rPr>
                  </w:pPr>
                  <w:r>
                    <w:rPr>
                      <w:color w:val="000000"/>
                      <w:sz w:val="16"/>
                      <w:szCs w:val="16"/>
                    </w:rPr>
                    <w:t>The UK rating rates life offices and non-life office SIPP providers. Defaqto displays these ratings across its life, pension and investment product tables.</w:t>
                  </w:r>
                </w:p>
              </w:tc>
            </w:tr>
            <w:tr w:rsidR="00A561E0" w14:paraId="4AF7F60F" w14:textId="77777777" w:rsidTr="00A561E0">
              <w:trPr>
                <w:tblCellSpacing w:w="0" w:type="dxa"/>
              </w:trPr>
              <w:tc>
                <w:tcPr>
                  <w:tcW w:w="0" w:type="auto"/>
                  <w:tcBorders>
                    <w:top w:val="single" w:sz="2" w:space="0" w:color="000000"/>
                    <w:left w:val="single" w:sz="2" w:space="0" w:color="000000"/>
                    <w:bottom w:val="single" w:sz="2" w:space="0" w:color="000000"/>
                    <w:right w:val="single" w:sz="2" w:space="0" w:color="000000"/>
                  </w:tcBorders>
                  <w:vAlign w:val="top"/>
                </w:tcPr>
                <w:p w14:paraId="1F31BC59" w14:textId="77777777" w:rsidR="00A561E0" w:rsidRDefault="00854BE4">
                  <w:pPr>
                    <w:spacing w:after="0"/>
                    <w:rPr>
                      <w:rFonts w:ascii="Poppins" w:eastAsia="Poppins" w:hAnsi="Poppins" w:cs="Poppins"/>
                      <w:color w:val="392388"/>
                    </w:rPr>
                  </w:pPr>
                  <w:r>
                    <w:rPr>
                      <w:color w:val="000000"/>
                      <w:sz w:val="16"/>
                      <w:szCs w:val="16"/>
                    </w:rPr>
                    <w:t>Platform</w:t>
                  </w:r>
                </w:p>
              </w:tc>
              <w:tc>
                <w:tcPr>
                  <w:tcW w:w="0" w:type="auto"/>
                  <w:tcBorders>
                    <w:top w:val="single" w:sz="2" w:space="0" w:color="000000"/>
                    <w:left w:val="single" w:sz="2" w:space="0" w:color="000000"/>
                    <w:bottom w:val="single" w:sz="2" w:space="0" w:color="000000"/>
                    <w:right w:val="single" w:sz="2" w:space="0" w:color="000000"/>
                  </w:tcBorders>
                  <w:vAlign w:val="top"/>
                </w:tcPr>
                <w:p w14:paraId="521356DB" w14:textId="77777777" w:rsidR="00A561E0" w:rsidRDefault="00854BE4">
                  <w:pPr>
                    <w:spacing w:after="0"/>
                    <w:rPr>
                      <w:rFonts w:ascii="Poppins" w:eastAsia="Poppins" w:hAnsi="Poppins" w:cs="Poppins"/>
                      <w:color w:val="392388"/>
                    </w:rPr>
                  </w:pPr>
                  <w:r>
                    <w:rPr>
                      <w:color w:val="000000"/>
                      <w:sz w:val="16"/>
                      <w:szCs w:val="16"/>
                    </w:rPr>
                    <w:t>The platform rating rates operators offering platforms. It does not rate the product wrapper itself. Defaqto displays this rating on its platform table.</w:t>
                  </w:r>
                </w:p>
              </w:tc>
            </w:tr>
            <w:tr w:rsidR="00A561E0" w14:paraId="4FCF6CDC" w14:textId="77777777" w:rsidTr="00A561E0">
              <w:trPr>
                <w:tblCellSpacing w:w="0" w:type="dxa"/>
              </w:trPr>
              <w:tc>
                <w:tcPr>
                  <w:tcW w:w="0" w:type="auto"/>
                  <w:tcBorders>
                    <w:top w:val="single" w:sz="2" w:space="0" w:color="000000"/>
                    <w:left w:val="single" w:sz="2" w:space="0" w:color="000000"/>
                    <w:bottom w:val="single" w:sz="2" w:space="0" w:color="000000"/>
                    <w:right w:val="single" w:sz="2" w:space="0" w:color="000000"/>
                  </w:tcBorders>
                  <w:vAlign w:val="top"/>
                </w:tcPr>
                <w:p w14:paraId="25A789DF" w14:textId="77777777" w:rsidR="00A561E0" w:rsidRDefault="00854BE4">
                  <w:pPr>
                    <w:spacing w:after="0"/>
                    <w:rPr>
                      <w:rFonts w:ascii="Poppins" w:eastAsia="Poppins" w:hAnsi="Poppins" w:cs="Poppins"/>
                      <w:color w:val="392388"/>
                    </w:rPr>
                  </w:pPr>
                  <w:r>
                    <w:rPr>
                      <w:color w:val="000000"/>
                      <w:sz w:val="16"/>
                      <w:szCs w:val="16"/>
                    </w:rPr>
                    <w:t>DFM</w:t>
                  </w:r>
                </w:p>
              </w:tc>
              <w:tc>
                <w:tcPr>
                  <w:tcW w:w="0" w:type="auto"/>
                  <w:tcBorders>
                    <w:top w:val="single" w:sz="2" w:space="0" w:color="000000"/>
                    <w:left w:val="single" w:sz="2" w:space="0" w:color="000000"/>
                    <w:bottom w:val="single" w:sz="2" w:space="0" w:color="000000"/>
                    <w:right w:val="single" w:sz="2" w:space="0" w:color="000000"/>
                  </w:tcBorders>
                  <w:vAlign w:val="top"/>
                </w:tcPr>
                <w:p w14:paraId="2761037C" w14:textId="77777777" w:rsidR="00A561E0" w:rsidRDefault="00854BE4">
                  <w:pPr>
                    <w:spacing w:after="0"/>
                    <w:rPr>
                      <w:rFonts w:ascii="Poppins" w:eastAsia="Poppins" w:hAnsi="Poppins" w:cs="Poppins"/>
                      <w:color w:val="392388"/>
                    </w:rPr>
                  </w:pPr>
                  <w:r>
                    <w:rPr>
                      <w:color w:val="000000"/>
                      <w:sz w:val="16"/>
                      <w:szCs w:val="16"/>
                    </w:rPr>
                    <w:t>The DFM rating rates the firms offering DFM solutions. It does not rate the solution itself. Defaqto displays this rating on its DFM table</w:t>
                  </w:r>
                </w:p>
              </w:tc>
            </w:tr>
            <w:tr w:rsidR="00A561E0" w14:paraId="365C8D50" w14:textId="77777777" w:rsidTr="00A561E0">
              <w:trPr>
                <w:tblCellSpacing w:w="0" w:type="dxa"/>
              </w:trPr>
              <w:tc>
                <w:tcPr>
                  <w:tcW w:w="0" w:type="auto"/>
                  <w:tcBorders>
                    <w:top w:val="single" w:sz="2" w:space="0" w:color="000000"/>
                    <w:left w:val="single" w:sz="2" w:space="0" w:color="000000"/>
                    <w:bottom w:val="single" w:sz="2" w:space="0" w:color="000000"/>
                    <w:right w:val="single" w:sz="2" w:space="0" w:color="000000"/>
                  </w:tcBorders>
                  <w:vAlign w:val="top"/>
                </w:tcPr>
                <w:p w14:paraId="63901254" w14:textId="77777777" w:rsidR="00A561E0" w:rsidRDefault="00854BE4">
                  <w:pPr>
                    <w:spacing w:after="0"/>
                    <w:rPr>
                      <w:rFonts w:ascii="Poppins" w:eastAsia="Poppins" w:hAnsi="Poppins" w:cs="Poppins"/>
                      <w:color w:val="392388"/>
                    </w:rPr>
                  </w:pPr>
                  <w:r>
                    <w:rPr>
                      <w:color w:val="000000"/>
                      <w:sz w:val="16"/>
                      <w:szCs w:val="16"/>
                    </w:rPr>
                    <w:t>Offshore</w:t>
                  </w:r>
                </w:p>
              </w:tc>
              <w:tc>
                <w:tcPr>
                  <w:tcW w:w="0" w:type="auto"/>
                  <w:tcBorders>
                    <w:top w:val="single" w:sz="2" w:space="0" w:color="000000"/>
                    <w:left w:val="single" w:sz="2" w:space="0" w:color="000000"/>
                    <w:bottom w:val="single" w:sz="2" w:space="0" w:color="000000"/>
                    <w:right w:val="single" w:sz="2" w:space="0" w:color="000000"/>
                  </w:tcBorders>
                  <w:vAlign w:val="top"/>
                </w:tcPr>
                <w:p w14:paraId="291C1BA0" w14:textId="77777777" w:rsidR="00A561E0" w:rsidRDefault="00854BE4">
                  <w:pPr>
                    <w:spacing w:after="0"/>
                    <w:rPr>
                      <w:rFonts w:ascii="Poppins" w:eastAsia="Poppins" w:hAnsi="Poppins" w:cs="Poppins"/>
                      <w:color w:val="392388"/>
                    </w:rPr>
                  </w:pPr>
                  <w:r>
                    <w:rPr>
                      <w:color w:val="000000"/>
                      <w:sz w:val="16"/>
                      <w:szCs w:val="16"/>
                    </w:rPr>
                    <w:t>The offshore rating rates providers offering offshore products. Defaqto displays this rating on its offshore investment product tables.</w:t>
                  </w:r>
                </w:p>
              </w:tc>
            </w:tr>
          </w:tbl>
          <w:p w14:paraId="17A5F4C8" w14:textId="77777777" w:rsidR="00A561E0" w:rsidRDefault="00854BE4">
            <w:pPr>
              <w:spacing w:after="0"/>
              <w:rPr>
                <w:rFonts w:ascii="Poppins" w:eastAsia="Poppins" w:hAnsi="Poppins" w:cs="Poppins"/>
                <w:color w:val="392388"/>
              </w:rPr>
            </w:pPr>
            <w:r>
              <w:br/>
            </w:r>
            <w:r>
              <w:rPr>
                <w:color w:val="000000"/>
                <w:sz w:val="16"/>
                <w:szCs w:val="16"/>
              </w:rPr>
              <w:t>For more information on how the ratings are applied, please refer to the Engage user guide and FAQs.</w:t>
            </w:r>
          </w:p>
        </w:tc>
      </w:tr>
      <w:tr w:rsidR="00A561E0" w14:paraId="783CAFDC" w14:textId="77777777" w:rsidTr="00A561E0">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71BBD7D2" w14:textId="77777777" w:rsidR="00A561E0" w:rsidRDefault="00854BE4">
            <w:pPr>
              <w:spacing w:after="0"/>
              <w:rPr>
                <w:rFonts w:ascii="Poppins" w:eastAsia="Poppins" w:hAnsi="Poppins" w:cs="Poppins"/>
                <w:color w:val="392388"/>
              </w:rPr>
            </w:pPr>
            <w:r>
              <w:rPr>
                <w:b/>
                <w:bCs/>
                <w:color w:val="000000"/>
                <w:sz w:val="16"/>
                <w:szCs w:val="16"/>
              </w:rPr>
              <w:t>Weighted Satisfaction Scores</w:t>
            </w:r>
            <w:r>
              <w:br/>
            </w:r>
            <w:r>
              <w:rPr>
                <w:b/>
                <w:bCs/>
                <w:color w:val="000000"/>
                <w:sz w:val="16"/>
                <w:szCs w:val="16"/>
              </w:rPr>
              <w:t>This is the weighted satisfaction score achieved in the IFA Platform Star Rating survey</w:t>
            </w:r>
          </w:p>
        </w:tc>
        <w:tc>
          <w:tcPr>
            <w:tcW w:w="0" w:type="auto"/>
            <w:tcBorders>
              <w:top w:val="single" w:sz="2" w:space="0" w:color="000000"/>
              <w:left w:val="single" w:sz="2" w:space="0" w:color="000000"/>
              <w:bottom w:val="single" w:sz="2" w:space="0" w:color="000000"/>
              <w:right w:val="single" w:sz="2" w:space="0" w:color="000000"/>
            </w:tcBorders>
            <w:vAlign w:val="top"/>
          </w:tcPr>
          <w:p w14:paraId="4E5399B6" w14:textId="77777777" w:rsidR="00A561E0" w:rsidRDefault="00854BE4">
            <w:pPr>
              <w:spacing w:after="0"/>
              <w:rPr>
                <w:rFonts w:ascii="Poppins" w:eastAsia="Poppins" w:hAnsi="Poppins" w:cs="Poppins"/>
                <w:color w:val="392388"/>
              </w:rPr>
            </w:pPr>
            <w:r>
              <w:rPr>
                <w:color w:val="000000"/>
                <w:sz w:val="16"/>
                <w:szCs w:val="16"/>
              </w:rPr>
              <w:t xml:space="preserve">81 </w:t>
            </w:r>
          </w:p>
        </w:tc>
      </w:tr>
      <w:tr w:rsidR="00A561E0" w14:paraId="5E6B9E56" w14:textId="77777777" w:rsidTr="00A561E0">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4B337578" w14:textId="77777777" w:rsidR="00A561E0" w:rsidRDefault="00854BE4">
            <w:pPr>
              <w:spacing w:after="0"/>
              <w:rPr>
                <w:rFonts w:ascii="Poppins" w:eastAsia="Poppins" w:hAnsi="Poppins" w:cs="Poppins"/>
                <w:color w:val="392388"/>
              </w:rPr>
            </w:pPr>
            <w:r>
              <w:rPr>
                <w:b/>
                <w:bCs/>
                <w:color w:val="000000"/>
                <w:sz w:val="16"/>
                <w:szCs w:val="16"/>
              </w:rPr>
              <w:t>General Investment Account</w:t>
            </w:r>
            <w:r>
              <w:br/>
            </w:r>
            <w:r>
              <w:rPr>
                <w:b/>
                <w:bCs/>
                <w:color w:val="000000"/>
                <w:sz w:val="16"/>
                <w:szCs w:val="16"/>
              </w:rPr>
              <w:t>A general investment account facility, where the underlying investments are not product wrapped.</w:t>
            </w:r>
          </w:p>
        </w:tc>
        <w:tc>
          <w:tcPr>
            <w:tcW w:w="0" w:type="auto"/>
            <w:tcBorders>
              <w:top w:val="single" w:sz="2" w:space="0" w:color="000000"/>
              <w:left w:val="single" w:sz="2" w:space="0" w:color="000000"/>
              <w:bottom w:val="single" w:sz="2" w:space="0" w:color="000000"/>
              <w:right w:val="single" w:sz="2" w:space="0" w:color="000000"/>
            </w:tcBorders>
            <w:vAlign w:val="top"/>
          </w:tcPr>
          <w:p w14:paraId="102E61D3" w14:textId="77777777" w:rsidR="00A561E0" w:rsidRDefault="00854BE4">
            <w:pPr>
              <w:spacing w:after="0"/>
              <w:rPr>
                <w:rFonts w:ascii="Poppins" w:eastAsia="Poppins" w:hAnsi="Poppins" w:cs="Poppins"/>
                <w:color w:val="392388"/>
              </w:rPr>
            </w:pPr>
            <w:r>
              <w:rPr>
                <w:color w:val="000000"/>
                <w:sz w:val="16"/>
                <w:szCs w:val="16"/>
              </w:rPr>
              <w:t xml:space="preserve">A general investment account is available via the, 'Investment Portfolio'. The minimum investments are £50 per month or a single investment of £1,000. </w:t>
            </w:r>
          </w:p>
        </w:tc>
      </w:tr>
      <w:tr w:rsidR="00A561E0" w14:paraId="57CF6868" w14:textId="77777777" w:rsidTr="00A561E0">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61A63C68" w14:textId="77777777" w:rsidR="00A561E0" w:rsidRDefault="00854BE4">
            <w:pPr>
              <w:spacing w:after="0"/>
              <w:rPr>
                <w:rFonts w:ascii="Poppins" w:eastAsia="Poppins" w:hAnsi="Poppins" w:cs="Poppins"/>
                <w:color w:val="392388"/>
              </w:rPr>
            </w:pPr>
            <w:r>
              <w:rPr>
                <w:b/>
                <w:bCs/>
                <w:color w:val="000000"/>
                <w:sz w:val="16"/>
                <w:szCs w:val="16"/>
              </w:rPr>
              <w:t xml:space="preserve">ISA available </w:t>
            </w:r>
            <w:r>
              <w:br/>
            </w:r>
            <w:r>
              <w:rPr>
                <w:b/>
                <w:bCs/>
                <w:color w:val="000000"/>
                <w:sz w:val="16"/>
                <w:szCs w:val="16"/>
              </w:rPr>
              <w:t>ISAs available</w:t>
            </w:r>
          </w:p>
        </w:tc>
        <w:tc>
          <w:tcPr>
            <w:tcW w:w="0" w:type="auto"/>
            <w:tcBorders>
              <w:top w:val="single" w:sz="2" w:space="0" w:color="000000"/>
              <w:left w:val="single" w:sz="2" w:space="0" w:color="000000"/>
              <w:bottom w:val="single" w:sz="2" w:space="0" w:color="000000"/>
              <w:right w:val="single" w:sz="2" w:space="0" w:color="000000"/>
            </w:tcBorders>
            <w:vAlign w:val="top"/>
          </w:tcPr>
          <w:p w14:paraId="41684297" w14:textId="77777777" w:rsidR="00A561E0" w:rsidRDefault="00854BE4">
            <w:pPr>
              <w:spacing w:after="0"/>
              <w:rPr>
                <w:rFonts w:ascii="Poppins" w:eastAsia="Poppins" w:hAnsi="Poppins" w:cs="Poppins"/>
                <w:color w:val="392388"/>
              </w:rPr>
            </w:pPr>
            <w:r>
              <w:rPr>
                <w:color w:val="000000"/>
                <w:sz w:val="16"/>
                <w:szCs w:val="16"/>
              </w:rPr>
              <w:t xml:space="preserve">The ISA Portfolio is a Stocks &amp; Shares ISA provided by Aviva. </w:t>
            </w:r>
          </w:p>
        </w:tc>
      </w:tr>
      <w:tr w:rsidR="00A561E0" w14:paraId="0A3831D4" w14:textId="77777777" w:rsidTr="00A561E0">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4AE5378C" w14:textId="77777777" w:rsidR="00A561E0" w:rsidRDefault="00854BE4">
            <w:pPr>
              <w:spacing w:after="0"/>
              <w:rPr>
                <w:rFonts w:ascii="Poppins" w:eastAsia="Poppins" w:hAnsi="Poppins" w:cs="Poppins"/>
                <w:color w:val="392388"/>
              </w:rPr>
            </w:pPr>
            <w:r>
              <w:rPr>
                <w:b/>
                <w:bCs/>
                <w:color w:val="000000"/>
                <w:sz w:val="16"/>
                <w:szCs w:val="16"/>
              </w:rPr>
              <w:t>Personal Pension Plan or Self Invested Personal Pension Available</w:t>
            </w:r>
            <w:r>
              <w:br/>
            </w:r>
            <w:r>
              <w:rPr>
                <w:b/>
                <w:bCs/>
                <w:color w:val="000000"/>
                <w:sz w:val="16"/>
                <w:szCs w:val="16"/>
              </w:rPr>
              <w:t>Personal pension product (PPP or SIPP) available on the platform</w:t>
            </w:r>
          </w:p>
        </w:tc>
        <w:tc>
          <w:tcPr>
            <w:tcW w:w="0" w:type="auto"/>
            <w:tcBorders>
              <w:top w:val="single" w:sz="2" w:space="0" w:color="000000"/>
              <w:left w:val="single" w:sz="2" w:space="0" w:color="000000"/>
              <w:bottom w:val="single" w:sz="2" w:space="0" w:color="000000"/>
              <w:right w:val="single" w:sz="2" w:space="0" w:color="000000"/>
            </w:tcBorders>
            <w:vAlign w:val="top"/>
          </w:tcPr>
          <w:p w14:paraId="5690C090" w14:textId="77777777" w:rsidR="00A561E0" w:rsidRDefault="00854BE4">
            <w:pPr>
              <w:spacing w:after="0"/>
              <w:rPr>
                <w:rFonts w:ascii="Poppins" w:eastAsia="Poppins" w:hAnsi="Poppins" w:cs="Poppins"/>
                <w:color w:val="392388"/>
              </w:rPr>
            </w:pPr>
            <w:r>
              <w:rPr>
                <w:color w:val="000000"/>
                <w:sz w:val="16"/>
                <w:szCs w:val="16"/>
              </w:rPr>
              <w:t xml:space="preserve">Yes. </w:t>
            </w:r>
          </w:p>
        </w:tc>
      </w:tr>
      <w:tr w:rsidR="00A561E0" w14:paraId="6D14F44C" w14:textId="77777777" w:rsidTr="00A561E0">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28DC3981" w14:textId="77777777" w:rsidR="00A561E0" w:rsidRDefault="00854BE4">
            <w:pPr>
              <w:spacing w:after="0"/>
              <w:rPr>
                <w:rFonts w:ascii="Poppins" w:eastAsia="Poppins" w:hAnsi="Poppins" w:cs="Poppins"/>
                <w:color w:val="392388"/>
              </w:rPr>
            </w:pPr>
            <w:r>
              <w:rPr>
                <w:b/>
                <w:bCs/>
                <w:color w:val="000000"/>
                <w:sz w:val="16"/>
                <w:szCs w:val="16"/>
              </w:rPr>
              <w:t>Platform Access - Adviser</w:t>
            </w:r>
            <w:r>
              <w:br/>
            </w:r>
            <w:r>
              <w:rPr>
                <w:b/>
                <w:bCs/>
                <w:color w:val="000000"/>
                <w:sz w:val="16"/>
                <w:szCs w:val="16"/>
              </w:rPr>
              <w:t>Adviser can have platform access</w:t>
            </w:r>
          </w:p>
        </w:tc>
        <w:tc>
          <w:tcPr>
            <w:tcW w:w="0" w:type="auto"/>
            <w:tcBorders>
              <w:top w:val="single" w:sz="2" w:space="0" w:color="000000"/>
              <w:left w:val="single" w:sz="2" w:space="0" w:color="000000"/>
              <w:bottom w:val="single" w:sz="2" w:space="0" w:color="000000"/>
              <w:right w:val="single" w:sz="2" w:space="0" w:color="000000"/>
            </w:tcBorders>
            <w:vAlign w:val="top"/>
          </w:tcPr>
          <w:p w14:paraId="2396D924" w14:textId="77777777" w:rsidR="00A561E0" w:rsidRDefault="00854BE4">
            <w:pPr>
              <w:spacing w:after="0"/>
              <w:rPr>
                <w:rFonts w:ascii="Poppins" w:eastAsia="Poppins" w:hAnsi="Poppins" w:cs="Poppins"/>
                <w:color w:val="392388"/>
              </w:rPr>
            </w:pPr>
            <w:r>
              <w:rPr>
                <w:color w:val="000000"/>
                <w:sz w:val="16"/>
                <w:szCs w:val="16"/>
              </w:rPr>
              <w:t xml:space="preserve">Advisory firms can set different levels of online access at Corporate, Registered Individual, Principal, Administrator and Adviser levels. </w:t>
            </w:r>
            <w:r>
              <w:br/>
            </w:r>
            <w:r>
              <w:br/>
            </w:r>
            <w:r>
              <w:rPr>
                <w:color w:val="000000"/>
                <w:sz w:val="16"/>
                <w:szCs w:val="16"/>
              </w:rPr>
              <w:t xml:space="preserve">Aviva believes that individual firms should have the freedom to set their own access for the different levels within their organization. With this in mind the Aviva Platform allows the advisory firm to configure the access levels to meet its own requirements. </w:t>
            </w:r>
            <w:r>
              <w:br/>
            </w:r>
            <w:r>
              <w:br/>
            </w:r>
            <w:r>
              <w:rPr>
                <w:color w:val="000000"/>
                <w:sz w:val="16"/>
                <w:szCs w:val="16"/>
              </w:rPr>
              <w:t xml:space="preserve">The Aviva Platform offers the following functionality: </w:t>
            </w:r>
            <w:r>
              <w:br/>
            </w:r>
            <w:r>
              <w:br/>
            </w:r>
            <w:r>
              <w:rPr>
                <w:color w:val="000000"/>
                <w:sz w:val="16"/>
                <w:szCs w:val="16"/>
              </w:rPr>
              <w:t xml:space="preserve">Pre-sale online tools and analysers: </w:t>
            </w:r>
            <w:r>
              <w:br/>
            </w:r>
            <w:r>
              <w:rPr>
                <w:color w:val="000000"/>
                <w:sz w:val="16"/>
                <w:szCs w:val="16"/>
              </w:rPr>
              <w:t xml:space="preserve">- Fund research: allowing a detailed view of all of the funds on the platform, their performance and third party fund ratings </w:t>
            </w:r>
            <w:r>
              <w:br/>
            </w:r>
            <w:r>
              <w:rPr>
                <w:color w:val="000000"/>
                <w:sz w:val="16"/>
                <w:szCs w:val="16"/>
              </w:rPr>
              <w:t xml:space="preserve">- Fund charting: allowing </w:t>
            </w:r>
            <w:r>
              <w:rPr>
                <w:color w:val="000000"/>
                <w:sz w:val="16"/>
                <w:szCs w:val="16"/>
              </w:rPr>
              <w:t xml:space="preserve">the comparison of the performance of funds, sectors and indices </w:t>
            </w:r>
            <w:r>
              <w:br/>
            </w:r>
            <w:r>
              <w:rPr>
                <w:color w:val="000000"/>
                <w:sz w:val="16"/>
                <w:szCs w:val="16"/>
              </w:rPr>
              <w:t xml:space="preserve">- Fund documentation: including fund factsheets, reports and accounts and simplified prospectus documents </w:t>
            </w:r>
            <w:r>
              <w:br/>
            </w:r>
            <w:r>
              <w:rPr>
                <w:color w:val="000000"/>
                <w:sz w:val="16"/>
                <w:szCs w:val="16"/>
              </w:rPr>
              <w:t xml:space="preserve">- Illustrations: a regulatory requirement for all portfolios </w:t>
            </w:r>
            <w:r>
              <w:br/>
            </w:r>
            <w:r>
              <w:rPr>
                <w:color w:val="000000"/>
                <w:sz w:val="16"/>
                <w:szCs w:val="16"/>
              </w:rPr>
              <w:t xml:space="preserve">- Investment profiles: allowing easy and efficient creation and management of a range of model portfolios. </w:t>
            </w:r>
            <w:r>
              <w:br/>
            </w:r>
            <w:r>
              <w:br/>
            </w:r>
            <w:r>
              <w:rPr>
                <w:color w:val="000000"/>
                <w:sz w:val="16"/>
                <w:szCs w:val="16"/>
              </w:rPr>
              <w:t xml:space="preserve">Post-sale tools and analysers: </w:t>
            </w:r>
            <w:r>
              <w:br/>
            </w:r>
            <w:r>
              <w:rPr>
                <w:color w:val="000000"/>
                <w:sz w:val="16"/>
                <w:szCs w:val="16"/>
              </w:rPr>
              <w:t xml:space="preserve">- Current valuations: of portfolios online </w:t>
            </w:r>
            <w:r>
              <w:br/>
            </w:r>
            <w:r>
              <w:rPr>
                <w:color w:val="000000"/>
                <w:sz w:val="16"/>
                <w:szCs w:val="16"/>
              </w:rPr>
              <w:t xml:space="preserve">- Rebalancing: to re-instate the asset allocation on a range of frequencies </w:t>
            </w:r>
            <w:r>
              <w:br/>
            </w:r>
            <w:r>
              <w:rPr>
                <w:color w:val="000000"/>
                <w:sz w:val="16"/>
                <w:szCs w:val="16"/>
              </w:rPr>
              <w:t>- Bulk trading a</w:t>
            </w:r>
            <w:r>
              <w:rPr>
                <w:color w:val="000000"/>
                <w:sz w:val="16"/>
                <w:szCs w:val="16"/>
              </w:rPr>
              <w:t xml:space="preserve">nd bulk rebalancing: allowing efficient management of groups of clients </w:t>
            </w:r>
            <w:r>
              <w:br/>
            </w:r>
            <w:r>
              <w:rPr>
                <w:color w:val="000000"/>
                <w:sz w:val="16"/>
                <w:szCs w:val="16"/>
              </w:rPr>
              <w:t xml:space="preserve">- Detailed performance data: showing how investments have performed for specified time periods </w:t>
            </w:r>
            <w:r>
              <w:br/>
            </w:r>
            <w:r>
              <w:rPr>
                <w:color w:val="000000"/>
                <w:sz w:val="16"/>
                <w:szCs w:val="16"/>
              </w:rPr>
              <w:t xml:space="preserve">- Detailed fund data: breaking down portfolio information to individual fund level </w:t>
            </w:r>
            <w:r>
              <w:br/>
            </w:r>
            <w:r>
              <w:rPr>
                <w:color w:val="000000"/>
                <w:sz w:val="16"/>
                <w:szCs w:val="16"/>
              </w:rPr>
              <w:t xml:space="preserve">- Transaction information: showing all client portfolio transactions </w:t>
            </w:r>
            <w:r>
              <w:br/>
            </w:r>
            <w:r>
              <w:rPr>
                <w:color w:val="000000"/>
                <w:sz w:val="16"/>
                <w:szCs w:val="16"/>
              </w:rPr>
              <w:t xml:space="preserve">- Illustrations: for accumulation, income drawdown and estimated maturity values </w:t>
            </w:r>
            <w:r>
              <w:br/>
            </w:r>
            <w:r>
              <w:rPr>
                <w:color w:val="000000"/>
                <w:sz w:val="16"/>
                <w:szCs w:val="16"/>
              </w:rPr>
              <w:t>- Lifetime allowance usage: a report showing post-retirement client lifetime allowance usage in the current</w:t>
            </w:r>
            <w:r>
              <w:rPr>
                <w:color w:val="000000"/>
                <w:sz w:val="16"/>
                <w:szCs w:val="16"/>
              </w:rPr>
              <w:t xml:space="preserve"> year </w:t>
            </w:r>
            <w:r>
              <w:br/>
            </w:r>
            <w:r>
              <w:rPr>
                <w:color w:val="000000"/>
                <w:sz w:val="16"/>
                <w:szCs w:val="16"/>
              </w:rPr>
              <w:t xml:space="preserve">- Summary view of issued warnings: a report detailing the income warnings issued for clients </w:t>
            </w:r>
            <w:r>
              <w:br/>
            </w:r>
            <w:r>
              <w:rPr>
                <w:color w:val="000000"/>
                <w:sz w:val="16"/>
                <w:szCs w:val="16"/>
              </w:rPr>
              <w:t xml:space="preserve">- Available taxable income: a report showing clients available taxable income in the current year </w:t>
            </w:r>
            <w:r>
              <w:br/>
            </w:r>
            <w:r>
              <w:rPr>
                <w:color w:val="000000"/>
                <w:sz w:val="16"/>
                <w:szCs w:val="16"/>
              </w:rPr>
              <w:t xml:space="preserve">- Capital Gains calculator </w:t>
            </w:r>
            <w:r>
              <w:br/>
            </w:r>
            <w:r>
              <w:rPr>
                <w:color w:val="000000"/>
                <w:sz w:val="16"/>
                <w:szCs w:val="16"/>
              </w:rPr>
              <w:t xml:space="preserve">- Client review date: a report showing the next Government Actuaries Department income review date for post-retirement clients in Capped Drawdown </w:t>
            </w:r>
            <w:r>
              <w:br/>
            </w:r>
            <w:r>
              <w:rPr>
                <w:color w:val="000000"/>
                <w:sz w:val="16"/>
                <w:szCs w:val="16"/>
              </w:rPr>
              <w:t xml:space="preserve">- Client reporting: a report based on portfolios, valuations or transaction history. </w:t>
            </w:r>
            <w:r>
              <w:br/>
            </w:r>
            <w:r>
              <w:br/>
            </w:r>
            <w:r>
              <w:rPr>
                <w:color w:val="000000"/>
                <w:sz w:val="16"/>
                <w:szCs w:val="16"/>
              </w:rPr>
              <w:t xml:space="preserve">Client Access: </w:t>
            </w:r>
            <w:r>
              <w:br/>
            </w:r>
            <w:r>
              <w:rPr>
                <w:color w:val="000000"/>
                <w:sz w:val="16"/>
                <w:szCs w:val="16"/>
              </w:rPr>
              <w:t xml:space="preserve">- Clients can view valuations of their product portfolios and keep track of their investments. </w:t>
            </w:r>
            <w:r>
              <w:br/>
            </w:r>
            <w:r>
              <w:rPr>
                <w:color w:val="000000"/>
                <w:sz w:val="16"/>
                <w:szCs w:val="16"/>
              </w:rPr>
              <w:t xml:space="preserve">- Clients can also access electronic copies of correspondence that has been sent to them online. </w:t>
            </w:r>
            <w:r>
              <w:br/>
            </w:r>
            <w:r>
              <w:rPr>
                <w:color w:val="000000"/>
                <w:sz w:val="16"/>
                <w:szCs w:val="16"/>
              </w:rPr>
              <w:t>- Clients do not have any online trading capability and all trades m</w:t>
            </w:r>
            <w:r>
              <w:rPr>
                <w:color w:val="000000"/>
                <w:sz w:val="16"/>
                <w:szCs w:val="16"/>
              </w:rPr>
              <w:t xml:space="preserve">ust be placed via their financial adviser. </w:t>
            </w:r>
            <w:r>
              <w:br/>
            </w:r>
            <w:r>
              <w:rPr>
                <w:color w:val="000000"/>
                <w:sz w:val="16"/>
                <w:szCs w:val="16"/>
              </w:rPr>
              <w:t>- Clients cannot perform online transactions directly.</w:t>
            </w:r>
          </w:p>
        </w:tc>
      </w:tr>
      <w:tr w:rsidR="00A561E0" w14:paraId="6E0B019F" w14:textId="77777777" w:rsidTr="00A561E0">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57ECE69E" w14:textId="77777777" w:rsidR="00A561E0" w:rsidRDefault="00854BE4">
            <w:pPr>
              <w:spacing w:after="0"/>
              <w:rPr>
                <w:rFonts w:ascii="Poppins" w:eastAsia="Poppins" w:hAnsi="Poppins" w:cs="Poppins"/>
                <w:color w:val="392388"/>
              </w:rPr>
            </w:pPr>
            <w:r>
              <w:rPr>
                <w:b/>
                <w:bCs/>
                <w:color w:val="000000"/>
                <w:sz w:val="16"/>
                <w:szCs w:val="16"/>
              </w:rPr>
              <w:t>Platform Access - Client</w:t>
            </w:r>
            <w:r>
              <w:br/>
            </w:r>
            <w:r>
              <w:rPr>
                <w:b/>
                <w:bCs/>
                <w:color w:val="000000"/>
                <w:sz w:val="16"/>
                <w:szCs w:val="16"/>
              </w:rPr>
              <w:t>Client can have platform access</w:t>
            </w:r>
          </w:p>
        </w:tc>
        <w:tc>
          <w:tcPr>
            <w:tcW w:w="0" w:type="auto"/>
            <w:tcBorders>
              <w:top w:val="single" w:sz="2" w:space="0" w:color="000000"/>
              <w:left w:val="single" w:sz="2" w:space="0" w:color="000000"/>
              <w:bottom w:val="single" w:sz="2" w:space="0" w:color="000000"/>
              <w:right w:val="single" w:sz="2" w:space="0" w:color="000000"/>
            </w:tcBorders>
            <w:vAlign w:val="top"/>
          </w:tcPr>
          <w:p w14:paraId="36582187" w14:textId="77777777" w:rsidR="00A561E0" w:rsidRDefault="00854BE4">
            <w:pPr>
              <w:spacing w:after="0"/>
              <w:rPr>
                <w:rFonts w:ascii="Poppins" w:eastAsia="Poppins" w:hAnsi="Poppins" w:cs="Poppins"/>
                <w:color w:val="392388"/>
              </w:rPr>
            </w:pPr>
            <w:r>
              <w:rPr>
                <w:color w:val="000000"/>
                <w:sz w:val="16"/>
                <w:szCs w:val="16"/>
              </w:rPr>
              <w:t xml:space="preserve">Clients can view correspondence relating to their portfolio and advisers can see correspondence for their platform clients. Clients are able to view valuations of their product portfolio and keep track of their investments online. </w:t>
            </w:r>
          </w:p>
        </w:tc>
      </w:tr>
      <w:tr w:rsidR="00A561E0" w14:paraId="2BF608E3" w14:textId="77777777" w:rsidTr="00A561E0">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374A18D7" w14:textId="77777777" w:rsidR="00A561E0" w:rsidRDefault="00854BE4">
            <w:pPr>
              <w:spacing w:after="0"/>
              <w:rPr>
                <w:rFonts w:ascii="Poppins" w:eastAsia="Poppins" w:hAnsi="Poppins" w:cs="Poppins"/>
                <w:color w:val="392388"/>
              </w:rPr>
            </w:pPr>
            <w:r>
              <w:rPr>
                <w:b/>
                <w:bCs/>
                <w:color w:val="000000"/>
                <w:sz w:val="16"/>
                <w:szCs w:val="16"/>
              </w:rPr>
              <w:t>Flexi access drawdown available</w:t>
            </w:r>
            <w:r>
              <w:br/>
            </w:r>
            <w:r>
              <w:rPr>
                <w:b/>
                <w:bCs/>
                <w:color w:val="000000"/>
                <w:sz w:val="16"/>
                <w:szCs w:val="16"/>
              </w:rPr>
              <w:t>Flexi access drawdown facility available</w:t>
            </w:r>
          </w:p>
        </w:tc>
        <w:tc>
          <w:tcPr>
            <w:tcW w:w="0" w:type="auto"/>
            <w:tcBorders>
              <w:top w:val="single" w:sz="2" w:space="0" w:color="000000"/>
              <w:left w:val="single" w:sz="2" w:space="0" w:color="000000"/>
              <w:bottom w:val="single" w:sz="2" w:space="0" w:color="000000"/>
              <w:right w:val="single" w:sz="2" w:space="0" w:color="000000"/>
            </w:tcBorders>
            <w:vAlign w:val="top"/>
          </w:tcPr>
          <w:p w14:paraId="30A7AF1F" w14:textId="77777777" w:rsidR="00A561E0" w:rsidRDefault="00854BE4">
            <w:pPr>
              <w:spacing w:after="0"/>
              <w:rPr>
                <w:rFonts w:ascii="Poppins" w:eastAsia="Poppins" w:hAnsi="Poppins" w:cs="Poppins"/>
                <w:color w:val="392388"/>
              </w:rPr>
            </w:pPr>
            <w:r>
              <w:rPr>
                <w:color w:val="000000"/>
                <w:sz w:val="16"/>
                <w:szCs w:val="16"/>
              </w:rPr>
              <w:t xml:space="preserve">FAD is available. </w:t>
            </w:r>
          </w:p>
        </w:tc>
      </w:tr>
      <w:tr w:rsidR="00A561E0" w14:paraId="7DE35D2A" w14:textId="77777777" w:rsidTr="00A561E0">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18BFB107" w14:textId="77777777" w:rsidR="00A561E0" w:rsidRDefault="00854BE4">
            <w:pPr>
              <w:spacing w:after="0"/>
              <w:rPr>
                <w:rFonts w:ascii="Poppins" w:eastAsia="Poppins" w:hAnsi="Poppins" w:cs="Poppins"/>
                <w:color w:val="392388"/>
              </w:rPr>
            </w:pPr>
            <w:r>
              <w:rPr>
                <w:b/>
                <w:bCs/>
                <w:color w:val="000000"/>
                <w:sz w:val="16"/>
                <w:szCs w:val="16"/>
              </w:rPr>
              <w:t>Uncrystalised Funds Pension Lump Sum available</w:t>
            </w:r>
            <w:r>
              <w:br/>
            </w:r>
            <w:r>
              <w:rPr>
                <w:b/>
                <w:bCs/>
                <w:color w:val="000000"/>
                <w:sz w:val="16"/>
                <w:szCs w:val="16"/>
              </w:rPr>
              <w:t>Uncrystalised Funds Pension Lump Sum facility available</w:t>
            </w:r>
          </w:p>
        </w:tc>
        <w:tc>
          <w:tcPr>
            <w:tcW w:w="0" w:type="auto"/>
            <w:tcBorders>
              <w:top w:val="single" w:sz="2" w:space="0" w:color="000000"/>
              <w:left w:val="single" w:sz="2" w:space="0" w:color="000000"/>
              <w:bottom w:val="single" w:sz="2" w:space="0" w:color="000000"/>
              <w:right w:val="single" w:sz="2" w:space="0" w:color="000000"/>
            </w:tcBorders>
            <w:vAlign w:val="top"/>
          </w:tcPr>
          <w:p w14:paraId="0CF714BD" w14:textId="77777777" w:rsidR="00A561E0" w:rsidRDefault="00854BE4">
            <w:pPr>
              <w:spacing w:after="0"/>
              <w:rPr>
                <w:rFonts w:ascii="Poppins" w:eastAsia="Poppins" w:hAnsi="Poppins" w:cs="Poppins"/>
                <w:color w:val="392388"/>
              </w:rPr>
            </w:pPr>
            <w:r>
              <w:rPr>
                <w:color w:val="000000"/>
                <w:sz w:val="16"/>
                <w:szCs w:val="16"/>
              </w:rPr>
              <w:t>An UFPLS style payment can be made via FAD.</w:t>
            </w:r>
          </w:p>
        </w:tc>
      </w:tr>
      <w:tr w:rsidR="00A561E0" w14:paraId="621999C9" w14:textId="77777777" w:rsidTr="00A561E0">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167A118A" w14:textId="77777777" w:rsidR="00A561E0" w:rsidRDefault="00854BE4">
            <w:pPr>
              <w:spacing w:after="0"/>
              <w:rPr>
                <w:rFonts w:ascii="Poppins" w:eastAsia="Poppins" w:hAnsi="Poppins" w:cs="Poppins"/>
                <w:color w:val="392388"/>
              </w:rPr>
            </w:pPr>
            <w:r>
              <w:rPr>
                <w:b/>
                <w:bCs/>
                <w:color w:val="000000"/>
                <w:sz w:val="16"/>
                <w:szCs w:val="16"/>
              </w:rPr>
              <w:t>Automatic Withdrawals</w:t>
            </w:r>
            <w:r>
              <w:br/>
            </w:r>
            <w:r>
              <w:rPr>
                <w:b/>
                <w:bCs/>
                <w:color w:val="000000"/>
                <w:sz w:val="16"/>
                <w:szCs w:val="16"/>
              </w:rPr>
              <w:t>Facility to set up fixed (percentage or amount) regular withdrawals, other than pension related income drawdown facilities</w:t>
            </w:r>
          </w:p>
        </w:tc>
        <w:tc>
          <w:tcPr>
            <w:tcW w:w="0" w:type="auto"/>
            <w:tcBorders>
              <w:top w:val="single" w:sz="2" w:space="0" w:color="000000"/>
              <w:left w:val="single" w:sz="2" w:space="0" w:color="000000"/>
              <w:bottom w:val="single" w:sz="2" w:space="0" w:color="000000"/>
              <w:right w:val="single" w:sz="2" w:space="0" w:color="000000"/>
            </w:tcBorders>
            <w:vAlign w:val="top"/>
          </w:tcPr>
          <w:p w14:paraId="63FFA995" w14:textId="77777777" w:rsidR="00A561E0" w:rsidRDefault="00854BE4">
            <w:pPr>
              <w:spacing w:after="0"/>
              <w:rPr>
                <w:rFonts w:ascii="Poppins" w:eastAsia="Poppins" w:hAnsi="Poppins" w:cs="Poppins"/>
                <w:color w:val="392388"/>
              </w:rPr>
            </w:pPr>
            <w:r>
              <w:rPr>
                <w:color w:val="000000"/>
                <w:sz w:val="16"/>
                <w:szCs w:val="16"/>
              </w:rPr>
              <w:t xml:space="preserve">Where permitted, clients may withdraw some or all of any cash balance in the ISA and Investment Portfolios at any time by sending Aviva a signed written instruction to do so. </w:t>
            </w:r>
            <w:r>
              <w:br/>
            </w:r>
            <w:r>
              <w:br/>
            </w:r>
            <w:r>
              <w:rPr>
                <w:color w:val="000000"/>
                <w:sz w:val="16"/>
                <w:szCs w:val="16"/>
              </w:rPr>
              <w:t xml:space="preserve">Clients can also opt for regular withdrawals by completing the relevant application. They can choose the frequency and dates which they want to receive the withdrawals. </w:t>
            </w:r>
            <w:r>
              <w:br/>
            </w:r>
            <w:r>
              <w:br/>
            </w:r>
            <w:r>
              <w:rPr>
                <w:color w:val="000000"/>
                <w:sz w:val="16"/>
                <w:szCs w:val="16"/>
              </w:rPr>
              <w:t xml:space="preserve">The minimum amount that can be withdrawn as a lump sum is £500, or £50 for regular withdrawals. The remaining balance in any product Portfolio after any withdrawal must be at least £250. </w:t>
            </w:r>
            <w:r>
              <w:br/>
            </w:r>
            <w:r>
              <w:br/>
            </w:r>
            <w:r>
              <w:rPr>
                <w:color w:val="000000"/>
                <w:sz w:val="16"/>
                <w:szCs w:val="16"/>
              </w:rPr>
              <w:t xml:space="preserve">Fund-specific withdrawals are also available. At least £50 must be left in any fund. </w:t>
            </w:r>
            <w:r>
              <w:br/>
            </w:r>
            <w:r>
              <w:br/>
            </w:r>
            <w:r>
              <w:rPr>
                <w:color w:val="000000"/>
                <w:sz w:val="16"/>
                <w:szCs w:val="16"/>
              </w:rPr>
              <w:t>Advisers are able to create their own withdrawal preferences an</w:t>
            </w:r>
            <w:r>
              <w:rPr>
                <w:color w:val="000000"/>
                <w:sz w:val="16"/>
                <w:szCs w:val="16"/>
              </w:rPr>
              <w:t xml:space="preserve">d actively choose and manage how specific funds are disinvested to pay for withdrawals. </w:t>
            </w:r>
          </w:p>
        </w:tc>
      </w:tr>
      <w:tr w:rsidR="00A561E0" w14:paraId="6F79ADA4" w14:textId="77777777" w:rsidTr="00A561E0">
        <w:trPr>
          <w:tblCellSpacing w:w="0" w:type="dxa"/>
        </w:trPr>
        <w:tc>
          <w:tcPr>
            <w:tcW w:w="0" w:type="auto"/>
            <w:gridSpan w:val="2"/>
            <w:tcBorders>
              <w:top w:val="single" w:sz="2" w:space="0" w:color="000000"/>
            </w:tcBorders>
          </w:tcPr>
          <w:p w14:paraId="0B2D9A00" w14:textId="77777777" w:rsidR="00A561E0" w:rsidRDefault="00854BE4">
            <w:pPr>
              <w:spacing w:after="0"/>
              <w:jc w:val="center"/>
            </w:pPr>
            <w:r>
              <w:rPr>
                <w:rFonts w:ascii="Calibri Light" w:eastAsia="Calibri Light" w:hAnsi="Calibri Light" w:cs="Calibri Light"/>
              </w:rPr>
              <w:t>Brochure Comparison 03/12/2025 11:49</w:t>
            </w:r>
          </w:p>
        </w:tc>
      </w:tr>
    </w:tbl>
    <w:p w14:paraId="2A075CE6" w14:textId="77777777" w:rsidR="00A561E0" w:rsidRDefault="00854BE4">
      <w:pPr>
        <w:sectPr w:rsidR="00A561E0">
          <w:headerReference w:type="default" r:id="rId72"/>
          <w:footerReference w:type="default" r:id="rId73"/>
          <w:pgSz w:w="16839" w:h="11907" w:orient="landscape" w:code="9"/>
          <w:pgMar w:top="709" w:right="640" w:bottom="376" w:left="640" w:header="200" w:footer="200" w:gutter="0"/>
          <w:cols w:space="708"/>
          <w:docGrid w:linePitch="360"/>
        </w:sectPr>
      </w:pPr>
      <w:r>
        <w:t xml:space="preserve"> </w:t>
      </w:r>
    </w:p>
    <w:p w14:paraId="7783A1D1" w14:textId="77777777" w:rsidR="00A561E0" w:rsidRDefault="00854BE4">
      <w:pPr>
        <w:pStyle w:val="DefaqtoHeading1"/>
      </w:pPr>
      <w:bookmarkStart w:id="46" w:name="_Toc37"/>
      <w:r>
        <w:t>Notes</w:t>
      </w:r>
      <w:bookmarkEnd w:id="46"/>
    </w:p>
    <w:p w14:paraId="0FE3CCF5" w14:textId="77777777" w:rsidR="00A561E0" w:rsidRDefault="00854BE4">
      <w:pPr>
        <w:pStyle w:val="DefaqtoBody"/>
      </w:pPr>
      <w:r>
        <w:rPr>
          <w:u w:color="000000"/>
        </w:rPr>
        <w:t>KEY: na = not applicable, ns = not stated, nd = not disclosed</w:t>
      </w:r>
    </w:p>
    <w:p w14:paraId="313A9A90" w14:textId="77777777" w:rsidR="00A561E0" w:rsidRDefault="00854BE4">
      <w:pPr>
        <w:pStyle w:val="DefaqtoBody"/>
      </w:pPr>
      <w:r>
        <w:rPr>
          <w:u w:color="000000"/>
        </w:rPr>
        <w:t xml:space="preserve">The Data Numerical Analysis (DNA) allows the analysis of data on both a quantitative and a qualitative basis, showing not only who does what, but more importantly, how well they do it. This is achieved by a system of benchmarking or ranking on a 1 to 5 basis called DNA. A score of 1 indicates a weak feature; a score of 5 indicates an excellent feature. </w:t>
      </w:r>
    </w:p>
    <w:sectPr w:rsidR="00A561E0">
      <w:headerReference w:type="default" r:id="rId74"/>
      <w:footerReference w:type="default" r:id="rId75"/>
      <w:pgSz w:w="11907" w:h="16839" w:code="9"/>
      <w:pgMar w:top="709" w:right="640" w:bottom="376" w:left="640" w:header="200" w:footer="2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EF3DF" w14:textId="77777777" w:rsidR="00854BE4" w:rsidRDefault="00854BE4">
      <w:pPr>
        <w:spacing w:after="0" w:line="240" w:lineRule="auto"/>
      </w:pPr>
      <w:r>
        <w:separator/>
      </w:r>
    </w:p>
  </w:endnote>
  <w:endnote w:type="continuationSeparator" w:id="0">
    <w:p w14:paraId="432665A0" w14:textId="77777777" w:rsidR="00854BE4" w:rsidRDefault="00854B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SemiBold">
    <w:altName w:val="Poppins SemiBold"/>
    <w:charset w:val="00"/>
    <w:family w:val="auto"/>
    <w:pitch w:val="variable"/>
    <w:sig w:usb0="00008007" w:usb1="00000000" w:usb2="00000000" w:usb3="00000000" w:csb0="00000093" w:csb1="00000000"/>
  </w:font>
  <w:font w:name="Poppins">
    <w:altName w:val="Nirmala UI"/>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eXGyreAdventor">
    <w:altName w:val="Arial"/>
    <w:panose1 w:val="00000000000000000000"/>
    <w:charset w:val="00"/>
    <w:family w:val="modern"/>
    <w:notTrueType/>
    <w:pitch w:val="variable"/>
    <w:sig w:usb0="00000001" w:usb1="00000000"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Poppins Light">
    <w:altName w:val="Nirmala UI"/>
    <w:charset w:val="00"/>
    <w:family w:val="auto"/>
    <w:pitch w:val="variable"/>
    <w:sig w:usb0="00008007" w:usb1="00000000" w:usb2="00000000" w:usb3="00000000" w:csb0="00000093" w:csb1="00000000"/>
  </w:font>
  <w:font w:name="Lucida Sans">
    <w:panose1 w:val="020B0602030504020204"/>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A561E0" w14:paraId="5B050DC0" w14:textId="77777777">
      <w:tc>
        <w:tcPr>
          <w:tcW w:w="5812" w:type="dxa"/>
        </w:tcPr>
        <w:p w14:paraId="46B2EB1A" w14:textId="77777777" w:rsidR="00A561E0" w:rsidRDefault="00854BE4">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254124529"/>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w:t>
              </w:r>
              <w:r>
                <w:rPr>
                  <w:rFonts w:ascii="Poppins" w:hAnsi="Poppins" w:cs="Poppins"/>
                  <w:color w:val="392388"/>
                  <w:sz w:val="16"/>
                  <w:szCs w:val="16"/>
                </w:rPr>
                <w:fldChar w:fldCharType="end"/>
              </w:r>
            </w:sdtContent>
          </w:sdt>
        </w:p>
      </w:tc>
      <w:tc>
        <w:tcPr>
          <w:tcW w:w="4678" w:type="dxa"/>
        </w:tcPr>
        <w:p w14:paraId="58F21B10" w14:textId="77777777" w:rsidR="00A561E0" w:rsidRDefault="00A561E0">
          <w:pPr>
            <w:pStyle w:val="Header"/>
            <w:spacing w:before="120"/>
            <w:ind w:right="21"/>
            <w:jc w:val="right"/>
            <w:rPr>
              <w:rFonts w:ascii="Poppins" w:hAnsi="Poppins" w:cs="Poppins"/>
              <w:color w:val="392388"/>
            </w:rPr>
          </w:pPr>
        </w:p>
      </w:tc>
    </w:tr>
  </w:tbl>
  <w:p w14:paraId="6BED6FE4" w14:textId="77777777" w:rsidR="00A561E0" w:rsidRDefault="00A561E0">
    <w:pPr>
      <w:pStyle w:val="Footer"/>
      <w:rPr>
        <w:rFonts w:ascii="Poppins" w:hAnsi="Poppins" w:cs="Poppins"/>
        <w:color w:val="39238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A3A81" w14:textId="77777777" w:rsidR="00A561E0" w:rsidRDefault="00854BE4">
    <w:pPr>
      <w:pStyle w:val="Footer"/>
      <w:rPr>
        <w:rFonts w:ascii="Poppins" w:hAnsi="Poppins" w:cs="Poppins"/>
        <w:color w:val="392388"/>
        <w:sz w:val="20"/>
        <w:szCs w:val="20"/>
      </w:rPr>
    </w:pPr>
    <w:r>
      <w:rPr>
        <w:rFonts w:ascii="Poppins" w:hAnsi="Poppins" w:cs="Poppins"/>
        <w:noProof/>
        <w:color w:val="392388"/>
        <w:sz w:val="20"/>
        <w:szCs w:val="20"/>
      </w:rPr>
      <w:t>This report was prepared with data sourced from Defaqto Engage. Whilst every attempt has been made to ensure the accuracy of the data used in this report, items can change and we advise that you check the issues most important to you if you proceed with the purchase of the selected contract.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A561E0" w14:paraId="3DCA1EF2" w14:textId="77777777">
      <w:tc>
        <w:tcPr>
          <w:tcW w:w="5257" w:type="dxa"/>
        </w:tcPr>
        <w:p w14:paraId="75478644" w14:textId="77777777" w:rsidR="00A561E0" w:rsidRDefault="00854BE4">
          <w:pPr>
            <w:pStyle w:val="Footer"/>
            <w:spacing w:before="120"/>
            <w:rPr>
              <w:rFonts w:ascii="Poppins" w:hAnsi="Poppins" w:cs="Poppins"/>
              <w:color w:val="392388"/>
              <w:sz w:val="16"/>
              <w:szCs w:val="16"/>
            </w:rPr>
          </w:pPr>
          <w:r>
            <w:rPr>
              <w:rFonts w:ascii="Poppins" w:hAnsi="Poppins" w:cs="Poppins"/>
              <w:color w:val="392388"/>
              <w:sz w:val="16"/>
              <w:szCs w:val="16"/>
            </w:rPr>
            <w:t xml:space="preserve">Research report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976561538"/>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3</w:t>
              </w:r>
              <w:r>
                <w:rPr>
                  <w:rFonts w:ascii="Poppins" w:hAnsi="Poppins" w:cs="Poppins"/>
                  <w:color w:val="392388"/>
                  <w:sz w:val="16"/>
                  <w:szCs w:val="16"/>
                </w:rPr>
                <w:fldChar w:fldCharType="end"/>
              </w:r>
            </w:sdtContent>
          </w:sdt>
        </w:p>
      </w:tc>
      <w:tc>
        <w:tcPr>
          <w:tcW w:w="5257" w:type="dxa"/>
        </w:tcPr>
        <w:p w14:paraId="53F6CAAD" w14:textId="77777777" w:rsidR="00A561E0" w:rsidRDefault="00854BE4">
          <w:pPr>
            <w:pStyle w:val="Header"/>
            <w:spacing w:before="120"/>
            <w:ind w:right="21"/>
            <w:jc w:val="right"/>
            <w:rPr>
              <w:rFonts w:ascii="Poppins" w:hAnsi="Poppins" w:cs="Poppins"/>
              <w:color w:val="392388"/>
            </w:rPr>
          </w:pPr>
          <w:r>
            <w:rPr>
              <w:rFonts w:ascii="Poppins" w:hAnsi="Poppins" w:cs="Poppins"/>
              <w:noProof/>
              <w:color w:val="392388"/>
              <w:lang w:eastAsia="en-GB"/>
            </w:rPr>
            <w:pict w14:anchorId="2EB912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pt;height:19.8pt;visibility:visible">
                <v:imagedata r:id="rId1" o:title=""/>
              </v:shape>
            </w:pict>
          </w:r>
        </w:p>
      </w:tc>
    </w:tr>
  </w:tbl>
  <w:p w14:paraId="0E120A6D" w14:textId="77777777" w:rsidR="00A561E0" w:rsidRDefault="00A561E0">
    <w:pPr>
      <w:rPr>
        <w:rFonts w:ascii="Poppins" w:hAnsi="Poppins" w:cs="Poppins"/>
        <w:color w:val="39238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A561E0" w14:paraId="381E03D7" w14:textId="77777777">
      <w:tc>
        <w:tcPr>
          <w:tcW w:w="5257" w:type="dxa"/>
        </w:tcPr>
        <w:p w14:paraId="1B16E61B" w14:textId="77777777" w:rsidR="00A561E0" w:rsidRDefault="00854BE4">
          <w:pPr>
            <w:pStyle w:val="Footer"/>
            <w:spacing w:before="120"/>
            <w:rPr>
              <w:rFonts w:ascii="Poppins" w:hAnsi="Poppins" w:cs="Poppins"/>
              <w:color w:val="392388"/>
              <w:sz w:val="16"/>
              <w:szCs w:val="16"/>
            </w:rPr>
          </w:pPr>
          <w:r>
            <w:rPr>
              <w:rFonts w:ascii="Poppins" w:hAnsi="Poppins" w:cs="Poppins"/>
              <w:color w:val="392388"/>
              <w:sz w:val="16"/>
              <w:szCs w:val="16"/>
            </w:rPr>
            <w:t xml:space="preserve">Research report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56669757"/>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6</w:t>
              </w:r>
              <w:r>
                <w:rPr>
                  <w:rFonts w:ascii="Poppins" w:hAnsi="Poppins" w:cs="Poppins"/>
                  <w:color w:val="392388"/>
                  <w:sz w:val="16"/>
                  <w:szCs w:val="16"/>
                </w:rPr>
                <w:fldChar w:fldCharType="end"/>
              </w:r>
            </w:sdtContent>
          </w:sdt>
        </w:p>
      </w:tc>
      <w:tc>
        <w:tcPr>
          <w:tcW w:w="5257" w:type="dxa"/>
        </w:tcPr>
        <w:p w14:paraId="58866D5A" w14:textId="77777777" w:rsidR="00A561E0" w:rsidRDefault="00854BE4">
          <w:pPr>
            <w:pStyle w:val="Header"/>
            <w:spacing w:before="120"/>
            <w:ind w:right="21"/>
            <w:jc w:val="right"/>
            <w:rPr>
              <w:rFonts w:ascii="Poppins" w:hAnsi="Poppins" w:cs="Poppins"/>
              <w:color w:val="392388"/>
            </w:rPr>
          </w:pPr>
          <w:r>
            <w:rPr>
              <w:rFonts w:ascii="Poppins" w:hAnsi="Poppins" w:cs="Poppins"/>
              <w:noProof/>
              <w:color w:val="392388"/>
              <w:lang w:eastAsia="en-GB"/>
            </w:rPr>
            <w:pict w14:anchorId="0D0BF4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6pt;height:19.8pt;visibility:visible">
                <v:imagedata r:id="rId1" o:title=""/>
              </v:shape>
            </w:pict>
          </w:r>
        </w:p>
      </w:tc>
    </w:tr>
  </w:tbl>
  <w:p w14:paraId="72862964" w14:textId="77777777" w:rsidR="00A561E0" w:rsidRDefault="00A561E0">
    <w:pPr>
      <w:rPr>
        <w:rFonts w:ascii="Poppins" w:hAnsi="Poppins" w:cs="Poppins"/>
        <w:color w:val="39238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A561E0" w14:paraId="5C6828CE" w14:textId="77777777">
      <w:tc>
        <w:tcPr>
          <w:tcW w:w="5257" w:type="dxa"/>
        </w:tcPr>
        <w:p w14:paraId="095A267C" w14:textId="77777777" w:rsidR="00A561E0" w:rsidRDefault="00854BE4">
          <w:pPr>
            <w:pStyle w:val="Footer"/>
            <w:spacing w:before="120"/>
            <w:rPr>
              <w:rFonts w:ascii="Poppins" w:hAnsi="Poppins" w:cs="Poppins"/>
              <w:color w:val="392388"/>
              <w:sz w:val="16"/>
              <w:szCs w:val="16"/>
            </w:rPr>
          </w:pPr>
          <w:r>
            <w:rPr>
              <w:rFonts w:ascii="Poppins" w:hAnsi="Poppins" w:cs="Poppins"/>
              <w:color w:val="392388"/>
              <w:sz w:val="16"/>
              <w:szCs w:val="16"/>
            </w:rPr>
            <w:t xml:space="preserve">Research report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396361730"/>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9</w:t>
              </w:r>
              <w:r>
                <w:rPr>
                  <w:rFonts w:ascii="Poppins" w:hAnsi="Poppins" w:cs="Poppins"/>
                  <w:color w:val="392388"/>
                  <w:sz w:val="16"/>
                  <w:szCs w:val="16"/>
                </w:rPr>
                <w:fldChar w:fldCharType="end"/>
              </w:r>
            </w:sdtContent>
          </w:sdt>
        </w:p>
      </w:tc>
      <w:tc>
        <w:tcPr>
          <w:tcW w:w="5257" w:type="dxa"/>
        </w:tcPr>
        <w:p w14:paraId="6283267B" w14:textId="77777777" w:rsidR="00A561E0" w:rsidRDefault="00854BE4">
          <w:pPr>
            <w:pStyle w:val="Header"/>
            <w:spacing w:before="120"/>
            <w:ind w:right="21"/>
            <w:jc w:val="right"/>
            <w:rPr>
              <w:rFonts w:ascii="Poppins" w:hAnsi="Poppins" w:cs="Poppins"/>
              <w:color w:val="392388"/>
            </w:rPr>
          </w:pPr>
          <w:r>
            <w:rPr>
              <w:rFonts w:ascii="Poppins" w:hAnsi="Poppins" w:cs="Poppins"/>
              <w:noProof/>
              <w:color w:val="392388"/>
              <w:lang w:eastAsia="en-GB"/>
            </w:rPr>
            <w:pict w14:anchorId="1EA2D5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96pt;height:19.8pt;visibility:visible">
                <v:imagedata r:id="rId1" o:title=""/>
              </v:shape>
            </w:pict>
          </w:r>
        </w:p>
      </w:tc>
    </w:tr>
  </w:tbl>
  <w:p w14:paraId="22F244CC" w14:textId="77777777" w:rsidR="00A561E0" w:rsidRDefault="00A561E0">
    <w:pPr>
      <w:rPr>
        <w:rFonts w:ascii="Poppins" w:hAnsi="Poppins" w:cs="Poppins"/>
        <w:color w:val="39238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A561E0" w14:paraId="28EF5593" w14:textId="77777777">
      <w:tc>
        <w:tcPr>
          <w:tcW w:w="5812" w:type="dxa"/>
        </w:tcPr>
        <w:p w14:paraId="0FB220E5" w14:textId="77777777" w:rsidR="00A561E0" w:rsidRDefault="00854BE4">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680655069"/>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w:t>
              </w:r>
              <w:r>
                <w:rPr>
                  <w:rFonts w:ascii="Poppins" w:hAnsi="Poppins" w:cs="Poppins"/>
                  <w:color w:val="392388"/>
                  <w:sz w:val="16"/>
                  <w:szCs w:val="16"/>
                </w:rPr>
                <w:fldChar w:fldCharType="end"/>
              </w:r>
            </w:sdtContent>
          </w:sdt>
        </w:p>
      </w:tc>
      <w:tc>
        <w:tcPr>
          <w:tcW w:w="4678" w:type="dxa"/>
        </w:tcPr>
        <w:p w14:paraId="3FA49B87" w14:textId="77777777" w:rsidR="00A561E0" w:rsidRDefault="00854BE4">
          <w:pPr>
            <w:pStyle w:val="Header"/>
            <w:spacing w:before="120"/>
            <w:ind w:right="21"/>
            <w:jc w:val="right"/>
            <w:rPr>
              <w:rFonts w:ascii="Poppins" w:hAnsi="Poppins" w:cs="Poppins"/>
              <w:color w:val="392388"/>
            </w:rPr>
          </w:pPr>
          <w:r>
            <w:rPr>
              <w:noProof/>
            </w:rPr>
            <w:drawing>
              <wp:inline distT="0" distB="0" distL="0" distR="0" wp14:anchorId="67D2A130" wp14:editId="167EAB1F">
                <wp:extent cx="914400" cy="190500"/>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00B29F7B" w14:textId="77777777" w:rsidR="00A561E0" w:rsidRDefault="00A561E0">
    <w:pPr>
      <w:pStyle w:val="Footer"/>
      <w:rPr>
        <w:rFonts w:ascii="Poppins" w:hAnsi="Poppins" w:cs="Poppins"/>
        <w:color w:val="392388"/>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42432" w14:textId="77777777" w:rsidR="00A561E0" w:rsidRDefault="00854BE4">
    <w:pPr>
      <w:pStyle w:val="Footer"/>
      <w:rPr>
        <w:rFonts w:ascii="Poppins" w:hAnsi="Poppins" w:cs="Poppins"/>
        <w:color w:val="392388"/>
        <w:sz w:val="20"/>
        <w:szCs w:val="20"/>
      </w:rPr>
    </w:pPr>
    <w:r>
      <w:rPr>
        <w:rFonts w:ascii="Poppins" w:hAnsi="Poppins" w:cs="Poppins"/>
        <w:noProof/>
        <w:color w:val="392388"/>
        <w:sz w:val="20"/>
        <w:szCs w:val="20"/>
      </w:rPr>
      <w:t>This report was prepared with data sourced from Defaqto Engage. Whilst every attempt has been made to ensure the accuracy of the data used in this report, items can change and we advise that you check the issues most important to you if you proceed with the purchase of the selected contract.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A561E0" w14:paraId="4A72D6A7" w14:textId="77777777">
      <w:tc>
        <w:tcPr>
          <w:tcW w:w="5812" w:type="dxa"/>
        </w:tcPr>
        <w:p w14:paraId="58A6B7E9" w14:textId="77777777" w:rsidR="00A561E0" w:rsidRDefault="00854BE4">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57212272"/>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3</w:t>
              </w:r>
              <w:r>
                <w:rPr>
                  <w:rFonts w:ascii="Poppins" w:hAnsi="Poppins" w:cs="Poppins"/>
                  <w:color w:val="392388"/>
                  <w:sz w:val="16"/>
                  <w:szCs w:val="16"/>
                </w:rPr>
                <w:fldChar w:fldCharType="end"/>
              </w:r>
            </w:sdtContent>
          </w:sdt>
        </w:p>
      </w:tc>
      <w:tc>
        <w:tcPr>
          <w:tcW w:w="4678" w:type="dxa"/>
        </w:tcPr>
        <w:p w14:paraId="0EEA37FE" w14:textId="77777777" w:rsidR="00A561E0" w:rsidRDefault="00A561E0">
          <w:pPr>
            <w:pStyle w:val="Header"/>
            <w:spacing w:before="120"/>
            <w:ind w:right="21"/>
            <w:jc w:val="right"/>
            <w:rPr>
              <w:rFonts w:ascii="Poppins" w:hAnsi="Poppins" w:cs="Poppins"/>
              <w:color w:val="392388"/>
            </w:rPr>
          </w:pPr>
        </w:p>
      </w:tc>
    </w:tr>
  </w:tbl>
  <w:p w14:paraId="32A1942B" w14:textId="77777777" w:rsidR="00A561E0" w:rsidRDefault="00A561E0">
    <w:pPr>
      <w:pStyle w:val="Footer"/>
      <w:rPr>
        <w:rFonts w:ascii="Poppins" w:hAnsi="Poppins" w:cs="Poppins"/>
        <w:color w:val="392388"/>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A561E0" w14:paraId="0449EC0E" w14:textId="77777777">
      <w:tc>
        <w:tcPr>
          <w:tcW w:w="5812" w:type="dxa"/>
        </w:tcPr>
        <w:p w14:paraId="12E58429" w14:textId="77777777" w:rsidR="00A561E0" w:rsidRDefault="00854BE4">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778761287"/>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5</w:t>
              </w:r>
              <w:r>
                <w:rPr>
                  <w:rFonts w:ascii="Poppins" w:hAnsi="Poppins" w:cs="Poppins"/>
                  <w:color w:val="392388"/>
                  <w:sz w:val="16"/>
                  <w:szCs w:val="16"/>
                </w:rPr>
                <w:fldChar w:fldCharType="end"/>
              </w:r>
            </w:sdtContent>
          </w:sdt>
        </w:p>
      </w:tc>
      <w:tc>
        <w:tcPr>
          <w:tcW w:w="4678" w:type="dxa"/>
        </w:tcPr>
        <w:p w14:paraId="0A0BDDD5" w14:textId="77777777" w:rsidR="00A561E0" w:rsidRDefault="00A561E0">
          <w:pPr>
            <w:pStyle w:val="Header"/>
            <w:spacing w:before="120"/>
            <w:ind w:right="21"/>
            <w:jc w:val="right"/>
            <w:rPr>
              <w:rFonts w:ascii="Poppins" w:hAnsi="Poppins" w:cs="Poppins"/>
              <w:color w:val="392388"/>
            </w:rPr>
          </w:pPr>
        </w:p>
      </w:tc>
    </w:tr>
  </w:tbl>
  <w:p w14:paraId="22F186FE" w14:textId="77777777" w:rsidR="00A561E0" w:rsidRDefault="00A561E0">
    <w:pPr>
      <w:pStyle w:val="Footer"/>
      <w:rPr>
        <w:rFonts w:ascii="Poppins" w:hAnsi="Poppins" w:cs="Poppins"/>
        <w:color w:val="392388"/>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A561E0" w14:paraId="709BA1D5" w14:textId="77777777">
      <w:tc>
        <w:tcPr>
          <w:tcW w:w="5812" w:type="dxa"/>
        </w:tcPr>
        <w:p w14:paraId="08BDA549" w14:textId="77777777" w:rsidR="00A561E0" w:rsidRDefault="00854BE4">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320462371"/>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8</w:t>
              </w:r>
              <w:r>
                <w:rPr>
                  <w:rFonts w:ascii="Poppins" w:hAnsi="Poppins" w:cs="Poppins"/>
                  <w:color w:val="392388"/>
                  <w:sz w:val="16"/>
                  <w:szCs w:val="16"/>
                </w:rPr>
                <w:fldChar w:fldCharType="end"/>
              </w:r>
            </w:sdtContent>
          </w:sdt>
        </w:p>
      </w:tc>
      <w:tc>
        <w:tcPr>
          <w:tcW w:w="4678" w:type="dxa"/>
        </w:tcPr>
        <w:p w14:paraId="6E7A9B10" w14:textId="77777777" w:rsidR="00A561E0" w:rsidRDefault="00A561E0">
          <w:pPr>
            <w:pStyle w:val="Header"/>
            <w:spacing w:before="120"/>
            <w:ind w:right="21"/>
            <w:jc w:val="right"/>
            <w:rPr>
              <w:rFonts w:ascii="Poppins" w:hAnsi="Poppins" w:cs="Poppins"/>
              <w:color w:val="392388"/>
            </w:rPr>
          </w:pPr>
        </w:p>
      </w:tc>
    </w:tr>
  </w:tbl>
  <w:p w14:paraId="1D9C4D4F" w14:textId="77777777" w:rsidR="00A561E0" w:rsidRDefault="00A561E0">
    <w:pPr>
      <w:pStyle w:val="Footer"/>
      <w:rPr>
        <w:rFonts w:ascii="Poppins" w:hAnsi="Poppins" w:cs="Poppins"/>
        <w:color w:val="392388"/>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A561E0" w14:paraId="7D60597A" w14:textId="77777777">
      <w:tc>
        <w:tcPr>
          <w:tcW w:w="5257" w:type="dxa"/>
        </w:tcPr>
        <w:p w14:paraId="26D3B93C" w14:textId="77777777" w:rsidR="00A561E0" w:rsidRDefault="00854BE4">
          <w:pPr>
            <w:pStyle w:val="Footer"/>
            <w:spacing w:before="120"/>
            <w:rPr>
              <w:rFonts w:ascii="Poppins" w:hAnsi="Poppins" w:cs="Poppins"/>
              <w:color w:val="392388"/>
              <w:sz w:val="16"/>
              <w:szCs w:val="16"/>
            </w:rPr>
          </w:pPr>
          <w:r>
            <w:rPr>
              <w:rFonts w:ascii="Poppins" w:hAnsi="Poppins" w:cs="Poppins"/>
              <w:color w:val="392388"/>
              <w:sz w:val="16"/>
              <w:szCs w:val="16"/>
            </w:rPr>
            <w:t xml:space="preserve">Research report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352526512"/>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9</w:t>
              </w:r>
              <w:r>
                <w:rPr>
                  <w:rFonts w:ascii="Poppins" w:hAnsi="Poppins" w:cs="Poppins"/>
                  <w:color w:val="392388"/>
                  <w:sz w:val="16"/>
                  <w:szCs w:val="16"/>
                </w:rPr>
                <w:fldChar w:fldCharType="end"/>
              </w:r>
            </w:sdtContent>
          </w:sdt>
        </w:p>
      </w:tc>
      <w:tc>
        <w:tcPr>
          <w:tcW w:w="5257" w:type="dxa"/>
        </w:tcPr>
        <w:p w14:paraId="2375E85F" w14:textId="77777777" w:rsidR="00A561E0" w:rsidRDefault="00854BE4">
          <w:pPr>
            <w:pStyle w:val="Header"/>
            <w:spacing w:before="120"/>
            <w:ind w:right="21"/>
            <w:jc w:val="right"/>
            <w:rPr>
              <w:rFonts w:ascii="Poppins" w:hAnsi="Poppins" w:cs="Poppins"/>
              <w:color w:val="392388"/>
            </w:rPr>
          </w:pPr>
          <w:r>
            <w:rPr>
              <w:rFonts w:ascii="Poppins" w:hAnsi="Poppins" w:cs="Poppins"/>
              <w:noProof/>
              <w:color w:val="392388"/>
            </w:rPr>
            <w:pict w14:anchorId="147781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96pt;height:19.8pt;visibility:visible">
                <v:imagedata r:id="rId1" o:title=""/>
              </v:shape>
            </w:pict>
          </w:r>
        </w:p>
      </w:tc>
    </w:tr>
  </w:tbl>
  <w:p w14:paraId="74559CC5" w14:textId="77777777" w:rsidR="00A561E0" w:rsidRDefault="00A561E0">
    <w:pPr>
      <w:pStyle w:val="Footer"/>
      <w:rPr>
        <w:rFonts w:ascii="Poppins" w:hAnsi="Poppins" w:cs="Poppins"/>
        <w:color w:val="392388"/>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A561E0" w14:paraId="3701E310" w14:textId="77777777">
      <w:tc>
        <w:tcPr>
          <w:tcW w:w="5257" w:type="dxa"/>
        </w:tcPr>
        <w:p w14:paraId="3FA52380" w14:textId="77777777" w:rsidR="00A561E0" w:rsidRDefault="00854BE4">
          <w:pPr>
            <w:pStyle w:val="DefaqtoHeading4"/>
            <w:spacing w:before="120"/>
            <w:rPr>
              <w:rFonts w:ascii="Poppins" w:hAnsi="Poppins" w:cs="Poppins"/>
              <w:sz w:val="16"/>
              <w:szCs w:val="16"/>
            </w:rPr>
          </w:pPr>
          <w:r>
            <w:rPr>
              <w:rFonts w:ascii="Poppins" w:hAnsi="Poppins" w:cs="Poppins"/>
              <w:sz w:val="16"/>
              <w:szCs w:val="16"/>
            </w:rPr>
            <w:t xml:space="preserve">Research report prepared by </w:t>
          </w:r>
          <w:r>
            <w:rPr>
              <w:rFonts w:ascii="Poppins" w:hAnsi="Poppins" w:cs="Poppins"/>
              <w:sz w:val="16"/>
              <w:szCs w:val="16"/>
            </w:rPr>
            <w:t>Thomas Redmond</w:t>
          </w:r>
          <w:r>
            <w:rPr>
              <w:rFonts w:ascii="Poppins" w:hAnsi="Poppins" w:cs="Poppins"/>
              <w:sz w:val="16"/>
              <w:szCs w:val="16"/>
            </w:rPr>
            <w:t xml:space="preserve"> using </w:t>
          </w:r>
          <w:proofErr w:type="spellStart"/>
          <w:r>
            <w:rPr>
              <w:rFonts w:ascii="Poppins" w:hAnsi="Poppins" w:cs="Poppins"/>
              <w:sz w:val="16"/>
              <w:szCs w:val="16"/>
            </w:rPr>
            <w:t>Defaqto</w:t>
          </w:r>
          <w:proofErr w:type="spellEnd"/>
          <w:r>
            <w:rPr>
              <w:rFonts w:ascii="Poppins" w:hAnsi="Poppins" w:cs="Poppins"/>
              <w:sz w:val="16"/>
              <w:szCs w:val="16"/>
            </w:rPr>
            <w:t xml:space="preserve"> Engage</w:t>
          </w:r>
          <w:r>
            <w:rPr>
              <w:rFonts w:ascii="Poppins" w:hAnsi="Poppins" w:cs="Poppins"/>
              <w:sz w:val="16"/>
              <w:szCs w:val="16"/>
            </w:rPr>
            <w:br/>
            <w:t xml:space="preserve">Page </w:t>
          </w:r>
          <w:sdt>
            <w:sdtPr>
              <w:rPr>
                <w:rFonts w:ascii="Poppins" w:hAnsi="Poppins" w:cs="Poppins"/>
                <w:sz w:val="16"/>
                <w:szCs w:val="16"/>
              </w:rPr>
              <w:id w:val="-1507537830"/>
              <w:docPartObj>
                <w:docPartGallery w:val="Page Numbers (Bottom of Page)"/>
                <w:docPartUnique/>
              </w:docPartObj>
            </w:sdtPr>
            <w:sdtEndPr/>
            <w:sdtContent>
              <w:r>
                <w:rPr>
                  <w:rFonts w:ascii="Poppins" w:hAnsi="Poppins" w:cs="Poppins"/>
                  <w:sz w:val="16"/>
                  <w:szCs w:val="16"/>
                </w:rPr>
                <w:fldChar w:fldCharType="begin"/>
              </w:r>
              <w:r>
                <w:rPr>
                  <w:rFonts w:ascii="Poppins" w:hAnsi="Poppins" w:cs="Poppins"/>
                  <w:sz w:val="16"/>
                  <w:szCs w:val="16"/>
                </w:rPr>
                <w:instrText xml:space="preserve">PAGE </w:instrText>
              </w:r>
              <w:r>
                <w:rPr>
                  <w:rFonts w:ascii="Poppins" w:hAnsi="Poppins" w:cs="Poppins"/>
                  <w:sz w:val="16"/>
                  <w:szCs w:val="16"/>
                </w:rPr>
                <w:instrText xml:space="preserve">\* MERGEFORMAT </w:instrText>
              </w:r>
              <w:r>
                <w:rPr>
                  <w:rFonts w:ascii="Poppins" w:hAnsi="Poppins" w:cs="Poppins"/>
                  <w:sz w:val="16"/>
                  <w:szCs w:val="16"/>
                </w:rPr>
                <w:fldChar w:fldCharType="separate"/>
              </w:r>
              <w:r>
                <w:rPr>
                  <w:rFonts w:ascii="Poppins" w:hAnsi="Poppins" w:cs="Poppins"/>
                  <w:sz w:val="16"/>
                  <w:szCs w:val="16"/>
                </w:rPr>
                <w:t>10</w:t>
              </w:r>
              <w:r>
                <w:rPr>
                  <w:rFonts w:ascii="Poppins" w:hAnsi="Poppins" w:cs="Poppins"/>
                  <w:sz w:val="16"/>
                  <w:szCs w:val="16"/>
                </w:rPr>
                <w:fldChar w:fldCharType="end"/>
              </w:r>
            </w:sdtContent>
          </w:sdt>
        </w:p>
      </w:tc>
      <w:tc>
        <w:tcPr>
          <w:tcW w:w="5257" w:type="dxa"/>
        </w:tcPr>
        <w:p w14:paraId="3D4FBC91" w14:textId="77777777" w:rsidR="00A561E0" w:rsidRDefault="00854BE4">
          <w:pPr>
            <w:pStyle w:val="DefaqtoHeading4"/>
            <w:spacing w:before="120"/>
            <w:ind w:right="21"/>
            <w:jc w:val="right"/>
            <w:rPr>
              <w:rFonts w:ascii="Poppins" w:hAnsi="Poppins" w:cs="Poppins"/>
            </w:rPr>
          </w:pPr>
          <w:r>
            <w:rPr>
              <w:rFonts w:ascii="Poppins" w:hAnsi="Poppins" w:cs="Poppins"/>
              <w:noProof/>
            </w:rPr>
            <w:pict w14:anchorId="47A94E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96pt;height:19.8pt;visibility:visible">
                <v:imagedata r:id="rId1" o:title=""/>
              </v:shape>
            </w:pict>
          </w:r>
        </w:p>
      </w:tc>
    </w:tr>
  </w:tbl>
  <w:p w14:paraId="5E70B53A" w14:textId="77777777" w:rsidR="00A561E0" w:rsidRDefault="00A561E0">
    <w:pPr>
      <w:pStyle w:val="Footer"/>
      <w:rPr>
        <w:rFonts w:ascii="Poppins" w:hAnsi="Poppins" w:cs="Poppins"/>
        <w:color w:val="392388"/>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A561E0" w14:paraId="4F754B9E" w14:textId="77777777">
      <w:tc>
        <w:tcPr>
          <w:tcW w:w="5257" w:type="dxa"/>
        </w:tcPr>
        <w:p w14:paraId="6646A206" w14:textId="77777777" w:rsidR="00A561E0" w:rsidRDefault="00854BE4">
          <w:pPr>
            <w:pStyle w:val="DefaqtoHeading4"/>
            <w:spacing w:before="120"/>
            <w:rPr>
              <w:rFonts w:ascii="Poppins" w:hAnsi="Poppins" w:cs="Poppins"/>
              <w:sz w:val="16"/>
              <w:szCs w:val="16"/>
            </w:rPr>
          </w:pPr>
          <w:r>
            <w:rPr>
              <w:rFonts w:ascii="Poppins" w:hAnsi="Poppins" w:cs="Poppins"/>
              <w:sz w:val="16"/>
              <w:szCs w:val="16"/>
            </w:rPr>
            <w:t xml:space="preserve">Research report prepared by </w:t>
          </w:r>
          <w:r>
            <w:rPr>
              <w:rFonts w:ascii="Poppins" w:hAnsi="Poppins" w:cs="Poppins"/>
              <w:sz w:val="16"/>
              <w:szCs w:val="16"/>
            </w:rPr>
            <w:t>Thomas Redmond</w:t>
          </w:r>
          <w:r>
            <w:rPr>
              <w:rFonts w:ascii="Poppins" w:hAnsi="Poppins" w:cs="Poppins"/>
              <w:sz w:val="16"/>
              <w:szCs w:val="16"/>
            </w:rPr>
            <w:t xml:space="preserve"> using </w:t>
          </w:r>
          <w:proofErr w:type="spellStart"/>
          <w:r>
            <w:rPr>
              <w:rFonts w:ascii="Poppins" w:hAnsi="Poppins" w:cs="Poppins"/>
              <w:sz w:val="16"/>
              <w:szCs w:val="16"/>
            </w:rPr>
            <w:t>Defaqto</w:t>
          </w:r>
          <w:proofErr w:type="spellEnd"/>
          <w:r>
            <w:rPr>
              <w:rFonts w:ascii="Poppins" w:hAnsi="Poppins" w:cs="Poppins"/>
              <w:sz w:val="16"/>
              <w:szCs w:val="16"/>
            </w:rPr>
            <w:t xml:space="preserve"> Engage</w:t>
          </w:r>
          <w:r>
            <w:rPr>
              <w:rFonts w:ascii="Poppins" w:hAnsi="Poppins" w:cs="Poppins"/>
              <w:sz w:val="16"/>
              <w:szCs w:val="16"/>
            </w:rPr>
            <w:br/>
            <w:t xml:space="preserve">Page </w:t>
          </w:r>
          <w:sdt>
            <w:sdtPr>
              <w:rPr>
                <w:rFonts w:ascii="Poppins" w:hAnsi="Poppins" w:cs="Poppins"/>
                <w:sz w:val="16"/>
                <w:szCs w:val="16"/>
              </w:rPr>
              <w:id w:val="1340823635"/>
              <w:docPartObj>
                <w:docPartGallery w:val="Page Numbers (Bottom of Page)"/>
                <w:docPartUnique/>
              </w:docPartObj>
            </w:sdtPr>
            <w:sdtEndPr/>
            <w:sdtContent>
              <w:r>
                <w:rPr>
                  <w:rFonts w:ascii="Poppins" w:hAnsi="Poppins" w:cs="Poppins"/>
                  <w:sz w:val="16"/>
                  <w:szCs w:val="16"/>
                </w:rPr>
                <w:fldChar w:fldCharType="begin"/>
              </w:r>
              <w:r>
                <w:rPr>
                  <w:rFonts w:ascii="Poppins" w:hAnsi="Poppins" w:cs="Poppins"/>
                  <w:sz w:val="16"/>
                  <w:szCs w:val="16"/>
                </w:rPr>
                <w:instrText xml:space="preserve">PAGE </w:instrText>
              </w:r>
              <w:r>
                <w:rPr>
                  <w:rFonts w:ascii="Poppins" w:hAnsi="Poppins" w:cs="Poppins"/>
                  <w:sz w:val="16"/>
                  <w:szCs w:val="16"/>
                </w:rPr>
                <w:instrText xml:space="preserve">\* MERGEFORMAT </w:instrText>
              </w:r>
              <w:r>
                <w:rPr>
                  <w:rFonts w:ascii="Poppins" w:hAnsi="Poppins" w:cs="Poppins"/>
                  <w:sz w:val="16"/>
                  <w:szCs w:val="16"/>
                </w:rPr>
                <w:fldChar w:fldCharType="separate"/>
              </w:r>
              <w:r>
                <w:rPr>
                  <w:rFonts w:ascii="Poppins" w:hAnsi="Poppins" w:cs="Poppins"/>
                  <w:sz w:val="16"/>
                  <w:szCs w:val="16"/>
                </w:rPr>
                <w:t>12</w:t>
              </w:r>
              <w:r>
                <w:rPr>
                  <w:rFonts w:ascii="Poppins" w:hAnsi="Poppins" w:cs="Poppins"/>
                  <w:sz w:val="16"/>
                  <w:szCs w:val="16"/>
                </w:rPr>
                <w:fldChar w:fldCharType="end"/>
              </w:r>
            </w:sdtContent>
          </w:sdt>
        </w:p>
      </w:tc>
      <w:tc>
        <w:tcPr>
          <w:tcW w:w="5257" w:type="dxa"/>
        </w:tcPr>
        <w:p w14:paraId="3EC2BA63" w14:textId="77777777" w:rsidR="00A561E0" w:rsidRDefault="00854BE4">
          <w:pPr>
            <w:pStyle w:val="DefaqtoHeading4"/>
            <w:spacing w:before="120"/>
            <w:ind w:right="21"/>
            <w:jc w:val="right"/>
            <w:rPr>
              <w:rFonts w:ascii="Poppins" w:hAnsi="Poppins" w:cs="Poppins"/>
            </w:rPr>
          </w:pPr>
          <w:r>
            <w:rPr>
              <w:rFonts w:ascii="Poppins" w:hAnsi="Poppins" w:cs="Poppins"/>
              <w:noProof/>
            </w:rPr>
            <w:pict w14:anchorId="45400B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96pt;height:19.8pt;visibility:visible">
                <v:imagedata r:id="rId1" o:title=""/>
              </v:shape>
            </w:pict>
          </w:r>
        </w:p>
      </w:tc>
    </w:tr>
  </w:tbl>
  <w:p w14:paraId="61E2DC90" w14:textId="77777777" w:rsidR="00A561E0" w:rsidRDefault="00A561E0">
    <w:pPr>
      <w:pStyle w:val="Footer"/>
      <w:rPr>
        <w:rFonts w:ascii="Poppins" w:hAnsi="Poppins" w:cs="Poppins"/>
        <w:color w:val="392388"/>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A561E0" w14:paraId="5BE2ADBB" w14:textId="77777777">
      <w:tc>
        <w:tcPr>
          <w:tcW w:w="5257" w:type="dxa"/>
        </w:tcPr>
        <w:p w14:paraId="1D956576" w14:textId="77777777" w:rsidR="00A561E0" w:rsidRDefault="00854BE4">
          <w:pPr>
            <w:pStyle w:val="DefaqtoHeading4"/>
            <w:spacing w:before="120"/>
            <w:rPr>
              <w:rFonts w:ascii="Poppins" w:hAnsi="Poppins" w:cs="Poppins"/>
              <w:sz w:val="16"/>
              <w:szCs w:val="16"/>
            </w:rPr>
          </w:pPr>
          <w:r>
            <w:rPr>
              <w:rFonts w:ascii="Poppins" w:hAnsi="Poppins" w:cs="Poppins"/>
              <w:sz w:val="16"/>
              <w:szCs w:val="16"/>
            </w:rPr>
            <w:t xml:space="preserve">Research report prepared by </w:t>
          </w:r>
          <w:r>
            <w:rPr>
              <w:rFonts w:ascii="Poppins" w:hAnsi="Poppins" w:cs="Poppins"/>
              <w:sz w:val="16"/>
              <w:szCs w:val="16"/>
            </w:rPr>
            <w:t>Thomas Redmond</w:t>
          </w:r>
          <w:r>
            <w:rPr>
              <w:rFonts w:ascii="Poppins" w:hAnsi="Poppins" w:cs="Poppins"/>
              <w:sz w:val="16"/>
              <w:szCs w:val="16"/>
            </w:rPr>
            <w:t xml:space="preserve"> using </w:t>
          </w:r>
          <w:proofErr w:type="spellStart"/>
          <w:r>
            <w:rPr>
              <w:rFonts w:ascii="Poppins" w:hAnsi="Poppins" w:cs="Poppins"/>
              <w:sz w:val="16"/>
              <w:szCs w:val="16"/>
            </w:rPr>
            <w:t>Defaqto</w:t>
          </w:r>
          <w:proofErr w:type="spellEnd"/>
          <w:r>
            <w:rPr>
              <w:rFonts w:ascii="Poppins" w:hAnsi="Poppins" w:cs="Poppins"/>
              <w:sz w:val="16"/>
              <w:szCs w:val="16"/>
            </w:rPr>
            <w:t xml:space="preserve"> Engage</w:t>
          </w:r>
          <w:r>
            <w:rPr>
              <w:rFonts w:ascii="Poppins" w:hAnsi="Poppins" w:cs="Poppins"/>
              <w:sz w:val="16"/>
              <w:szCs w:val="16"/>
            </w:rPr>
            <w:br/>
            <w:t xml:space="preserve">Page </w:t>
          </w:r>
          <w:sdt>
            <w:sdtPr>
              <w:rPr>
                <w:rFonts w:ascii="Poppins" w:hAnsi="Poppins" w:cs="Poppins"/>
                <w:sz w:val="16"/>
                <w:szCs w:val="16"/>
              </w:rPr>
              <w:id w:val="-1280027947"/>
              <w:docPartObj>
                <w:docPartGallery w:val="Page Numbers (Bottom of Page)"/>
                <w:docPartUnique/>
              </w:docPartObj>
            </w:sdtPr>
            <w:sdtEndPr/>
            <w:sdtContent>
              <w:r>
                <w:rPr>
                  <w:rFonts w:ascii="Poppins" w:hAnsi="Poppins" w:cs="Poppins"/>
                  <w:sz w:val="16"/>
                  <w:szCs w:val="16"/>
                </w:rPr>
                <w:fldChar w:fldCharType="begin"/>
              </w:r>
              <w:r>
                <w:rPr>
                  <w:rFonts w:ascii="Poppins" w:hAnsi="Poppins" w:cs="Poppins"/>
                  <w:sz w:val="16"/>
                  <w:szCs w:val="16"/>
                </w:rPr>
                <w:instrText xml:space="preserve">PAGE </w:instrText>
              </w:r>
              <w:r>
                <w:rPr>
                  <w:rFonts w:ascii="Poppins" w:hAnsi="Poppins" w:cs="Poppins"/>
                  <w:sz w:val="16"/>
                  <w:szCs w:val="16"/>
                </w:rPr>
                <w:instrText xml:space="preserve">\* MERGEFORMAT </w:instrText>
              </w:r>
              <w:r>
                <w:rPr>
                  <w:rFonts w:ascii="Poppins" w:hAnsi="Poppins" w:cs="Poppins"/>
                  <w:sz w:val="16"/>
                  <w:szCs w:val="16"/>
                </w:rPr>
                <w:fldChar w:fldCharType="separate"/>
              </w:r>
              <w:r>
                <w:rPr>
                  <w:rFonts w:ascii="Poppins" w:hAnsi="Poppins" w:cs="Poppins"/>
                  <w:sz w:val="16"/>
                  <w:szCs w:val="16"/>
                </w:rPr>
                <w:t>13</w:t>
              </w:r>
              <w:r>
                <w:rPr>
                  <w:rFonts w:ascii="Poppins" w:hAnsi="Poppins" w:cs="Poppins"/>
                  <w:sz w:val="16"/>
                  <w:szCs w:val="16"/>
                </w:rPr>
                <w:fldChar w:fldCharType="end"/>
              </w:r>
            </w:sdtContent>
          </w:sdt>
        </w:p>
      </w:tc>
      <w:tc>
        <w:tcPr>
          <w:tcW w:w="5257" w:type="dxa"/>
        </w:tcPr>
        <w:p w14:paraId="0762299A" w14:textId="77777777" w:rsidR="00A561E0" w:rsidRDefault="00854BE4">
          <w:pPr>
            <w:pStyle w:val="DefaqtoHeading4"/>
            <w:spacing w:before="120"/>
            <w:ind w:right="21"/>
            <w:jc w:val="right"/>
            <w:rPr>
              <w:rFonts w:ascii="Poppins" w:hAnsi="Poppins" w:cs="Poppins"/>
            </w:rPr>
          </w:pPr>
          <w:r>
            <w:rPr>
              <w:rFonts w:ascii="Poppins" w:hAnsi="Poppins" w:cs="Poppins"/>
              <w:noProof/>
            </w:rPr>
            <w:pict w14:anchorId="44FD54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96pt;height:19.8pt;visibility:visible">
                <v:imagedata r:id="rId1" o:title=""/>
              </v:shape>
            </w:pict>
          </w:r>
        </w:p>
      </w:tc>
    </w:tr>
  </w:tbl>
  <w:p w14:paraId="222FCAA5" w14:textId="77777777" w:rsidR="00A561E0" w:rsidRDefault="00A561E0">
    <w:pPr>
      <w:pStyle w:val="Footer"/>
      <w:rPr>
        <w:rFonts w:ascii="Poppins" w:hAnsi="Poppins" w:cs="Poppins"/>
        <w:color w:val="392388"/>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A561E0" w14:paraId="161FB6D7" w14:textId="77777777">
      <w:tc>
        <w:tcPr>
          <w:tcW w:w="5257" w:type="dxa"/>
        </w:tcPr>
        <w:p w14:paraId="33944FC0" w14:textId="77777777" w:rsidR="00A561E0" w:rsidRDefault="00854BE4">
          <w:pPr>
            <w:pStyle w:val="DefaqtoHeading4"/>
            <w:spacing w:before="120"/>
            <w:rPr>
              <w:rFonts w:ascii="Poppins" w:hAnsi="Poppins" w:cs="Poppins"/>
              <w:sz w:val="16"/>
              <w:szCs w:val="16"/>
            </w:rPr>
          </w:pPr>
          <w:r>
            <w:rPr>
              <w:rFonts w:ascii="Poppins" w:hAnsi="Poppins" w:cs="Poppins"/>
              <w:sz w:val="16"/>
              <w:szCs w:val="16"/>
            </w:rPr>
            <w:t xml:space="preserve">Research report prepared by </w:t>
          </w:r>
          <w:r>
            <w:rPr>
              <w:rFonts w:ascii="Poppins" w:hAnsi="Poppins" w:cs="Poppins"/>
              <w:sz w:val="16"/>
              <w:szCs w:val="16"/>
            </w:rPr>
            <w:t>Thomas Redmond</w:t>
          </w:r>
          <w:r>
            <w:rPr>
              <w:rFonts w:ascii="Poppins" w:hAnsi="Poppins" w:cs="Poppins"/>
              <w:sz w:val="16"/>
              <w:szCs w:val="16"/>
            </w:rPr>
            <w:t xml:space="preserve"> using </w:t>
          </w:r>
          <w:proofErr w:type="spellStart"/>
          <w:r>
            <w:rPr>
              <w:rFonts w:ascii="Poppins" w:hAnsi="Poppins" w:cs="Poppins"/>
              <w:sz w:val="16"/>
              <w:szCs w:val="16"/>
            </w:rPr>
            <w:t>Defaqto</w:t>
          </w:r>
          <w:proofErr w:type="spellEnd"/>
          <w:r>
            <w:rPr>
              <w:rFonts w:ascii="Poppins" w:hAnsi="Poppins" w:cs="Poppins"/>
              <w:sz w:val="16"/>
              <w:szCs w:val="16"/>
            </w:rPr>
            <w:t xml:space="preserve"> Engage</w:t>
          </w:r>
          <w:r>
            <w:rPr>
              <w:rFonts w:ascii="Poppins" w:hAnsi="Poppins" w:cs="Poppins"/>
              <w:sz w:val="16"/>
              <w:szCs w:val="16"/>
            </w:rPr>
            <w:br/>
            <w:t xml:space="preserve">Page </w:t>
          </w:r>
          <w:sdt>
            <w:sdtPr>
              <w:rPr>
                <w:rFonts w:ascii="Poppins" w:hAnsi="Poppins" w:cs="Poppins"/>
                <w:sz w:val="16"/>
                <w:szCs w:val="16"/>
              </w:rPr>
              <w:id w:val="-2012757221"/>
              <w:docPartObj>
                <w:docPartGallery w:val="Page Numbers (Bottom of Page)"/>
                <w:docPartUnique/>
              </w:docPartObj>
            </w:sdtPr>
            <w:sdtEndPr/>
            <w:sdtContent>
              <w:r>
                <w:rPr>
                  <w:rFonts w:ascii="Poppins" w:hAnsi="Poppins" w:cs="Poppins"/>
                  <w:sz w:val="16"/>
                  <w:szCs w:val="16"/>
                </w:rPr>
                <w:fldChar w:fldCharType="begin"/>
              </w:r>
              <w:r>
                <w:rPr>
                  <w:rFonts w:ascii="Poppins" w:hAnsi="Poppins" w:cs="Poppins"/>
                  <w:sz w:val="16"/>
                  <w:szCs w:val="16"/>
                </w:rPr>
                <w:instrText xml:space="preserve">PAGE </w:instrText>
              </w:r>
              <w:r>
                <w:rPr>
                  <w:rFonts w:ascii="Poppins" w:hAnsi="Poppins" w:cs="Poppins"/>
                  <w:sz w:val="16"/>
                  <w:szCs w:val="16"/>
                </w:rPr>
                <w:instrText xml:space="preserve">\* MERGEFORMAT </w:instrText>
              </w:r>
              <w:r>
                <w:rPr>
                  <w:rFonts w:ascii="Poppins" w:hAnsi="Poppins" w:cs="Poppins"/>
                  <w:sz w:val="16"/>
                  <w:szCs w:val="16"/>
                </w:rPr>
                <w:fldChar w:fldCharType="separate"/>
              </w:r>
              <w:r>
                <w:rPr>
                  <w:rFonts w:ascii="Poppins" w:hAnsi="Poppins" w:cs="Poppins"/>
                  <w:sz w:val="16"/>
                  <w:szCs w:val="16"/>
                </w:rPr>
                <w:t>14</w:t>
              </w:r>
              <w:r>
                <w:rPr>
                  <w:rFonts w:ascii="Poppins" w:hAnsi="Poppins" w:cs="Poppins"/>
                  <w:sz w:val="16"/>
                  <w:szCs w:val="16"/>
                </w:rPr>
                <w:fldChar w:fldCharType="end"/>
              </w:r>
            </w:sdtContent>
          </w:sdt>
        </w:p>
      </w:tc>
      <w:tc>
        <w:tcPr>
          <w:tcW w:w="5257" w:type="dxa"/>
        </w:tcPr>
        <w:p w14:paraId="5BC455E2" w14:textId="77777777" w:rsidR="00A561E0" w:rsidRDefault="00854BE4">
          <w:pPr>
            <w:pStyle w:val="DefaqtoHeading4"/>
            <w:spacing w:before="120"/>
            <w:ind w:right="21"/>
            <w:jc w:val="right"/>
            <w:rPr>
              <w:rFonts w:ascii="Poppins" w:hAnsi="Poppins" w:cs="Poppins"/>
            </w:rPr>
          </w:pPr>
          <w:r>
            <w:rPr>
              <w:rFonts w:ascii="Poppins" w:hAnsi="Poppins" w:cs="Poppins"/>
              <w:noProof/>
            </w:rPr>
            <w:pict w14:anchorId="4595CA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96pt;height:19.8pt;visibility:visible">
                <v:imagedata r:id="rId1" o:title=""/>
              </v:shape>
            </w:pict>
          </w:r>
        </w:p>
      </w:tc>
    </w:tr>
  </w:tbl>
  <w:p w14:paraId="59B6139F" w14:textId="77777777" w:rsidR="00A561E0" w:rsidRDefault="00A561E0">
    <w:pPr>
      <w:pStyle w:val="Footer"/>
      <w:rPr>
        <w:rFonts w:ascii="Poppins" w:hAnsi="Poppins" w:cs="Poppins"/>
        <w:color w:val="392388"/>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A561E0" w14:paraId="56357046" w14:textId="77777777">
      <w:tc>
        <w:tcPr>
          <w:tcW w:w="5257" w:type="dxa"/>
        </w:tcPr>
        <w:p w14:paraId="091DCFF1" w14:textId="77777777" w:rsidR="00A561E0" w:rsidRDefault="00854BE4">
          <w:pPr>
            <w:pStyle w:val="DefaqtoHeading4"/>
            <w:spacing w:before="120"/>
            <w:rPr>
              <w:rFonts w:ascii="Poppins" w:hAnsi="Poppins" w:cs="Poppins"/>
              <w:sz w:val="16"/>
              <w:szCs w:val="16"/>
            </w:rPr>
          </w:pPr>
          <w:r>
            <w:rPr>
              <w:rFonts w:ascii="Poppins" w:hAnsi="Poppins" w:cs="Poppins"/>
              <w:sz w:val="16"/>
              <w:szCs w:val="16"/>
            </w:rPr>
            <w:t xml:space="preserve">Research report prepared by </w:t>
          </w:r>
          <w:r>
            <w:rPr>
              <w:rFonts w:ascii="Poppins" w:hAnsi="Poppins" w:cs="Poppins"/>
              <w:sz w:val="16"/>
              <w:szCs w:val="16"/>
            </w:rPr>
            <w:t>Thomas Redmond</w:t>
          </w:r>
          <w:r>
            <w:rPr>
              <w:rFonts w:ascii="Poppins" w:hAnsi="Poppins" w:cs="Poppins"/>
              <w:sz w:val="16"/>
              <w:szCs w:val="16"/>
            </w:rPr>
            <w:t xml:space="preserve"> using </w:t>
          </w:r>
          <w:proofErr w:type="spellStart"/>
          <w:r>
            <w:rPr>
              <w:rFonts w:ascii="Poppins" w:hAnsi="Poppins" w:cs="Poppins"/>
              <w:sz w:val="16"/>
              <w:szCs w:val="16"/>
            </w:rPr>
            <w:t>Defaqto</w:t>
          </w:r>
          <w:proofErr w:type="spellEnd"/>
          <w:r>
            <w:rPr>
              <w:rFonts w:ascii="Poppins" w:hAnsi="Poppins" w:cs="Poppins"/>
              <w:sz w:val="16"/>
              <w:szCs w:val="16"/>
            </w:rPr>
            <w:t xml:space="preserve"> Engage</w:t>
          </w:r>
          <w:r>
            <w:rPr>
              <w:rFonts w:ascii="Poppins" w:hAnsi="Poppins" w:cs="Poppins"/>
              <w:sz w:val="16"/>
              <w:szCs w:val="16"/>
            </w:rPr>
            <w:br/>
            <w:t xml:space="preserve">Page </w:t>
          </w:r>
          <w:sdt>
            <w:sdtPr>
              <w:rPr>
                <w:rFonts w:ascii="Poppins" w:hAnsi="Poppins" w:cs="Poppins"/>
                <w:sz w:val="16"/>
                <w:szCs w:val="16"/>
              </w:rPr>
              <w:id w:val="1033389828"/>
              <w:docPartObj>
                <w:docPartGallery w:val="Page Numbers (Bottom of Page)"/>
                <w:docPartUnique/>
              </w:docPartObj>
            </w:sdtPr>
            <w:sdtEndPr/>
            <w:sdtContent>
              <w:r>
                <w:rPr>
                  <w:rFonts w:ascii="Poppins" w:hAnsi="Poppins" w:cs="Poppins"/>
                  <w:sz w:val="16"/>
                  <w:szCs w:val="16"/>
                </w:rPr>
                <w:fldChar w:fldCharType="begin"/>
              </w:r>
              <w:r>
                <w:rPr>
                  <w:rFonts w:ascii="Poppins" w:hAnsi="Poppins" w:cs="Poppins"/>
                  <w:sz w:val="16"/>
                  <w:szCs w:val="16"/>
                </w:rPr>
                <w:instrText xml:space="preserve">PAGE </w:instrText>
              </w:r>
              <w:r>
                <w:rPr>
                  <w:rFonts w:ascii="Poppins" w:hAnsi="Poppins" w:cs="Poppins"/>
                  <w:sz w:val="16"/>
                  <w:szCs w:val="16"/>
                </w:rPr>
                <w:instrText xml:space="preserve">\* MERGEFORMAT </w:instrText>
              </w:r>
              <w:r>
                <w:rPr>
                  <w:rFonts w:ascii="Poppins" w:hAnsi="Poppins" w:cs="Poppins"/>
                  <w:sz w:val="16"/>
                  <w:szCs w:val="16"/>
                </w:rPr>
                <w:fldChar w:fldCharType="separate"/>
              </w:r>
              <w:r>
                <w:rPr>
                  <w:rFonts w:ascii="Poppins" w:hAnsi="Poppins" w:cs="Poppins"/>
                  <w:sz w:val="16"/>
                  <w:szCs w:val="16"/>
                </w:rPr>
                <w:t>15</w:t>
              </w:r>
              <w:r>
                <w:rPr>
                  <w:rFonts w:ascii="Poppins" w:hAnsi="Poppins" w:cs="Poppins"/>
                  <w:sz w:val="16"/>
                  <w:szCs w:val="16"/>
                </w:rPr>
                <w:fldChar w:fldCharType="end"/>
              </w:r>
            </w:sdtContent>
          </w:sdt>
        </w:p>
      </w:tc>
      <w:tc>
        <w:tcPr>
          <w:tcW w:w="5257" w:type="dxa"/>
        </w:tcPr>
        <w:p w14:paraId="57BF0526" w14:textId="77777777" w:rsidR="00A561E0" w:rsidRDefault="00854BE4">
          <w:pPr>
            <w:pStyle w:val="DefaqtoHeading4"/>
            <w:spacing w:before="120"/>
            <w:ind w:right="21"/>
            <w:jc w:val="right"/>
            <w:rPr>
              <w:rFonts w:ascii="Poppins" w:hAnsi="Poppins" w:cs="Poppins"/>
            </w:rPr>
          </w:pPr>
          <w:r>
            <w:rPr>
              <w:rFonts w:ascii="Poppins" w:hAnsi="Poppins" w:cs="Poppins"/>
              <w:noProof/>
            </w:rPr>
            <w:pict w14:anchorId="1E7C0F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96pt;height:19.8pt;visibility:visible">
                <v:imagedata r:id="rId1" o:title=""/>
              </v:shape>
            </w:pict>
          </w:r>
        </w:p>
      </w:tc>
    </w:tr>
  </w:tbl>
  <w:p w14:paraId="5B2115BB" w14:textId="77777777" w:rsidR="00A561E0" w:rsidRDefault="00A561E0">
    <w:pPr>
      <w:pStyle w:val="Footer"/>
      <w:rPr>
        <w:rFonts w:ascii="Poppins" w:hAnsi="Poppins" w:cs="Poppins"/>
        <w:color w:val="392388"/>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A561E0" w14:paraId="7572ABCB" w14:textId="77777777">
      <w:tc>
        <w:tcPr>
          <w:tcW w:w="5257" w:type="dxa"/>
        </w:tcPr>
        <w:p w14:paraId="529A5F3F" w14:textId="77777777" w:rsidR="00A561E0" w:rsidRDefault="00854BE4">
          <w:pPr>
            <w:pStyle w:val="DefaqtoHeading4"/>
            <w:spacing w:before="120"/>
            <w:rPr>
              <w:rFonts w:ascii="Poppins" w:hAnsi="Poppins" w:cs="Poppins"/>
              <w:sz w:val="16"/>
              <w:szCs w:val="16"/>
            </w:rPr>
          </w:pPr>
          <w:r>
            <w:rPr>
              <w:rFonts w:ascii="Poppins" w:hAnsi="Poppins" w:cs="Poppins"/>
              <w:sz w:val="16"/>
              <w:szCs w:val="16"/>
            </w:rPr>
            <w:t xml:space="preserve">Research report prepared by </w:t>
          </w:r>
          <w:r>
            <w:rPr>
              <w:rFonts w:ascii="Poppins" w:hAnsi="Poppins" w:cs="Poppins"/>
              <w:sz w:val="16"/>
              <w:szCs w:val="16"/>
            </w:rPr>
            <w:t>Thomas Redmond</w:t>
          </w:r>
          <w:r>
            <w:rPr>
              <w:rFonts w:ascii="Poppins" w:hAnsi="Poppins" w:cs="Poppins"/>
              <w:sz w:val="16"/>
              <w:szCs w:val="16"/>
            </w:rPr>
            <w:t xml:space="preserve"> using </w:t>
          </w:r>
          <w:proofErr w:type="spellStart"/>
          <w:r>
            <w:rPr>
              <w:rFonts w:ascii="Poppins" w:hAnsi="Poppins" w:cs="Poppins"/>
              <w:sz w:val="16"/>
              <w:szCs w:val="16"/>
            </w:rPr>
            <w:t>Defaqto</w:t>
          </w:r>
          <w:proofErr w:type="spellEnd"/>
          <w:r>
            <w:rPr>
              <w:rFonts w:ascii="Poppins" w:hAnsi="Poppins" w:cs="Poppins"/>
              <w:sz w:val="16"/>
              <w:szCs w:val="16"/>
            </w:rPr>
            <w:t xml:space="preserve"> Engage</w:t>
          </w:r>
          <w:r>
            <w:rPr>
              <w:rFonts w:ascii="Poppins" w:hAnsi="Poppins" w:cs="Poppins"/>
              <w:sz w:val="16"/>
              <w:szCs w:val="16"/>
            </w:rPr>
            <w:br/>
            <w:t xml:space="preserve">Page </w:t>
          </w:r>
          <w:sdt>
            <w:sdtPr>
              <w:rPr>
                <w:rFonts w:ascii="Poppins" w:hAnsi="Poppins" w:cs="Poppins"/>
                <w:sz w:val="16"/>
                <w:szCs w:val="16"/>
              </w:rPr>
              <w:id w:val="-819812597"/>
              <w:docPartObj>
                <w:docPartGallery w:val="Page Numbers (Bottom of Page)"/>
                <w:docPartUnique/>
              </w:docPartObj>
            </w:sdtPr>
            <w:sdtEndPr/>
            <w:sdtContent>
              <w:r>
                <w:rPr>
                  <w:rFonts w:ascii="Poppins" w:hAnsi="Poppins" w:cs="Poppins"/>
                  <w:sz w:val="16"/>
                  <w:szCs w:val="16"/>
                </w:rPr>
                <w:fldChar w:fldCharType="begin"/>
              </w:r>
              <w:r>
                <w:rPr>
                  <w:rFonts w:ascii="Poppins" w:hAnsi="Poppins" w:cs="Poppins"/>
                  <w:sz w:val="16"/>
                  <w:szCs w:val="16"/>
                </w:rPr>
                <w:instrText xml:space="preserve">PAGE </w:instrText>
              </w:r>
              <w:r>
                <w:rPr>
                  <w:rFonts w:ascii="Poppins" w:hAnsi="Poppins" w:cs="Poppins"/>
                  <w:sz w:val="16"/>
                  <w:szCs w:val="16"/>
                </w:rPr>
                <w:instrText xml:space="preserve">\* MERGEFORMAT </w:instrText>
              </w:r>
              <w:r>
                <w:rPr>
                  <w:rFonts w:ascii="Poppins" w:hAnsi="Poppins" w:cs="Poppins"/>
                  <w:sz w:val="16"/>
                  <w:szCs w:val="16"/>
                </w:rPr>
                <w:fldChar w:fldCharType="separate"/>
              </w:r>
              <w:r>
                <w:rPr>
                  <w:rFonts w:ascii="Poppins" w:hAnsi="Poppins" w:cs="Poppins"/>
                  <w:sz w:val="16"/>
                  <w:szCs w:val="16"/>
                </w:rPr>
                <w:t>16</w:t>
              </w:r>
              <w:r>
                <w:rPr>
                  <w:rFonts w:ascii="Poppins" w:hAnsi="Poppins" w:cs="Poppins"/>
                  <w:sz w:val="16"/>
                  <w:szCs w:val="16"/>
                </w:rPr>
                <w:fldChar w:fldCharType="end"/>
              </w:r>
            </w:sdtContent>
          </w:sdt>
        </w:p>
      </w:tc>
      <w:tc>
        <w:tcPr>
          <w:tcW w:w="5257" w:type="dxa"/>
        </w:tcPr>
        <w:p w14:paraId="0744CCD5" w14:textId="77777777" w:rsidR="00A561E0" w:rsidRDefault="00854BE4">
          <w:pPr>
            <w:pStyle w:val="DefaqtoHeading4"/>
            <w:spacing w:before="120"/>
            <w:ind w:right="21"/>
            <w:jc w:val="right"/>
            <w:rPr>
              <w:rFonts w:ascii="Poppins" w:hAnsi="Poppins" w:cs="Poppins"/>
            </w:rPr>
          </w:pPr>
          <w:r>
            <w:rPr>
              <w:rFonts w:ascii="Poppins" w:hAnsi="Poppins" w:cs="Poppins"/>
              <w:noProof/>
            </w:rPr>
            <w:pict w14:anchorId="18585D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96pt;height:19.8pt;visibility:visible">
                <v:imagedata r:id="rId1" o:title=""/>
              </v:shape>
            </w:pict>
          </w:r>
        </w:p>
      </w:tc>
    </w:tr>
  </w:tbl>
  <w:p w14:paraId="4B356F39" w14:textId="77777777" w:rsidR="00A561E0" w:rsidRDefault="00A561E0">
    <w:pPr>
      <w:pStyle w:val="Footer"/>
      <w:rPr>
        <w:rFonts w:ascii="Poppins" w:hAnsi="Poppins" w:cs="Poppins"/>
        <w:color w:val="392388"/>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A561E0" w14:paraId="2BE0FDA0" w14:textId="77777777">
      <w:tc>
        <w:tcPr>
          <w:tcW w:w="5257" w:type="dxa"/>
        </w:tcPr>
        <w:p w14:paraId="20A78DD6" w14:textId="77777777" w:rsidR="00A561E0" w:rsidRDefault="00854BE4">
          <w:pPr>
            <w:pStyle w:val="DefaqtoHeading4"/>
            <w:spacing w:before="120"/>
            <w:rPr>
              <w:rFonts w:ascii="Poppins" w:hAnsi="Poppins" w:cs="Poppins"/>
              <w:sz w:val="16"/>
              <w:szCs w:val="16"/>
            </w:rPr>
          </w:pPr>
          <w:r>
            <w:rPr>
              <w:rFonts w:ascii="Poppins" w:hAnsi="Poppins" w:cs="Poppins"/>
              <w:sz w:val="16"/>
              <w:szCs w:val="16"/>
            </w:rPr>
            <w:t xml:space="preserve">Research report prepared by </w:t>
          </w:r>
          <w:r>
            <w:rPr>
              <w:rFonts w:ascii="Poppins" w:hAnsi="Poppins" w:cs="Poppins"/>
              <w:sz w:val="16"/>
              <w:szCs w:val="16"/>
            </w:rPr>
            <w:t>Thomas Redmond</w:t>
          </w:r>
          <w:r>
            <w:rPr>
              <w:rFonts w:ascii="Poppins" w:hAnsi="Poppins" w:cs="Poppins"/>
              <w:sz w:val="16"/>
              <w:szCs w:val="16"/>
            </w:rPr>
            <w:t xml:space="preserve"> using </w:t>
          </w:r>
          <w:proofErr w:type="spellStart"/>
          <w:r>
            <w:rPr>
              <w:rFonts w:ascii="Poppins" w:hAnsi="Poppins" w:cs="Poppins"/>
              <w:sz w:val="16"/>
              <w:szCs w:val="16"/>
            </w:rPr>
            <w:t>Defaqto</w:t>
          </w:r>
          <w:proofErr w:type="spellEnd"/>
          <w:r>
            <w:rPr>
              <w:rFonts w:ascii="Poppins" w:hAnsi="Poppins" w:cs="Poppins"/>
              <w:sz w:val="16"/>
              <w:szCs w:val="16"/>
            </w:rPr>
            <w:t xml:space="preserve"> Engage</w:t>
          </w:r>
          <w:r>
            <w:rPr>
              <w:rFonts w:ascii="Poppins" w:hAnsi="Poppins" w:cs="Poppins"/>
              <w:sz w:val="16"/>
              <w:szCs w:val="16"/>
            </w:rPr>
            <w:br/>
            <w:t xml:space="preserve">Page </w:t>
          </w:r>
          <w:sdt>
            <w:sdtPr>
              <w:rPr>
                <w:rFonts w:ascii="Poppins" w:hAnsi="Poppins" w:cs="Poppins"/>
                <w:sz w:val="16"/>
                <w:szCs w:val="16"/>
              </w:rPr>
              <w:id w:val="-898975788"/>
              <w:docPartObj>
                <w:docPartGallery w:val="Page Numbers (Bottom of Page)"/>
                <w:docPartUnique/>
              </w:docPartObj>
            </w:sdtPr>
            <w:sdtEndPr/>
            <w:sdtContent>
              <w:r>
                <w:rPr>
                  <w:rFonts w:ascii="Poppins" w:hAnsi="Poppins" w:cs="Poppins"/>
                  <w:sz w:val="16"/>
                  <w:szCs w:val="16"/>
                </w:rPr>
                <w:fldChar w:fldCharType="begin"/>
              </w:r>
              <w:r>
                <w:rPr>
                  <w:rFonts w:ascii="Poppins" w:hAnsi="Poppins" w:cs="Poppins"/>
                  <w:sz w:val="16"/>
                  <w:szCs w:val="16"/>
                </w:rPr>
                <w:instrText xml:space="preserve">PAGE </w:instrText>
              </w:r>
              <w:r>
                <w:rPr>
                  <w:rFonts w:ascii="Poppins" w:hAnsi="Poppins" w:cs="Poppins"/>
                  <w:sz w:val="16"/>
                  <w:szCs w:val="16"/>
                </w:rPr>
                <w:instrText xml:space="preserve">\* MERGEFORMAT </w:instrText>
              </w:r>
              <w:r>
                <w:rPr>
                  <w:rFonts w:ascii="Poppins" w:hAnsi="Poppins" w:cs="Poppins"/>
                  <w:sz w:val="16"/>
                  <w:szCs w:val="16"/>
                </w:rPr>
                <w:fldChar w:fldCharType="separate"/>
              </w:r>
              <w:r>
                <w:rPr>
                  <w:rFonts w:ascii="Poppins" w:hAnsi="Poppins" w:cs="Poppins"/>
                  <w:sz w:val="16"/>
                  <w:szCs w:val="16"/>
                </w:rPr>
                <w:t>17</w:t>
              </w:r>
              <w:r>
                <w:rPr>
                  <w:rFonts w:ascii="Poppins" w:hAnsi="Poppins" w:cs="Poppins"/>
                  <w:sz w:val="16"/>
                  <w:szCs w:val="16"/>
                </w:rPr>
                <w:fldChar w:fldCharType="end"/>
              </w:r>
            </w:sdtContent>
          </w:sdt>
        </w:p>
      </w:tc>
      <w:tc>
        <w:tcPr>
          <w:tcW w:w="5257" w:type="dxa"/>
        </w:tcPr>
        <w:p w14:paraId="56F90FD3" w14:textId="77777777" w:rsidR="00A561E0" w:rsidRDefault="00854BE4">
          <w:pPr>
            <w:pStyle w:val="DefaqtoHeading4"/>
            <w:spacing w:before="120"/>
            <w:ind w:right="21"/>
            <w:jc w:val="right"/>
            <w:rPr>
              <w:rFonts w:ascii="Poppins" w:hAnsi="Poppins" w:cs="Poppins"/>
            </w:rPr>
          </w:pPr>
          <w:r>
            <w:rPr>
              <w:rFonts w:ascii="Poppins" w:hAnsi="Poppins" w:cs="Poppins"/>
              <w:noProof/>
            </w:rPr>
            <w:pict w14:anchorId="1106C9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96pt;height:19.8pt;visibility:visible">
                <v:imagedata r:id="rId1" o:title=""/>
              </v:shape>
            </w:pict>
          </w:r>
        </w:p>
      </w:tc>
    </w:tr>
  </w:tbl>
  <w:p w14:paraId="716EB325" w14:textId="77777777" w:rsidR="00A561E0" w:rsidRDefault="00A561E0">
    <w:pPr>
      <w:pStyle w:val="Footer"/>
      <w:rPr>
        <w:rFonts w:ascii="Poppins" w:hAnsi="Poppins" w:cs="Poppins"/>
        <w:color w:val="392388"/>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A561E0" w14:paraId="4481AF80" w14:textId="77777777">
      <w:tc>
        <w:tcPr>
          <w:tcW w:w="5257" w:type="dxa"/>
        </w:tcPr>
        <w:p w14:paraId="161C29E8" w14:textId="77777777" w:rsidR="00A561E0" w:rsidRDefault="00854BE4">
          <w:pPr>
            <w:pStyle w:val="DefaqtoHeading4"/>
            <w:spacing w:before="120"/>
            <w:rPr>
              <w:rFonts w:ascii="Poppins" w:hAnsi="Poppins" w:cs="Poppins"/>
              <w:sz w:val="16"/>
              <w:szCs w:val="16"/>
            </w:rPr>
          </w:pPr>
          <w:r>
            <w:rPr>
              <w:rFonts w:ascii="Poppins" w:hAnsi="Poppins" w:cs="Poppins"/>
              <w:sz w:val="16"/>
              <w:szCs w:val="16"/>
            </w:rPr>
            <w:t xml:space="preserve">Research report prepared by </w:t>
          </w:r>
          <w:r>
            <w:rPr>
              <w:rFonts w:ascii="Poppins" w:hAnsi="Poppins" w:cs="Poppins"/>
              <w:sz w:val="16"/>
              <w:szCs w:val="16"/>
            </w:rPr>
            <w:t>Thomas Redmond</w:t>
          </w:r>
          <w:r>
            <w:rPr>
              <w:rFonts w:ascii="Poppins" w:hAnsi="Poppins" w:cs="Poppins"/>
              <w:sz w:val="16"/>
              <w:szCs w:val="16"/>
            </w:rPr>
            <w:t xml:space="preserve"> using </w:t>
          </w:r>
          <w:proofErr w:type="spellStart"/>
          <w:r>
            <w:rPr>
              <w:rFonts w:ascii="Poppins" w:hAnsi="Poppins" w:cs="Poppins"/>
              <w:sz w:val="16"/>
              <w:szCs w:val="16"/>
            </w:rPr>
            <w:t>Defaqto</w:t>
          </w:r>
          <w:proofErr w:type="spellEnd"/>
          <w:r>
            <w:rPr>
              <w:rFonts w:ascii="Poppins" w:hAnsi="Poppins" w:cs="Poppins"/>
              <w:sz w:val="16"/>
              <w:szCs w:val="16"/>
            </w:rPr>
            <w:t xml:space="preserve"> Engage</w:t>
          </w:r>
          <w:r>
            <w:rPr>
              <w:rFonts w:ascii="Poppins" w:hAnsi="Poppins" w:cs="Poppins"/>
              <w:sz w:val="16"/>
              <w:szCs w:val="16"/>
            </w:rPr>
            <w:br/>
            <w:t xml:space="preserve">Page </w:t>
          </w:r>
          <w:sdt>
            <w:sdtPr>
              <w:rPr>
                <w:rFonts w:ascii="Poppins" w:hAnsi="Poppins" w:cs="Poppins"/>
                <w:sz w:val="16"/>
                <w:szCs w:val="16"/>
              </w:rPr>
              <w:id w:val="1864936664"/>
              <w:docPartObj>
                <w:docPartGallery w:val="Page Numbers (Bottom of Page)"/>
                <w:docPartUnique/>
              </w:docPartObj>
            </w:sdtPr>
            <w:sdtEndPr/>
            <w:sdtContent>
              <w:r>
                <w:rPr>
                  <w:rFonts w:ascii="Poppins" w:hAnsi="Poppins" w:cs="Poppins"/>
                  <w:sz w:val="16"/>
                  <w:szCs w:val="16"/>
                </w:rPr>
                <w:fldChar w:fldCharType="begin"/>
              </w:r>
              <w:r>
                <w:rPr>
                  <w:rFonts w:ascii="Poppins" w:hAnsi="Poppins" w:cs="Poppins"/>
                  <w:sz w:val="16"/>
                  <w:szCs w:val="16"/>
                </w:rPr>
                <w:instrText xml:space="preserve">PAGE </w:instrText>
              </w:r>
              <w:r>
                <w:rPr>
                  <w:rFonts w:ascii="Poppins" w:hAnsi="Poppins" w:cs="Poppins"/>
                  <w:sz w:val="16"/>
                  <w:szCs w:val="16"/>
                </w:rPr>
                <w:instrText xml:space="preserve">\* MERGEFORMAT </w:instrText>
              </w:r>
              <w:r>
                <w:rPr>
                  <w:rFonts w:ascii="Poppins" w:hAnsi="Poppins" w:cs="Poppins"/>
                  <w:sz w:val="16"/>
                  <w:szCs w:val="16"/>
                </w:rPr>
                <w:fldChar w:fldCharType="separate"/>
              </w:r>
              <w:r>
                <w:rPr>
                  <w:rFonts w:ascii="Poppins" w:hAnsi="Poppins" w:cs="Poppins"/>
                  <w:sz w:val="16"/>
                  <w:szCs w:val="16"/>
                </w:rPr>
                <w:t>18</w:t>
              </w:r>
              <w:r>
                <w:rPr>
                  <w:rFonts w:ascii="Poppins" w:hAnsi="Poppins" w:cs="Poppins"/>
                  <w:sz w:val="16"/>
                  <w:szCs w:val="16"/>
                </w:rPr>
                <w:fldChar w:fldCharType="end"/>
              </w:r>
            </w:sdtContent>
          </w:sdt>
        </w:p>
      </w:tc>
      <w:tc>
        <w:tcPr>
          <w:tcW w:w="5257" w:type="dxa"/>
        </w:tcPr>
        <w:p w14:paraId="51805D22" w14:textId="77777777" w:rsidR="00A561E0" w:rsidRDefault="00854BE4">
          <w:pPr>
            <w:pStyle w:val="DefaqtoHeading4"/>
            <w:spacing w:before="120"/>
            <w:ind w:right="21"/>
            <w:jc w:val="right"/>
            <w:rPr>
              <w:rFonts w:ascii="Poppins" w:hAnsi="Poppins" w:cs="Poppins"/>
            </w:rPr>
          </w:pPr>
          <w:r>
            <w:rPr>
              <w:rFonts w:ascii="Poppins" w:hAnsi="Poppins" w:cs="Poppins"/>
              <w:noProof/>
            </w:rPr>
            <w:pict w14:anchorId="4C5C70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96pt;height:19.8pt;visibility:visible">
                <v:imagedata r:id="rId1" o:title=""/>
              </v:shape>
            </w:pict>
          </w:r>
        </w:p>
      </w:tc>
    </w:tr>
  </w:tbl>
  <w:p w14:paraId="3E36ACA6" w14:textId="77777777" w:rsidR="00A561E0" w:rsidRDefault="00A561E0">
    <w:pPr>
      <w:pStyle w:val="Footer"/>
      <w:rPr>
        <w:rFonts w:ascii="Poppins" w:hAnsi="Poppins" w:cs="Poppins"/>
        <w:color w:val="392388"/>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A561E0" w14:paraId="23FFCDC8" w14:textId="77777777">
      <w:tc>
        <w:tcPr>
          <w:tcW w:w="5812" w:type="dxa"/>
        </w:tcPr>
        <w:p w14:paraId="106607F0" w14:textId="77777777" w:rsidR="00A561E0" w:rsidRDefault="00854BE4">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244346376"/>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19</w:t>
              </w:r>
              <w:r>
                <w:rPr>
                  <w:rFonts w:ascii="Poppins" w:hAnsi="Poppins" w:cs="Poppins"/>
                  <w:color w:val="392388"/>
                  <w:sz w:val="16"/>
                  <w:szCs w:val="16"/>
                </w:rPr>
                <w:fldChar w:fldCharType="end"/>
              </w:r>
            </w:sdtContent>
          </w:sdt>
        </w:p>
      </w:tc>
      <w:tc>
        <w:tcPr>
          <w:tcW w:w="4678" w:type="dxa"/>
        </w:tcPr>
        <w:p w14:paraId="354B476C" w14:textId="77777777" w:rsidR="00A561E0" w:rsidRDefault="00A561E0">
          <w:pPr>
            <w:pStyle w:val="Header"/>
            <w:spacing w:before="120"/>
            <w:ind w:right="21"/>
            <w:jc w:val="right"/>
            <w:rPr>
              <w:rFonts w:ascii="Poppins" w:hAnsi="Poppins" w:cs="Poppins"/>
              <w:color w:val="392388"/>
            </w:rPr>
          </w:pPr>
        </w:p>
      </w:tc>
    </w:tr>
  </w:tbl>
  <w:p w14:paraId="27863970" w14:textId="77777777" w:rsidR="00A561E0" w:rsidRDefault="00A561E0">
    <w:pPr>
      <w:pStyle w:val="Footer"/>
      <w:rPr>
        <w:rFonts w:ascii="Poppins" w:hAnsi="Poppins" w:cs="Poppins"/>
        <w:color w:val="392388"/>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A561E0" w14:paraId="346FC1DE" w14:textId="77777777">
      <w:tc>
        <w:tcPr>
          <w:tcW w:w="5812" w:type="dxa"/>
        </w:tcPr>
        <w:p w14:paraId="7B2E3820" w14:textId="77777777" w:rsidR="00A561E0" w:rsidRDefault="00854BE4">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083654820"/>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20</w:t>
              </w:r>
              <w:r>
                <w:rPr>
                  <w:rFonts w:ascii="Poppins" w:hAnsi="Poppins" w:cs="Poppins"/>
                  <w:color w:val="392388"/>
                  <w:sz w:val="16"/>
                  <w:szCs w:val="16"/>
                </w:rPr>
                <w:fldChar w:fldCharType="end"/>
              </w:r>
            </w:sdtContent>
          </w:sdt>
        </w:p>
      </w:tc>
      <w:tc>
        <w:tcPr>
          <w:tcW w:w="4678" w:type="dxa"/>
        </w:tcPr>
        <w:p w14:paraId="372C2AB9" w14:textId="77777777" w:rsidR="00A561E0" w:rsidRDefault="00A561E0">
          <w:pPr>
            <w:pStyle w:val="Header"/>
            <w:spacing w:before="120"/>
            <w:ind w:right="21"/>
            <w:jc w:val="right"/>
            <w:rPr>
              <w:rFonts w:ascii="Poppins" w:hAnsi="Poppins" w:cs="Poppins"/>
              <w:color w:val="392388"/>
            </w:rPr>
          </w:pPr>
        </w:p>
      </w:tc>
    </w:tr>
  </w:tbl>
  <w:p w14:paraId="3E6D2024" w14:textId="77777777" w:rsidR="00A561E0" w:rsidRDefault="00A561E0">
    <w:pPr>
      <w:pStyle w:val="Footer"/>
      <w:rPr>
        <w:rFonts w:ascii="Poppins" w:hAnsi="Poppins" w:cs="Poppins"/>
        <w:color w:val="392388"/>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A561E0" w14:paraId="6C6AF498" w14:textId="77777777">
      <w:tc>
        <w:tcPr>
          <w:tcW w:w="5812" w:type="dxa"/>
        </w:tcPr>
        <w:p w14:paraId="52546EE0" w14:textId="77777777" w:rsidR="00A561E0" w:rsidRDefault="00854BE4">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793214336"/>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w:instrText>
              </w:r>
              <w:r>
                <w:rPr>
                  <w:rFonts w:ascii="Poppins" w:hAnsi="Poppins" w:cs="Poppins"/>
                  <w:color w:val="392388"/>
                  <w:sz w:val="16"/>
                  <w:szCs w:val="16"/>
                </w:rPr>
                <w:instrText xml:space="preserve">\* MERGEFORMAT </w:instrText>
              </w:r>
              <w:r>
                <w:rPr>
                  <w:rFonts w:ascii="Poppins" w:hAnsi="Poppins" w:cs="Poppins"/>
                  <w:color w:val="392388"/>
                  <w:sz w:val="16"/>
                  <w:szCs w:val="16"/>
                </w:rPr>
                <w:fldChar w:fldCharType="separate"/>
              </w:r>
              <w:r>
                <w:rPr>
                  <w:rFonts w:ascii="Poppins" w:hAnsi="Poppins" w:cs="Poppins"/>
                  <w:color w:val="392388"/>
                  <w:sz w:val="16"/>
                  <w:szCs w:val="16"/>
                </w:rPr>
                <w:t>21</w:t>
              </w:r>
              <w:r>
                <w:rPr>
                  <w:rFonts w:ascii="Poppins" w:hAnsi="Poppins" w:cs="Poppins"/>
                  <w:color w:val="392388"/>
                  <w:sz w:val="16"/>
                  <w:szCs w:val="16"/>
                </w:rPr>
                <w:fldChar w:fldCharType="end"/>
              </w:r>
            </w:sdtContent>
          </w:sdt>
        </w:p>
      </w:tc>
      <w:tc>
        <w:tcPr>
          <w:tcW w:w="4678" w:type="dxa"/>
        </w:tcPr>
        <w:p w14:paraId="0C2E6F27" w14:textId="77777777" w:rsidR="00A561E0" w:rsidRDefault="00A561E0">
          <w:pPr>
            <w:pStyle w:val="Header"/>
            <w:spacing w:before="120"/>
            <w:ind w:right="21"/>
            <w:jc w:val="right"/>
            <w:rPr>
              <w:rFonts w:ascii="Poppins" w:hAnsi="Poppins" w:cs="Poppins"/>
              <w:color w:val="392388"/>
            </w:rPr>
          </w:pPr>
        </w:p>
      </w:tc>
    </w:tr>
  </w:tbl>
  <w:p w14:paraId="5E366BB8" w14:textId="77777777" w:rsidR="00A561E0" w:rsidRDefault="00A561E0">
    <w:pPr>
      <w:pStyle w:val="Footer"/>
      <w:rPr>
        <w:rFonts w:ascii="Poppins" w:hAnsi="Poppins" w:cs="Poppins"/>
        <w:color w:val="392388"/>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A561E0" w14:paraId="0C2D1551" w14:textId="77777777">
      <w:tc>
        <w:tcPr>
          <w:tcW w:w="5812" w:type="dxa"/>
        </w:tcPr>
        <w:p w14:paraId="24457ADB" w14:textId="77777777" w:rsidR="00A561E0" w:rsidRDefault="00854BE4">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679271507"/>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22</w:t>
              </w:r>
              <w:r>
                <w:rPr>
                  <w:rFonts w:ascii="Poppins" w:hAnsi="Poppins" w:cs="Poppins"/>
                  <w:color w:val="392388"/>
                  <w:sz w:val="16"/>
                  <w:szCs w:val="16"/>
                </w:rPr>
                <w:fldChar w:fldCharType="end"/>
              </w:r>
            </w:sdtContent>
          </w:sdt>
        </w:p>
      </w:tc>
      <w:tc>
        <w:tcPr>
          <w:tcW w:w="4678" w:type="dxa"/>
        </w:tcPr>
        <w:p w14:paraId="1886F336" w14:textId="77777777" w:rsidR="00A561E0" w:rsidRDefault="00A561E0">
          <w:pPr>
            <w:pStyle w:val="Header"/>
            <w:spacing w:before="120"/>
            <w:ind w:right="21"/>
            <w:jc w:val="right"/>
            <w:rPr>
              <w:rFonts w:ascii="Poppins" w:hAnsi="Poppins" w:cs="Poppins"/>
              <w:color w:val="392388"/>
            </w:rPr>
          </w:pPr>
        </w:p>
      </w:tc>
    </w:tr>
  </w:tbl>
  <w:p w14:paraId="38978ED5" w14:textId="77777777" w:rsidR="00A561E0" w:rsidRDefault="00A561E0">
    <w:pPr>
      <w:pStyle w:val="Footer"/>
      <w:rPr>
        <w:rFonts w:ascii="Poppins" w:hAnsi="Poppins" w:cs="Poppins"/>
        <w:color w:val="392388"/>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A561E0" w14:paraId="6799FED3" w14:textId="77777777">
      <w:tc>
        <w:tcPr>
          <w:tcW w:w="5812" w:type="dxa"/>
        </w:tcPr>
        <w:p w14:paraId="2DE1933B" w14:textId="77777777" w:rsidR="00A561E0" w:rsidRDefault="00854BE4">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2642540"/>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w:instrText>
              </w:r>
              <w:r>
                <w:rPr>
                  <w:rFonts w:ascii="Poppins" w:hAnsi="Poppins" w:cs="Poppins"/>
                  <w:color w:val="392388"/>
                  <w:sz w:val="16"/>
                  <w:szCs w:val="16"/>
                </w:rPr>
                <w:instrText xml:space="preserve">\* MERGEFORMAT </w:instrText>
              </w:r>
              <w:r>
                <w:rPr>
                  <w:rFonts w:ascii="Poppins" w:hAnsi="Poppins" w:cs="Poppins"/>
                  <w:color w:val="392388"/>
                  <w:sz w:val="16"/>
                  <w:szCs w:val="16"/>
                </w:rPr>
                <w:fldChar w:fldCharType="separate"/>
              </w:r>
              <w:r>
                <w:rPr>
                  <w:rFonts w:ascii="Poppins" w:hAnsi="Poppins" w:cs="Poppins"/>
                  <w:color w:val="392388"/>
                  <w:sz w:val="16"/>
                  <w:szCs w:val="16"/>
                </w:rPr>
                <w:t>23</w:t>
              </w:r>
              <w:r>
                <w:rPr>
                  <w:rFonts w:ascii="Poppins" w:hAnsi="Poppins" w:cs="Poppins"/>
                  <w:color w:val="392388"/>
                  <w:sz w:val="16"/>
                  <w:szCs w:val="16"/>
                </w:rPr>
                <w:fldChar w:fldCharType="end"/>
              </w:r>
            </w:sdtContent>
          </w:sdt>
        </w:p>
      </w:tc>
      <w:tc>
        <w:tcPr>
          <w:tcW w:w="4678" w:type="dxa"/>
        </w:tcPr>
        <w:p w14:paraId="41DA1D11" w14:textId="77777777" w:rsidR="00A561E0" w:rsidRDefault="00A561E0">
          <w:pPr>
            <w:pStyle w:val="Header"/>
            <w:spacing w:before="120"/>
            <w:ind w:right="21"/>
            <w:jc w:val="right"/>
            <w:rPr>
              <w:rFonts w:ascii="Poppins" w:hAnsi="Poppins" w:cs="Poppins"/>
              <w:color w:val="392388"/>
            </w:rPr>
          </w:pPr>
        </w:p>
      </w:tc>
    </w:tr>
  </w:tbl>
  <w:p w14:paraId="19D1C2D7" w14:textId="77777777" w:rsidR="00A561E0" w:rsidRDefault="00A561E0">
    <w:pPr>
      <w:pStyle w:val="Footer"/>
      <w:rPr>
        <w:rFonts w:ascii="Poppins" w:hAnsi="Poppins" w:cs="Poppins"/>
        <w:color w:val="392388"/>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A561E0" w14:paraId="207ADD49" w14:textId="77777777">
      <w:tc>
        <w:tcPr>
          <w:tcW w:w="5812" w:type="dxa"/>
        </w:tcPr>
        <w:p w14:paraId="2B3D003A" w14:textId="77777777" w:rsidR="00A561E0" w:rsidRDefault="00854BE4">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389680112"/>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24</w:t>
              </w:r>
              <w:r>
                <w:rPr>
                  <w:rFonts w:ascii="Poppins" w:hAnsi="Poppins" w:cs="Poppins"/>
                  <w:color w:val="392388"/>
                  <w:sz w:val="16"/>
                  <w:szCs w:val="16"/>
                </w:rPr>
                <w:fldChar w:fldCharType="end"/>
              </w:r>
            </w:sdtContent>
          </w:sdt>
        </w:p>
      </w:tc>
      <w:tc>
        <w:tcPr>
          <w:tcW w:w="4678" w:type="dxa"/>
        </w:tcPr>
        <w:p w14:paraId="5E3E8B82" w14:textId="77777777" w:rsidR="00A561E0" w:rsidRDefault="00A561E0">
          <w:pPr>
            <w:pStyle w:val="Header"/>
            <w:spacing w:before="120"/>
            <w:ind w:right="21"/>
            <w:jc w:val="right"/>
            <w:rPr>
              <w:rFonts w:ascii="Poppins" w:hAnsi="Poppins" w:cs="Poppins"/>
              <w:color w:val="392388"/>
            </w:rPr>
          </w:pPr>
        </w:p>
      </w:tc>
    </w:tr>
  </w:tbl>
  <w:p w14:paraId="2487F1F1" w14:textId="77777777" w:rsidR="00A561E0" w:rsidRDefault="00A561E0">
    <w:pPr>
      <w:pStyle w:val="Footer"/>
      <w:rPr>
        <w:rFonts w:ascii="Poppins" w:hAnsi="Poppins" w:cs="Poppins"/>
        <w:color w:val="392388"/>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A561E0" w14:paraId="7BC3E452" w14:textId="77777777">
      <w:tc>
        <w:tcPr>
          <w:tcW w:w="5812" w:type="dxa"/>
        </w:tcPr>
        <w:p w14:paraId="7FECE0E6" w14:textId="77777777" w:rsidR="00A561E0" w:rsidRDefault="00854BE4">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825351663"/>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25</w:t>
              </w:r>
              <w:r>
                <w:rPr>
                  <w:rFonts w:ascii="Poppins" w:hAnsi="Poppins" w:cs="Poppins"/>
                  <w:color w:val="392388"/>
                  <w:sz w:val="16"/>
                  <w:szCs w:val="16"/>
                </w:rPr>
                <w:fldChar w:fldCharType="end"/>
              </w:r>
            </w:sdtContent>
          </w:sdt>
        </w:p>
      </w:tc>
      <w:tc>
        <w:tcPr>
          <w:tcW w:w="4678" w:type="dxa"/>
        </w:tcPr>
        <w:p w14:paraId="3D7CE758" w14:textId="77777777" w:rsidR="00A561E0" w:rsidRDefault="00A561E0">
          <w:pPr>
            <w:pStyle w:val="Header"/>
            <w:spacing w:before="120"/>
            <w:ind w:right="21"/>
            <w:jc w:val="right"/>
            <w:rPr>
              <w:rFonts w:ascii="Poppins" w:hAnsi="Poppins" w:cs="Poppins"/>
              <w:color w:val="392388"/>
            </w:rPr>
          </w:pPr>
        </w:p>
      </w:tc>
    </w:tr>
  </w:tbl>
  <w:p w14:paraId="251B1753" w14:textId="77777777" w:rsidR="00A561E0" w:rsidRDefault="00A561E0">
    <w:pPr>
      <w:pStyle w:val="Footer"/>
      <w:rPr>
        <w:rFonts w:ascii="Poppins" w:hAnsi="Poppins" w:cs="Poppins"/>
        <w:color w:val="392388"/>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A561E0" w14:paraId="516DB799" w14:textId="77777777">
      <w:tc>
        <w:tcPr>
          <w:tcW w:w="5812" w:type="dxa"/>
        </w:tcPr>
        <w:p w14:paraId="63D88D16" w14:textId="77777777" w:rsidR="00A561E0" w:rsidRDefault="00854BE4">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929628594"/>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26</w:t>
              </w:r>
              <w:r>
                <w:rPr>
                  <w:rFonts w:ascii="Poppins" w:hAnsi="Poppins" w:cs="Poppins"/>
                  <w:color w:val="392388"/>
                  <w:sz w:val="16"/>
                  <w:szCs w:val="16"/>
                </w:rPr>
                <w:fldChar w:fldCharType="end"/>
              </w:r>
            </w:sdtContent>
          </w:sdt>
        </w:p>
      </w:tc>
      <w:tc>
        <w:tcPr>
          <w:tcW w:w="4678" w:type="dxa"/>
        </w:tcPr>
        <w:p w14:paraId="05A97803" w14:textId="77777777" w:rsidR="00A561E0" w:rsidRDefault="00A561E0">
          <w:pPr>
            <w:pStyle w:val="Header"/>
            <w:spacing w:before="120"/>
            <w:ind w:right="21"/>
            <w:jc w:val="right"/>
            <w:rPr>
              <w:rFonts w:ascii="Poppins" w:hAnsi="Poppins" w:cs="Poppins"/>
              <w:color w:val="392388"/>
            </w:rPr>
          </w:pPr>
        </w:p>
      </w:tc>
    </w:tr>
  </w:tbl>
  <w:p w14:paraId="79293E5F" w14:textId="77777777" w:rsidR="00A561E0" w:rsidRDefault="00A561E0">
    <w:pPr>
      <w:pStyle w:val="Footer"/>
      <w:rPr>
        <w:rFonts w:ascii="Poppins" w:hAnsi="Poppins" w:cs="Poppins"/>
        <w:color w:val="392388"/>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A561E0" w14:paraId="32837A6B" w14:textId="77777777">
      <w:tc>
        <w:tcPr>
          <w:tcW w:w="5812" w:type="dxa"/>
        </w:tcPr>
        <w:p w14:paraId="212BA60B" w14:textId="77777777" w:rsidR="00A561E0" w:rsidRDefault="00854BE4">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257870370"/>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27</w:t>
              </w:r>
              <w:r>
                <w:rPr>
                  <w:rFonts w:ascii="Poppins" w:hAnsi="Poppins" w:cs="Poppins"/>
                  <w:color w:val="392388"/>
                  <w:sz w:val="16"/>
                  <w:szCs w:val="16"/>
                </w:rPr>
                <w:fldChar w:fldCharType="end"/>
              </w:r>
            </w:sdtContent>
          </w:sdt>
        </w:p>
      </w:tc>
      <w:tc>
        <w:tcPr>
          <w:tcW w:w="4678" w:type="dxa"/>
        </w:tcPr>
        <w:p w14:paraId="228DBC74" w14:textId="77777777" w:rsidR="00A561E0" w:rsidRDefault="00A561E0">
          <w:pPr>
            <w:pStyle w:val="Header"/>
            <w:spacing w:before="120"/>
            <w:ind w:right="21"/>
            <w:jc w:val="right"/>
            <w:rPr>
              <w:rFonts w:ascii="Poppins" w:hAnsi="Poppins" w:cs="Poppins"/>
              <w:color w:val="392388"/>
            </w:rPr>
          </w:pPr>
        </w:p>
      </w:tc>
    </w:tr>
  </w:tbl>
  <w:p w14:paraId="78FC3143" w14:textId="77777777" w:rsidR="00A561E0" w:rsidRDefault="00A561E0">
    <w:pPr>
      <w:pStyle w:val="Footer"/>
      <w:rPr>
        <w:rFonts w:ascii="Poppins" w:hAnsi="Poppins" w:cs="Poppins"/>
        <w:color w:val="392388"/>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A561E0" w14:paraId="25B46F3E" w14:textId="77777777">
      <w:tc>
        <w:tcPr>
          <w:tcW w:w="5812" w:type="dxa"/>
        </w:tcPr>
        <w:p w14:paraId="0B28CDB2" w14:textId="77777777" w:rsidR="00A561E0" w:rsidRDefault="00854BE4">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718092767"/>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30</w:t>
              </w:r>
              <w:r>
                <w:rPr>
                  <w:rFonts w:ascii="Poppins" w:hAnsi="Poppins" w:cs="Poppins"/>
                  <w:color w:val="392388"/>
                  <w:sz w:val="16"/>
                  <w:szCs w:val="16"/>
                </w:rPr>
                <w:fldChar w:fldCharType="end"/>
              </w:r>
            </w:sdtContent>
          </w:sdt>
        </w:p>
      </w:tc>
      <w:tc>
        <w:tcPr>
          <w:tcW w:w="4678" w:type="dxa"/>
        </w:tcPr>
        <w:p w14:paraId="3767D71E" w14:textId="77777777" w:rsidR="00A561E0" w:rsidRDefault="00A561E0">
          <w:pPr>
            <w:pStyle w:val="Header"/>
            <w:spacing w:before="120"/>
            <w:ind w:right="21"/>
            <w:jc w:val="right"/>
            <w:rPr>
              <w:rFonts w:ascii="Poppins" w:hAnsi="Poppins" w:cs="Poppins"/>
              <w:color w:val="392388"/>
            </w:rPr>
          </w:pPr>
        </w:p>
      </w:tc>
    </w:tr>
  </w:tbl>
  <w:p w14:paraId="161C7318" w14:textId="77777777" w:rsidR="00A561E0" w:rsidRDefault="00A561E0">
    <w:pPr>
      <w:pStyle w:val="Footer"/>
      <w:rPr>
        <w:rFonts w:ascii="Poppins" w:hAnsi="Poppins" w:cs="Poppins"/>
        <w:color w:val="392388"/>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A561E0" w14:paraId="50210A4A" w14:textId="77777777">
      <w:tc>
        <w:tcPr>
          <w:tcW w:w="5812" w:type="dxa"/>
        </w:tcPr>
        <w:p w14:paraId="5CCFDC6F" w14:textId="77777777" w:rsidR="00A561E0" w:rsidRDefault="00854BE4">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2122637906"/>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31</w:t>
              </w:r>
              <w:r>
                <w:rPr>
                  <w:rFonts w:ascii="Poppins" w:hAnsi="Poppins" w:cs="Poppins"/>
                  <w:color w:val="392388"/>
                  <w:sz w:val="16"/>
                  <w:szCs w:val="16"/>
                </w:rPr>
                <w:fldChar w:fldCharType="end"/>
              </w:r>
            </w:sdtContent>
          </w:sdt>
        </w:p>
      </w:tc>
      <w:tc>
        <w:tcPr>
          <w:tcW w:w="4678" w:type="dxa"/>
        </w:tcPr>
        <w:p w14:paraId="2D48779A" w14:textId="77777777" w:rsidR="00A561E0" w:rsidRDefault="00A561E0">
          <w:pPr>
            <w:pStyle w:val="Header"/>
            <w:spacing w:before="120"/>
            <w:ind w:right="21"/>
            <w:jc w:val="right"/>
            <w:rPr>
              <w:rFonts w:ascii="Poppins" w:hAnsi="Poppins" w:cs="Poppins"/>
              <w:color w:val="392388"/>
            </w:rPr>
          </w:pPr>
        </w:p>
      </w:tc>
    </w:tr>
  </w:tbl>
  <w:p w14:paraId="1E948D54" w14:textId="77777777" w:rsidR="00A561E0" w:rsidRDefault="00A561E0">
    <w:pPr>
      <w:pStyle w:val="Footer"/>
      <w:rPr>
        <w:rFonts w:ascii="Poppins" w:hAnsi="Poppins" w:cs="Poppins"/>
        <w:color w:val="39238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2B4BF" w14:textId="77777777" w:rsidR="00854BE4" w:rsidRDefault="00854BE4">
      <w:pPr>
        <w:spacing w:after="0" w:line="240" w:lineRule="auto"/>
      </w:pPr>
      <w:r>
        <w:separator/>
      </w:r>
    </w:p>
  </w:footnote>
  <w:footnote w:type="continuationSeparator" w:id="0">
    <w:p w14:paraId="489D748E" w14:textId="77777777" w:rsidR="00854BE4" w:rsidRDefault="00854B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C29BC" w14:textId="77777777" w:rsidR="00A561E0" w:rsidRDefault="00A561E0">
    <w:pPr>
      <w:pStyle w:val="Header"/>
      <w:ind w:right="-422"/>
      <w:jc w:val="right"/>
    </w:pPr>
  </w:p>
  <w:p w14:paraId="2B69E525" w14:textId="77777777" w:rsidR="00A561E0" w:rsidRDefault="00A561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A70A0" w14:textId="77777777" w:rsidR="00A561E0" w:rsidRDefault="00A561E0">
    <w:pPr>
      <w:pStyle w:val="Header"/>
      <w:ind w:left="-284" w:right="-307"/>
      <w:jc w:val="right"/>
      <w:rPr>
        <w:rFonts w:ascii="Poppins" w:hAnsi="Poppins" w:cs="Poppins"/>
        <w:color w:val="39238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8CCAE" w14:textId="77777777" w:rsidR="00A561E0" w:rsidRDefault="00A561E0">
    <w:pPr>
      <w:pStyle w:val="Header"/>
      <w:ind w:left="-284" w:right="-307"/>
      <w:jc w:val="right"/>
      <w:rPr>
        <w:rFonts w:ascii="Poppins" w:hAnsi="Poppins" w:cs="Poppins"/>
        <w:color w:val="39238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9D83A" w14:textId="77777777" w:rsidR="00A561E0" w:rsidRDefault="00A561E0">
    <w:pPr>
      <w:pStyle w:val="Header"/>
      <w:ind w:left="-284" w:right="-307"/>
      <w:jc w:val="right"/>
      <w:rPr>
        <w:rFonts w:ascii="Poppins" w:hAnsi="Poppins" w:cs="Poppins"/>
        <w:color w:val="39238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CCDB1" w14:textId="77777777" w:rsidR="00A561E0" w:rsidRDefault="00A561E0">
    <w:pPr>
      <w:pStyle w:val="Header"/>
      <w:ind w:right="-422"/>
      <w:jc w:val="right"/>
    </w:pPr>
  </w:p>
  <w:p w14:paraId="676BE221" w14:textId="77777777" w:rsidR="00A561E0" w:rsidRDefault="00A561E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8E84A" w14:textId="77777777" w:rsidR="00854BE4" w:rsidRDefault="00854BE4">
    <w:r>
      <w:cr/>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F5516" w14:textId="77777777" w:rsidR="00A561E0" w:rsidRDefault="00A561E0">
    <w:pPr>
      <w:pStyle w:val="Header"/>
      <w:ind w:right="-422"/>
      <w:jc w:val="right"/>
    </w:pPr>
  </w:p>
  <w:p w14:paraId="305007A8" w14:textId="77777777" w:rsidR="00A561E0" w:rsidRDefault="00A561E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8E608" w14:textId="77777777" w:rsidR="00A561E0" w:rsidRDefault="00A561E0">
    <w:pPr>
      <w:pStyle w:val="Header"/>
      <w:ind w:right="-422"/>
      <w:jc w:val="right"/>
    </w:pPr>
  </w:p>
  <w:p w14:paraId="0D2DA83C" w14:textId="77777777" w:rsidR="00A561E0" w:rsidRDefault="00A561E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4663C" w14:textId="77777777" w:rsidR="00A561E0" w:rsidRDefault="00A561E0">
    <w:pPr>
      <w:pStyle w:val="Header"/>
      <w:ind w:right="-422"/>
      <w:jc w:val="right"/>
    </w:pPr>
  </w:p>
  <w:p w14:paraId="4102D228" w14:textId="77777777" w:rsidR="00A561E0" w:rsidRDefault="00A561E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7FA88" w14:textId="77777777" w:rsidR="00A561E0" w:rsidRDefault="00A561E0">
    <w:pPr>
      <w:pStyle w:val="Header"/>
      <w:ind w:right="-307"/>
      <w:jc w:val="right"/>
      <w:rPr>
        <w:rFonts w:ascii="Poppins" w:hAnsi="Poppins" w:cs="Poppins"/>
        <w:color w:val="392388"/>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5E620" w14:textId="77777777" w:rsidR="00A561E0" w:rsidRDefault="00A561E0">
    <w:pPr>
      <w:pStyle w:val="Header"/>
      <w:ind w:right="-307"/>
      <w:jc w:val="right"/>
      <w:rPr>
        <w:rFonts w:ascii="Poppins" w:hAnsi="Poppins" w:cs="Poppins"/>
        <w:color w:val="392388"/>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C6513" w14:textId="77777777" w:rsidR="00A561E0" w:rsidRDefault="00A561E0">
    <w:pPr>
      <w:pStyle w:val="Header"/>
      <w:ind w:right="-307"/>
      <w:jc w:val="right"/>
      <w:rPr>
        <w:rFonts w:ascii="Poppins" w:hAnsi="Poppins" w:cs="Poppins"/>
        <w:color w:val="392388"/>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77F30" w14:textId="77777777" w:rsidR="00A561E0" w:rsidRDefault="00A561E0">
    <w:pPr>
      <w:pStyle w:val="Header"/>
      <w:ind w:right="-307"/>
      <w:jc w:val="right"/>
      <w:rPr>
        <w:rFonts w:ascii="Poppins" w:hAnsi="Poppins" w:cs="Poppins"/>
        <w:color w:val="392388"/>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0552" w14:textId="77777777" w:rsidR="00A561E0" w:rsidRDefault="00A561E0">
    <w:pPr>
      <w:pStyle w:val="Header"/>
      <w:ind w:right="-307"/>
      <w:jc w:val="right"/>
      <w:rPr>
        <w:rFonts w:ascii="Poppins" w:hAnsi="Poppins" w:cs="Poppins"/>
        <w:color w:val="392388"/>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8135" w14:textId="77777777" w:rsidR="00A561E0" w:rsidRDefault="00A561E0">
    <w:pPr>
      <w:pStyle w:val="Header"/>
      <w:ind w:right="-307"/>
      <w:jc w:val="right"/>
      <w:rPr>
        <w:rFonts w:ascii="Poppins" w:hAnsi="Poppins" w:cs="Poppins"/>
        <w:color w:val="392388"/>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07F3" w14:textId="77777777" w:rsidR="00A561E0" w:rsidRDefault="00A561E0">
    <w:pPr>
      <w:pStyle w:val="Header"/>
      <w:ind w:right="-307"/>
      <w:jc w:val="right"/>
      <w:rPr>
        <w:rFonts w:ascii="Poppins" w:hAnsi="Poppins" w:cs="Poppins"/>
        <w:color w:val="392388"/>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EE0FD" w14:textId="77777777" w:rsidR="00A561E0" w:rsidRDefault="00A561E0">
    <w:pPr>
      <w:pStyle w:val="Header"/>
      <w:ind w:right="-307"/>
      <w:jc w:val="right"/>
      <w:rPr>
        <w:rFonts w:ascii="Poppins" w:hAnsi="Poppins" w:cs="Poppins"/>
        <w:color w:val="392388"/>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A1636" w14:textId="77777777" w:rsidR="00A561E0" w:rsidRDefault="00A561E0">
    <w:pPr>
      <w:pStyle w:val="Header"/>
      <w:ind w:right="-307"/>
      <w:jc w:val="right"/>
      <w:rPr>
        <w:rFonts w:ascii="Poppins" w:hAnsi="Poppins" w:cs="Poppins"/>
        <w:color w:val="392388"/>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64BEE" w14:textId="77777777" w:rsidR="00A561E0" w:rsidRDefault="00A561E0">
    <w:pPr>
      <w:pStyle w:val="Header"/>
      <w:ind w:right="-422"/>
      <w:jc w:val="right"/>
    </w:pPr>
  </w:p>
  <w:p w14:paraId="4D2B9B23" w14:textId="77777777" w:rsidR="00A561E0" w:rsidRDefault="00A561E0">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9E6F1" w14:textId="77777777" w:rsidR="00A561E0" w:rsidRDefault="00A561E0">
    <w:pPr>
      <w:pStyle w:val="Header"/>
      <w:ind w:right="-422"/>
      <w:jc w:val="right"/>
    </w:pPr>
  </w:p>
  <w:p w14:paraId="199D6C37" w14:textId="77777777" w:rsidR="00A561E0" w:rsidRDefault="00A561E0">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190EE" w14:textId="77777777" w:rsidR="00A561E0" w:rsidRDefault="00A561E0">
    <w:pPr>
      <w:pStyle w:val="Header"/>
      <w:ind w:right="-422"/>
      <w:jc w:val="right"/>
    </w:pPr>
  </w:p>
  <w:p w14:paraId="1501B309" w14:textId="77777777" w:rsidR="00A561E0" w:rsidRDefault="00A561E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E281A" w14:textId="77777777" w:rsidR="00A561E0" w:rsidRDefault="00A561E0">
    <w:pPr>
      <w:pStyle w:val="Header"/>
      <w:ind w:right="-422"/>
      <w:jc w:val="right"/>
    </w:pPr>
  </w:p>
  <w:p w14:paraId="46A55F69" w14:textId="77777777" w:rsidR="00A561E0" w:rsidRDefault="00A561E0">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ACEC9" w14:textId="77777777" w:rsidR="00A561E0" w:rsidRDefault="00A561E0">
    <w:pPr>
      <w:pStyle w:val="Header"/>
      <w:ind w:right="-422"/>
      <w:jc w:val="right"/>
    </w:pPr>
  </w:p>
  <w:p w14:paraId="5F6BE928" w14:textId="77777777" w:rsidR="00A561E0" w:rsidRDefault="00A561E0">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C2177" w14:textId="77777777" w:rsidR="00A561E0" w:rsidRDefault="00A561E0">
    <w:pPr>
      <w:pStyle w:val="Header"/>
      <w:ind w:right="-422"/>
      <w:jc w:val="right"/>
    </w:pPr>
  </w:p>
  <w:p w14:paraId="5D3C8FD2" w14:textId="77777777" w:rsidR="00A561E0" w:rsidRDefault="00A561E0">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E30E0" w14:textId="77777777" w:rsidR="00A561E0" w:rsidRDefault="00A561E0">
    <w:pPr>
      <w:pStyle w:val="Header"/>
      <w:ind w:right="-422"/>
      <w:jc w:val="right"/>
    </w:pPr>
  </w:p>
  <w:p w14:paraId="61D5C1F6" w14:textId="77777777" w:rsidR="00A561E0" w:rsidRDefault="00A561E0">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08EC6" w14:textId="77777777" w:rsidR="00A561E0" w:rsidRDefault="00A561E0">
    <w:pPr>
      <w:pStyle w:val="Header"/>
      <w:ind w:right="-422"/>
      <w:jc w:val="right"/>
    </w:pPr>
  </w:p>
  <w:p w14:paraId="1682334D" w14:textId="77777777" w:rsidR="00A561E0" w:rsidRDefault="00A561E0">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D1993" w14:textId="77777777" w:rsidR="00A561E0" w:rsidRDefault="00A561E0">
    <w:pPr>
      <w:pStyle w:val="Header"/>
      <w:ind w:right="-422"/>
      <w:jc w:val="right"/>
    </w:pPr>
  </w:p>
  <w:p w14:paraId="0CCAFCC3" w14:textId="77777777" w:rsidR="00A561E0" w:rsidRDefault="00A561E0">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746CE" w14:textId="77777777" w:rsidR="00A561E0" w:rsidRDefault="00A561E0">
    <w:pPr>
      <w:pStyle w:val="Header"/>
      <w:ind w:right="-422"/>
      <w:jc w:val="right"/>
    </w:pPr>
  </w:p>
  <w:p w14:paraId="1E9409E8" w14:textId="77777777" w:rsidR="00A561E0" w:rsidRDefault="00A561E0">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35A21" w14:textId="77777777" w:rsidR="00A561E0" w:rsidRDefault="00A561E0">
    <w:pPr>
      <w:pStyle w:val="Header"/>
      <w:ind w:right="-422"/>
      <w:jc w:val="right"/>
    </w:pPr>
    <w:bookmarkStart w:id="47" w:name="_Hlk75169875"/>
    <w:bookmarkStart w:id="48" w:name="_Hlk75169876"/>
    <w:bookmarkStart w:id="49" w:name="_Hlk75169879"/>
    <w:bookmarkStart w:id="50" w:name="_Hlk75169880"/>
  </w:p>
  <w:bookmarkEnd w:id="47"/>
  <w:bookmarkEnd w:id="48"/>
  <w:bookmarkEnd w:id="49"/>
  <w:p w14:paraId="03A55CDD" w14:textId="77777777" w:rsidR="00A561E0" w:rsidRDefault="00A561E0">
    <w:pPr>
      <w:pStyle w:val="Header"/>
    </w:pPr>
  </w:p>
  <w:bookmarkEnd w:id="5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6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Q0MTSwMDY2Nzc2NLVQ0lEKTi0uzszPAykwrgUAFgfppywAAAA="/>
  </w:docVars>
  <w:rsids>
    <w:rsidRoot w:val="00A86A8E"/>
    <w:rsid w:val="000036E6"/>
    <w:rsid w:val="00010E1C"/>
    <w:rsid w:val="000145C0"/>
    <w:rsid w:val="00021E72"/>
    <w:rsid w:val="00032586"/>
    <w:rsid w:val="000345E7"/>
    <w:rsid w:val="00035002"/>
    <w:rsid w:val="00035B6E"/>
    <w:rsid w:val="000376F0"/>
    <w:rsid w:val="000416B3"/>
    <w:rsid w:val="000467A0"/>
    <w:rsid w:val="000839B8"/>
    <w:rsid w:val="000A3FDE"/>
    <w:rsid w:val="000A5A01"/>
    <w:rsid w:val="000C162B"/>
    <w:rsid w:val="000C22EF"/>
    <w:rsid w:val="000F01DB"/>
    <w:rsid w:val="000F3101"/>
    <w:rsid w:val="001015C4"/>
    <w:rsid w:val="00103C4C"/>
    <w:rsid w:val="0011040F"/>
    <w:rsid w:val="001118D3"/>
    <w:rsid w:val="00111A73"/>
    <w:rsid w:val="00112156"/>
    <w:rsid w:val="001138B0"/>
    <w:rsid w:val="00114620"/>
    <w:rsid w:val="001169B6"/>
    <w:rsid w:val="00116C95"/>
    <w:rsid w:val="001174DA"/>
    <w:rsid w:val="00120A7B"/>
    <w:rsid w:val="00121D62"/>
    <w:rsid w:val="00122992"/>
    <w:rsid w:val="001234C9"/>
    <w:rsid w:val="00127A51"/>
    <w:rsid w:val="00144D8B"/>
    <w:rsid w:val="001473F3"/>
    <w:rsid w:val="00161448"/>
    <w:rsid w:val="001615AE"/>
    <w:rsid w:val="001954AC"/>
    <w:rsid w:val="001A3A29"/>
    <w:rsid w:val="001A4B81"/>
    <w:rsid w:val="001B2B26"/>
    <w:rsid w:val="001C124D"/>
    <w:rsid w:val="001C1304"/>
    <w:rsid w:val="001C4A54"/>
    <w:rsid w:val="001D61D7"/>
    <w:rsid w:val="001E1B10"/>
    <w:rsid w:val="001E2F17"/>
    <w:rsid w:val="001F2A1D"/>
    <w:rsid w:val="002017D0"/>
    <w:rsid w:val="002053E0"/>
    <w:rsid w:val="00213759"/>
    <w:rsid w:val="002153CD"/>
    <w:rsid w:val="00222DB3"/>
    <w:rsid w:val="00223A88"/>
    <w:rsid w:val="002318E6"/>
    <w:rsid w:val="002365A2"/>
    <w:rsid w:val="00240677"/>
    <w:rsid w:val="00251D4E"/>
    <w:rsid w:val="002565E6"/>
    <w:rsid w:val="0026386B"/>
    <w:rsid w:val="0026455E"/>
    <w:rsid w:val="00276059"/>
    <w:rsid w:val="00292C63"/>
    <w:rsid w:val="00296C0F"/>
    <w:rsid w:val="002A72A2"/>
    <w:rsid w:val="002B06CD"/>
    <w:rsid w:val="002B316B"/>
    <w:rsid w:val="002C3F50"/>
    <w:rsid w:val="002D1542"/>
    <w:rsid w:val="002D27B3"/>
    <w:rsid w:val="002D64A0"/>
    <w:rsid w:val="002D73BD"/>
    <w:rsid w:val="002E1116"/>
    <w:rsid w:val="002E32DD"/>
    <w:rsid w:val="002E3329"/>
    <w:rsid w:val="002E5A0F"/>
    <w:rsid w:val="002F0796"/>
    <w:rsid w:val="002F398E"/>
    <w:rsid w:val="003030FB"/>
    <w:rsid w:val="00305795"/>
    <w:rsid w:val="00316D3E"/>
    <w:rsid w:val="00316F09"/>
    <w:rsid w:val="003171EC"/>
    <w:rsid w:val="00326735"/>
    <w:rsid w:val="003323D0"/>
    <w:rsid w:val="0033317F"/>
    <w:rsid w:val="00344A17"/>
    <w:rsid w:val="00350DAB"/>
    <w:rsid w:val="00365B97"/>
    <w:rsid w:val="00373B5E"/>
    <w:rsid w:val="00374EA7"/>
    <w:rsid w:val="00382E1A"/>
    <w:rsid w:val="003870FA"/>
    <w:rsid w:val="003A2D7B"/>
    <w:rsid w:val="003A5509"/>
    <w:rsid w:val="003B0894"/>
    <w:rsid w:val="003B41CE"/>
    <w:rsid w:val="003B5630"/>
    <w:rsid w:val="003C7426"/>
    <w:rsid w:val="003D08EA"/>
    <w:rsid w:val="003D2594"/>
    <w:rsid w:val="003E2A77"/>
    <w:rsid w:val="003F0D32"/>
    <w:rsid w:val="00400A25"/>
    <w:rsid w:val="00400B80"/>
    <w:rsid w:val="004012DE"/>
    <w:rsid w:val="00405514"/>
    <w:rsid w:val="00424DF7"/>
    <w:rsid w:val="00424ED0"/>
    <w:rsid w:val="00425471"/>
    <w:rsid w:val="00430D46"/>
    <w:rsid w:val="004310E5"/>
    <w:rsid w:val="00433A7F"/>
    <w:rsid w:val="00435E7C"/>
    <w:rsid w:val="00437ACE"/>
    <w:rsid w:val="00450296"/>
    <w:rsid w:val="0045079D"/>
    <w:rsid w:val="00451C64"/>
    <w:rsid w:val="00452543"/>
    <w:rsid w:val="004525D3"/>
    <w:rsid w:val="0045275C"/>
    <w:rsid w:val="0046398B"/>
    <w:rsid w:val="004863A6"/>
    <w:rsid w:val="00491C23"/>
    <w:rsid w:val="004928F3"/>
    <w:rsid w:val="00493904"/>
    <w:rsid w:val="00494B80"/>
    <w:rsid w:val="004B21FB"/>
    <w:rsid w:val="004B30F0"/>
    <w:rsid w:val="004B7E8F"/>
    <w:rsid w:val="004C7638"/>
    <w:rsid w:val="004D3329"/>
    <w:rsid w:val="004E7FDD"/>
    <w:rsid w:val="004F1216"/>
    <w:rsid w:val="00502EBE"/>
    <w:rsid w:val="00505830"/>
    <w:rsid w:val="00505E33"/>
    <w:rsid w:val="00514806"/>
    <w:rsid w:val="00517F02"/>
    <w:rsid w:val="005206B4"/>
    <w:rsid w:val="00521D89"/>
    <w:rsid w:val="00522005"/>
    <w:rsid w:val="005229A2"/>
    <w:rsid w:val="005245A4"/>
    <w:rsid w:val="00530591"/>
    <w:rsid w:val="0053559E"/>
    <w:rsid w:val="005364B5"/>
    <w:rsid w:val="00544AB2"/>
    <w:rsid w:val="00564AAD"/>
    <w:rsid w:val="00564C2D"/>
    <w:rsid w:val="005740FE"/>
    <w:rsid w:val="00584DFB"/>
    <w:rsid w:val="00591C86"/>
    <w:rsid w:val="005A17C1"/>
    <w:rsid w:val="005B27FA"/>
    <w:rsid w:val="005B330E"/>
    <w:rsid w:val="005B636A"/>
    <w:rsid w:val="005C15C1"/>
    <w:rsid w:val="005C2D44"/>
    <w:rsid w:val="005D4DAD"/>
    <w:rsid w:val="005D52F2"/>
    <w:rsid w:val="005D74D8"/>
    <w:rsid w:val="005E08E5"/>
    <w:rsid w:val="005E79B7"/>
    <w:rsid w:val="005F0058"/>
    <w:rsid w:val="005F0BEE"/>
    <w:rsid w:val="005F4FD9"/>
    <w:rsid w:val="00602C43"/>
    <w:rsid w:val="006040A7"/>
    <w:rsid w:val="00612DEF"/>
    <w:rsid w:val="006223B8"/>
    <w:rsid w:val="0062384D"/>
    <w:rsid w:val="006251AE"/>
    <w:rsid w:val="00625E85"/>
    <w:rsid w:val="00633AF4"/>
    <w:rsid w:val="00635041"/>
    <w:rsid w:val="00635240"/>
    <w:rsid w:val="006372B6"/>
    <w:rsid w:val="00643F61"/>
    <w:rsid w:val="006454BA"/>
    <w:rsid w:val="00657C51"/>
    <w:rsid w:val="00657D32"/>
    <w:rsid w:val="00660C35"/>
    <w:rsid w:val="00661163"/>
    <w:rsid w:val="006658ED"/>
    <w:rsid w:val="00667BEC"/>
    <w:rsid w:val="00682FA9"/>
    <w:rsid w:val="00683E61"/>
    <w:rsid w:val="0068553D"/>
    <w:rsid w:val="0069449F"/>
    <w:rsid w:val="006A05A3"/>
    <w:rsid w:val="006A1853"/>
    <w:rsid w:val="006A385E"/>
    <w:rsid w:val="006B47E8"/>
    <w:rsid w:val="006C05D9"/>
    <w:rsid w:val="006C1A00"/>
    <w:rsid w:val="006C642C"/>
    <w:rsid w:val="006D2779"/>
    <w:rsid w:val="006F7E8E"/>
    <w:rsid w:val="007017D2"/>
    <w:rsid w:val="00701873"/>
    <w:rsid w:val="007033EC"/>
    <w:rsid w:val="007102F1"/>
    <w:rsid w:val="00710455"/>
    <w:rsid w:val="00722FB6"/>
    <w:rsid w:val="00725AD7"/>
    <w:rsid w:val="00737FA5"/>
    <w:rsid w:val="00753007"/>
    <w:rsid w:val="00755DE1"/>
    <w:rsid w:val="0077163B"/>
    <w:rsid w:val="00782671"/>
    <w:rsid w:val="00783A56"/>
    <w:rsid w:val="007859E4"/>
    <w:rsid w:val="00787FD5"/>
    <w:rsid w:val="00791970"/>
    <w:rsid w:val="007B7265"/>
    <w:rsid w:val="007C6746"/>
    <w:rsid w:val="007D35C7"/>
    <w:rsid w:val="007E42FB"/>
    <w:rsid w:val="007F0705"/>
    <w:rsid w:val="00807BCE"/>
    <w:rsid w:val="00812649"/>
    <w:rsid w:val="00830CA7"/>
    <w:rsid w:val="008405E2"/>
    <w:rsid w:val="00854987"/>
    <w:rsid w:val="00854BE4"/>
    <w:rsid w:val="00867E8A"/>
    <w:rsid w:val="008743CB"/>
    <w:rsid w:val="00877092"/>
    <w:rsid w:val="00881EFA"/>
    <w:rsid w:val="00890EA2"/>
    <w:rsid w:val="00892BCF"/>
    <w:rsid w:val="0089324D"/>
    <w:rsid w:val="00896B6C"/>
    <w:rsid w:val="008B4640"/>
    <w:rsid w:val="008C779F"/>
    <w:rsid w:val="008E3352"/>
    <w:rsid w:val="008E774C"/>
    <w:rsid w:val="00911604"/>
    <w:rsid w:val="009121EF"/>
    <w:rsid w:val="00915282"/>
    <w:rsid w:val="00916D30"/>
    <w:rsid w:val="00935991"/>
    <w:rsid w:val="00937707"/>
    <w:rsid w:val="0094484E"/>
    <w:rsid w:val="00946F0E"/>
    <w:rsid w:val="00956DA6"/>
    <w:rsid w:val="00974B87"/>
    <w:rsid w:val="00976FE7"/>
    <w:rsid w:val="00984A56"/>
    <w:rsid w:val="00985798"/>
    <w:rsid w:val="0098735A"/>
    <w:rsid w:val="00995959"/>
    <w:rsid w:val="00996DC4"/>
    <w:rsid w:val="0099756A"/>
    <w:rsid w:val="009A48A9"/>
    <w:rsid w:val="009B2538"/>
    <w:rsid w:val="009B501D"/>
    <w:rsid w:val="009C23B8"/>
    <w:rsid w:val="009C2EDA"/>
    <w:rsid w:val="009C5F48"/>
    <w:rsid w:val="009C620E"/>
    <w:rsid w:val="009C674F"/>
    <w:rsid w:val="009C7A33"/>
    <w:rsid w:val="009F3CD9"/>
    <w:rsid w:val="009F7EB2"/>
    <w:rsid w:val="00A00CF2"/>
    <w:rsid w:val="00A00E76"/>
    <w:rsid w:val="00A02015"/>
    <w:rsid w:val="00A0202A"/>
    <w:rsid w:val="00A114A7"/>
    <w:rsid w:val="00A11B04"/>
    <w:rsid w:val="00A22192"/>
    <w:rsid w:val="00A24E6A"/>
    <w:rsid w:val="00A3030D"/>
    <w:rsid w:val="00A303DD"/>
    <w:rsid w:val="00A30908"/>
    <w:rsid w:val="00A34742"/>
    <w:rsid w:val="00A3579E"/>
    <w:rsid w:val="00A43080"/>
    <w:rsid w:val="00A44727"/>
    <w:rsid w:val="00A50114"/>
    <w:rsid w:val="00A546BD"/>
    <w:rsid w:val="00A555DE"/>
    <w:rsid w:val="00A561E0"/>
    <w:rsid w:val="00A625F6"/>
    <w:rsid w:val="00A646A9"/>
    <w:rsid w:val="00A82176"/>
    <w:rsid w:val="00A83109"/>
    <w:rsid w:val="00A86A8E"/>
    <w:rsid w:val="00AA0F49"/>
    <w:rsid w:val="00AA13A2"/>
    <w:rsid w:val="00AA19F8"/>
    <w:rsid w:val="00AB1F1F"/>
    <w:rsid w:val="00AB7113"/>
    <w:rsid w:val="00AC14A8"/>
    <w:rsid w:val="00AD169C"/>
    <w:rsid w:val="00AE1800"/>
    <w:rsid w:val="00AE625A"/>
    <w:rsid w:val="00AF1B8C"/>
    <w:rsid w:val="00AF44AC"/>
    <w:rsid w:val="00AF7B17"/>
    <w:rsid w:val="00B0530B"/>
    <w:rsid w:val="00B06F89"/>
    <w:rsid w:val="00B12F3A"/>
    <w:rsid w:val="00B17E1E"/>
    <w:rsid w:val="00B23100"/>
    <w:rsid w:val="00B23BF6"/>
    <w:rsid w:val="00B3436D"/>
    <w:rsid w:val="00B41167"/>
    <w:rsid w:val="00B4137C"/>
    <w:rsid w:val="00B55896"/>
    <w:rsid w:val="00B80862"/>
    <w:rsid w:val="00B81164"/>
    <w:rsid w:val="00B82AA5"/>
    <w:rsid w:val="00B85D3F"/>
    <w:rsid w:val="00B86378"/>
    <w:rsid w:val="00B90635"/>
    <w:rsid w:val="00B97124"/>
    <w:rsid w:val="00BB6308"/>
    <w:rsid w:val="00BC6903"/>
    <w:rsid w:val="00BD1E10"/>
    <w:rsid w:val="00BE17E8"/>
    <w:rsid w:val="00BE4475"/>
    <w:rsid w:val="00BF1A49"/>
    <w:rsid w:val="00BF401E"/>
    <w:rsid w:val="00BF484E"/>
    <w:rsid w:val="00C01B40"/>
    <w:rsid w:val="00C05186"/>
    <w:rsid w:val="00C275E3"/>
    <w:rsid w:val="00C31AB3"/>
    <w:rsid w:val="00C41C0E"/>
    <w:rsid w:val="00C43443"/>
    <w:rsid w:val="00C45701"/>
    <w:rsid w:val="00C475A7"/>
    <w:rsid w:val="00C50FD8"/>
    <w:rsid w:val="00C52FC1"/>
    <w:rsid w:val="00C605A8"/>
    <w:rsid w:val="00C63763"/>
    <w:rsid w:val="00C66711"/>
    <w:rsid w:val="00C72032"/>
    <w:rsid w:val="00C736FD"/>
    <w:rsid w:val="00C75A06"/>
    <w:rsid w:val="00C77362"/>
    <w:rsid w:val="00C94D10"/>
    <w:rsid w:val="00C96A1C"/>
    <w:rsid w:val="00C976A0"/>
    <w:rsid w:val="00CA01FA"/>
    <w:rsid w:val="00CA16AC"/>
    <w:rsid w:val="00CA2BDF"/>
    <w:rsid w:val="00CA46F3"/>
    <w:rsid w:val="00CC0224"/>
    <w:rsid w:val="00CD0230"/>
    <w:rsid w:val="00CD07CB"/>
    <w:rsid w:val="00CD2D25"/>
    <w:rsid w:val="00CD2DE3"/>
    <w:rsid w:val="00CE0B5D"/>
    <w:rsid w:val="00CE3938"/>
    <w:rsid w:val="00CE4B1D"/>
    <w:rsid w:val="00D13FD9"/>
    <w:rsid w:val="00D34195"/>
    <w:rsid w:val="00D377E5"/>
    <w:rsid w:val="00D45EFA"/>
    <w:rsid w:val="00D51D6E"/>
    <w:rsid w:val="00D5204A"/>
    <w:rsid w:val="00D60A00"/>
    <w:rsid w:val="00D60F53"/>
    <w:rsid w:val="00D71D6E"/>
    <w:rsid w:val="00D72BF9"/>
    <w:rsid w:val="00D803FE"/>
    <w:rsid w:val="00D947AF"/>
    <w:rsid w:val="00D95DD9"/>
    <w:rsid w:val="00DA1FD4"/>
    <w:rsid w:val="00DA4618"/>
    <w:rsid w:val="00DA46B0"/>
    <w:rsid w:val="00DA5444"/>
    <w:rsid w:val="00DB2DAC"/>
    <w:rsid w:val="00DC231A"/>
    <w:rsid w:val="00DD19E9"/>
    <w:rsid w:val="00DD6EF3"/>
    <w:rsid w:val="00DD75AF"/>
    <w:rsid w:val="00DE1BEA"/>
    <w:rsid w:val="00DE7D10"/>
    <w:rsid w:val="00DF0FBE"/>
    <w:rsid w:val="00DF3891"/>
    <w:rsid w:val="00E03979"/>
    <w:rsid w:val="00E1045D"/>
    <w:rsid w:val="00E20639"/>
    <w:rsid w:val="00E4277A"/>
    <w:rsid w:val="00E466F6"/>
    <w:rsid w:val="00E5219B"/>
    <w:rsid w:val="00E52AF8"/>
    <w:rsid w:val="00E57243"/>
    <w:rsid w:val="00E61621"/>
    <w:rsid w:val="00E6190E"/>
    <w:rsid w:val="00E71336"/>
    <w:rsid w:val="00E82C61"/>
    <w:rsid w:val="00E8460B"/>
    <w:rsid w:val="00E84749"/>
    <w:rsid w:val="00E90461"/>
    <w:rsid w:val="00E92D5D"/>
    <w:rsid w:val="00E94EC1"/>
    <w:rsid w:val="00E959C7"/>
    <w:rsid w:val="00E9624B"/>
    <w:rsid w:val="00EA2E0B"/>
    <w:rsid w:val="00EA3847"/>
    <w:rsid w:val="00EA7AEF"/>
    <w:rsid w:val="00EB0DF8"/>
    <w:rsid w:val="00EB414F"/>
    <w:rsid w:val="00EC614D"/>
    <w:rsid w:val="00ED1682"/>
    <w:rsid w:val="00EF0EA3"/>
    <w:rsid w:val="00EF39C8"/>
    <w:rsid w:val="00EF75E1"/>
    <w:rsid w:val="00F00893"/>
    <w:rsid w:val="00F05388"/>
    <w:rsid w:val="00F10122"/>
    <w:rsid w:val="00F2521D"/>
    <w:rsid w:val="00F40C34"/>
    <w:rsid w:val="00F4546D"/>
    <w:rsid w:val="00F5529D"/>
    <w:rsid w:val="00F55DC3"/>
    <w:rsid w:val="00F72701"/>
    <w:rsid w:val="00F73E76"/>
    <w:rsid w:val="00F7552D"/>
    <w:rsid w:val="00F7696E"/>
    <w:rsid w:val="00F84796"/>
    <w:rsid w:val="00F85505"/>
    <w:rsid w:val="00F91C6E"/>
    <w:rsid w:val="00F935B9"/>
    <w:rsid w:val="00F94A28"/>
    <w:rsid w:val="00F95968"/>
    <w:rsid w:val="00F97ED1"/>
    <w:rsid w:val="00FA7877"/>
    <w:rsid w:val="00FC1B23"/>
    <w:rsid w:val="00FC3EA7"/>
    <w:rsid w:val="00FD3570"/>
    <w:rsid w:val="00FD39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67"/>
    <o:shapelayout v:ext="edit">
      <o:idmap v:ext="edit" data="2"/>
    </o:shapelayout>
  </w:shapeDefaults>
  <w:decimalSymbol w:val="."/>
  <w:listSeparator w:val=","/>
  <w14:docId w14:val="3D35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Calibri"/>
    </w:rPr>
  </w:style>
  <w:style w:type="paragraph" w:styleId="Heading1">
    <w:name w:val="heading 1"/>
    <w:next w:val="Normal"/>
    <w:link w:val="Heading1Char"/>
    <w:uiPriority w:val="9"/>
    <w:unhideWhenUsed/>
    <w:qFormat/>
    <w:pPr>
      <w:keepNext/>
      <w:keepLines/>
      <w:spacing w:after="0"/>
      <w:ind w:left="25"/>
      <w:outlineLvl w:val="0"/>
    </w:pPr>
    <w:rPr>
      <w:rFonts w:ascii="Poppins SemiBold" w:hAnsi="Poppins SemiBold" w:cs="Calibri"/>
      <w:b/>
      <w:bCs/>
      <w:color w:val="3B2B8C"/>
      <w:sz w:val="76"/>
      <w:szCs w:val="76"/>
    </w:rPr>
  </w:style>
  <w:style w:type="paragraph" w:styleId="Heading2">
    <w:name w:val="heading 2"/>
    <w:next w:val="Normal"/>
    <w:link w:val="Heading2Char"/>
    <w:uiPriority w:val="9"/>
    <w:unhideWhenUsed/>
    <w:qFormat/>
    <w:pPr>
      <w:keepNext/>
      <w:keepLines/>
      <w:spacing w:after="161"/>
      <w:ind w:left="2"/>
      <w:outlineLvl w:val="1"/>
    </w:pPr>
    <w:rPr>
      <w:rFonts w:ascii="Poppins" w:hAnsi="Poppins" w:cs="Calibri"/>
      <w:color w:val="392388"/>
      <w:sz w:val="44"/>
      <w:szCs w:val="44"/>
    </w:rPr>
  </w:style>
  <w:style w:type="paragraph" w:styleId="Heading3">
    <w:name w:val="heading 3"/>
    <w:next w:val="Normal"/>
    <w:link w:val="Heading3Char"/>
    <w:uiPriority w:val="9"/>
    <w:unhideWhenUsed/>
    <w:qFormat/>
    <w:pPr>
      <w:keepNext/>
      <w:keepLines/>
      <w:spacing w:after="0"/>
      <w:ind w:left="17" w:hanging="10"/>
      <w:outlineLvl w:val="2"/>
    </w:pPr>
    <w:rPr>
      <w:rFonts w:ascii="Poppins" w:hAnsi="Poppins" w:cs="Calibri"/>
      <w:b/>
      <w:bCs/>
      <w:color w:val="392388"/>
      <w:sz w:val="34"/>
      <w:szCs w:val="34"/>
    </w:rPr>
  </w:style>
  <w:style w:type="paragraph" w:styleId="Heading4">
    <w:name w:val="heading 4"/>
    <w:next w:val="Normal"/>
    <w:link w:val="Heading4Char"/>
    <w:uiPriority w:val="9"/>
    <w:unhideWhenUsed/>
    <w:qFormat/>
    <w:pPr>
      <w:keepNext/>
      <w:keepLines/>
      <w:spacing w:after="0" w:line="265" w:lineRule="auto"/>
      <w:ind w:left="10" w:hanging="10"/>
      <w:outlineLvl w:val="3"/>
    </w:pPr>
    <w:rPr>
      <w:rFonts w:ascii="Poppins" w:hAnsi="Poppins" w:cs="Calibri"/>
      <w:b/>
      <w:bCs/>
      <w:color w:val="392388"/>
      <w:sz w:val="28"/>
      <w:szCs w:val="28"/>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libri Light" w:eastAsia="Calibri Light" w:hAnsi="Calibri Light"/>
      <w:color w:val="1C1D4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uiPriority w:val="9"/>
    <w:rPr>
      <w:rFonts w:ascii="Poppins" w:eastAsia="Calibri" w:hAnsi="Poppins" w:cs="Calibri"/>
      <w:b/>
      <w:bCs/>
      <w:color w:val="392388"/>
      <w:sz w:val="28"/>
      <w:szCs w:val="28"/>
    </w:rPr>
  </w:style>
  <w:style w:type="character" w:customStyle="1" w:styleId="Heading2Char">
    <w:name w:val="Heading 2 Char"/>
    <w:link w:val="Heading2"/>
    <w:uiPriority w:val="9"/>
    <w:rPr>
      <w:rFonts w:ascii="Poppins" w:eastAsia="Calibri" w:hAnsi="Poppins" w:cs="Calibri"/>
      <w:color w:val="392388"/>
      <w:sz w:val="44"/>
      <w:szCs w:val="44"/>
    </w:rPr>
  </w:style>
  <w:style w:type="character" w:customStyle="1" w:styleId="Heading1Char">
    <w:name w:val="Heading 1 Char"/>
    <w:link w:val="Heading1"/>
    <w:uiPriority w:val="9"/>
    <w:rPr>
      <w:rFonts w:ascii="Poppins SemiBold" w:eastAsia="Calibri" w:hAnsi="Poppins SemiBold" w:cs="Calibri"/>
      <w:b/>
      <w:bCs/>
      <w:color w:val="3B2B8C"/>
      <w:sz w:val="76"/>
      <w:szCs w:val="76"/>
    </w:rPr>
  </w:style>
  <w:style w:type="character" w:customStyle="1" w:styleId="Heading3Char">
    <w:name w:val="Heading 3 Char"/>
    <w:link w:val="Heading3"/>
    <w:uiPriority w:val="9"/>
    <w:rPr>
      <w:rFonts w:ascii="Poppins" w:eastAsia="Calibri" w:hAnsi="Poppins" w:cs="Calibri"/>
      <w:b/>
      <w:bCs/>
      <w:color w:val="392388"/>
      <w:sz w:val="34"/>
      <w:szCs w:val="34"/>
    </w:rPr>
  </w:style>
  <w:style w:type="table" w:customStyle="1" w:styleId="CSRTable4">
    <w:name w:val="CSRTable4"/>
    <w:pPr>
      <w:spacing w:after="0" w:line="240" w:lineRule="auto"/>
      <w:contextualSpacing/>
    </w:pPr>
    <w:rPr>
      <w:sz w:val="20"/>
      <w:szCs w:val="20"/>
      <w:lang w:val="en-US" w:eastAsia="en-US"/>
    </w:rPr>
    <w:tblPr>
      <w:tblStyleRowBandSize w:val="1"/>
      <w:tblStyleColBandSize w:val="1"/>
      <w:tblCellMar>
        <w:top w:w="0" w:type="dxa"/>
        <w:left w:w="0" w:type="dxa"/>
        <w:bottom w:w="0" w:type="dxa"/>
        <w:right w:w="0" w:type="dxa"/>
      </w:tblCellMar>
    </w:tblPr>
    <w:tblStylePr w:type="firstRow">
      <w:tblPr/>
      <w:tcPr>
        <w:tcBorders>
          <w:top w:val="nil"/>
          <w:left w:val="nil"/>
          <w:bottom w:val="single" w:sz="4" w:space="0" w:color="auto"/>
          <w:right w:val="nil"/>
          <w:insideH w:val="nil"/>
          <w:insideV w:val="nil"/>
        </w:tcBorders>
      </w:tcPr>
    </w:tblStyle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Calibri" w:eastAsia="Calibri" w:hAnsi="Calibri" w:cs="Calibri"/>
      <w:color w:val="000000"/>
    </w:r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Calibri" w:eastAsia="Calibri" w:hAnsi="Calibri" w:cs="Calibri"/>
      <w:color w:val="000000"/>
    </w:rPr>
  </w:style>
  <w:style w:type="paragraph" w:customStyle="1" w:styleId="DefaqtoBody">
    <w:name w:val="Defaqto Body"/>
    <w:basedOn w:val="Normal"/>
    <w:link w:val="DefaqtoBodyChar"/>
    <w:qFormat/>
    <w:pPr>
      <w:spacing w:before="160" w:after="320" w:line="240" w:lineRule="auto"/>
    </w:pPr>
    <w:rPr>
      <w:rFonts w:ascii="Poppins" w:eastAsia="Cambria" w:hAnsi="Poppins" w:cs="Times New Roman"/>
      <w:color w:val="392388"/>
      <w:lang w:eastAsia="en-US"/>
    </w:rPr>
  </w:style>
  <w:style w:type="character" w:customStyle="1" w:styleId="DefaqtoBodyChar">
    <w:name w:val="Defaqto Body Char"/>
    <w:link w:val="DefaqtoBody"/>
    <w:rPr>
      <w:rFonts w:ascii="Poppins" w:eastAsia="Cambria" w:hAnsi="Poppins" w:cs="Times New Roman"/>
      <w:color w:val="392388"/>
      <w:lang w:eastAsia="en-US"/>
    </w:rPr>
  </w:style>
  <w:style w:type="paragraph" w:customStyle="1" w:styleId="DefaqtoCallout">
    <w:name w:val="Defaqto Callout"/>
    <w:link w:val="DefaqtoCalloutChar"/>
    <w:qFormat/>
    <w:pPr>
      <w:spacing w:after="0" w:line="240" w:lineRule="auto"/>
    </w:pPr>
    <w:rPr>
      <w:rFonts w:ascii="Poppins" w:eastAsia="Cambria" w:hAnsi="Poppins"/>
      <w:noProof/>
      <w:color w:val="392388"/>
      <w:sz w:val="16"/>
      <w:szCs w:val="16"/>
      <w:lang w:val="en-NZ" w:eastAsia="en-US"/>
    </w:rPr>
  </w:style>
  <w:style w:type="character" w:customStyle="1" w:styleId="DefaqtoCalloutChar">
    <w:name w:val="Defaqto Callout Char"/>
    <w:link w:val="DefaqtoCallout"/>
    <w:rPr>
      <w:rFonts w:ascii="Poppins" w:eastAsia="Cambria" w:hAnsi="Poppins" w:cs="Times New Roman"/>
      <w:noProof/>
      <w:color w:val="392388"/>
      <w:sz w:val="16"/>
      <w:szCs w:val="16"/>
      <w:lang w:val="en-NZ" w:eastAsia="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Calibri" w:hAnsi="Segoe UI" w:cs="Segoe UI"/>
      <w:color w:val="000000"/>
      <w:sz w:val="18"/>
      <w:szCs w:val="18"/>
    </w:rPr>
  </w:style>
  <w:style w:type="paragraph" w:styleId="NoSpacing">
    <w:name w:val="No Spacing"/>
    <w:uiPriority w:val="1"/>
    <w:qFormat/>
    <w:pPr>
      <w:spacing w:after="0" w:line="240" w:lineRule="auto"/>
    </w:pPr>
    <w:rPr>
      <w:lang w:eastAsia="en-US"/>
    </w:rPr>
  </w:style>
  <w:style w:type="table" w:styleId="TableGrid">
    <w:name w:val="Table Grid"/>
    <w:basedOn w:val="TableNormal"/>
    <w:uiPriority w:val="39"/>
    <w:pPr>
      <w:spacing w:after="0" w:line="240" w:lineRule="auto"/>
    </w:pPr>
    <w:rPr>
      <w:lang w:eastAsia="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Revision">
    <w:name w:val="Revision"/>
    <w:uiPriority w:val="99"/>
    <w:semiHidden/>
    <w:pPr>
      <w:spacing w:after="0" w:line="240" w:lineRule="auto"/>
    </w:pPr>
    <w:rPr>
      <w:rFonts w:cs="Calibri"/>
      <w:color w:val="000000"/>
    </w:rPr>
  </w:style>
  <w:style w:type="table" w:customStyle="1" w:styleId="CSRTable1">
    <w:name w:val="CSRTable1"/>
    <w:basedOn w:val="TableNormal"/>
    <w:uiPriority w:val="99"/>
    <w:pPr>
      <w:spacing w:after="0" w:line="240" w:lineRule="auto"/>
      <w:jc w:val="right"/>
    </w:pPr>
    <w:rPr>
      <w:rFonts w:eastAsia="Times New Roman"/>
      <w:sz w:val="20"/>
      <w:szCs w:val="20"/>
      <w:lang w:eastAsia="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Calibri" w:hAnsi="Calibri"/>
        <w:b w:val="0"/>
        <w:bCs w:val="0"/>
        <w:sz w:val="24"/>
        <w:szCs w:val="24"/>
      </w:rPr>
      <w:tblPr/>
      <w:tcPr>
        <w:shd w:val="clear" w:color="auto" w:fill="E7E6E6"/>
      </w:tcPr>
    </w:tblStylePr>
    <w:tblStylePr w:type="firstCol">
      <w:pPr>
        <w:jc w:val="left"/>
      </w:pPr>
    </w:tblStylePr>
  </w:style>
  <w:style w:type="paragraph" w:customStyle="1" w:styleId="DefaqtoTableBody">
    <w:name w:val="Defaqto Table Body"/>
    <w:link w:val="DefaqtoTableBodyChar"/>
    <w:qFormat/>
    <w:pPr>
      <w:spacing w:after="0" w:line="240" w:lineRule="auto"/>
    </w:pPr>
    <w:rPr>
      <w:rFonts w:eastAsia="Times New Roman" w:cs="Arial"/>
      <w:sz w:val="16"/>
      <w:szCs w:val="16"/>
      <w:lang w:val="en-US" w:eastAsia="en-US"/>
    </w:rPr>
  </w:style>
  <w:style w:type="paragraph" w:customStyle="1" w:styleId="DefaqtoTableBody2">
    <w:name w:val="Defaqto Table Body 2"/>
    <w:basedOn w:val="DefaqtoTableBody"/>
    <w:link w:val="DefaqtoTableBody2Char"/>
    <w:qFormat/>
    <w:pPr>
      <w:spacing w:before="60" w:after="60"/>
    </w:pPr>
    <w:rPr>
      <w:rFonts w:ascii="Poppins" w:hAnsi="Poppins"/>
      <w:color w:val="392388"/>
    </w:rPr>
  </w:style>
  <w:style w:type="table" w:customStyle="1" w:styleId="CSRTable2">
    <w:name w:val="CSRTable2"/>
    <w:basedOn w:val="TableNormal"/>
    <w:uiPriority w:val="99"/>
    <w:pPr>
      <w:spacing w:after="0" w:line="240" w:lineRule="auto"/>
      <w:jc w:val="center"/>
    </w:pPr>
    <w:rPr>
      <w:b/>
      <w:bCs/>
      <w:sz w:val="28"/>
      <w:szCs w:val="28"/>
    </w:rPr>
    <w:tblPr>
      <w:tblStyleRowBandSize w:val="1"/>
      <w:tblStyleColBandSize w:val="1"/>
      <w:tblCellMar>
        <w:top w:w="113" w:type="dxa"/>
        <w:bottom w:w="113" w:type="dxa"/>
      </w:tblCellMar>
    </w:tblPr>
    <w:tcPr>
      <w:shd w:val="clear" w:color="auto" w:fill="E7E6E6"/>
    </w:tcPr>
    <w:tblStylePr w:type="firstRow">
      <w:tblPr/>
      <w:tcPr>
        <w:tcMar>
          <w:top w:w="284" w:type="dxa"/>
          <w:left w:w="0" w:type="nil"/>
          <w:bottom w:w="0" w:type="nil"/>
          <w:right w:w="0" w:type="nil"/>
        </w:tcMar>
      </w:tcPr>
    </w:tblStylePr>
    <w:tblStylePr w:type="lastRow">
      <w:rPr>
        <w:rFonts w:ascii="Calibri" w:hAnsi="Calibri"/>
        <w:b w:val="0"/>
        <w:bCs w:val="0"/>
        <w:sz w:val="22"/>
        <w:szCs w:val="22"/>
      </w:rPr>
      <w:tblPr/>
      <w:tcPr>
        <w:tcMar>
          <w:top w:w="0" w:type="nil"/>
          <w:left w:w="0" w:type="nil"/>
          <w:bottom w:w="284" w:type="dxa"/>
          <w:right w:w="0" w:type="nil"/>
        </w:tcMar>
      </w:tcPr>
    </w:tblStylePr>
  </w:style>
  <w:style w:type="paragraph" w:customStyle="1" w:styleId="SBParagraph">
    <w:name w:val="SB Paragraph"/>
    <w:basedOn w:val="Normal"/>
    <w:link w:val="SBParagraphChar"/>
    <w:qFormat/>
    <w:rPr>
      <w:rFonts w:cs="Times New Roman"/>
      <w:color w:val="7F7F7F"/>
      <w:sz w:val="24"/>
      <w:szCs w:val="24"/>
    </w:rPr>
  </w:style>
  <w:style w:type="paragraph" w:customStyle="1" w:styleId="Normal-spacebefore">
    <w:name w:val="Normal-spacebefore"/>
    <w:basedOn w:val="SBParagraph"/>
    <w:link w:val="Normal-spacebeforeChar"/>
    <w:qFormat/>
    <w:pPr>
      <w:spacing w:before="160" w:after="0"/>
    </w:pPr>
  </w:style>
  <w:style w:type="character" w:customStyle="1" w:styleId="SBParagraphChar">
    <w:name w:val="SB Paragraph Char"/>
    <w:basedOn w:val="DefaultParagraphFont"/>
    <w:link w:val="SBParagraph"/>
    <w:rPr>
      <w:rFonts w:ascii="Calibri" w:eastAsia="Calibri" w:hAnsi="Calibri" w:cs="Times New Roman"/>
      <w:color w:val="7F7F7F"/>
      <w:sz w:val="24"/>
      <w:szCs w:val="24"/>
    </w:rPr>
  </w:style>
  <w:style w:type="character" w:customStyle="1" w:styleId="Normal-spacebeforeChar">
    <w:name w:val="Normal-spacebefore Char"/>
    <w:basedOn w:val="SBParagraphChar"/>
    <w:link w:val="Normal-spacebefore"/>
    <w:rPr>
      <w:rFonts w:ascii="Calibri" w:eastAsia="Calibri" w:hAnsi="Calibri" w:cs="Calibri"/>
      <w:color w:val="7F7F7F"/>
      <w:sz w:val="24"/>
      <w:szCs w:val="24"/>
    </w:rPr>
  </w:style>
  <w:style w:type="paragraph" w:customStyle="1" w:styleId="RedWarningBox">
    <w:name w:val="RedWarningBox"/>
    <w:basedOn w:val="Normal"/>
    <w:link w:val="RedWarningBoxChar"/>
    <w:qFormat/>
    <w:rPr>
      <w:rFonts w:cs="Segoe UI Symbol"/>
      <w:bdr w:val="single" w:sz="4" w:space="0" w:color="FF0000"/>
    </w:rPr>
  </w:style>
  <w:style w:type="character" w:customStyle="1" w:styleId="RedWarningBoxChar">
    <w:name w:val="RedWarningBox Char"/>
    <w:basedOn w:val="DefaultParagraphFont"/>
    <w:link w:val="RedWarningBox"/>
    <w:rPr>
      <w:rFonts w:ascii="Calibri" w:eastAsia="Calibri" w:hAnsi="Calibri" w:cs="Segoe UI Symbol"/>
      <w:bdr w:val="single" w:sz="4" w:space="0" w:color="FF0000"/>
    </w:rPr>
  </w:style>
  <w:style w:type="paragraph" w:customStyle="1" w:styleId="CSRHeading4">
    <w:name w:val="CSRHeading4"/>
    <w:basedOn w:val="Heading4"/>
    <w:link w:val="CSRHeading4Char"/>
    <w:rPr>
      <w:rFonts w:ascii="Calibri Light" w:hAnsi="Calibri Light"/>
      <w:b w:val="0"/>
      <w:bCs w:val="0"/>
    </w:rPr>
  </w:style>
  <w:style w:type="character" w:customStyle="1" w:styleId="CSRHeading4Char">
    <w:name w:val="CSRHeading4 Char"/>
    <w:basedOn w:val="Heading4Char"/>
    <w:link w:val="CSRHeading4"/>
    <w:rPr>
      <w:rFonts w:ascii="Calibri Light" w:eastAsia="Calibri" w:hAnsi="Calibri Light" w:cs="Calibri"/>
      <w:b w:val="0"/>
      <w:bCs w:val="0"/>
      <w:color w:val="005392"/>
      <w:sz w:val="28"/>
      <w:szCs w:val="28"/>
    </w:rPr>
  </w:style>
  <w:style w:type="paragraph" w:customStyle="1" w:styleId="CSRTable3">
    <w:name w:val="CSRTable3"/>
    <w:basedOn w:val="Normal"/>
    <w:link w:val="CSRTable3Char"/>
    <w:qFormat/>
    <w:pPr>
      <w:spacing w:after="0" w:line="276" w:lineRule="auto"/>
    </w:pPr>
    <w:rPr>
      <w:b/>
      <w:bCs/>
      <w:sz w:val="16"/>
      <w:szCs w:val="16"/>
    </w:rPr>
  </w:style>
  <w:style w:type="character" w:customStyle="1" w:styleId="CSRTable3Char">
    <w:name w:val="CSRTable3 Char"/>
    <w:basedOn w:val="DefaultParagraphFont"/>
    <w:link w:val="CSRTable3"/>
    <w:rPr>
      <w:rFonts w:ascii="Calibri" w:eastAsia="Calibri" w:hAnsi="Calibri" w:cs="Calibri"/>
      <w:b/>
      <w:bCs/>
      <w:sz w:val="16"/>
      <w:szCs w:val="16"/>
    </w:rPr>
  </w:style>
  <w:style w:type="table" w:customStyle="1" w:styleId="TableGrid0">
    <w:name w:val="TableGrid"/>
    <w:pPr>
      <w:spacing w:after="0" w:line="240" w:lineRule="auto"/>
    </w:pPr>
    <w:tblPr>
      <w:tblStyleRowBandSize w:val="1"/>
      <w:tblStyleColBandSize w:val="1"/>
      <w:tblCellMar>
        <w:top w:w="0" w:type="dxa"/>
        <w:left w:w="0" w:type="dxa"/>
        <w:bottom w:w="0" w:type="dxa"/>
        <w:right w:w="0" w:type="dxa"/>
      </w:tblCellMar>
    </w:tblPr>
  </w:style>
  <w:style w:type="table" w:customStyle="1" w:styleId="CSRTable5">
    <w:name w:val="CSRTable5"/>
    <w:basedOn w:val="TableNormal"/>
    <w:uiPriority w:val="99"/>
    <w:pPr>
      <w:spacing w:before="40" w:after="40"/>
      <w:jc w:val="right"/>
    </w:pPr>
    <w:rPr>
      <w:sz w:val="20"/>
      <w:szCs w:val="20"/>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Calibri" w:hAnsi="Calibri"/>
        <w:b w:val="0"/>
        <w:bCs w:val="0"/>
        <w:sz w:val="24"/>
        <w:szCs w:val="24"/>
      </w:rPr>
      <w:tblPr/>
      <w:tcPr>
        <w:shd w:val="clear" w:color="auto" w:fill="E7E6E6"/>
      </w:tcPr>
    </w:tblStylePr>
    <w:tblStylePr w:type="lastRow">
      <w:rPr>
        <w:color w:val="F2F2F2"/>
      </w:rPr>
      <w:tblPr/>
      <w:tcPr>
        <w:shd w:val="clear" w:color="auto" w:fill="EE7203"/>
      </w:tcPr>
    </w:tblStylePr>
    <w:tblStylePr w:type="firstCol">
      <w:pPr>
        <w:jc w:val="left"/>
      </w:pPr>
    </w:tblStylePr>
  </w:style>
  <w:style w:type="character" w:styleId="Strong">
    <w:name w:val="Strong"/>
    <w:basedOn w:val="DefaultParagraphFont"/>
    <w:uiPriority w:val="22"/>
    <w:qFormat/>
    <w:rPr>
      <w:b/>
      <w:bCs/>
    </w:rPr>
  </w:style>
  <w:style w:type="paragraph" w:customStyle="1" w:styleId="DefaqtoStrong">
    <w:name w:val="Defaqto Strong"/>
    <w:basedOn w:val="Normal"/>
    <w:link w:val="DefaqtoStrongChar"/>
    <w:qFormat/>
    <w:rPr>
      <w:rFonts w:ascii="Poppins" w:hAnsi="Poppins"/>
      <w:b/>
      <w:bCs/>
      <w:sz w:val="20"/>
      <w:szCs w:val="20"/>
    </w:rPr>
  </w:style>
  <w:style w:type="character" w:customStyle="1" w:styleId="DefaqtoStrongChar">
    <w:name w:val="Defaqto Strong Char"/>
    <w:basedOn w:val="DefaultParagraphFont"/>
    <w:link w:val="DefaqtoStrong"/>
    <w:rPr>
      <w:rFonts w:ascii="Poppins" w:eastAsia="Calibri" w:hAnsi="Poppins" w:cs="Calibri"/>
      <w:b/>
      <w:bCs/>
      <w:sz w:val="20"/>
      <w:szCs w:val="20"/>
    </w:rPr>
  </w:style>
  <w:style w:type="paragraph" w:customStyle="1" w:styleId="DefaqtoHeading5">
    <w:name w:val="Defaqto Heading 5"/>
    <w:basedOn w:val="Normal"/>
    <w:link w:val="DefaqtoHeading5Char"/>
    <w:qFormat/>
    <w:rPr>
      <w:rFonts w:ascii="Poppins" w:hAnsi="Poppins"/>
      <w:color w:val="392388"/>
      <w:sz w:val="24"/>
      <w:szCs w:val="24"/>
    </w:rPr>
  </w:style>
  <w:style w:type="character" w:customStyle="1" w:styleId="DefaqtoHeading5Char">
    <w:name w:val="Defaqto Heading 5 Char"/>
    <w:basedOn w:val="DefaultParagraphFont"/>
    <w:link w:val="DefaqtoHeading5"/>
    <w:rPr>
      <w:rFonts w:ascii="Poppins" w:eastAsia="Calibri" w:hAnsi="Poppins" w:cs="Calibri"/>
      <w:color w:val="392388"/>
      <w:sz w:val="24"/>
      <w:szCs w:val="24"/>
    </w:rPr>
  </w:style>
  <w:style w:type="character" w:customStyle="1" w:styleId="Heading5Char">
    <w:name w:val="Heading 5 Char"/>
    <w:basedOn w:val="DefaultParagraphFont"/>
    <w:link w:val="Heading5"/>
    <w:uiPriority w:val="9"/>
    <w:semiHidden/>
    <w:rPr>
      <w:rFonts w:ascii="Calibri Light" w:eastAsia="Calibri Light" w:hAnsi="Calibri Light"/>
      <w:color w:val="1C1D42"/>
    </w:rPr>
  </w:style>
  <w:style w:type="paragraph" w:customStyle="1" w:styleId="Defaqtobody0">
    <w:name w:val="Defaqto body"/>
    <w:basedOn w:val="Normal"/>
    <w:link w:val="DefaqtobodyChar0"/>
    <w:rPr>
      <w:rFonts w:ascii="Arial" w:eastAsia="Arial" w:hAnsi="Arial" w:cs="Times New Roman"/>
      <w:color w:val="808080"/>
      <w:sz w:val="24"/>
      <w:szCs w:val="24"/>
      <w:lang w:eastAsia="en-US"/>
    </w:rPr>
  </w:style>
  <w:style w:type="character" w:customStyle="1" w:styleId="DefaqtobodyChar0">
    <w:name w:val="Defaqto body Char"/>
    <w:link w:val="Defaqtobody0"/>
    <w:rPr>
      <w:rFonts w:ascii="Arial" w:eastAsia="Arial" w:hAnsi="Arial" w:cs="Times New Roman"/>
      <w:color w:val="808080"/>
      <w:sz w:val="24"/>
      <w:szCs w:val="24"/>
      <w:lang w:eastAsia="en-US"/>
    </w:rPr>
  </w:style>
  <w:style w:type="paragraph" w:customStyle="1" w:styleId="DefaqtoCoverPageLevel1">
    <w:name w:val="Defaqto Cover Page Level 1"/>
    <w:link w:val="DefaqtoCoverPageLevel1Char"/>
    <w:qFormat/>
    <w:pPr>
      <w:tabs>
        <w:tab w:val="left" w:pos="3210"/>
      </w:tabs>
      <w:spacing w:after="0" w:line="240" w:lineRule="auto"/>
    </w:pPr>
    <w:rPr>
      <w:rFonts w:ascii="TeXGyreAdventor" w:eastAsia="Cambria" w:hAnsi="TeXGyreAdventor" w:cs="Arial"/>
      <w:color w:val="FFFFFF"/>
      <w:sz w:val="48"/>
      <w:szCs w:val="48"/>
      <w:lang w:eastAsia="en-US"/>
    </w:rPr>
  </w:style>
  <w:style w:type="character" w:customStyle="1" w:styleId="DefaqtoCoverPageLevel1Char">
    <w:name w:val="Defaqto Cover Page Level 1 Char"/>
    <w:link w:val="DefaqtoCoverPageLevel1"/>
    <w:rPr>
      <w:rFonts w:ascii="TeXGyreAdventor" w:eastAsia="Cambria" w:hAnsi="TeXGyreAdventor" w:cs="Arial"/>
      <w:color w:val="FFFFFF"/>
      <w:sz w:val="48"/>
      <w:szCs w:val="48"/>
      <w:lang w:eastAsia="en-US"/>
    </w:rPr>
  </w:style>
  <w:style w:type="paragraph" w:customStyle="1" w:styleId="DefaqtoCoverPageLevel2">
    <w:name w:val="Defaqto Cover Page Level 2"/>
    <w:basedOn w:val="DefaqtoCoverPageLevel1"/>
    <w:link w:val="DefaqtoCoverPageLevel2Char"/>
    <w:qFormat/>
    <w:pPr>
      <w:ind w:left="720"/>
    </w:pPr>
    <w:rPr>
      <w:sz w:val="32"/>
      <w:szCs w:val="32"/>
    </w:rPr>
  </w:style>
  <w:style w:type="character" w:customStyle="1" w:styleId="DefaqtoCoverPageLevel2Char">
    <w:name w:val="Defaqto Cover Page Level 2 Char"/>
    <w:link w:val="DefaqtoCoverPageLevel2"/>
    <w:rPr>
      <w:rFonts w:ascii="TeXGyreAdventor" w:eastAsia="Cambria" w:hAnsi="TeXGyreAdventor" w:cs="Arial"/>
      <w:color w:val="FFFFFF"/>
      <w:sz w:val="32"/>
      <w:szCs w:val="32"/>
      <w:lang w:eastAsia="en-US"/>
    </w:rPr>
  </w:style>
  <w:style w:type="paragraph" w:customStyle="1" w:styleId="DefaqtoHeading2">
    <w:name w:val="Defaqto Heading 2"/>
    <w:basedOn w:val="Heading2"/>
    <w:next w:val="DefaqtoBody"/>
    <w:link w:val="DefaqtoHeading2Char"/>
    <w:qFormat/>
    <w:pPr>
      <w:spacing w:before="120" w:after="320"/>
      <w:ind w:left="0"/>
    </w:pPr>
    <w:rPr>
      <w:rFonts w:ascii="Poppins SemiBold" w:eastAsia="Cambria" w:hAnsi="Poppins SemiBold" w:cs="Times New Roman"/>
      <w:sz w:val="32"/>
      <w:szCs w:val="32"/>
      <w:lang w:eastAsia="en-US"/>
    </w:rPr>
  </w:style>
  <w:style w:type="paragraph" w:customStyle="1" w:styleId="DefaqtoHeading2-noTOC">
    <w:name w:val="Defaqto Heading 2 - no TOC"/>
    <w:basedOn w:val="DefaqtoHeading2"/>
    <w:link w:val="DefaqtoHeading2-noTOCChar"/>
    <w:qFormat/>
    <w:pPr>
      <w:outlineLvl w:val="9"/>
    </w:pPr>
  </w:style>
  <w:style w:type="character" w:customStyle="1" w:styleId="DefaqtoHeading2-noTOCChar">
    <w:name w:val="Defaqto Heading 2 - no TOC Char"/>
    <w:link w:val="DefaqtoHeading2-noTOC"/>
    <w:rPr>
      <w:rFonts w:ascii="Calibri Light" w:eastAsia="Cambria" w:hAnsi="Calibri Light" w:cs="Times New Roman"/>
      <w:b/>
      <w:bCs/>
      <w:color w:val="252758"/>
      <w:sz w:val="28"/>
      <w:szCs w:val="28"/>
      <w:lang w:eastAsia="en-US"/>
    </w:rPr>
  </w:style>
  <w:style w:type="paragraph" w:customStyle="1" w:styleId="DefaqtoHeading3">
    <w:name w:val="Defaqto Heading 3"/>
    <w:basedOn w:val="Heading2"/>
    <w:next w:val="DefaqtoBody"/>
    <w:link w:val="DefaqtoHeading3Char"/>
    <w:qFormat/>
    <w:pPr>
      <w:spacing w:after="320"/>
      <w:ind w:left="0"/>
      <w:outlineLvl w:val="2"/>
    </w:pPr>
    <w:rPr>
      <w:rFonts w:ascii="Poppins SemiBold" w:hAnsi="Poppins SemiBold"/>
      <w:sz w:val="22"/>
      <w:szCs w:val="22"/>
      <w:lang w:val="en-NZ"/>
    </w:rPr>
  </w:style>
  <w:style w:type="paragraph" w:customStyle="1" w:styleId="DefaqtoHeading3-noTOC">
    <w:name w:val="Defaqto Heading 3 - no TOC"/>
    <w:basedOn w:val="DefaqtoHeading3"/>
    <w:link w:val="DefaqtoHeading3-noTOCChar"/>
    <w:qFormat/>
    <w:pPr>
      <w:outlineLvl w:val="9"/>
    </w:pPr>
  </w:style>
  <w:style w:type="character" w:customStyle="1" w:styleId="DefaqtoHeading3-noTOCChar">
    <w:name w:val="Defaqto Heading 3 - no TOC Char"/>
    <w:link w:val="DefaqtoHeading3-noTOC"/>
    <w:rPr>
      <w:rFonts w:ascii="Calibri Light" w:eastAsia="Cambria" w:hAnsi="Calibri Light" w:cs="Times New Roman"/>
      <w:b/>
      <w:bCs/>
      <w:color w:val="252758"/>
      <w:sz w:val="24"/>
      <w:szCs w:val="24"/>
      <w:lang w:val="en-NZ" w:eastAsia="en-US"/>
    </w:rPr>
  </w:style>
  <w:style w:type="paragraph" w:customStyle="1" w:styleId="DefaqtoIntroText">
    <w:name w:val="Defaqto Intro Text"/>
    <w:basedOn w:val="Heading2"/>
    <w:link w:val="DefaqtoIntroTextChar"/>
    <w:qFormat/>
    <w:pPr>
      <w:spacing w:before="400" w:after="360"/>
      <w:ind w:left="0"/>
      <w:outlineLvl w:val="9"/>
    </w:pPr>
    <w:rPr>
      <w:rFonts w:eastAsia="MS Gothic" w:cs="Times New Roman"/>
      <w:sz w:val="32"/>
      <w:szCs w:val="32"/>
      <w:lang w:eastAsia="en-US"/>
    </w:rPr>
  </w:style>
  <w:style w:type="character" w:customStyle="1" w:styleId="DefaqtoIntroTextChar">
    <w:name w:val="Defaqto Intro Text Char"/>
    <w:link w:val="DefaqtoIntroText"/>
    <w:rPr>
      <w:rFonts w:ascii="Poppins" w:eastAsia="MS Gothic" w:hAnsi="Poppins" w:cs="Times New Roman"/>
      <w:color w:val="392388"/>
      <w:sz w:val="32"/>
      <w:szCs w:val="32"/>
      <w:lang w:eastAsia="en-US"/>
    </w:rPr>
  </w:style>
  <w:style w:type="paragraph" w:customStyle="1" w:styleId="DefaqtoIntrotext0">
    <w:name w:val="Defaqto Intro text"/>
    <w:basedOn w:val="Heading2"/>
    <w:link w:val="DefaqtoIntrotextChar0"/>
    <w:pPr>
      <w:spacing w:before="400" w:after="360"/>
      <w:ind w:left="0"/>
      <w:outlineLvl w:val="9"/>
    </w:pPr>
    <w:rPr>
      <w:rFonts w:ascii="Arial" w:eastAsia="MS Gothic" w:hAnsi="Arial" w:cs="Times New Roman"/>
      <w:color w:val="00538F"/>
      <w:sz w:val="32"/>
      <w:szCs w:val="32"/>
      <w:lang w:eastAsia="en-US"/>
    </w:rPr>
  </w:style>
  <w:style w:type="character" w:customStyle="1" w:styleId="DefaqtoIntrotextChar0">
    <w:name w:val="Defaqto Intro text Char"/>
    <w:link w:val="DefaqtoIntrotext0"/>
    <w:rPr>
      <w:rFonts w:ascii="Arial" w:eastAsia="MS Gothic" w:hAnsi="Arial" w:cs="Times New Roman"/>
      <w:color w:val="00538F"/>
      <w:sz w:val="32"/>
      <w:szCs w:val="32"/>
      <w:lang w:eastAsia="en-US"/>
    </w:rPr>
  </w:style>
  <w:style w:type="paragraph" w:customStyle="1" w:styleId="DefaqtoLevel2">
    <w:name w:val="Defaqto Level 2"/>
    <w:basedOn w:val="Heading2"/>
    <w:link w:val="DefaqtoLevel2Char"/>
    <w:qFormat/>
    <w:pPr>
      <w:spacing w:before="240" w:after="240"/>
      <w:ind w:left="0"/>
    </w:pPr>
    <w:rPr>
      <w:rFonts w:ascii="Arial" w:eastAsia="MS Gothic" w:hAnsi="Arial" w:cs="Times New Roman"/>
      <w:b/>
      <w:bCs/>
      <w:color w:val="003479"/>
      <w:sz w:val="28"/>
      <w:szCs w:val="28"/>
      <w:lang w:eastAsia="en-US"/>
    </w:rPr>
  </w:style>
  <w:style w:type="character" w:customStyle="1" w:styleId="DefaqtoLevel2Char">
    <w:name w:val="Defaqto Level 2 Char"/>
    <w:link w:val="DefaqtoLevel2"/>
    <w:rPr>
      <w:rFonts w:ascii="Arial" w:eastAsia="MS Gothic" w:hAnsi="Arial" w:cs="Times New Roman"/>
      <w:b/>
      <w:bCs/>
      <w:color w:val="003479"/>
      <w:sz w:val="28"/>
      <w:szCs w:val="28"/>
      <w:lang w:eastAsia="en-US"/>
    </w:rPr>
  </w:style>
  <w:style w:type="paragraph" w:customStyle="1" w:styleId="Defaqtosmallprint">
    <w:name w:val="Defaqto smallprint"/>
    <w:basedOn w:val="Normal"/>
    <w:link w:val="DefaqtosmallprintChar"/>
    <w:qFormat/>
    <w:pPr>
      <w:keepNext/>
      <w:keepLines/>
      <w:spacing w:before="240" w:after="240"/>
    </w:pPr>
    <w:rPr>
      <w:rFonts w:ascii="Poppins" w:eastAsia="MS Gothic" w:hAnsi="Poppins" w:cs="Times New Roman"/>
      <w:color w:val="392388"/>
      <w:sz w:val="16"/>
      <w:szCs w:val="16"/>
      <w:lang w:eastAsia="en-US"/>
    </w:rPr>
  </w:style>
  <w:style w:type="character" w:customStyle="1" w:styleId="DefaqtosmallprintChar">
    <w:name w:val="Defaqto smallprint Char"/>
    <w:link w:val="Defaqtosmallprint"/>
    <w:rPr>
      <w:rFonts w:ascii="Poppins" w:eastAsia="MS Gothic" w:hAnsi="Poppins" w:cs="Times New Roman"/>
      <w:color w:val="392388"/>
      <w:sz w:val="16"/>
      <w:szCs w:val="16"/>
      <w:lang w:eastAsia="en-US"/>
    </w:rPr>
  </w:style>
  <w:style w:type="paragraph" w:customStyle="1" w:styleId="DefaqtoStyle">
    <w:name w:val="Defaqto Style"/>
    <w:basedOn w:val="Normal"/>
    <w:link w:val="DefaqtoStyleChar"/>
    <w:qFormat/>
    <w:pPr>
      <w:tabs>
        <w:tab w:val="center" w:pos="4513"/>
        <w:tab w:val="right" w:pos="9026"/>
      </w:tabs>
      <w:suppressAutoHyphens/>
      <w:spacing w:after="0" w:line="276" w:lineRule="auto"/>
      <w:ind w:right="1372"/>
    </w:pPr>
    <w:rPr>
      <w:rFonts w:ascii="Arial" w:eastAsia="Cambria" w:hAnsi="Arial" w:cs="Times New Roman"/>
      <w:color w:val="003479"/>
      <w:sz w:val="20"/>
      <w:szCs w:val="20"/>
      <w:lang w:eastAsia="en-US"/>
    </w:rPr>
  </w:style>
  <w:style w:type="character" w:customStyle="1" w:styleId="DefaqtoStyleChar">
    <w:name w:val="Defaqto Style Char"/>
    <w:link w:val="DefaqtoStyle"/>
    <w:rPr>
      <w:rFonts w:ascii="Arial" w:eastAsia="Cambria" w:hAnsi="Arial" w:cs="Times New Roman"/>
      <w:color w:val="003479"/>
      <w:sz w:val="20"/>
      <w:szCs w:val="20"/>
      <w:lang w:eastAsia="en-US"/>
    </w:rPr>
  </w:style>
  <w:style w:type="table" w:customStyle="1" w:styleId="DefaqtoTable">
    <w:name w:val="Defaqto Table"/>
    <w:basedOn w:val="TableNormal"/>
    <w:uiPriority w:val="99"/>
    <w:pPr>
      <w:spacing w:after="0" w:line="240" w:lineRule="auto"/>
    </w:pPr>
    <w:rPr>
      <w:rFonts w:ascii="Poppins" w:eastAsia="Times New Roman" w:hAnsi="Poppins"/>
      <w:lang w:eastAsia="en-US"/>
    </w:rPr>
    <w:tblPr>
      <w:tblStyleRowBandSize w:val="1"/>
      <w:tblStyleColBandSize w:val="1"/>
      <w:tblBorders>
        <w:top w:val="single" w:sz="4" w:space="0" w:color="B0A7CF"/>
        <w:left w:val="single" w:sz="4" w:space="0" w:color="B0A7CF"/>
        <w:bottom w:val="single" w:sz="4" w:space="0" w:color="B0A7CF"/>
        <w:right w:val="single" w:sz="4" w:space="0" w:color="B0A7CF"/>
        <w:insideH w:val="single" w:sz="4" w:space="0" w:color="B0A7CF"/>
        <w:insideV w:val="single" w:sz="4" w:space="0" w:color="B0A7CF"/>
      </w:tblBorders>
    </w:tblPr>
    <w:tcPr>
      <w:vAlign w:val="center"/>
    </w:tcPr>
    <w:tblStylePr w:type="firstRow">
      <w:rPr>
        <w:rFonts w:ascii="Poppins SemiBold" w:hAnsi="Poppins SemiBold"/>
        <w:b/>
        <w:bCs/>
        <w:color w:val="392388"/>
        <w:sz w:val="22"/>
        <w:szCs w:val="22"/>
      </w:rPr>
      <w:tblPr/>
      <w:tcPr>
        <w:tcBorders>
          <w:bottom w:val="single" w:sz="18" w:space="0" w:color="614FA0"/>
        </w:tcBorders>
        <w:shd w:val="clear" w:color="auto" w:fill="FFFFFF"/>
      </w:tcPr>
    </w:tblStylePr>
    <w:tblStylePr w:type="firstCol">
      <w:pPr>
        <w:jc w:val="left"/>
      </w:pPr>
    </w:tblStylePr>
    <w:tblStylePr w:type="band1Horz">
      <w:rPr>
        <w:rFonts w:ascii="Poppins" w:hAnsi="Poppins"/>
        <w:color w:val="392388"/>
        <w:sz w:val="22"/>
        <w:szCs w:val="22"/>
      </w:rPr>
      <w:tblPr/>
      <w:tcPr>
        <w:shd w:val="clear" w:color="auto" w:fill="FFFFFF"/>
      </w:tcPr>
    </w:tblStylePr>
    <w:tblStylePr w:type="band2Horz">
      <w:rPr>
        <w:rFonts w:ascii="Poppins" w:hAnsi="Poppins"/>
        <w:color w:val="392388"/>
        <w:sz w:val="22"/>
        <w:szCs w:val="22"/>
      </w:rPr>
      <w:tblPr/>
      <w:tcPr>
        <w:shd w:val="clear" w:color="auto" w:fill="EFEAFB"/>
      </w:tcPr>
    </w:tblStylePr>
  </w:style>
  <w:style w:type="character" w:customStyle="1" w:styleId="DefaqtoTableBody2Char">
    <w:name w:val="Defaqto Table Body 2 Char"/>
    <w:link w:val="DefaqtoTableBody2"/>
    <w:rPr>
      <w:rFonts w:ascii="Poppins" w:eastAsia="Times New Roman" w:hAnsi="Poppins" w:cs="Arial"/>
      <w:color w:val="392388"/>
      <w:sz w:val="16"/>
      <w:szCs w:val="16"/>
      <w:lang w:val="en-US" w:eastAsia="en-US"/>
    </w:rPr>
  </w:style>
  <w:style w:type="paragraph" w:customStyle="1" w:styleId="DefaqtoHeading1">
    <w:name w:val="Defaqto Heading 1"/>
    <w:basedOn w:val="Heading1"/>
    <w:next w:val="DefaqtoBody"/>
    <w:link w:val="DefaqtoHeading1Char"/>
    <w:qFormat/>
    <w:pPr>
      <w:spacing w:before="120" w:after="320"/>
      <w:ind w:left="0"/>
    </w:pPr>
    <w:rPr>
      <w:rFonts w:cs="Times New Roman"/>
      <w:b w:val="0"/>
      <w:bCs w:val="0"/>
      <w:sz w:val="48"/>
      <w:szCs w:val="48"/>
      <w:lang w:eastAsia="en-US"/>
    </w:rPr>
  </w:style>
  <w:style w:type="paragraph" w:customStyle="1" w:styleId="DefaqtoContentspageheading">
    <w:name w:val="Defaqto Contents page heading"/>
    <w:basedOn w:val="DefaqtoHeading1"/>
    <w:qFormat/>
    <w:pPr>
      <w:outlineLvl w:val="9"/>
    </w:pPr>
  </w:style>
  <w:style w:type="paragraph" w:customStyle="1" w:styleId="DefaqtoCoverHeading-noTOC">
    <w:name w:val="Defaqto Cover Heading - no TOC"/>
    <w:basedOn w:val="Heading1"/>
    <w:qFormat/>
    <w:pPr>
      <w:ind w:left="23"/>
      <w:outlineLvl w:val="9"/>
    </w:pPr>
    <w:rPr>
      <w:sz w:val="64"/>
      <w:szCs w:val="64"/>
    </w:rPr>
  </w:style>
  <w:style w:type="paragraph" w:customStyle="1" w:styleId="DefaqtoBodyAfterHeading">
    <w:name w:val="Defaqto Body After Heading"/>
    <w:basedOn w:val="DefaqtoBody"/>
    <w:link w:val="DefaqtoBodyAfterHeadingChar"/>
    <w:qFormat/>
    <w:pPr>
      <w:spacing w:before="0"/>
    </w:pPr>
  </w:style>
  <w:style w:type="character" w:customStyle="1" w:styleId="DefaqtoBodyAfterHeadingChar">
    <w:name w:val="Defaqto Body After Heading Char"/>
    <w:basedOn w:val="DefaqtoBodyChar"/>
    <w:link w:val="DefaqtoBodyAfterHeading"/>
    <w:rPr>
      <w:rFonts w:ascii="Calibri" w:eastAsia="Cambria" w:hAnsi="Calibri" w:cs="Times New Roman"/>
      <w:color w:val="7F7F7F"/>
      <w:sz w:val="24"/>
      <w:szCs w:val="24"/>
      <w:lang w:eastAsia="en-US"/>
    </w:rPr>
  </w:style>
  <w:style w:type="paragraph" w:customStyle="1" w:styleId="DefaqtoBodyHeading">
    <w:name w:val="Defaqto Body Heading"/>
    <w:basedOn w:val="DefaqtoIntroText"/>
    <w:link w:val="DefaqtoBodyHeadingChar"/>
    <w:qFormat/>
    <w:pPr>
      <w:spacing w:before="100" w:after="0"/>
      <w:contextualSpacing/>
    </w:pPr>
    <w:rPr>
      <w:rFonts w:eastAsia="Cambria"/>
      <w:b/>
      <w:bCs/>
      <w:color w:val="7F7F7F"/>
      <w:sz w:val="24"/>
      <w:szCs w:val="24"/>
    </w:rPr>
  </w:style>
  <w:style w:type="character" w:customStyle="1" w:styleId="DefaqtoBodyHeadingChar">
    <w:name w:val="Defaqto Body Heading Char"/>
    <w:basedOn w:val="DefaqtoIntroTextChar"/>
    <w:link w:val="DefaqtoBodyHeading"/>
    <w:rPr>
      <w:rFonts w:ascii="Calibri" w:eastAsia="Cambria" w:hAnsi="Calibri" w:cs="Times New Roman"/>
      <w:b/>
      <w:bCs/>
      <w:color w:val="7F7F7F"/>
      <w:sz w:val="24"/>
      <w:szCs w:val="24"/>
      <w:lang w:eastAsia="en-US"/>
    </w:rPr>
  </w:style>
  <w:style w:type="paragraph" w:styleId="TOC5">
    <w:name w:val="toc 5"/>
    <w:basedOn w:val="Normal"/>
    <w:next w:val="Normal"/>
    <w:uiPriority w:val="39"/>
    <w:unhideWhenUsed/>
    <w:pPr>
      <w:suppressAutoHyphens/>
      <w:spacing w:after="0" w:line="276" w:lineRule="auto"/>
      <w:ind w:left="800"/>
    </w:pPr>
    <w:rPr>
      <w:rFonts w:ascii="Poppins" w:eastAsia="Cambria" w:hAnsi="Poppins" w:cs="Arial"/>
      <w:color w:val="392388"/>
      <w:sz w:val="18"/>
      <w:szCs w:val="18"/>
      <w:lang w:eastAsia="en-US"/>
    </w:rPr>
  </w:style>
  <w:style w:type="paragraph" w:styleId="TOC6">
    <w:name w:val="toc 6"/>
    <w:basedOn w:val="Normal"/>
    <w:next w:val="Normal"/>
    <w:uiPriority w:val="39"/>
    <w:unhideWhenUsed/>
    <w:pPr>
      <w:suppressAutoHyphens/>
      <w:spacing w:after="0" w:line="276" w:lineRule="auto"/>
      <w:ind w:left="1000"/>
    </w:pPr>
    <w:rPr>
      <w:rFonts w:ascii="Poppins" w:eastAsia="Cambria" w:hAnsi="Poppins" w:cs="Arial"/>
      <w:color w:val="392388"/>
      <w:sz w:val="18"/>
      <w:szCs w:val="18"/>
      <w:lang w:eastAsia="en-US"/>
    </w:rPr>
  </w:style>
  <w:style w:type="paragraph" w:styleId="TOC7">
    <w:name w:val="toc 7"/>
    <w:basedOn w:val="Normal"/>
    <w:next w:val="Normal"/>
    <w:uiPriority w:val="39"/>
    <w:unhideWhenUsed/>
    <w:pPr>
      <w:suppressAutoHyphens/>
      <w:spacing w:after="0" w:line="276" w:lineRule="auto"/>
      <w:ind w:left="1200"/>
    </w:pPr>
    <w:rPr>
      <w:rFonts w:ascii="Poppins" w:eastAsia="Cambria" w:hAnsi="Poppins" w:cs="Arial"/>
      <w:color w:val="392388"/>
      <w:sz w:val="18"/>
      <w:szCs w:val="18"/>
      <w:lang w:eastAsia="en-US"/>
    </w:rPr>
  </w:style>
  <w:style w:type="paragraph" w:styleId="TOC8">
    <w:name w:val="toc 8"/>
    <w:basedOn w:val="Normal"/>
    <w:next w:val="Normal"/>
    <w:uiPriority w:val="39"/>
    <w:unhideWhenUsed/>
    <w:pPr>
      <w:suppressAutoHyphens/>
      <w:spacing w:after="0" w:line="276" w:lineRule="auto"/>
      <w:ind w:left="1400"/>
    </w:pPr>
    <w:rPr>
      <w:rFonts w:ascii="Poppins" w:eastAsia="Cambria" w:hAnsi="Poppins" w:cs="Arial"/>
      <w:color w:val="392388"/>
      <w:sz w:val="18"/>
      <w:szCs w:val="18"/>
      <w:lang w:eastAsia="en-US"/>
    </w:rPr>
  </w:style>
  <w:style w:type="paragraph" w:styleId="TOC9">
    <w:name w:val="toc 9"/>
    <w:basedOn w:val="Normal"/>
    <w:next w:val="Normal"/>
    <w:uiPriority w:val="39"/>
    <w:unhideWhenUsed/>
    <w:pPr>
      <w:suppressAutoHyphens/>
      <w:spacing w:after="0" w:line="276" w:lineRule="auto"/>
      <w:ind w:left="1600"/>
    </w:pPr>
    <w:rPr>
      <w:rFonts w:ascii="Poppins" w:eastAsia="Cambria" w:hAnsi="Poppins" w:cs="Arial"/>
      <w:color w:val="392388"/>
      <w:sz w:val="18"/>
      <w:szCs w:val="18"/>
      <w:lang w:eastAsia="en-US"/>
    </w:rPr>
  </w:style>
  <w:style w:type="paragraph" w:styleId="TOCHeading">
    <w:name w:val="TOC Heading"/>
    <w:basedOn w:val="Heading1"/>
    <w:next w:val="Normal"/>
    <w:uiPriority w:val="39"/>
    <w:qFormat/>
    <w:pPr>
      <w:spacing w:before="480" w:line="276" w:lineRule="auto"/>
      <w:ind w:left="0"/>
      <w:outlineLvl w:val="9"/>
    </w:pPr>
    <w:rPr>
      <w:rFonts w:ascii="Poppins" w:eastAsia="MS Gothic" w:hAnsi="Poppins" w:cs="Times New Roman"/>
      <w:color w:val="392388"/>
      <w:sz w:val="28"/>
      <w:szCs w:val="28"/>
      <w:lang w:val="en-US" w:eastAsia="en-US"/>
    </w:rPr>
  </w:style>
  <w:style w:type="table" w:customStyle="1" w:styleId="Custom1">
    <w:name w:val="Custom1"/>
    <w:basedOn w:val="TableNormal"/>
    <w:uiPriority w:val="99"/>
    <w:pPr>
      <w:spacing w:after="0" w:line="240" w:lineRule="auto"/>
    </w:pPr>
    <w:rPr>
      <w:rFonts w:ascii="Poppins" w:eastAsia="Times New Roman" w:hAnsi="Poppins"/>
      <w:color w:val="392388"/>
    </w:rPr>
    <w:tblPr>
      <w:tblStyleRowBandSize w:val="1"/>
      <w:tblStyleColBandSize w:val="1"/>
      <w:tblBorders>
        <w:top w:val="single" w:sz="4" w:space="0" w:color="B0A7CF"/>
        <w:left w:val="single" w:sz="4" w:space="0" w:color="B0A7CF"/>
        <w:bottom w:val="single" w:sz="4" w:space="0" w:color="B0A7CF"/>
        <w:right w:val="single" w:sz="4" w:space="0" w:color="B0A7CF"/>
        <w:insideH w:val="single" w:sz="4" w:space="0" w:color="B0A7CF"/>
        <w:insideV w:val="single" w:sz="4" w:space="0" w:color="B0A7CF"/>
      </w:tblBorders>
    </w:tblPr>
    <w:tcPr>
      <w:shd w:val="clear" w:color="auto" w:fill="FFFFFF"/>
    </w:tcPr>
    <w:tblStylePr w:type="firstCol">
      <w:rPr>
        <w:rFonts w:ascii="Poppins" w:hAnsi="Poppins"/>
        <w:b/>
        <w:bCs/>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Custom2">
    <w:name w:val="Custom2"/>
    <w:basedOn w:val="TableNormal"/>
    <w:uiPriority w:val="99"/>
    <w:pPr>
      <w:spacing w:after="0" w:line="240" w:lineRule="auto"/>
    </w:pPr>
    <w:rPr>
      <w:rFonts w:ascii="Times New Roman" w:eastAsia="Times New Roman" w:hAnsi="Times New Roman"/>
      <w:sz w:val="20"/>
      <w:szCs w:val="20"/>
    </w:rPr>
    <w:tblPr>
      <w:tblStyleRowBandSize w:val="1"/>
      <w:tblStyleColBandSize w:val="1"/>
    </w:tblPr>
  </w:style>
  <w:style w:type="table" w:customStyle="1" w:styleId="Custom2b">
    <w:name w:val="Custom2b"/>
    <w:basedOn w:val="Custom2"/>
    <w:uiPriority w:val="99"/>
    <w:rPr>
      <w:color w:val="000000"/>
    </w:rPr>
    <w:tblPr/>
    <w:tcPr>
      <w:shd w:val="clear" w:color="auto" w:fill="D9D9D9"/>
    </w:tcPr>
    <w:tblStylePr w:type="firstRow">
      <w:rPr>
        <w:b/>
        <w:bCs/>
      </w:rPr>
    </w:tblStylePr>
  </w:style>
  <w:style w:type="table" w:customStyle="1" w:styleId="Custom3">
    <w:name w:val="Custom3"/>
    <w:basedOn w:val="TableNormal"/>
    <w:uiPriority w:val="99"/>
    <w:pPr>
      <w:spacing w:after="0" w:line="240" w:lineRule="auto"/>
    </w:pPr>
    <w:rPr>
      <w:rFonts w:eastAsia="Times New Roman"/>
      <w:sz w:val="20"/>
      <w:szCs w:val="20"/>
    </w:rPr>
    <w:tblPr>
      <w:tblStyleRowBandSize w:val="1"/>
      <w:tblStyleColBandSize w:val="1"/>
      <w:tblBorders>
        <w:top w:val="single" w:sz="4" w:space="0" w:color="A6A6A6"/>
        <w:left w:val="nil"/>
        <w:bottom w:val="single" w:sz="4" w:space="0" w:color="A6A6A6"/>
        <w:right w:val="nil"/>
        <w:insideH w:val="single" w:sz="4" w:space="0" w:color="A6A6A6"/>
        <w:insideV w:val="nil"/>
      </w:tblBorders>
    </w:tblPr>
    <w:tcPr>
      <w:shd w:val="clear" w:color="auto" w:fill="FFFFFF"/>
    </w:tcPr>
    <w:tblStylePr w:type="firstRow">
      <w:rPr>
        <w:b/>
        <w:bCs/>
      </w:rPr>
      <w:tblPr/>
      <w:tcPr>
        <w:tcBorders>
          <w:top w:val="single" w:sz="4" w:space="0" w:color="auto"/>
        </w:tcBorders>
        <w:shd w:val="clear" w:color="auto" w:fill="FFFFFF"/>
        <w:vAlign w:val="top"/>
      </w:tcPr>
    </w:tblStylePr>
    <w:tblStylePr w:type="band1Horz">
      <w:tblPr/>
      <w:tcPr>
        <w:shd w:val="clear" w:color="auto" w:fill="FFFFFF"/>
        <w:vAlign w:val="top"/>
      </w:tcPr>
    </w:tblStylePr>
  </w:style>
  <w:style w:type="table" w:customStyle="1" w:styleId="Custom4">
    <w:name w:val="Custom4"/>
    <w:basedOn w:val="Custom1"/>
    <w:uiPriority w:val="99"/>
    <w:tblPr>
      <w:tblBorders>
        <w:top w:val="single" w:sz="4" w:space="0" w:color="BFBFBF"/>
        <w:left w:val="nil"/>
        <w:bottom w:val="single" w:sz="4" w:space="0" w:color="BFBFBF"/>
        <w:right w:val="nil"/>
        <w:insideH w:val="single" w:sz="4" w:space="0" w:color="BFBFBF"/>
        <w:insideV w:val="nil"/>
      </w:tblBorders>
    </w:tblPr>
    <w:tblStylePr w:type="firstRow">
      <w:rPr>
        <w:b/>
        <w:bCs/>
      </w:rPr>
      <w:tblPr/>
      <w:tcPr>
        <w:tcBorders>
          <w:top w:val="single" w:sz="4" w:space="0" w:color="auto"/>
          <w:bottom w:val="single" w:sz="4" w:space="0" w:color="auto"/>
        </w:tcBorders>
        <w:vAlign w:val="top"/>
      </w:tcPr>
    </w:tblStylePr>
    <w:tblStylePr w:type="firstCol">
      <w:rPr>
        <w:rFonts w:ascii="Poppins" w:hAnsi="Poppins"/>
        <w:b w:val="0"/>
        <w:bCs w:val="0"/>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shd w:val="clear" w:color="auto" w:fill="E4E4E4"/>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Custom5">
    <w:name w:val="Custom5"/>
    <w:basedOn w:val="Custom3"/>
    <w:uiPriority w:val="99"/>
    <w:rPr>
      <w:rFonts w:ascii="Arial" w:hAnsi="Arial"/>
      <w:sz w:val="24"/>
      <w:szCs w:val="24"/>
    </w:rPr>
    <w:tblPr>
      <w:tblBorders>
        <w:top w:val="nil"/>
        <w:bottom w:val="single" w:sz="4" w:space="0" w:color="BFBFBF"/>
        <w:insideH w:val="single" w:sz="4" w:space="0" w:color="BFBFBF"/>
      </w:tblBorders>
    </w:tblPr>
    <w:tblStylePr w:type="firstRow">
      <w:rPr>
        <w:b/>
        <w:bCs/>
      </w:rPr>
      <w:tblPr/>
      <w:tcPr>
        <w:tcBorders>
          <w:top w:val="single" w:sz="4" w:space="0" w:color="808080"/>
          <w:bottom w:val="single" w:sz="4" w:space="0" w:color="808080"/>
        </w:tcBorders>
        <w:shd w:val="clear" w:color="auto" w:fill="FFFFFF"/>
        <w:vAlign w:val="top"/>
      </w:tcPr>
    </w:tblStylePr>
    <w:tblStylePr w:type="firstCol">
      <w:pPr>
        <w:wordWrap/>
        <w:jc w:val="center"/>
      </w:pPr>
    </w:tblStylePr>
    <w:tblStylePr w:type="band1Horz">
      <w:tblPr/>
      <w:tcPr>
        <w:shd w:val="clear" w:color="auto" w:fill="FFFFFF"/>
        <w:vAlign w:val="top"/>
      </w:tcPr>
    </w:tblStylePr>
  </w:style>
  <w:style w:type="character" w:customStyle="1" w:styleId="DefaqtoTableBodyChar">
    <w:name w:val="Defaqto Table Body Char"/>
    <w:link w:val="DefaqtoTableBody"/>
    <w:rPr>
      <w:rFonts w:ascii="Calibri" w:eastAsia="Times New Roman" w:hAnsi="Calibri" w:cs="Arial"/>
      <w:sz w:val="16"/>
      <w:szCs w:val="16"/>
      <w:lang w:val="en-US" w:eastAsia="en-US"/>
    </w:rPr>
  </w:style>
  <w:style w:type="paragraph" w:styleId="TOC1">
    <w:name w:val="toc 1"/>
    <w:basedOn w:val="Normal"/>
    <w:next w:val="Normal"/>
    <w:link w:val="TOC1Char"/>
    <w:uiPriority w:val="39"/>
    <w:pPr>
      <w:tabs>
        <w:tab w:val="right" w:leader="dot" w:pos="10456"/>
      </w:tabs>
      <w:suppressAutoHyphens/>
      <w:spacing w:before="120" w:after="120" w:line="276" w:lineRule="auto"/>
    </w:pPr>
    <w:rPr>
      <w:rFonts w:ascii="Poppins" w:eastAsia="Cambria" w:hAnsi="Poppins" w:cs="Arial"/>
      <w:b/>
      <w:bCs/>
      <w:caps/>
      <w:color w:val="392388"/>
      <w:sz w:val="20"/>
      <w:szCs w:val="20"/>
      <w:lang w:eastAsia="en-US"/>
    </w:rPr>
  </w:style>
  <w:style w:type="character" w:customStyle="1" w:styleId="TOC1Char">
    <w:name w:val="TOC 1 Char"/>
    <w:link w:val="TOC1"/>
    <w:uiPriority w:val="39"/>
    <w:rPr>
      <w:rFonts w:ascii="Poppins" w:eastAsia="Cambria" w:hAnsi="Poppins" w:cs="Arial"/>
      <w:b/>
      <w:bCs/>
      <w:caps/>
      <w:color w:val="392388"/>
      <w:sz w:val="20"/>
      <w:szCs w:val="20"/>
      <w:lang w:eastAsia="en-US"/>
    </w:rPr>
  </w:style>
  <w:style w:type="paragraph" w:styleId="TOC2">
    <w:name w:val="toc 2"/>
    <w:basedOn w:val="Normal"/>
    <w:next w:val="Normal"/>
    <w:uiPriority w:val="39"/>
    <w:pPr>
      <w:suppressAutoHyphens/>
      <w:spacing w:after="0" w:line="276" w:lineRule="auto"/>
      <w:ind w:left="200"/>
    </w:pPr>
    <w:rPr>
      <w:rFonts w:ascii="Poppins" w:eastAsia="Cambria" w:hAnsi="Poppins" w:cs="Arial"/>
      <w:smallCaps/>
      <w:color w:val="392388"/>
      <w:sz w:val="20"/>
      <w:szCs w:val="20"/>
      <w:lang w:eastAsia="en-US"/>
    </w:rPr>
  </w:style>
  <w:style w:type="paragraph" w:styleId="TOC3">
    <w:name w:val="toc 3"/>
    <w:basedOn w:val="Normal"/>
    <w:next w:val="Normal"/>
    <w:uiPriority w:val="39"/>
    <w:pPr>
      <w:suppressAutoHyphens/>
      <w:spacing w:after="0" w:line="276" w:lineRule="auto"/>
      <w:ind w:left="400"/>
    </w:pPr>
    <w:rPr>
      <w:rFonts w:ascii="Poppins" w:eastAsia="Cambria" w:hAnsi="Poppins" w:cs="Arial"/>
      <w:i/>
      <w:color w:val="392388"/>
      <w:sz w:val="20"/>
      <w:szCs w:val="20"/>
      <w:lang w:eastAsia="en-US"/>
    </w:rPr>
  </w:style>
  <w:style w:type="paragraph" w:styleId="TOC4">
    <w:name w:val="toc 4"/>
    <w:basedOn w:val="Normal"/>
    <w:next w:val="Normal"/>
    <w:uiPriority w:val="39"/>
    <w:unhideWhenUsed/>
    <w:pPr>
      <w:suppressAutoHyphens/>
      <w:spacing w:after="0" w:line="276" w:lineRule="auto"/>
      <w:ind w:left="600"/>
    </w:pPr>
    <w:rPr>
      <w:rFonts w:ascii="Poppins" w:eastAsia="Cambria" w:hAnsi="Poppins" w:cs="Arial"/>
      <w:color w:val="392388"/>
      <w:sz w:val="18"/>
      <w:szCs w:val="18"/>
      <w:lang w:eastAsia="en-US"/>
    </w:rPr>
  </w:style>
  <w:style w:type="table" w:customStyle="1" w:styleId="Custom6">
    <w:name w:val="Custom6"/>
    <w:basedOn w:val="TableNormal"/>
    <w:uiPriority w:val="99"/>
    <w:pPr>
      <w:spacing w:after="0" w:line="240" w:lineRule="auto"/>
    </w:pPr>
    <w:rPr>
      <w:rFonts w:ascii="Poppins" w:eastAsia="Times New Roman" w:hAnsi="Poppins"/>
      <w:color w:val="392388"/>
      <w:sz w:val="28"/>
      <w:szCs w:val="28"/>
    </w:rPr>
    <w:tblPr>
      <w:tblStyleRowBandSize w:val="1"/>
      <w:tblStyleColBandSize w:val="1"/>
      <w:tblCellSpacing w:w="17" w:type="dxa"/>
      <w:tblBorders>
        <w:top w:val="nil"/>
        <w:left w:val="nil"/>
        <w:bottom w:val="nil"/>
        <w:right w:val="nil"/>
        <w:insideH w:val="single" w:sz="8" w:space="0" w:color="B0A7CF"/>
        <w:insideV w:val="single" w:sz="8" w:space="0" w:color="B0A7CF"/>
      </w:tblBorders>
      <w:tblCellMar>
        <w:top w:w="85" w:type="dxa"/>
        <w:left w:w="142" w:type="dxa"/>
        <w:bottom w:w="85" w:type="dxa"/>
        <w:right w:w="142" w:type="dxa"/>
      </w:tblCellMar>
    </w:tblPr>
    <w:trPr>
      <w:tblCellSpacing w:w="17" w:type="dxa"/>
    </w:trPr>
    <w:tcPr>
      <w:shd w:val="clear" w:color="auto" w:fill="FFFFFF"/>
      <w:vAlign w:val="center"/>
    </w:tcPr>
    <w:tblStylePr w:type="firstRow">
      <w:rPr>
        <w:b/>
        <w:bCs/>
      </w:rPr>
    </w:tblStylePr>
  </w:style>
  <w:style w:type="table" w:customStyle="1" w:styleId="CustomPR1">
    <w:name w:val="CustomPR1"/>
    <w:basedOn w:val="TableNormal"/>
    <w:uiPriority w:val="99"/>
    <w:pPr>
      <w:spacing w:after="0" w:line="240" w:lineRule="auto"/>
    </w:pPr>
    <w:rPr>
      <w:rFonts w:ascii="Times New Roman" w:eastAsia="Times New Roman" w:hAnsi="Times New Roman"/>
      <w:sz w:val="20"/>
      <w:szCs w:val="20"/>
    </w:rPr>
    <w:tblPr>
      <w:tblStyleRowBandSize w:val="1"/>
      <w:tblStyleColBandSize w:val="1"/>
      <w:tblBorders>
        <w:top w:val="nil"/>
        <w:left w:val="nil"/>
        <w:bottom w:val="nil"/>
        <w:right w:val="nil"/>
        <w:insideH w:val="single" w:sz="36" w:space="0" w:color="FFFFFF"/>
        <w:insideV w:val="single" w:sz="36" w:space="0" w:color="FFFFFF"/>
      </w:tblBorders>
    </w:tblPr>
  </w:style>
  <w:style w:type="table" w:customStyle="1" w:styleId="CustomPR2">
    <w:name w:val="CustomPR2"/>
    <w:basedOn w:val="TableNormal"/>
    <w:uiPriority w:val="99"/>
    <w:pPr>
      <w:spacing w:after="0" w:line="240" w:lineRule="auto"/>
    </w:pPr>
    <w:rPr>
      <w:rFonts w:eastAsia="Times New Roman"/>
      <w:sz w:val="18"/>
      <w:szCs w:val="18"/>
    </w:rPr>
    <w:tblPr>
      <w:tblStyleRowBandSize w:val="1"/>
      <w:tblStyleColBandSize w:val="1"/>
      <w:jc w:val="center"/>
      <w:tblBorders>
        <w:top w:val="single" w:sz="4" w:space="0" w:color="7F7F7F"/>
        <w:left w:val="nil"/>
        <w:bottom w:val="single" w:sz="4" w:space="0" w:color="7F7F7F"/>
        <w:right w:val="nil"/>
        <w:insideH w:val="single" w:sz="4" w:space="0" w:color="7F7F7F"/>
        <w:insideV w:val="nil"/>
      </w:tblBorders>
    </w:tblPr>
    <w:trPr>
      <w:jc w:val="center"/>
    </w:trPr>
    <w:tcPr>
      <w:tcMar>
        <w:top w:w="144" w:type="dxa"/>
        <w:left w:w="115" w:type="dxa"/>
        <w:bottom w:w="144" w:type="dxa"/>
        <w:right w:w="115" w:type="dxa"/>
      </w:tcMar>
    </w:tcPr>
    <w:tblStylePr w:type="firstRow">
      <w:rPr>
        <w:rFonts w:ascii="Calibri" w:hAnsi="Calibri"/>
        <w:b/>
        <w:bCs/>
        <w:sz w:val="16"/>
        <w:szCs w:val="16"/>
      </w:rPr>
    </w:tblStylePr>
  </w:style>
  <w:style w:type="table" w:customStyle="1" w:styleId="CustomPR3">
    <w:name w:val="CustomPR3"/>
    <w:basedOn w:val="CustomPR1"/>
    <w:uiPriority w:val="99"/>
    <w:tblPr>
      <w:tblBorders>
        <w:insideH w:val="nil"/>
        <w:insideV w:val="nil"/>
      </w:tblBorders>
    </w:tblPr>
    <w:tblStylePr w:type="firstRow">
      <w:rPr>
        <w:b/>
        <w:bCs/>
      </w:rPr>
    </w:tblStylePr>
    <w:tblStylePr w:type="lastRow">
      <w:rPr>
        <w:b/>
        <w:bCs/>
      </w:rPr>
    </w:tblStylePr>
  </w:style>
  <w:style w:type="table" w:customStyle="1" w:styleId="DefaqtoTable-Plain">
    <w:name w:val="Defaqto Table - Plain"/>
    <w:basedOn w:val="TableNormal"/>
    <w:uiPriority w:val="99"/>
    <w:pPr>
      <w:spacing w:after="0" w:line="240" w:lineRule="auto"/>
    </w:pPr>
    <w:rPr>
      <w:rFonts w:ascii="Poppins" w:eastAsia="Times New Roman" w:hAnsi="Poppins"/>
      <w:color w:val="392388"/>
      <w:sz w:val="20"/>
      <w:szCs w:val="20"/>
    </w:rPr>
    <w:tblPr>
      <w:tblStyleRowBandSize w:val="1"/>
      <w:tblStyleColBandSize w:val="1"/>
    </w:tblPr>
  </w:style>
  <w:style w:type="table" w:customStyle="1" w:styleId="CustomPR4">
    <w:name w:val="CustomPR4"/>
    <w:basedOn w:val="DefaqtoTable-Plain"/>
    <w:uiPriority w:val="99"/>
    <w:rPr>
      <w:rFonts w:ascii="Calibri" w:hAnsi="Calibri"/>
      <w:color w:val="000000"/>
    </w:rPr>
    <w:tblPr>
      <w:tblCellSpacing w:w="17" w:type="dxa"/>
      <w:tblBorders>
        <w:top w:val="nil"/>
        <w:left w:val="nil"/>
        <w:bottom w:val="nil"/>
        <w:right w:val="nil"/>
        <w:insideH w:val="nil"/>
        <w:insideV w:val="nil"/>
      </w:tblBorders>
      <w:tblCellMar>
        <w:top w:w="85" w:type="dxa"/>
        <w:left w:w="142" w:type="dxa"/>
        <w:bottom w:w="85" w:type="dxa"/>
        <w:right w:w="142" w:type="dxa"/>
      </w:tblCellMar>
    </w:tblPr>
    <w:trPr>
      <w:tblCellSpacing w:w="17" w:type="dxa"/>
    </w:trPr>
    <w:tcPr>
      <w:shd w:val="clear" w:color="auto" w:fill="D9D9D9"/>
      <w:vAlign w:val="center"/>
    </w:tcPr>
    <w:tblStylePr w:type="firstRow">
      <w:rPr>
        <w:b w:val="0"/>
        <w:bCs w:val="0"/>
      </w:rPr>
    </w:tblStylePr>
    <w:tblStylePr w:type="firstCol">
      <w:rPr>
        <w:b/>
        <w:bCs/>
      </w:rPr>
    </w:tblStylePr>
    <w:tblStylePr w:type="nwCell">
      <w:rPr>
        <w:b/>
        <w:bCs/>
      </w:rPr>
    </w:tblStylePr>
  </w:style>
  <w:style w:type="table" w:customStyle="1" w:styleId="CustomPR5">
    <w:name w:val="CustomPR5"/>
    <w:basedOn w:val="Custom4"/>
    <w:uiPriority w:val="99"/>
    <w:pPr>
      <w:spacing w:line="360" w:lineRule="auto"/>
    </w:pPr>
    <w:rPr>
      <w:rFonts w:ascii="Calibri" w:hAnsi="Calibri"/>
    </w:rPr>
    <w:tblPr>
      <w:tblBorders>
        <w:top w:val="single" w:sz="4" w:space="0" w:color="auto"/>
        <w:bottom w:val="nil"/>
        <w:insideH w:val="nil"/>
      </w:tblBorders>
    </w:tblPr>
    <w:tblStylePr w:type="firstRow">
      <w:rPr>
        <w:b/>
        <w:bCs/>
      </w:rPr>
      <w:tblPr/>
      <w:tcPr>
        <w:tcBorders>
          <w:top w:val="nil"/>
          <w:left w:val="nil"/>
          <w:bottom w:val="single" w:sz="4" w:space="0" w:color="auto"/>
          <w:right w:val="nil"/>
          <w:tl2br w:val="nil"/>
          <w:tr2bl w:val="nil"/>
        </w:tcBorders>
        <w:vAlign w:val="top"/>
      </w:tcPr>
    </w:tblStylePr>
    <w:tblStylePr w:type="firstCol">
      <w:rPr>
        <w:rFonts w:ascii="Poppins" w:hAnsi="Poppins"/>
        <w:b w:val="0"/>
        <w:bCs w:val="0"/>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shd w:val="clear" w:color="auto" w:fill="E4E4E4"/>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DefaqtoChartBorder">
    <w:name w:val="Defaqto Chart Border"/>
    <w:basedOn w:val="TableNormal"/>
    <w:qFormat/>
    <w:pPr>
      <w:spacing w:after="0" w:line="240" w:lineRule="auto"/>
    </w:pPr>
    <w:tblPr>
      <w:tblStyleRowBandSize w:val="1"/>
      <w:tblStyleColBandSize w:val="1"/>
      <w:tblCellMar>
        <w:left w:w="0" w:type="dxa"/>
        <w:right w:w="0" w:type="dxa"/>
      </w:tblCellMar>
    </w:tblPr>
    <w:tblStylePr w:type="firstRow">
      <w:tblPr/>
      <w:tcPr>
        <w:tcBorders>
          <w:top w:val="nil"/>
          <w:left w:val="nil"/>
          <w:bottom w:val="nil"/>
          <w:right w:val="nil"/>
          <w:insideH w:val="nil"/>
          <w:insideV w:val="nil"/>
          <w:tl2br w:val="nil"/>
          <w:tr2bl w:val="nil"/>
        </w:tcBorders>
      </w:tcPr>
    </w:tblStylePr>
    <w:tblStylePr w:type="lastRow">
      <w:tblPr/>
      <w:tcPr>
        <w:tcBorders>
          <w:top w:val="nil"/>
          <w:left w:val="nil"/>
          <w:bottom w:val="nil"/>
          <w:right w:val="nil"/>
          <w:insideH w:val="nil"/>
          <w:insideV w:val="nil"/>
        </w:tcBorders>
      </w:tcPr>
    </w:tblStylePr>
    <w:tblStylePr w:type="firstCol">
      <w:tblPr/>
      <w:tcPr>
        <w:tcBorders>
          <w:top w:val="nil"/>
          <w:left w:val="nil"/>
          <w:bottom w:val="nil"/>
          <w:right w:val="nil"/>
          <w:insideH w:val="nil"/>
          <w:insideV w:val="nil"/>
          <w:tl2br w:val="nil"/>
          <w:tr2bl w:val="nil"/>
        </w:tcBorders>
      </w:tcPr>
    </w:tblStylePr>
    <w:tblStylePr w:type="nwCell">
      <w:tblPr/>
      <w:tcPr>
        <w:tcBorders>
          <w:top w:val="single" w:sz="12" w:space="0" w:color="D0CECE"/>
          <w:left w:val="single" w:sz="12" w:space="0" w:color="D0CECE"/>
          <w:bottom w:val="single" w:sz="12" w:space="0" w:color="D0CECE"/>
          <w:right w:val="single" w:sz="12" w:space="0" w:color="D0CECE"/>
        </w:tcBorders>
      </w:tcPr>
    </w:tblStylePr>
    <w:tblStylePr w:type="swCell">
      <w:pPr>
        <w:jc w:val="center"/>
      </w:pPr>
      <w:rPr>
        <w:b/>
        <w:bCs/>
      </w:rPr>
      <w:tblPr/>
      <w:tcPr>
        <w:vAlign w:val="center"/>
      </w:tcPr>
    </w:tblStylePr>
  </w:style>
  <w:style w:type="character" w:customStyle="1" w:styleId="DefaqtoHeading1Char">
    <w:name w:val="Defaqto Heading 1 Char"/>
    <w:link w:val="DefaqtoHeading1"/>
    <w:rPr>
      <w:rFonts w:ascii="Poppins SemiBold" w:eastAsia="Calibri" w:hAnsi="Poppins SemiBold" w:cs="Times New Roman"/>
      <w:color w:val="3B2B8C"/>
      <w:sz w:val="48"/>
      <w:szCs w:val="48"/>
      <w:lang w:eastAsia="en-US"/>
    </w:rPr>
  </w:style>
  <w:style w:type="paragraph" w:customStyle="1" w:styleId="DefaqtoHeading1-noTOC">
    <w:name w:val="Defaqto Heading 1 - no TOC"/>
    <w:basedOn w:val="DefaqtoHeading1"/>
    <w:qFormat/>
    <w:pPr>
      <w:spacing w:before="240" w:line="640" w:lineRule="exact"/>
      <w:outlineLvl w:val="9"/>
    </w:pPr>
    <w:rPr>
      <w:position w:val="6"/>
      <w:lang w:eastAsia="en-GB"/>
    </w:rPr>
  </w:style>
  <w:style w:type="character" w:customStyle="1" w:styleId="DefaqtoHeading2Char">
    <w:name w:val="Defaqto Heading 2 Char"/>
    <w:link w:val="DefaqtoHeading2"/>
    <w:rPr>
      <w:rFonts w:ascii="Poppins SemiBold" w:eastAsia="Cambria" w:hAnsi="Poppins SemiBold" w:cs="Times New Roman"/>
      <w:color w:val="392388"/>
      <w:sz w:val="32"/>
      <w:szCs w:val="32"/>
      <w:lang w:eastAsia="en-US"/>
    </w:rPr>
  </w:style>
  <w:style w:type="character" w:customStyle="1" w:styleId="DefaqtoHeading3Char">
    <w:name w:val="Defaqto Heading 3 Char"/>
    <w:link w:val="DefaqtoHeading3"/>
    <w:rPr>
      <w:rFonts w:ascii="Poppins SemiBold" w:eastAsia="Calibri" w:hAnsi="Poppins SemiBold" w:cs="Calibri"/>
      <w:color w:val="392388"/>
      <w:lang w:val="en-NZ"/>
    </w:rPr>
  </w:style>
  <w:style w:type="paragraph" w:customStyle="1" w:styleId="DefaqtoHeading4">
    <w:name w:val="Defaqto Heading 4"/>
    <w:basedOn w:val="DefaqtoHeading3"/>
    <w:next w:val="DefaqtoBody"/>
    <w:qFormat/>
    <w:pPr>
      <w:ind w:left="11" w:hanging="11"/>
      <w:outlineLvl w:val="3"/>
    </w:pPr>
  </w:style>
  <w:style w:type="table" w:customStyle="1" w:styleId="DefaqtoQuestionnaire">
    <w:name w:val="Defaqto Questionnaire"/>
    <w:basedOn w:val="TableNormal"/>
    <w:uiPriority w:val="99"/>
    <w:pPr>
      <w:spacing w:before="100" w:after="0" w:line="276" w:lineRule="auto"/>
    </w:pPr>
    <w:rPr>
      <w:rFonts w:ascii="Arial" w:eastAsia="Times New Roman" w:hAnsi="Arial"/>
      <w:color w:val="595959"/>
      <w:sz w:val="18"/>
      <w:szCs w:val="18"/>
    </w:rPr>
    <w:tblPr>
      <w:tblStyleRowBandSize w:val="1"/>
      <w:tblStyleColBandSize w:val="1"/>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Pr>
    <w:tcPr>
      <w:shd w:val="clear" w:color="auto" w:fill="auto"/>
      <w:tcMar>
        <w:top w:w="108" w:type="dxa"/>
        <w:bottom w:w="108" w:type="dxa"/>
      </w:tcMar>
    </w:tcPr>
    <w:tblStylePr w:type="firstRow">
      <w:rPr>
        <w:rFonts w:ascii="Arial" w:hAnsi="Arial"/>
        <w:b/>
        <w:bCs/>
        <w:sz w:val="18"/>
        <w:szCs w:val="18"/>
      </w:rPr>
    </w:tblStylePr>
    <w:tblStylePr w:type="band1Horz">
      <w:rPr>
        <w:rFonts w:ascii="Arial" w:hAnsi="Arial"/>
        <w:sz w:val="18"/>
        <w:szCs w:val="18"/>
      </w:rPr>
      <w:tblPr/>
      <w:tcPr>
        <w:shd w:val="clear" w:color="auto" w:fill="E2EBCF"/>
      </w:tcPr>
    </w:tblStylePr>
    <w:tblStylePr w:type="band2Horz">
      <w:rPr>
        <w:rFonts w:ascii="Arial" w:hAnsi="Arial"/>
        <w:sz w:val="18"/>
        <w:szCs w:val="18"/>
      </w:rPr>
    </w:tblStylePr>
  </w:style>
  <w:style w:type="table" w:customStyle="1" w:styleId="DefaqtoStarRatingsTable">
    <w:name w:val="Defaqto Star Ratings Table"/>
    <w:basedOn w:val="TableNormal"/>
    <w:uiPriority w:val="99"/>
    <w:pPr>
      <w:spacing w:after="0" w:line="240" w:lineRule="auto"/>
      <w:jc w:val="center"/>
    </w:pPr>
    <w:rPr>
      <w:rFonts w:ascii="Poppins" w:hAnsi="Poppins"/>
      <w:color w:val="392388"/>
    </w:rPr>
    <w:tblPr>
      <w:tblStyleRowBandSize w:val="1"/>
      <w:tblStyleColBandSize w:val="1"/>
      <w:tblBorders>
        <w:top w:val="single" w:sz="4" w:space="0" w:color="B0A7CF"/>
        <w:left w:val="single" w:sz="4" w:space="0" w:color="B0A7CF"/>
        <w:bottom w:val="single" w:sz="4" w:space="0" w:color="B0A7CF"/>
        <w:right w:val="single" w:sz="4" w:space="0" w:color="B0A7CF"/>
      </w:tblBorders>
    </w:tblPr>
    <w:tcPr>
      <w:shd w:val="clear" w:color="auto" w:fill="auto"/>
      <w:vAlign w:val="center"/>
    </w:tcPr>
  </w:style>
  <w:style w:type="paragraph" w:customStyle="1" w:styleId="DefaqtoTableBody3">
    <w:name w:val="Defaqto Table Body 3"/>
    <w:basedOn w:val="Normal"/>
    <w:qFormat/>
    <w:pPr>
      <w:spacing w:before="60" w:after="60" w:line="240" w:lineRule="auto"/>
    </w:pPr>
    <w:rPr>
      <w:rFonts w:ascii="Arial" w:eastAsia="Times New Roman" w:hAnsi="Arial" w:cs="Arial"/>
      <w:color w:val="595959"/>
      <w:sz w:val="18"/>
      <w:szCs w:val="18"/>
      <w:lang w:val="en-US"/>
    </w:rPr>
  </w:style>
  <w:style w:type="paragraph" w:customStyle="1" w:styleId="Defaqtotableheader">
    <w:name w:val="Defaqto table header"/>
    <w:basedOn w:val="Normal"/>
    <w:link w:val="DefaqtotableheaderChar"/>
    <w:qFormat/>
    <w:pPr>
      <w:spacing w:after="0"/>
    </w:pPr>
    <w:rPr>
      <w:rFonts w:ascii="Arial" w:eastAsia="Arial" w:hAnsi="Arial" w:cs="Times New Roman"/>
      <w:color w:val="FFFFFF"/>
      <w:lang w:eastAsia="en-US"/>
    </w:rPr>
  </w:style>
  <w:style w:type="character" w:customStyle="1" w:styleId="DefaqtotableheaderChar">
    <w:name w:val="Defaqto table header Char"/>
    <w:link w:val="Defaqtotableheader"/>
    <w:rPr>
      <w:rFonts w:ascii="Arial" w:eastAsia="Arial" w:hAnsi="Arial" w:cs="Times New Roman"/>
      <w:color w:val="FFFFFF"/>
      <w:lang w:eastAsia="en-US"/>
    </w:rPr>
  </w:style>
  <w:style w:type="table" w:customStyle="1" w:styleId="DefaqtoTableOLD">
    <w:name w:val="Defaqto Table OLD"/>
    <w:basedOn w:val="TableNormal"/>
    <w:uiPriority w:val="99"/>
    <w:pPr>
      <w:spacing w:after="0" w:line="240" w:lineRule="auto"/>
    </w:pPr>
    <w:rPr>
      <w:rFonts w:eastAsia="Times New Roman"/>
      <w:sz w:val="16"/>
      <w:szCs w:val="16"/>
    </w:rPr>
    <w:tblPr>
      <w:tblStyleRowBandSize w:val="1"/>
      <w:tblStyleColBandSize w:val="1"/>
      <w:tblBorders>
        <w:top w:val="single" w:sz="4" w:space="0" w:color="7F7F7F"/>
        <w:left w:val="nil"/>
        <w:bottom w:val="single" w:sz="4" w:space="0" w:color="7F7F7F"/>
        <w:right w:val="nil"/>
        <w:insideH w:val="nil"/>
        <w:insideV w:val="nil"/>
      </w:tblBorders>
      <w:tblCellMar>
        <w:top w:w="28" w:type="dxa"/>
        <w:bottom w:w="28" w:type="dxa"/>
      </w:tblCellMar>
    </w:tblPr>
    <w:tblStylePr w:type="firstRow">
      <w:rPr>
        <w:rFonts w:ascii="Times New Roman" w:hAnsi="Times New Roman"/>
        <w:b/>
        <w:bCs/>
        <w:sz w:val="16"/>
        <w:szCs w:val="16"/>
      </w:rPr>
      <w:tblPr/>
      <w:tcPr>
        <w:tcBorders>
          <w:bottom w:val="single" w:sz="4" w:space="0" w:color="7F7F7F"/>
        </w:tcBorders>
        <w:vAlign w:val="center"/>
      </w:tcPr>
    </w:tblStylePr>
    <w:tblStylePr w:type="lastRow">
      <w:rPr>
        <w:b/>
        <w:bCs/>
      </w:rPr>
      <w:tblPr/>
      <w:tcPr>
        <w:tcBorders>
          <w:top w:val="single" w:sz="4" w:space="0" w:color="7F7F7F"/>
        </w:tcBorders>
        <w:vAlign w:val="top"/>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vAlign w:val="top"/>
      </w:tcPr>
    </w:tblStylePr>
    <w:tblStylePr w:type="band2Vert">
      <w:tblPr/>
      <w:tcPr>
        <w:tcBorders>
          <w:left w:val="single" w:sz="4" w:space="0" w:color="7F7F7F"/>
          <w:right w:val="single" w:sz="4" w:space="0" w:color="7F7F7F"/>
        </w:tcBorders>
        <w:vAlign w:val="top"/>
      </w:tcPr>
    </w:tblStylePr>
    <w:tblStylePr w:type="band1Horz">
      <w:tblPr/>
      <w:tcPr>
        <w:tcBorders>
          <w:top w:val="single" w:sz="4" w:space="0" w:color="7F7F7F"/>
          <w:bottom w:val="single" w:sz="4" w:space="0" w:color="7F7F7F"/>
        </w:tcBorders>
        <w:vAlign w:val="top"/>
      </w:tcPr>
    </w:tblStyle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paragraph" w:customStyle="1" w:styleId="Tag">
    <w:name w:val="Tag"/>
    <w:basedOn w:val="Normal"/>
    <w:qFormat/>
    <w:pPr>
      <w:spacing w:after="200"/>
    </w:pPr>
    <w:rPr>
      <w:rFonts w:ascii="Arial" w:eastAsia="Arial" w:hAnsi="Arial" w:cs="Times New Roman"/>
      <w:b/>
      <w:bCs/>
      <w:color w:val="FF0000"/>
      <w:sz w:val="28"/>
      <w:szCs w:val="28"/>
      <w:lang w:eastAsia="en-US"/>
    </w:rPr>
  </w:style>
  <w:style w:type="paragraph" w:customStyle="1" w:styleId="RecommendationHeading">
    <w:name w:val="Recommendation Heading"/>
    <w:basedOn w:val="DefaqtoContentspageheading"/>
    <w:qFormat/>
    <w:pPr>
      <w:spacing w:before="240" w:line="640" w:lineRule="exact"/>
    </w:pPr>
    <w:rPr>
      <w:position w:val="6"/>
    </w:rPr>
  </w:style>
  <w:style w:type="paragraph" w:customStyle="1" w:styleId="CSRHeading2">
    <w:name w:val="CSRHeading2"/>
    <w:basedOn w:val="Heading2"/>
    <w:qFormat/>
    <w:pPr>
      <w:spacing w:after="0"/>
      <w:ind w:left="0"/>
    </w:pPr>
    <w:rPr>
      <w:rFonts w:ascii="Calibri Light" w:hAnsi="Calibri Light"/>
      <w:color w:val="005493"/>
      <w:sz w:val="76"/>
      <w:szCs w:val="76"/>
    </w:rPr>
  </w:style>
  <w:style w:type="paragraph" w:customStyle="1" w:styleId="CSRHeading3-noTOC">
    <w:name w:val="CSRHeading3 - no TOC"/>
    <w:basedOn w:val="Normal"/>
    <w:qFormat/>
    <w:pPr>
      <w:spacing w:line="256" w:lineRule="auto"/>
    </w:pPr>
    <w:rPr>
      <w:rFonts w:ascii="Calibri Light" w:hAnsi="Calibri Light"/>
      <w:color w:val="005392"/>
      <w:sz w:val="44"/>
      <w:szCs w:val="44"/>
    </w:rPr>
  </w:style>
  <w:style w:type="paragraph" w:customStyle="1" w:styleId="CSRHeading5">
    <w:name w:val="CSRHeading5"/>
    <w:basedOn w:val="Heading5"/>
    <w:qFormat/>
    <w:rPr>
      <w:color w:val="005493"/>
      <w:sz w:val="24"/>
      <w:szCs w:val="24"/>
    </w:rPr>
  </w:style>
  <w:style w:type="character" w:customStyle="1" w:styleId="CSRHeading2Char">
    <w:name w:val="CSRHeading2 Char"/>
    <w:basedOn w:val="Heading2Char"/>
    <w:qFormat/>
    <w:rPr>
      <w:rFonts w:ascii="Calibri Light" w:eastAsia="Calibri" w:hAnsi="Calibri Light" w:cs="Calibri"/>
      <w:color w:val="005493"/>
      <w:sz w:val="76"/>
      <w:szCs w:val="76"/>
    </w:rPr>
  </w:style>
  <w:style w:type="character" w:customStyle="1" w:styleId="CSRHeading3-noTOCChar">
    <w:name w:val="CSRHeading3 - no TOC Char"/>
    <w:basedOn w:val="DefaultParagraphFont"/>
    <w:qFormat/>
    <w:rPr>
      <w:rFonts w:ascii="Calibri Light" w:eastAsia="Calibri" w:hAnsi="Calibri Light"/>
      <w:color w:val="005392"/>
      <w:sz w:val="44"/>
      <w:szCs w:val="44"/>
    </w:rPr>
  </w:style>
  <w:style w:type="character" w:customStyle="1" w:styleId="CSRHeading5Char">
    <w:name w:val="CSRHeading5 Char"/>
    <w:basedOn w:val="DefaultParagraphFont"/>
    <w:qFormat/>
    <w:rPr>
      <w:rFonts w:ascii="Calibri Light" w:eastAsia="Calibri Light" w:hAnsi="Calibri Light"/>
      <w:color w:val="005493"/>
      <w:sz w:val="24"/>
      <w:szCs w:val="24"/>
    </w:rPr>
  </w:style>
  <w:style w:type="character" w:styleId="Hyperlink">
    <w:name w:val="Hyperlink"/>
    <w:basedOn w:val="DefaultParagraphFont"/>
    <w:qFormat/>
    <w:rPr>
      <w:color w:val="005493"/>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03972">
      <w:bodyDiv w:val="1"/>
      <w:marLeft w:val="0"/>
      <w:marRight w:val="0"/>
      <w:marTop w:val="0"/>
      <w:marBottom w:val="0"/>
      <w:divBdr>
        <w:top w:val="none" w:sz="0" w:space="0" w:color="auto"/>
        <w:left w:val="none" w:sz="0" w:space="0" w:color="auto"/>
        <w:bottom w:val="none" w:sz="0" w:space="0" w:color="auto"/>
        <w:right w:val="none" w:sz="0" w:space="0" w:color="auto"/>
      </w:divBdr>
    </w:div>
    <w:div w:id="428891026">
      <w:bodyDiv w:val="1"/>
      <w:marLeft w:val="0"/>
      <w:marRight w:val="0"/>
      <w:marTop w:val="0"/>
      <w:marBottom w:val="0"/>
      <w:divBdr>
        <w:top w:val="none" w:sz="0" w:space="0" w:color="auto"/>
        <w:left w:val="none" w:sz="0" w:space="0" w:color="auto"/>
        <w:bottom w:val="none" w:sz="0" w:space="0" w:color="auto"/>
        <w:right w:val="none" w:sz="0" w:space="0" w:color="auto"/>
      </w:divBdr>
    </w:div>
    <w:div w:id="716516061">
      <w:bodyDiv w:val="1"/>
      <w:marLeft w:val="0"/>
      <w:marRight w:val="0"/>
      <w:marTop w:val="0"/>
      <w:marBottom w:val="0"/>
      <w:divBdr>
        <w:top w:val="none" w:sz="0" w:space="0" w:color="auto"/>
        <w:left w:val="none" w:sz="0" w:space="0" w:color="auto"/>
        <w:bottom w:val="none" w:sz="0" w:space="0" w:color="auto"/>
        <w:right w:val="none" w:sz="0" w:space="0" w:color="auto"/>
      </w:divBdr>
    </w:div>
    <w:div w:id="760875425">
      <w:bodyDiv w:val="1"/>
      <w:marLeft w:val="0"/>
      <w:marRight w:val="0"/>
      <w:marTop w:val="0"/>
      <w:marBottom w:val="0"/>
      <w:divBdr>
        <w:top w:val="none" w:sz="0" w:space="0" w:color="auto"/>
        <w:left w:val="none" w:sz="0" w:space="0" w:color="auto"/>
        <w:bottom w:val="none" w:sz="0" w:space="0" w:color="auto"/>
        <w:right w:val="none" w:sz="0" w:space="0" w:color="auto"/>
      </w:divBdr>
    </w:div>
    <w:div w:id="793907003">
      <w:bodyDiv w:val="1"/>
      <w:marLeft w:val="0"/>
      <w:marRight w:val="0"/>
      <w:marTop w:val="0"/>
      <w:marBottom w:val="0"/>
      <w:divBdr>
        <w:top w:val="none" w:sz="0" w:space="0" w:color="auto"/>
        <w:left w:val="none" w:sz="0" w:space="0" w:color="auto"/>
        <w:bottom w:val="none" w:sz="0" w:space="0" w:color="auto"/>
        <w:right w:val="none" w:sz="0" w:space="0" w:color="auto"/>
      </w:divBdr>
    </w:div>
    <w:div w:id="821578545">
      <w:bodyDiv w:val="1"/>
      <w:marLeft w:val="0"/>
      <w:marRight w:val="0"/>
      <w:marTop w:val="0"/>
      <w:marBottom w:val="0"/>
      <w:divBdr>
        <w:top w:val="none" w:sz="0" w:space="0" w:color="auto"/>
        <w:left w:val="none" w:sz="0" w:space="0" w:color="auto"/>
        <w:bottom w:val="none" w:sz="0" w:space="0" w:color="auto"/>
        <w:right w:val="none" w:sz="0" w:space="0" w:color="auto"/>
      </w:divBdr>
    </w:div>
    <w:div w:id="1282107495">
      <w:bodyDiv w:val="1"/>
      <w:marLeft w:val="0"/>
      <w:marRight w:val="0"/>
      <w:marTop w:val="0"/>
      <w:marBottom w:val="0"/>
      <w:divBdr>
        <w:top w:val="none" w:sz="0" w:space="0" w:color="auto"/>
        <w:left w:val="none" w:sz="0" w:space="0" w:color="auto"/>
        <w:bottom w:val="none" w:sz="0" w:space="0" w:color="auto"/>
        <w:right w:val="none" w:sz="0" w:space="0" w:color="auto"/>
      </w:divBdr>
    </w:div>
    <w:div w:id="1335760845">
      <w:bodyDiv w:val="1"/>
      <w:marLeft w:val="0"/>
      <w:marRight w:val="0"/>
      <w:marTop w:val="0"/>
      <w:marBottom w:val="0"/>
      <w:divBdr>
        <w:top w:val="none" w:sz="0" w:space="0" w:color="auto"/>
        <w:left w:val="none" w:sz="0" w:space="0" w:color="auto"/>
        <w:bottom w:val="none" w:sz="0" w:space="0" w:color="auto"/>
        <w:right w:val="none" w:sz="0" w:space="0" w:color="auto"/>
      </w:divBdr>
    </w:div>
    <w:div w:id="1433010434">
      <w:bodyDiv w:val="1"/>
      <w:marLeft w:val="0"/>
      <w:marRight w:val="0"/>
      <w:marTop w:val="0"/>
      <w:marBottom w:val="0"/>
      <w:divBdr>
        <w:top w:val="none" w:sz="0" w:space="0" w:color="auto"/>
        <w:left w:val="none" w:sz="0" w:space="0" w:color="auto"/>
        <w:bottom w:val="none" w:sz="0" w:space="0" w:color="auto"/>
        <w:right w:val="none" w:sz="0" w:space="0" w:color="auto"/>
      </w:divBdr>
    </w:div>
    <w:div w:id="1435635480">
      <w:bodyDiv w:val="1"/>
      <w:marLeft w:val="0"/>
      <w:marRight w:val="0"/>
      <w:marTop w:val="0"/>
      <w:marBottom w:val="0"/>
      <w:divBdr>
        <w:top w:val="none" w:sz="0" w:space="0" w:color="auto"/>
        <w:left w:val="none" w:sz="0" w:space="0" w:color="auto"/>
        <w:bottom w:val="none" w:sz="0" w:space="0" w:color="auto"/>
        <w:right w:val="none" w:sz="0" w:space="0" w:color="auto"/>
      </w:divBdr>
    </w:div>
    <w:div w:id="1532693411">
      <w:bodyDiv w:val="1"/>
      <w:marLeft w:val="0"/>
      <w:marRight w:val="0"/>
      <w:marTop w:val="0"/>
      <w:marBottom w:val="0"/>
      <w:divBdr>
        <w:top w:val="none" w:sz="0" w:space="0" w:color="auto"/>
        <w:left w:val="none" w:sz="0" w:space="0" w:color="auto"/>
        <w:bottom w:val="none" w:sz="0" w:space="0" w:color="auto"/>
        <w:right w:val="none" w:sz="0" w:space="0" w:color="auto"/>
      </w:divBdr>
    </w:div>
    <w:div w:id="1807580747">
      <w:bodyDiv w:val="1"/>
      <w:marLeft w:val="0"/>
      <w:marRight w:val="0"/>
      <w:marTop w:val="0"/>
      <w:marBottom w:val="0"/>
      <w:divBdr>
        <w:top w:val="none" w:sz="0" w:space="0" w:color="auto"/>
        <w:left w:val="none" w:sz="0" w:space="0" w:color="auto"/>
        <w:bottom w:val="none" w:sz="0" w:space="0" w:color="auto"/>
        <w:right w:val="none" w:sz="0" w:space="0" w:color="auto"/>
      </w:divBdr>
    </w:div>
    <w:div w:id="1970434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6.xml"/><Relationship Id="rId42" Type="http://schemas.openxmlformats.org/officeDocument/2006/relationships/footer" Target="footer14.xml"/><Relationship Id="rId47" Type="http://schemas.openxmlformats.org/officeDocument/2006/relationships/footer" Target="footer16.xml"/><Relationship Id="rId63" Type="http://schemas.openxmlformats.org/officeDocument/2006/relationships/footer" Target="footer24.xml"/><Relationship Id="rId68" Type="http://schemas.openxmlformats.org/officeDocument/2006/relationships/header" Target="header26.xml"/><Relationship Id="rId16" Type="http://schemas.openxmlformats.org/officeDocument/2006/relationships/header" Target="header3.xml"/><Relationship Id="rId11" Type="http://schemas.openxmlformats.org/officeDocument/2006/relationships/image" Target="media/image2.png"/><Relationship Id="rId32" Type="http://schemas.openxmlformats.org/officeDocument/2006/relationships/footer" Target="footer10.xml"/><Relationship Id="rId37" Type="http://schemas.openxmlformats.org/officeDocument/2006/relationships/footer" Target="footer12.xml"/><Relationship Id="rId53" Type="http://schemas.openxmlformats.org/officeDocument/2006/relationships/footer" Target="footer19.xml"/><Relationship Id="rId58" Type="http://schemas.openxmlformats.org/officeDocument/2006/relationships/header" Target="header21.xml"/><Relationship Id="rId74" Type="http://schemas.openxmlformats.org/officeDocument/2006/relationships/header" Target="header29.xml"/><Relationship Id="rId79" Type="http://schemas.openxmlformats.org/officeDocument/2006/relationships/customXml" Target="../customXml/item3.xml"/><Relationship Id="rId5" Type="http://schemas.openxmlformats.org/officeDocument/2006/relationships/footnotes" Target="footnotes.xml"/><Relationship Id="rId61" Type="http://schemas.openxmlformats.org/officeDocument/2006/relationships/footer" Target="footer23.xml"/><Relationship Id="PictureId2" Type="http://schemas.openxmlformats.org/officeDocument/2006/relationships/image" Target="media/image20.png"/><Relationship Id="rId19" Type="http://schemas.openxmlformats.org/officeDocument/2006/relationships/footer" Target="footer5.xml"/><Relationship Id="rId14" Type="http://schemas.openxmlformats.org/officeDocument/2006/relationships/image" Target="media/image4.png"/><Relationship Id="rId22" Type="http://schemas.openxmlformats.org/officeDocument/2006/relationships/header" Target="header6.xml"/><Relationship Id="rId27" Type="http://schemas.openxmlformats.org/officeDocument/2006/relationships/footer" Target="footer9.xml"/><Relationship Id="rId30" Type="http://schemas.openxmlformats.org/officeDocument/2006/relationships/image" Target="media/image9.png"/><Relationship Id="rId35" Type="http://schemas.openxmlformats.org/officeDocument/2006/relationships/footer" Target="footer11.xml"/><Relationship Id="rId43" Type="http://schemas.openxmlformats.org/officeDocument/2006/relationships/header" Target="header14.xml"/><Relationship Id="rId48" Type="http://schemas.openxmlformats.org/officeDocument/2006/relationships/header" Target="header16.xml"/><Relationship Id="rId56" Type="http://schemas.openxmlformats.org/officeDocument/2006/relationships/header" Target="header20.xml"/><Relationship Id="rId64" Type="http://schemas.openxmlformats.org/officeDocument/2006/relationships/header" Target="header24.xml"/><Relationship Id="rId69" Type="http://schemas.openxmlformats.org/officeDocument/2006/relationships/footer" Target="footer27.xml"/><Relationship Id="rId77"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footer" Target="footer18.xml"/><Relationship Id="rId72" Type="http://schemas.openxmlformats.org/officeDocument/2006/relationships/header" Target="header28.xml"/><Relationship Id="rId80" Type="http://schemas.openxmlformats.org/officeDocument/2006/relationships/customXml" Target="../customXml/item4.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image" Target="media/image10.png"/><Relationship Id="rId38" Type="http://schemas.openxmlformats.org/officeDocument/2006/relationships/image" Target="media/image11.png"/><Relationship Id="rId46" Type="http://schemas.openxmlformats.org/officeDocument/2006/relationships/header" Target="header15.xml"/><Relationship Id="rId59" Type="http://schemas.openxmlformats.org/officeDocument/2006/relationships/footer" Target="footer22.xml"/><Relationship Id="rId67" Type="http://schemas.openxmlformats.org/officeDocument/2006/relationships/footer" Target="footer26.xml"/><Relationship Id="rId20" Type="http://schemas.openxmlformats.org/officeDocument/2006/relationships/header" Target="header5.xml"/><Relationship Id="rId41" Type="http://schemas.openxmlformats.org/officeDocument/2006/relationships/header" Target="header13.xml"/><Relationship Id="rId54" Type="http://schemas.openxmlformats.org/officeDocument/2006/relationships/header" Target="header19.xml"/><Relationship Id="rId62" Type="http://schemas.openxmlformats.org/officeDocument/2006/relationships/header" Target="header23.xml"/><Relationship Id="rId70" Type="http://schemas.openxmlformats.org/officeDocument/2006/relationships/header" Target="header27.xml"/><Relationship Id="rId75" Type="http://schemas.openxmlformats.org/officeDocument/2006/relationships/footer" Target="footer30.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footer" Target="footer7.xml"/><Relationship Id="rId28" Type="http://schemas.openxmlformats.org/officeDocument/2006/relationships/image" Target="media/image7.png"/><Relationship Id="rId36" Type="http://schemas.openxmlformats.org/officeDocument/2006/relationships/header" Target="header11.xml"/><Relationship Id="rId49" Type="http://schemas.openxmlformats.org/officeDocument/2006/relationships/footer" Target="footer17.xml"/><Relationship Id="rId57" Type="http://schemas.openxmlformats.org/officeDocument/2006/relationships/footer" Target="footer21.xml"/><Relationship Id="rId10" Type="http://schemas.openxmlformats.org/officeDocument/2006/relationships/footer" Target="footer2.xml"/><Relationship Id="rId31" Type="http://schemas.openxmlformats.org/officeDocument/2006/relationships/header" Target="header9.xml"/><Relationship Id="rId44" Type="http://schemas.openxmlformats.org/officeDocument/2006/relationships/footer" Target="footer15.xml"/><Relationship Id="rId52" Type="http://schemas.openxmlformats.org/officeDocument/2006/relationships/header" Target="header18.xml"/><Relationship Id="rId60" Type="http://schemas.openxmlformats.org/officeDocument/2006/relationships/header" Target="header22.xml"/><Relationship Id="rId65" Type="http://schemas.openxmlformats.org/officeDocument/2006/relationships/footer" Target="footer25.xml"/><Relationship Id="rId73" Type="http://schemas.openxmlformats.org/officeDocument/2006/relationships/footer" Target="footer29.xml"/><Relationship Id="rId78"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footer" Target="footer1.xml"/><Relationship Id="PictureId6" Type="http://schemas.openxmlformats.org/officeDocument/2006/relationships/image" Target="media/image60.png"/><Relationship Id="rId13" Type="http://schemas.openxmlformats.org/officeDocument/2006/relationships/footer" Target="footer3.xml"/><Relationship Id="rId18" Type="http://schemas.openxmlformats.org/officeDocument/2006/relationships/header" Target="header4.xml"/><Relationship Id="rId39" Type="http://schemas.openxmlformats.org/officeDocument/2006/relationships/header" Target="header12.xml"/><Relationship Id="rId34" Type="http://schemas.openxmlformats.org/officeDocument/2006/relationships/header" Target="header10.xml"/><Relationship Id="rId50" Type="http://schemas.openxmlformats.org/officeDocument/2006/relationships/header" Target="header17.xml"/><Relationship Id="rId55" Type="http://schemas.openxmlformats.org/officeDocument/2006/relationships/footer" Target="footer20.xml"/><Relationship Id="rId76"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footer" Target="footer28.xml"/><Relationship Id="rId2" Type="http://schemas.openxmlformats.org/officeDocument/2006/relationships/styles" Target="styles.xml"/><Relationship Id="rId29" Type="http://schemas.openxmlformats.org/officeDocument/2006/relationships/image" Target="media/image8.png"/><Relationship Id="rId24" Type="http://schemas.openxmlformats.org/officeDocument/2006/relationships/header" Target="header7.xml"/><Relationship Id="rId40" Type="http://schemas.openxmlformats.org/officeDocument/2006/relationships/footer" Target="footer13.xml"/><Relationship Id="rId45" Type="http://schemas.openxmlformats.org/officeDocument/2006/relationships/image" Target="media/image12.png"/><Relationship Id="rId66" Type="http://schemas.openxmlformats.org/officeDocument/2006/relationships/header" Target="header25.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1" Type="http://schemas.openxmlformats.org/officeDocument/2006/relationships/image" Target="media/image6.png"/></Relationships>
</file>

<file path=word/_rels/footer11.xml.rels><?xml version="1.0" encoding="UTF-8" standalone="yes"?>
<Relationships xmlns="http://schemas.openxmlformats.org/package/2006/relationships"><Relationship Id="rId1" Type="http://schemas.openxmlformats.org/officeDocument/2006/relationships/image" Target="media/image3.png"/></Relationships>
</file>

<file path=word/_rels/footer12.xml.rels><?xml version="1.0" encoding="UTF-8" standalone="yes"?>
<Relationships xmlns="http://schemas.openxmlformats.org/package/2006/relationships"><Relationship Id="rId1" Type="http://schemas.openxmlformats.org/officeDocument/2006/relationships/image" Target="media/image3.png"/></Relationships>
</file>

<file path=word/_rels/footer13.xml.rels><?xml version="1.0" encoding="UTF-8" standalone="yes"?>
<Relationships xmlns="http://schemas.openxmlformats.org/package/2006/relationships"><Relationship Id="rId1" Type="http://schemas.openxmlformats.org/officeDocument/2006/relationships/image" Target="media/image3.png"/></Relationships>
</file>

<file path=word/_rels/footer14.xml.rels><?xml version="1.0" encoding="UTF-8" standalone="yes"?>
<Relationships xmlns="http://schemas.openxmlformats.org/package/2006/relationships"><Relationship Id="rId1" Type="http://schemas.openxmlformats.org/officeDocument/2006/relationships/image" Target="media/image3.png"/></Relationships>
</file>

<file path=word/_rels/footer15.xml.rels><?xml version="1.0" encoding="UTF-8" standalone="yes"?>
<Relationships xmlns="http://schemas.openxmlformats.org/package/2006/relationships"><Relationship Id="rId1" Type="http://schemas.openxmlformats.org/officeDocument/2006/relationships/image" Target="media/image3.png"/></Relationships>
</file>

<file path=word/_rels/footer16.xml.rels><?xml version="1.0" encoding="UTF-8" standalone="yes"?>
<Relationships xmlns="http://schemas.openxmlformats.org/package/2006/relationships"><Relationship Id="rId1" Type="http://schemas.openxmlformats.org/officeDocument/2006/relationships/image" Target="media/image3.png"/></Relationships>
</file>

<file path=word/_rels/footer17.xml.rels><?xml version="1.0" encoding="UTF-8" standalone="yes"?>
<Relationships xmlns="http://schemas.openxmlformats.org/package/2006/relationships"><Relationship Id="rId1" Type="http://schemas.openxmlformats.org/officeDocument/2006/relationships/image" Target="media/image3.png"/></Relationships>
</file>

<file path=word/_rels/footer18.xml.rels><?xml version="1.0" encoding="UTF-8" standalone="yes"?>
<Relationships xmlns="http://schemas.openxmlformats.org/package/2006/relationships"><Relationship Id="rId1" Type="http://schemas.openxmlformats.org/officeDocument/2006/relationships/image" Target="media/image3.png"/></Relationships>
</file>

<file path=word/_rels/footer19.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Ratings colour palette 2">
      <a:dk1>
        <a:sysClr val="windowText" lastClr="000000"/>
      </a:dk1>
      <a:lt1>
        <a:sysClr val="window" lastClr="FFFFFF"/>
      </a:lt1>
      <a:dk2>
        <a:srgbClr val="44546A"/>
      </a:dk2>
      <a:lt2>
        <a:srgbClr val="E7E6E6"/>
      </a:lt2>
      <a:accent1>
        <a:srgbClr val="252758"/>
      </a:accent1>
      <a:accent2>
        <a:srgbClr val="005493"/>
      </a:accent2>
      <a:accent3>
        <a:srgbClr val="9AC1E0"/>
      </a:accent3>
      <a:accent4>
        <a:srgbClr val="4A4A49"/>
      </a:accent4>
      <a:accent5>
        <a:srgbClr val="EE7203"/>
      </a:accent5>
      <a:accent6>
        <a:srgbClr val="005493"/>
      </a:accent6>
      <a:hlink>
        <a:srgbClr val="005493"/>
      </a:hlink>
      <a:folHlink>
        <a:srgbClr val="9AC1E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914A77CEB4BD94C8AA6F864E0E1E0F0" ma:contentTypeVersion="18" ma:contentTypeDescription="Create a new document." ma:contentTypeScope="" ma:versionID="34c9bc844f93fa874cef005947d8df7f">
  <xsd:schema xmlns:xsd="http://www.w3.org/2001/XMLSchema" xmlns:xs="http://www.w3.org/2001/XMLSchema" xmlns:p="http://schemas.microsoft.com/office/2006/metadata/properties" xmlns:ns2="9406731d-9f5a-4a79-be91-b3c631be9543" xmlns:ns3="6afbcf95-dc46-4c9d-8f85-fba641a1d2ea" targetNamespace="http://schemas.microsoft.com/office/2006/metadata/properties" ma:root="true" ma:fieldsID="bca217c6d2e8a03c014f1493517b33c6" ns2:_="" ns3:_="">
    <xsd:import namespace="9406731d-9f5a-4a79-be91-b3c631be9543"/>
    <xsd:import namespace="6afbcf95-dc46-4c9d-8f85-fba641a1d2e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06731d-9f5a-4a79-be91-b3c631be95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f2afa00-c010-483a-81d7-5ec2d9895e8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fbcf95-dc46-4c9d-8f85-fba641a1d2e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641ea8e-a4ed-4b4e-98f0-2bab0db2d818}" ma:internalName="TaxCatchAll" ma:showField="CatchAllData" ma:web="6afbcf95-dc46-4c9d-8f85-fba641a1d2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406731d-9f5a-4a79-be91-b3c631be9543">
      <Terms xmlns="http://schemas.microsoft.com/office/infopath/2007/PartnerControls"/>
    </lcf76f155ced4ddcb4097134ff3c332f>
    <TaxCatchAll xmlns="6afbcf95-dc46-4c9d-8f85-fba641a1d2ea" xsi:nil="true"/>
  </documentManagement>
</p:properties>
</file>

<file path=customXml/itemProps1.xml><?xml version="1.0" encoding="utf-8"?>
<ds:datastoreItem xmlns:ds="http://schemas.openxmlformats.org/officeDocument/2006/customXml" ds:itemID="{C6DCAE27-1D02-4879-A4B7-CBE5F898DA22}">
  <ds:schemaRefs>
    <ds:schemaRef ds:uri="http://schemas.openxmlformats.org/officeDocument/2006/bibliography"/>
  </ds:schemaRefs>
</ds:datastoreItem>
</file>

<file path=customXml/itemProps2.xml><?xml version="1.0" encoding="utf-8"?>
<ds:datastoreItem xmlns:ds="http://schemas.openxmlformats.org/officeDocument/2006/customXml" ds:itemID="{D0394191-8FF4-4A3B-BC72-8296B96B0D84}"/>
</file>

<file path=customXml/itemProps3.xml><?xml version="1.0" encoding="utf-8"?>
<ds:datastoreItem xmlns:ds="http://schemas.openxmlformats.org/officeDocument/2006/customXml" ds:itemID="{BC4CAD82-89AF-436C-9221-3B332FA80183}"/>
</file>

<file path=customXml/itemProps4.xml><?xml version="1.0" encoding="utf-8"?>
<ds:datastoreItem xmlns:ds="http://schemas.openxmlformats.org/officeDocument/2006/customXml" ds:itemID="{D7F0823A-3959-453A-86E4-2222AAABE122}"/>
</file>

<file path=docMetadata/LabelInfo.xml><?xml version="1.0" encoding="utf-8"?>
<clbl:labelList xmlns:clbl="http://schemas.microsoft.com/office/2020/mipLabelMetadata">
  <clbl:label id="{3e287deb-1eb1-44c1-8f84-90531d56bbbd}" enabled="1" method="Standard" siteId="{50ff177a-9196-4193-bd14-0d6441be932b}" removed="0"/>
</clbl:labelList>
</file>

<file path=docProps/app.xml><?xml version="1.0" encoding="utf-8"?>
<Properties xmlns="http://schemas.openxmlformats.org/officeDocument/2006/extended-properties" xmlns:vt="http://schemas.openxmlformats.org/officeDocument/2006/docPropsVTypes">
  <Template>Normal</Template>
  <TotalTime>0</TotalTime>
  <Pages>18</Pages>
  <Words>4930</Words>
  <Characters>28105</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2025-12-03T15:19:00Z</dcterms:created>
  <dcterms:modified xsi:type="dcterms:W3CDTF">2025-12-03T15:19:00Z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0x010100E914A77CEB4BD94C8AA6F864E0E1E0F0</vt:lpwstr>
  </property>
</Properties>
</file>