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0.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3.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0F113" w14:textId="77777777" w:rsidR="00C26C0C" w:rsidRDefault="00DC28B1">
      <w:r>
        <w:rPr>
          <w:noProof/>
        </w:rPr>
        <w:drawing>
          <wp:inline distT="0" distB="0" distL="0" distR="0" wp14:anchorId="119B3415" wp14:editId="0A29B76A">
            <wp:extent cx="1353426" cy="34029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353426" cy="340290"/>
                    </a:xfrm>
                    <a:prstGeom prst="rect">
                      <a:avLst/>
                    </a:prstGeom>
                    <a:noFill/>
                    <a:ln>
                      <a:noFill/>
                    </a:ln>
                  </pic:spPr>
                </pic:pic>
              </a:graphicData>
            </a:graphic>
          </wp:inline>
        </w:drawing>
      </w:r>
    </w:p>
    <w:p w14:paraId="071D1436" w14:textId="77777777" w:rsidR="00C26C0C" w:rsidRDefault="00C26C0C">
      <w:pPr>
        <w:pStyle w:val="DefaqtoCoverHeading-noTOC"/>
        <w:rPr>
          <w:rFonts w:cs="Poppins SemiBold"/>
          <w:b w:val="0"/>
          <w:bCs w:val="0"/>
          <w:sz w:val="62"/>
          <w:szCs w:val="62"/>
        </w:rPr>
      </w:pPr>
    </w:p>
    <w:p w14:paraId="019D18D6" w14:textId="77777777" w:rsidR="00C26C0C" w:rsidRDefault="00C26C0C">
      <w:pPr>
        <w:pStyle w:val="DefaqtoCoverHeading-noTOC"/>
        <w:rPr>
          <w:rFonts w:cs="Poppins SemiBold"/>
          <w:b w:val="0"/>
          <w:bCs w:val="0"/>
          <w:sz w:val="62"/>
          <w:szCs w:val="62"/>
        </w:rPr>
      </w:pPr>
    </w:p>
    <w:p w14:paraId="02CE8C95" w14:textId="77777777" w:rsidR="00C26C0C" w:rsidRDefault="00DC28B1">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Pension Switching Report - Summary for </w:t>
      </w:r>
      <w:r>
        <w:rPr>
          <w:rFonts w:cs="Poppins SemiBold"/>
          <w:b w:val="0"/>
          <w:bCs w:val="0"/>
          <w:noProof/>
        </w:rPr>
        <w:t xml:space="preserve">Mr Anthony Barnes </w:t>
      </w:r>
      <w:bookmarkStart w:id="0" w:name="_Hlk74053138"/>
    </w:p>
    <w:bookmarkEnd w:id="0"/>
    <w:p w14:paraId="48F3E481" w14:textId="77777777" w:rsidR="00C26C0C" w:rsidRDefault="00C26C0C">
      <w:pPr>
        <w:pStyle w:val="DefaqtoCoverHeading-noTOC"/>
        <w:spacing w:after="160"/>
        <w:rPr>
          <w:rFonts w:ascii="Poppins Light" w:hAnsi="Poppins Light" w:cs="Poppins Light"/>
          <w:b w:val="0"/>
          <w:bCs w:val="0"/>
          <w:color w:val="392388"/>
          <w:sz w:val="32"/>
          <w:szCs w:val="32"/>
        </w:rPr>
      </w:pPr>
    </w:p>
    <w:p w14:paraId="4F920CED" w14:textId="77777777" w:rsidR="00C26C0C" w:rsidRDefault="00C26C0C">
      <w:pPr>
        <w:pStyle w:val="DefaqtoCoverHeading-noTOC"/>
        <w:spacing w:after="160"/>
        <w:rPr>
          <w:rFonts w:ascii="Poppins Light" w:hAnsi="Poppins Light" w:cs="Poppins Light"/>
          <w:b w:val="0"/>
          <w:bCs w:val="0"/>
          <w:color w:val="392388"/>
          <w:sz w:val="32"/>
          <w:szCs w:val="32"/>
        </w:rPr>
      </w:pPr>
    </w:p>
    <w:p w14:paraId="3106CC72" w14:textId="77777777" w:rsidR="00C26C0C" w:rsidRDefault="00DC28B1">
      <w:pPr>
        <w:ind w:left="23"/>
        <w:rPr>
          <w:rFonts w:ascii="Poppins" w:hAnsi="Poppins" w:cs="Poppins"/>
          <w:sz w:val="36"/>
          <w:szCs w:val="36"/>
        </w:rPr>
      </w:pPr>
      <w:r>
        <w:rPr>
          <w:rFonts w:ascii="Poppins Light" w:hAnsi="Poppins Light" w:cs="Poppins Light"/>
          <w:noProof/>
          <w:color w:val="392388"/>
          <w:sz w:val="32"/>
          <w:szCs w:val="32"/>
        </w:rPr>
        <w:t>16 December 2025</w:t>
      </w:r>
      <w:r>
        <w:rPr>
          <w:rFonts w:ascii="Poppins" w:hAnsi="Poppins" w:cs="Poppins"/>
          <w:sz w:val="36"/>
          <w:szCs w:val="36"/>
        </w:rPr>
        <w:tab/>
      </w:r>
    </w:p>
    <w:p w14:paraId="6CDDFDEA" w14:textId="77777777" w:rsidR="00C26C0C" w:rsidRDefault="00DC28B1">
      <w:pPr>
        <w:rPr>
          <w:rFonts w:ascii="Poppins" w:hAnsi="Poppins" w:cs="Poppins"/>
          <w:sz w:val="36"/>
          <w:szCs w:val="36"/>
        </w:rPr>
        <w:sectPr w:rsidR="00C26C0C">
          <w:headerReference w:type="default" r:id="rId8"/>
          <w:footerReference w:type="default" r:id="rId9"/>
          <w:footerReference w:type="first" r:id="rId10"/>
          <w:pgSz w:w="11906" w:h="16838"/>
          <w:pgMar w:top="709" w:right="640" w:bottom="376" w:left="640" w:header="200" w:footer="200" w:gutter="0"/>
          <w:pgNumType w:start="1"/>
          <w:cols w:space="720"/>
          <w:titlePg/>
          <w:docGrid w:linePitch="299"/>
        </w:sectPr>
      </w:pPr>
      <w:r>
        <w:rPr>
          <w:rFonts w:ascii="Poppins" w:hAnsi="Poppins" w:cs="Poppins"/>
          <w:noProof/>
          <w:color w:val="4A4948"/>
          <w:sz w:val="36"/>
          <w:szCs w:val="36"/>
        </w:rPr>
        <mc:AlternateContent>
          <mc:Choice Requires="wps">
            <w:drawing>
              <wp:anchor distT="0" distB="0" distL="114300" distR="114300" simplePos="0" relativeHeight="251657216" behindDoc="0" locked="0" layoutInCell="1" allowOverlap="1" wp14:anchorId="7D6E104E" wp14:editId="02748663">
                <wp:simplePos x="0" y="0"/>
                <wp:positionH relativeFrom="margin">
                  <wp:posOffset>10973</wp:posOffset>
                </wp:positionH>
                <wp:positionV relativeFrom="topMargin">
                  <wp:posOffset>6488582</wp:posOffset>
                </wp:positionV>
                <wp:extent cx="6851460" cy="3096083"/>
                <wp:effectExtent l="0" t="0" r="6985" b="9525"/>
                <wp:wrapNone/>
                <wp:docPr id="3"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headEnd type="none" w="med" len="med"/>
                          <a:tailEnd type="none" w="med" len="med"/>
                        </a:ln>
                      </wps:spPr>
                      <wps:style>
                        <a:lnRef idx="0">
                          <a:schemeClr val="accent1"/>
                        </a:lnRef>
                        <a:fillRef idx="0">
                          <a:schemeClr val="accent1"/>
                        </a:fillRef>
                        <a:effectRef idx="0">
                          <a:schemeClr val="accent1"/>
                        </a:effectRef>
                        <a:fontRef idx="minor">
                          <a:schemeClr val="dk1"/>
                        </a:fontRef>
                      </wps:style>
                      <wps:txbx>
                        <w:txbxContent>
                          <w:p w14:paraId="6493797B" w14:textId="77777777" w:rsidR="00C26C0C" w:rsidRDefault="00DC28B1">
                            <w:pPr>
                              <w:jc w:val="right"/>
                              <w:rPr>
                                <w:color w:val="392388"/>
                              </w:rPr>
                            </w:pPr>
                            <w:r>
                              <w:rPr>
                                <w:noProof/>
                              </w:rPr>
                              <w:drawing>
                                <wp:inline distT="0" distB="0" distL="0" distR="0" wp14:anchorId="12A947B7" wp14:editId="0330DFB9">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6" name="Picture 4"/>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2"/>
                                    <a:stretch xmlns:a="http://schemas.openxmlformats.org/drawingml/2006/main">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14:paraId="1B62E54F" w14:textId="77777777" w:rsidR="00C26C0C" w:rsidRDefault="00DC28B1">
      <w:pPr>
        <w:pStyle w:val="DefaqtoHeading1-noTOC"/>
      </w:pPr>
      <w:r>
        <w:lastRenderedPageBreak/>
        <w:t>Recommendation</w:t>
      </w:r>
    </w:p>
    <w:p w14:paraId="3C03BF5F" w14:textId="77777777" w:rsidR="00C26C0C" w:rsidRDefault="00DC28B1">
      <w:pPr>
        <w:pStyle w:val="DefaqtoHeading2-noTOC"/>
      </w:pPr>
      <w:r>
        <w:t>Pension switching</w:t>
      </w:r>
    </w:p>
    <w:p w14:paraId="76D177C6" w14:textId="77777777" w:rsidR="00C26C0C" w:rsidRDefault="00DC28B1">
      <w:pPr>
        <w:pStyle w:val="DefaqtoBody"/>
      </w:pPr>
      <w:r>
        <w:rPr>
          <w:u w:color="000000"/>
        </w:rPr>
        <w:t>Analysis was undertaken on 16 December 2025 to investigate the benefits of switching your current pension solution to a new solution. A comparison was made between the features and charges.</w:t>
      </w:r>
    </w:p>
    <w:p w14:paraId="5CECE615" w14:textId="77777777" w:rsidR="00C26C0C" w:rsidRDefault="00DC28B1">
      <w:pPr>
        <w:pStyle w:val="DefaqtoBody"/>
      </w:pPr>
      <w:r>
        <w:rPr>
          <w:b/>
          <w:bCs/>
          <w:u w:color="000000"/>
        </w:rPr>
        <w:t>The recommendation is to switch from your existing pension to a new solution as per the details below.</w:t>
      </w:r>
    </w:p>
    <w:p w14:paraId="074396EA" w14:textId="77777777" w:rsidR="00C26C0C" w:rsidRDefault="00DC28B1">
      <w:pPr>
        <w:pStyle w:val="DefaqtoHeading2-noTOC"/>
      </w:pPr>
      <w:r>
        <w:t>Pension switching summary</w:t>
      </w:r>
    </w:p>
    <w:p w14:paraId="470135F8" w14:textId="77777777" w:rsidR="00C26C0C" w:rsidRDefault="00DC28B1">
      <w:pPr>
        <w:pStyle w:val="DefaqtoBody"/>
      </w:pPr>
      <w:r>
        <w:rPr>
          <w:b/>
          <w:bCs/>
          <w:u w:color="000000"/>
        </w:rPr>
        <w:t>Switch from:</w:t>
      </w:r>
    </w:p>
    <w:tbl>
      <w:tblPr>
        <w:tblStyle w:val="Custom1"/>
        <w:tblW w:w="5000" w:type="pct"/>
        <w:tblLook w:val="01E0" w:firstRow="1" w:lastRow="1" w:firstColumn="1" w:lastColumn="1" w:noHBand="0" w:noVBand="0"/>
      </w:tblPr>
      <w:tblGrid>
        <w:gridCol w:w="2654"/>
        <w:gridCol w:w="7963"/>
      </w:tblGrid>
      <w:tr w:rsidR="00C26C0C" w14:paraId="2A901629" w14:textId="77777777" w:rsidTr="00C26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4805652" w14:textId="77777777" w:rsidR="00C26C0C" w:rsidRDefault="00DC28B1">
            <w:pPr>
              <w:pStyle w:val="DefaqtoTableBody2"/>
            </w:pPr>
            <w:r>
              <w:t>Provider</w:t>
            </w:r>
          </w:p>
        </w:tc>
        <w:tc>
          <w:tcPr>
            <w:tcW w:w="3750" w:type="pct"/>
          </w:tcPr>
          <w:p w14:paraId="1A7C387F"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w:t>
            </w:r>
          </w:p>
        </w:tc>
      </w:tr>
      <w:tr w:rsidR="00C26C0C" w14:paraId="30D9ECA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AEFB4F" w14:textId="77777777" w:rsidR="00C26C0C" w:rsidRDefault="00DC28B1">
            <w:pPr>
              <w:pStyle w:val="DefaqtoTableBody2"/>
            </w:pPr>
            <w:r>
              <w:t>Name</w:t>
            </w:r>
          </w:p>
        </w:tc>
        <w:tc>
          <w:tcPr>
            <w:tcW w:w="0" w:type="auto"/>
          </w:tcPr>
          <w:p w14:paraId="77EBEC6C"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Current Aviva</w:t>
            </w:r>
          </w:p>
        </w:tc>
      </w:tr>
      <w:tr w:rsidR="00C26C0C" w14:paraId="7AB9C1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57F75E" w14:textId="77777777" w:rsidR="00C26C0C" w:rsidRDefault="00DC28B1">
            <w:pPr>
              <w:pStyle w:val="DefaqtoTableBody2"/>
            </w:pPr>
            <w:r>
              <w:t>Product Type</w:t>
            </w:r>
          </w:p>
        </w:tc>
        <w:tc>
          <w:tcPr>
            <w:tcW w:w="0" w:type="auto"/>
          </w:tcPr>
          <w:p w14:paraId="50B995EF"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Personal Pension Plan</w:t>
            </w:r>
          </w:p>
        </w:tc>
      </w:tr>
      <w:tr w:rsidR="00C26C0C" w14:paraId="0B484B9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515B3E" w14:textId="77777777" w:rsidR="00C26C0C" w:rsidRDefault="00DC28B1">
            <w:pPr>
              <w:pStyle w:val="DefaqtoTableBody2"/>
            </w:pPr>
            <w:r>
              <w:t>Illustration Date</w:t>
            </w:r>
          </w:p>
        </w:tc>
        <w:tc>
          <w:tcPr>
            <w:tcW w:w="0" w:type="auto"/>
          </w:tcPr>
          <w:p w14:paraId="23263191"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16/12/2025</w:t>
            </w:r>
          </w:p>
        </w:tc>
      </w:tr>
      <w:tr w:rsidR="00C26C0C" w14:paraId="643A77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879C84" w14:textId="77777777" w:rsidR="00C26C0C" w:rsidRDefault="00DC28B1">
            <w:pPr>
              <w:pStyle w:val="DefaqtoTableBody2"/>
            </w:pPr>
            <w:r>
              <w:t>Platform</w:t>
            </w:r>
          </w:p>
        </w:tc>
        <w:tc>
          <w:tcPr>
            <w:tcW w:w="0" w:type="auto"/>
          </w:tcPr>
          <w:p w14:paraId="408C5F8D"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None</w:t>
            </w:r>
          </w:p>
        </w:tc>
      </w:tr>
    </w:tbl>
    <w:p w14:paraId="32118859" w14:textId="77777777" w:rsidR="00C26C0C" w:rsidRDefault="00DC28B1">
      <w:pPr>
        <w:pStyle w:val="DefaqtoBody"/>
      </w:pPr>
      <w:r>
        <w:rPr>
          <w:b/>
          <w:bCs/>
          <w:u w:color="000000"/>
        </w:rPr>
        <w:t>To:</w:t>
      </w:r>
    </w:p>
    <w:tbl>
      <w:tblPr>
        <w:tblStyle w:val="Custom1"/>
        <w:tblW w:w="5000" w:type="pct"/>
        <w:tblLook w:val="01E0" w:firstRow="1" w:lastRow="1" w:firstColumn="1" w:lastColumn="1" w:noHBand="0" w:noVBand="0"/>
      </w:tblPr>
      <w:tblGrid>
        <w:gridCol w:w="2654"/>
        <w:gridCol w:w="7963"/>
      </w:tblGrid>
      <w:tr w:rsidR="00C26C0C" w14:paraId="1A06FEC4" w14:textId="77777777" w:rsidTr="00C26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5A8989E" w14:textId="77777777" w:rsidR="00C26C0C" w:rsidRDefault="00DC28B1">
            <w:pPr>
              <w:pStyle w:val="DefaqtoTableBody2"/>
            </w:pPr>
            <w:r>
              <w:t>Provider</w:t>
            </w:r>
          </w:p>
        </w:tc>
        <w:tc>
          <w:tcPr>
            <w:tcW w:w="3750" w:type="pct"/>
          </w:tcPr>
          <w:p w14:paraId="0FF3E0E2"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w:t>
            </w:r>
          </w:p>
        </w:tc>
      </w:tr>
      <w:tr w:rsidR="00C26C0C" w14:paraId="167EB72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6875AE" w14:textId="77777777" w:rsidR="00C26C0C" w:rsidRDefault="00DC28B1">
            <w:pPr>
              <w:pStyle w:val="DefaqtoTableBody2"/>
            </w:pPr>
            <w:r>
              <w:t>Name</w:t>
            </w:r>
          </w:p>
        </w:tc>
        <w:tc>
          <w:tcPr>
            <w:tcW w:w="0" w:type="auto"/>
          </w:tcPr>
          <w:p w14:paraId="57774AD5"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Pension Portfolio - Choice</w:t>
            </w:r>
          </w:p>
        </w:tc>
      </w:tr>
      <w:tr w:rsidR="00C26C0C" w14:paraId="6AF0FA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462579" w14:textId="77777777" w:rsidR="00C26C0C" w:rsidRDefault="00DC28B1">
            <w:pPr>
              <w:pStyle w:val="DefaqtoTableBody2"/>
            </w:pPr>
            <w:r>
              <w:t>Product Type</w:t>
            </w:r>
          </w:p>
        </w:tc>
        <w:tc>
          <w:tcPr>
            <w:tcW w:w="0" w:type="auto"/>
          </w:tcPr>
          <w:p w14:paraId="1C184A8E"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SIPP</w:t>
            </w:r>
          </w:p>
        </w:tc>
      </w:tr>
      <w:tr w:rsidR="00C26C0C" w14:paraId="2E6ABD9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D58D03" w14:textId="77777777" w:rsidR="00C26C0C" w:rsidRDefault="00DC28B1">
            <w:pPr>
              <w:pStyle w:val="DefaqtoTableBody2"/>
            </w:pPr>
            <w:r>
              <w:t>Platform</w:t>
            </w:r>
          </w:p>
        </w:tc>
        <w:tc>
          <w:tcPr>
            <w:tcW w:w="0" w:type="auto"/>
          </w:tcPr>
          <w:p w14:paraId="508F8EEB"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Aviva Platform</w:t>
            </w:r>
          </w:p>
        </w:tc>
      </w:tr>
    </w:tbl>
    <w:p w14:paraId="4FF90D9F" w14:textId="77777777" w:rsidR="00C26C0C" w:rsidRDefault="00C26C0C">
      <w:pPr>
        <w:sectPr w:rsidR="00C26C0C">
          <w:headerReference w:type="default" r:id="rId12"/>
          <w:footerReference w:type="default" r:id="rId13"/>
          <w:pgSz w:w="11907" w:h="16839" w:code="9"/>
          <w:pgMar w:top="709" w:right="640" w:bottom="376" w:left="640" w:header="200" w:footer="200" w:gutter="0"/>
          <w:cols w:space="708"/>
          <w:docGrid w:linePitch="360"/>
        </w:sectPr>
      </w:pPr>
    </w:p>
    <w:p w14:paraId="208C6195" w14:textId="77777777" w:rsidR="00C26C0C" w:rsidRDefault="00DC28B1">
      <w:pPr>
        <w:pStyle w:val="DefaqtoHeading2-noTOC"/>
      </w:pPr>
      <w:r>
        <w:lastRenderedPageBreak/>
        <w:t>Comparison summary</w:t>
      </w:r>
    </w:p>
    <w:p w14:paraId="44885C48" w14:textId="77777777" w:rsidR="00C26C0C" w:rsidRDefault="00DC28B1">
      <w:pPr>
        <w:pStyle w:val="DefaqtoBody"/>
      </w:pPr>
      <w:r>
        <w:rPr>
          <w:u w:color="000000"/>
        </w:rPr>
        <w:t>The details below are intended to provide a like for like comparison of the value of your pension at retirement between your existing pension and the new solution. The retirement age used is 60.</w:t>
      </w:r>
    </w:p>
    <w:p w14:paraId="3E49171D" w14:textId="77777777" w:rsidR="00C26C0C" w:rsidRDefault="00DC28B1">
      <w:pPr>
        <w:pStyle w:val="DefaqtoBody"/>
      </w:pPr>
      <w:r>
        <w:rPr>
          <w:u w:color="000000"/>
        </w:rPr>
        <w:t>The figures assume that you switch your existing funds and continue the same level of contributions into your new solution. The cost of any transfer penalties applied by the existing provider are included in the calculation by reducing the amount to be invested in the new solution. Values shown are in real terms which mean that they have been adjusted to take into account the effect of inflation.</w:t>
      </w:r>
    </w:p>
    <w:tbl>
      <w:tblPr>
        <w:tblStyle w:val="DefaqtoTable"/>
        <w:tblW w:w="5000" w:type="pct"/>
        <w:tblLook w:val="01E0" w:firstRow="1" w:lastRow="1" w:firstColumn="1" w:lastColumn="1" w:noHBand="0" w:noVBand="0"/>
      </w:tblPr>
      <w:tblGrid>
        <w:gridCol w:w="2760"/>
        <w:gridCol w:w="3926"/>
        <w:gridCol w:w="3926"/>
      </w:tblGrid>
      <w:tr w:rsidR="00C26C0C" w14:paraId="3C79E2F0" w14:textId="77777777" w:rsidTr="00C26C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Borders>
              <w:top w:val="inset" w:sz="8" w:space="0" w:color="FFFFFF"/>
              <w:left w:val="inset" w:sz="8" w:space="0" w:color="FFFFFF"/>
              <w:right w:val="inset" w:sz="18" w:space="0" w:color="614FA0"/>
            </w:tcBorders>
          </w:tcPr>
          <w:p w14:paraId="15088F07" w14:textId="77777777" w:rsidR="00C26C0C" w:rsidRDefault="00C26C0C">
            <w:pPr>
              <w:pStyle w:val="DefaqtoTableBody2"/>
            </w:pPr>
          </w:p>
        </w:tc>
        <w:tc>
          <w:tcPr>
            <w:tcW w:w="1850" w:type="pct"/>
          </w:tcPr>
          <w:p w14:paraId="0463AAB5" w14:textId="77777777" w:rsidR="00C26C0C" w:rsidRDefault="00DC28B1">
            <w:pPr>
              <w:pStyle w:val="DefaqtoTableBody2"/>
              <w:cnfStyle w:val="100000000000" w:firstRow="1" w:lastRow="0" w:firstColumn="0" w:lastColumn="0" w:oddVBand="0" w:evenVBand="0" w:oddHBand="0" w:evenHBand="0" w:firstRowFirstColumn="0" w:firstRowLastColumn="0" w:lastRowFirstColumn="0" w:lastRowLastColumn="0"/>
            </w:pPr>
            <w:r>
              <w:t>Existing pension</w:t>
            </w:r>
          </w:p>
        </w:tc>
        <w:tc>
          <w:tcPr>
            <w:tcW w:w="1850" w:type="pct"/>
          </w:tcPr>
          <w:p w14:paraId="7E9886D7" w14:textId="77777777" w:rsidR="00C26C0C" w:rsidRDefault="00DC28B1">
            <w:pPr>
              <w:pStyle w:val="DefaqtoTableBody2"/>
              <w:cnfStyle w:val="100000000000" w:firstRow="1" w:lastRow="0" w:firstColumn="0" w:lastColumn="0" w:oddVBand="0" w:evenVBand="0" w:oddHBand="0" w:evenHBand="0" w:firstRowFirstColumn="0" w:firstRowLastColumn="0" w:lastRowFirstColumn="0" w:lastRowLastColumn="0"/>
            </w:pPr>
            <w:r>
              <w:t>New solution</w:t>
            </w:r>
          </w:p>
        </w:tc>
      </w:tr>
      <w:tr w:rsidR="00C26C0C" w14:paraId="4135E2FF" w14:textId="77777777" w:rsidTr="00C26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2B03DC58" w14:textId="77777777" w:rsidR="00C26C0C" w:rsidRDefault="00DC28B1">
            <w:pPr>
              <w:pStyle w:val="DefaqtoTableBody2"/>
            </w:pPr>
            <w:r>
              <w:rPr>
                <w:b/>
                <w:bCs/>
              </w:rPr>
              <w:t>Product(s)</w:t>
            </w:r>
          </w:p>
        </w:tc>
        <w:tc>
          <w:tcPr>
            <w:tcW w:w="0" w:type="auto"/>
          </w:tcPr>
          <w:p w14:paraId="4E28D690"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 - Current Aviva</w:t>
            </w:r>
          </w:p>
        </w:tc>
        <w:tc>
          <w:tcPr>
            <w:tcW w:w="0" w:type="auto"/>
          </w:tcPr>
          <w:p w14:paraId="0FBC2DCE"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 - Pension Portfolio - Choice</w:t>
            </w:r>
          </w:p>
        </w:tc>
      </w:tr>
      <w:tr w:rsidR="00C26C0C" w14:paraId="4149390D" w14:textId="77777777" w:rsidTr="00C26C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4B521C17" w14:textId="77777777" w:rsidR="00C26C0C" w:rsidRDefault="00DC28B1">
            <w:pPr>
              <w:pStyle w:val="DefaqtoTableBody2"/>
            </w:pPr>
            <w:r>
              <w:rPr>
                <w:b/>
                <w:bCs/>
              </w:rPr>
              <w:t>Platform</w:t>
            </w:r>
          </w:p>
        </w:tc>
        <w:tc>
          <w:tcPr>
            <w:tcW w:w="0" w:type="auto"/>
          </w:tcPr>
          <w:p w14:paraId="280C74D3"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None</w:t>
            </w:r>
          </w:p>
        </w:tc>
        <w:tc>
          <w:tcPr>
            <w:tcW w:w="0" w:type="auto"/>
          </w:tcPr>
          <w:p w14:paraId="00EA8DA9"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Aviva Platform</w:t>
            </w:r>
          </w:p>
        </w:tc>
      </w:tr>
    </w:tbl>
    <w:p w14:paraId="311E8B74" w14:textId="77777777" w:rsidR="00C26C0C" w:rsidRDefault="00DC28B1">
      <w:r>
        <w:t xml:space="preserve"> </w:t>
      </w:r>
    </w:p>
    <w:tbl>
      <w:tblPr>
        <w:tblW w:w="5000" w:type="pct"/>
        <w:tblBorders>
          <w:top w:val="single" w:sz="8" w:space="0" w:color="B0A7CF"/>
          <w:left w:val="single" w:sz="8" w:space="0" w:color="B0A7CF"/>
          <w:bottom w:val="single" w:sz="8" w:space="0" w:color="B0A7CF"/>
          <w:right w:val="single" w:sz="8" w:space="0" w:color="B0A7CF"/>
          <w:insideH w:val="single" w:sz="8" w:space="0" w:color="B0A7CF"/>
          <w:insideV w:val="single" w:sz="8" w:space="0" w:color="B0A7CF"/>
        </w:tblBorders>
        <w:tblLayout w:type="fixed"/>
        <w:tblCellMar>
          <w:top w:w="57" w:type="dxa"/>
          <w:bottom w:w="57" w:type="dxa"/>
        </w:tblCellMar>
        <w:tblLook w:val="04A0" w:firstRow="1" w:lastRow="0" w:firstColumn="1" w:lastColumn="0" w:noHBand="0" w:noVBand="1"/>
      </w:tblPr>
      <w:tblGrid>
        <w:gridCol w:w="2761"/>
        <w:gridCol w:w="3928"/>
        <w:gridCol w:w="3928"/>
      </w:tblGrid>
      <w:tr w:rsidR="00C26C0C" w14:paraId="5DEDC0BB" w14:textId="77777777">
        <w:tc>
          <w:tcPr>
            <w:tcW w:w="1300" w:type="pct"/>
            <w:tcBorders>
              <w:top w:val="nil"/>
              <w:left w:val="nil"/>
              <w:bottom w:val="nil"/>
              <w:right w:val="single" w:sz="18" w:space="0" w:color="614FA0"/>
            </w:tcBorders>
            <w:shd w:val="clear" w:color="auto" w:fill="FFFFFF"/>
          </w:tcPr>
          <w:p w14:paraId="7BD8BD60" w14:textId="77777777" w:rsidR="00C26C0C" w:rsidRDefault="00C26C0C">
            <w:pPr>
              <w:pStyle w:val="DefaqtoTableBody"/>
              <w:rPr>
                <w:rFonts w:ascii="Poppins" w:hAnsi="Poppins" w:cs="Poppins"/>
                <w:b/>
                <w:bCs/>
                <w:color w:val="392388"/>
              </w:rPr>
            </w:pPr>
          </w:p>
        </w:tc>
        <w:tc>
          <w:tcPr>
            <w:tcW w:w="1850" w:type="pct"/>
            <w:tcBorders>
              <w:top w:val="single" w:sz="4" w:space="0" w:color="B0A7CF"/>
              <w:left w:val="single" w:sz="18" w:space="0" w:color="614FA0"/>
              <w:bottom w:val="single" w:sz="4" w:space="0" w:color="B0A7CF"/>
              <w:right w:val="single" w:sz="4" w:space="0" w:color="B0A7CF"/>
            </w:tcBorders>
            <w:shd w:val="clear" w:color="auto" w:fill="FFFFFF"/>
          </w:tcPr>
          <w:p w14:paraId="44E5FCB8" w14:textId="77777777" w:rsidR="00C26C0C" w:rsidRDefault="00DC28B1">
            <w:pPr>
              <w:pStyle w:val="DefaqtoTableBody"/>
              <w:tabs>
                <w:tab w:val="center" w:pos="1671"/>
                <w:tab w:val="right" w:pos="3342"/>
              </w:tabs>
              <w:jc w:val="right"/>
              <w:rPr>
                <w:rFonts w:ascii="Poppins" w:hAnsi="Poppins" w:cs="Poppins"/>
                <w:color w:val="392388"/>
                <w:lang w:val="en-GB"/>
              </w:rPr>
            </w:pPr>
            <w:r>
              <w:rPr>
                <w:rFonts w:ascii="Poppins" w:hAnsi="Poppins" w:cs="Poppins"/>
                <w:b/>
                <w:bCs/>
                <w:noProof/>
                <w:color w:val="392388"/>
              </w:rPr>
              <w:t>Existing pension</w:t>
            </w:r>
          </w:p>
        </w:tc>
        <w:tc>
          <w:tcPr>
            <w:tcW w:w="1850" w:type="pct"/>
            <w:tcBorders>
              <w:left w:val="single" w:sz="4" w:space="0" w:color="B0A7CF"/>
              <w:bottom w:val="single" w:sz="4" w:space="0" w:color="B0A7CF"/>
            </w:tcBorders>
            <w:shd w:val="clear" w:color="auto" w:fill="FFFFFF"/>
          </w:tcPr>
          <w:p w14:paraId="461CE799" w14:textId="77777777" w:rsidR="00C26C0C" w:rsidRDefault="00DC28B1">
            <w:pPr>
              <w:pStyle w:val="DefaqtoTableBody"/>
              <w:tabs>
                <w:tab w:val="left" w:pos="1052"/>
                <w:tab w:val="right" w:pos="3263"/>
              </w:tabs>
              <w:jc w:val="right"/>
              <w:rPr>
                <w:rFonts w:ascii="Poppins" w:hAnsi="Poppins" w:cs="Poppins"/>
                <w:color w:val="392388"/>
                <w:lang w:val="en-GB"/>
              </w:rPr>
            </w:pPr>
            <w:r>
              <w:rPr>
                <w:rFonts w:ascii="Poppins" w:hAnsi="Poppins" w:cs="Poppins"/>
                <w:b/>
                <w:bCs/>
                <w:noProof/>
                <w:color w:val="392388"/>
              </w:rPr>
              <w:t>New solution</w:t>
            </w:r>
          </w:p>
        </w:tc>
      </w:tr>
      <w:tr w:rsidR="00C26C0C" w14:paraId="134C60CA"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0507B235" w14:textId="77777777" w:rsidR="00C26C0C" w:rsidRDefault="00DC28B1">
            <w:pPr>
              <w:pStyle w:val="DefaqtoTableBody"/>
              <w:rPr>
                <w:rFonts w:ascii="Poppins" w:hAnsi="Poppins" w:cs="Poppins"/>
                <w:b/>
                <w:bCs/>
                <w:color w:val="392388"/>
                <w:lang w:val="en-GB"/>
              </w:rPr>
            </w:pPr>
            <w:r>
              <w:rPr>
                <w:rFonts w:ascii="Poppins" w:hAnsi="Poppins" w:cs="Poppins"/>
                <w:b/>
                <w:bCs/>
                <w:color w:val="FFFFFF"/>
              </w:rPr>
              <w:t>Low growth rate – (</w:t>
            </w:r>
            <w:r>
              <w:rPr>
                <w:rFonts w:ascii="Poppins" w:hAnsi="Poppins" w:cs="Poppins"/>
                <w:b/>
                <w:bCs/>
                <w:color w:val="FFFFFF"/>
                <w:lang w:val="en-GB"/>
              </w:rPr>
              <w:t>0.00%)</w:t>
            </w:r>
          </w:p>
        </w:tc>
      </w:tr>
      <w:tr w:rsidR="00C26C0C" w14:paraId="0F9E520A"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429EE6F" w14:textId="77777777" w:rsidR="00C26C0C" w:rsidRDefault="00DC28B1">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60</w:t>
            </w:r>
          </w:p>
        </w:tc>
        <w:tc>
          <w:tcPr>
            <w:tcW w:w="1850" w:type="pct"/>
            <w:tcBorders>
              <w:left w:val="single" w:sz="18" w:space="0" w:color="614FA0"/>
            </w:tcBorders>
            <w:shd w:val="clear" w:color="auto" w:fill="FFFFFF"/>
          </w:tcPr>
          <w:p w14:paraId="07AD1C5A" w14:textId="77777777" w:rsidR="00C26C0C" w:rsidRDefault="00DC28B1">
            <w:pPr>
              <w:pStyle w:val="DefaqtoTableBody"/>
              <w:jc w:val="right"/>
              <w:rPr>
                <w:rFonts w:ascii="Poppins" w:hAnsi="Poppins" w:cs="Poppins"/>
                <w:color w:val="392388"/>
              </w:rPr>
            </w:pPr>
            <w:r>
              <w:rPr>
                <w:rFonts w:ascii="Poppins" w:hAnsi="Poppins" w:cs="Poppins"/>
                <w:color w:val="392388"/>
                <w:lang w:val="en-GB"/>
              </w:rPr>
              <w:t>£77,100</w:t>
            </w:r>
          </w:p>
        </w:tc>
        <w:tc>
          <w:tcPr>
            <w:tcW w:w="1850" w:type="pct"/>
            <w:shd w:val="clear" w:color="auto" w:fill="FFFFFF"/>
          </w:tcPr>
          <w:p w14:paraId="17255E46" w14:textId="77777777" w:rsidR="00C26C0C" w:rsidRDefault="00DC28B1">
            <w:pPr>
              <w:pStyle w:val="DefaqtoTableBody"/>
              <w:jc w:val="right"/>
              <w:rPr>
                <w:rFonts w:ascii="Poppins" w:hAnsi="Poppins" w:cs="Poppins"/>
                <w:color w:val="392388"/>
              </w:rPr>
            </w:pPr>
            <w:r>
              <w:rPr>
                <w:rFonts w:ascii="Poppins" w:hAnsi="Poppins" w:cs="Poppins"/>
                <w:color w:val="392388"/>
                <w:lang w:val="en-GB"/>
              </w:rPr>
              <w:t>£77,100</w:t>
            </w:r>
          </w:p>
        </w:tc>
      </w:tr>
      <w:tr w:rsidR="00C26C0C" w14:paraId="77B9EB1E"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47BDFC5C" w14:textId="77777777" w:rsidR="00C26C0C" w:rsidRDefault="00DC28B1">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5E872E23"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0.6%</w:t>
            </w:r>
          </w:p>
        </w:tc>
        <w:tc>
          <w:tcPr>
            <w:tcW w:w="1850" w:type="pct"/>
            <w:shd w:val="clear" w:color="auto" w:fill="EFEAFB"/>
          </w:tcPr>
          <w:p w14:paraId="0301D0F5"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0.6%</w:t>
            </w:r>
          </w:p>
        </w:tc>
      </w:tr>
      <w:tr w:rsidR="00C26C0C" w14:paraId="3775CFE8"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327DCCDF" w14:textId="77777777" w:rsidR="00C26C0C" w:rsidRDefault="00DC28B1">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1F2951DE"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0F3676BC"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0.0%</w:t>
            </w:r>
          </w:p>
        </w:tc>
      </w:tr>
      <w:tr w:rsidR="00C26C0C" w14:paraId="369A7EA5"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DB5C74E" w14:textId="77777777" w:rsidR="00C26C0C" w:rsidRDefault="00DC28B1">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bottom w:val="single" w:sz="4" w:space="0" w:color="B0A7CF"/>
            </w:tcBorders>
            <w:shd w:val="clear" w:color="auto" w:fill="EFEAFB"/>
          </w:tcPr>
          <w:p w14:paraId="01ABD4E1"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3812718A"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 or 0.0% decrease</w:t>
            </w:r>
          </w:p>
        </w:tc>
      </w:tr>
      <w:tr w:rsidR="00C26C0C" w14:paraId="7D718E41"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5FF963AB" w14:textId="77777777" w:rsidR="00C26C0C" w:rsidRDefault="00DC28B1">
            <w:pPr>
              <w:pStyle w:val="DefaqtoTableBody"/>
              <w:rPr>
                <w:rFonts w:ascii="Poppins" w:hAnsi="Poppins" w:cs="Poppins"/>
                <w:b/>
                <w:bCs/>
                <w:color w:val="392388"/>
                <w:lang w:val="en-GB"/>
              </w:rPr>
            </w:pPr>
            <w:r>
              <w:rPr>
                <w:rFonts w:ascii="Poppins" w:hAnsi="Poppins" w:cs="Poppins"/>
                <w:b/>
                <w:bCs/>
                <w:color w:val="FFFFFF"/>
              </w:rPr>
              <w:t>Mid growth rate – (</w:t>
            </w:r>
            <w:r>
              <w:rPr>
                <w:rFonts w:ascii="Poppins" w:hAnsi="Poppins" w:cs="Poppins"/>
                <w:b/>
                <w:bCs/>
                <w:color w:val="FFFFFF"/>
                <w:lang w:val="en-GB"/>
              </w:rPr>
              <w:t>2.94%)</w:t>
            </w:r>
          </w:p>
        </w:tc>
      </w:tr>
      <w:tr w:rsidR="00C26C0C" w14:paraId="6613DCB3"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086B4C7A" w14:textId="77777777" w:rsidR="00C26C0C" w:rsidRDefault="00DC28B1">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60</w:t>
            </w:r>
            <w:r>
              <w:rPr>
                <w:rFonts w:ascii="Poppins" w:hAnsi="Poppins" w:cs="Poppins"/>
                <w:b/>
                <w:bCs/>
                <w:color w:val="392388"/>
              </w:rPr>
              <w:t xml:space="preserve"> </w:t>
            </w:r>
          </w:p>
        </w:tc>
        <w:tc>
          <w:tcPr>
            <w:tcW w:w="1850" w:type="pct"/>
            <w:tcBorders>
              <w:left w:val="single" w:sz="18" w:space="0" w:color="614FA0"/>
            </w:tcBorders>
            <w:shd w:val="clear" w:color="auto" w:fill="FFFFFF"/>
          </w:tcPr>
          <w:p w14:paraId="17619759" w14:textId="77777777" w:rsidR="00C26C0C" w:rsidRDefault="00DC28B1">
            <w:pPr>
              <w:pStyle w:val="DefaqtoTableBody"/>
              <w:jc w:val="right"/>
              <w:rPr>
                <w:rFonts w:ascii="Poppins" w:hAnsi="Poppins" w:cs="Poppins"/>
                <w:color w:val="392388"/>
              </w:rPr>
            </w:pPr>
            <w:r>
              <w:rPr>
                <w:rFonts w:ascii="Poppins" w:hAnsi="Poppins" w:cs="Poppins"/>
                <w:color w:val="392388"/>
                <w:lang w:val="en-GB"/>
              </w:rPr>
              <w:t>£86,800</w:t>
            </w:r>
          </w:p>
        </w:tc>
        <w:tc>
          <w:tcPr>
            <w:tcW w:w="1850" w:type="pct"/>
            <w:shd w:val="clear" w:color="auto" w:fill="FFFFFF"/>
          </w:tcPr>
          <w:p w14:paraId="15F7FF8F" w14:textId="77777777" w:rsidR="00C26C0C" w:rsidRDefault="00DC28B1">
            <w:pPr>
              <w:pStyle w:val="DefaqtoTableBody"/>
              <w:jc w:val="right"/>
              <w:rPr>
                <w:rFonts w:ascii="Poppins" w:hAnsi="Poppins" w:cs="Poppins"/>
                <w:color w:val="392388"/>
              </w:rPr>
            </w:pPr>
            <w:r>
              <w:rPr>
                <w:rFonts w:ascii="Poppins" w:hAnsi="Poppins" w:cs="Poppins"/>
                <w:color w:val="392388"/>
                <w:lang w:val="en-GB"/>
              </w:rPr>
              <w:t>£86,700</w:t>
            </w:r>
          </w:p>
        </w:tc>
      </w:tr>
      <w:tr w:rsidR="00C26C0C" w14:paraId="4A301A3E"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2306B15F" w14:textId="77777777" w:rsidR="00C26C0C" w:rsidRDefault="00DC28B1">
            <w:pPr>
              <w:pStyle w:val="DefaqtoTableBody"/>
              <w:rPr>
                <w:rFonts w:ascii="Poppins" w:hAnsi="Poppins" w:cs="Poppins"/>
                <w:b/>
                <w:bCs/>
                <w:color w:val="392388"/>
              </w:rPr>
            </w:pPr>
            <w:r>
              <w:rPr>
                <w:rFonts w:ascii="Poppins" w:hAnsi="Poppins" w:cs="Poppins"/>
                <w:b/>
                <w:bCs/>
                <w:color w:val="392388"/>
              </w:rPr>
              <w:t>Reduction in yield</w:t>
            </w:r>
            <w:r>
              <w:rPr>
                <w:rFonts w:ascii="Poppins" w:hAnsi="Poppins" w:cs="Poppins"/>
                <w:b/>
                <w:bCs/>
                <w:color w:val="392388"/>
                <w:vertAlign w:val="superscript"/>
              </w:rPr>
              <w:t>[1]</w:t>
            </w:r>
          </w:p>
        </w:tc>
        <w:tc>
          <w:tcPr>
            <w:tcW w:w="1850" w:type="pct"/>
            <w:tcBorders>
              <w:left w:val="single" w:sz="18" w:space="0" w:color="614FA0"/>
            </w:tcBorders>
            <w:shd w:val="clear" w:color="auto" w:fill="EFEAFB"/>
          </w:tcPr>
          <w:p w14:paraId="52CF4408"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0.6%</w:t>
            </w:r>
          </w:p>
        </w:tc>
        <w:tc>
          <w:tcPr>
            <w:tcW w:w="1850" w:type="pct"/>
            <w:shd w:val="clear" w:color="auto" w:fill="EFEAFB"/>
          </w:tcPr>
          <w:p w14:paraId="7471BB6C"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0.7%</w:t>
            </w:r>
          </w:p>
        </w:tc>
      </w:tr>
      <w:tr w:rsidR="00C26C0C" w14:paraId="23F96BAD"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326B87AD" w14:textId="77777777" w:rsidR="00C26C0C" w:rsidRDefault="00DC28B1">
            <w:pPr>
              <w:pStyle w:val="DefaqtoTableBody"/>
              <w:rPr>
                <w:rFonts w:ascii="Poppins" w:hAnsi="Poppins" w:cs="Poppins"/>
                <w:b/>
                <w:bCs/>
                <w:color w:val="392388"/>
              </w:rPr>
            </w:pPr>
            <w:r>
              <w:rPr>
                <w:rFonts w:ascii="Poppins" w:hAnsi="Poppins" w:cs="Poppins"/>
                <w:b/>
                <w:bCs/>
                <w:color w:val="392388"/>
              </w:rPr>
              <w:t>Critical yield</w:t>
            </w:r>
            <w:r>
              <w:rPr>
                <w:rFonts w:ascii="Poppins" w:hAnsi="Poppins" w:cs="Poppins"/>
                <w:b/>
                <w:bCs/>
                <w:color w:val="392388"/>
                <w:vertAlign w:val="superscript"/>
              </w:rPr>
              <w:t>[2]</w:t>
            </w:r>
          </w:p>
        </w:tc>
        <w:tc>
          <w:tcPr>
            <w:tcW w:w="1850" w:type="pct"/>
            <w:tcBorders>
              <w:left w:val="single" w:sz="18" w:space="0" w:color="614FA0"/>
            </w:tcBorders>
            <w:shd w:val="clear" w:color="auto" w:fill="FFFFFF"/>
          </w:tcPr>
          <w:p w14:paraId="6240D8CE"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6CCA3252" w14:textId="77777777" w:rsidR="00C26C0C" w:rsidRDefault="00DC28B1">
            <w:pPr>
              <w:pStyle w:val="DefaqtoTableBody"/>
              <w:jc w:val="right"/>
              <w:rPr>
                <w:rFonts w:ascii="Poppins" w:hAnsi="Poppins" w:cs="Poppins"/>
                <w:color w:val="392388"/>
              </w:rPr>
            </w:pPr>
            <w:r>
              <w:rPr>
                <w:rFonts w:ascii="Poppins" w:hAnsi="Poppins" w:cs="Poppins"/>
                <w:color w:val="392388"/>
                <w:lang w:val="en-GB"/>
              </w:rPr>
              <w:t>2.9%</w:t>
            </w:r>
          </w:p>
        </w:tc>
      </w:tr>
      <w:tr w:rsidR="00C26C0C" w14:paraId="4BA9D12E"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2A4974D" w14:textId="77777777" w:rsidR="00C26C0C" w:rsidRDefault="00DC28B1">
            <w:pPr>
              <w:pStyle w:val="DefaqtoTableBody"/>
              <w:rPr>
                <w:rFonts w:ascii="Poppins" w:hAnsi="Poppins" w:cs="Poppins"/>
                <w:b/>
                <w:bCs/>
                <w:color w:val="392388"/>
              </w:rPr>
            </w:pPr>
            <w:r>
              <w:rPr>
                <w:rFonts w:ascii="Poppins" w:hAnsi="Poppins" w:cs="Poppins"/>
                <w:b/>
                <w:bCs/>
                <w:color w:val="392388"/>
              </w:rPr>
              <w:t>Effect of switching</w:t>
            </w:r>
            <w:r>
              <w:rPr>
                <w:rFonts w:ascii="Poppins" w:hAnsi="Poppins" w:cs="Poppins"/>
                <w:b/>
                <w:bCs/>
                <w:color w:val="392388"/>
                <w:vertAlign w:val="superscript"/>
              </w:rPr>
              <w:t>[3]</w:t>
            </w:r>
          </w:p>
        </w:tc>
        <w:tc>
          <w:tcPr>
            <w:tcW w:w="1850" w:type="pct"/>
            <w:tcBorders>
              <w:left w:val="single" w:sz="18" w:space="0" w:color="614FA0"/>
              <w:bottom w:val="single" w:sz="4" w:space="0" w:color="B0A7CF"/>
            </w:tcBorders>
            <w:shd w:val="clear" w:color="auto" w:fill="EFEAFB"/>
          </w:tcPr>
          <w:p w14:paraId="6F4D3B70"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00EE290F" w14:textId="77777777" w:rsidR="00C26C0C" w:rsidRDefault="00DC28B1">
            <w:pPr>
              <w:pStyle w:val="DefaqtoTableBody"/>
              <w:jc w:val="right"/>
              <w:rPr>
                <w:rFonts w:ascii="Poppins" w:hAnsi="Poppins" w:cs="Poppins"/>
                <w:color w:val="392388"/>
              </w:rPr>
            </w:pPr>
            <w:r>
              <w:rPr>
                <w:rFonts w:ascii="Poppins" w:hAnsi="Poppins" w:cs="Poppins"/>
                <w:color w:val="392388"/>
                <w:lang w:val="en-GB"/>
              </w:rPr>
              <w:t>£100 or 0.1% decrease</w:t>
            </w:r>
          </w:p>
        </w:tc>
      </w:tr>
      <w:tr w:rsidR="00C26C0C" w14:paraId="18AAE043"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4CCABC69" w14:textId="77777777" w:rsidR="00C26C0C" w:rsidRDefault="00DC28B1">
            <w:pPr>
              <w:pStyle w:val="DefaqtoTableBody"/>
              <w:rPr>
                <w:rFonts w:ascii="Poppins" w:hAnsi="Poppins" w:cs="Poppins"/>
                <w:b/>
                <w:bCs/>
                <w:color w:val="392388"/>
                <w:lang w:val="en-GB"/>
              </w:rPr>
            </w:pPr>
            <w:r>
              <w:rPr>
                <w:rFonts w:ascii="Poppins" w:hAnsi="Poppins" w:cs="Poppins"/>
                <w:b/>
                <w:bCs/>
                <w:color w:val="FFFFFF"/>
              </w:rPr>
              <w:t>High growth rate – (</w:t>
            </w:r>
            <w:r>
              <w:rPr>
                <w:rFonts w:ascii="Poppins" w:hAnsi="Poppins" w:cs="Poppins"/>
                <w:b/>
                <w:bCs/>
                <w:color w:val="FFFFFF"/>
                <w:lang w:val="en-GB"/>
              </w:rPr>
              <w:t>5.88%)</w:t>
            </w:r>
          </w:p>
        </w:tc>
      </w:tr>
      <w:tr w:rsidR="00C26C0C" w14:paraId="49D597C3"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6E6A3531" w14:textId="77777777" w:rsidR="00C26C0C" w:rsidRDefault="00DC28B1">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60</w:t>
            </w:r>
            <w:r>
              <w:rPr>
                <w:rFonts w:ascii="Poppins" w:hAnsi="Poppins" w:cs="Poppins"/>
                <w:b/>
                <w:bCs/>
                <w:color w:val="392388"/>
              </w:rPr>
              <w:t xml:space="preserve"> </w:t>
            </w:r>
          </w:p>
        </w:tc>
        <w:tc>
          <w:tcPr>
            <w:tcW w:w="1850" w:type="pct"/>
            <w:tcBorders>
              <w:left w:val="single" w:sz="18" w:space="0" w:color="614FA0"/>
            </w:tcBorders>
            <w:shd w:val="clear" w:color="auto" w:fill="FFFFFF"/>
          </w:tcPr>
          <w:p w14:paraId="7B87843F" w14:textId="77777777" w:rsidR="00C26C0C" w:rsidRDefault="00DC28B1">
            <w:pPr>
              <w:pStyle w:val="DefaqtoTableBody"/>
              <w:jc w:val="right"/>
              <w:rPr>
                <w:rFonts w:ascii="Poppins" w:hAnsi="Poppins" w:cs="Poppins"/>
                <w:color w:val="392388"/>
              </w:rPr>
            </w:pPr>
            <w:r>
              <w:rPr>
                <w:rFonts w:ascii="Poppins" w:hAnsi="Poppins" w:cs="Poppins"/>
                <w:color w:val="392388"/>
                <w:lang w:val="en-GB"/>
              </w:rPr>
              <w:t>£97,400</w:t>
            </w:r>
          </w:p>
        </w:tc>
        <w:tc>
          <w:tcPr>
            <w:tcW w:w="1850" w:type="pct"/>
            <w:shd w:val="clear" w:color="auto" w:fill="FFFFFF"/>
          </w:tcPr>
          <w:p w14:paraId="18E95103" w14:textId="77777777" w:rsidR="00C26C0C" w:rsidRDefault="00DC28B1">
            <w:pPr>
              <w:pStyle w:val="DefaqtoTableBody"/>
              <w:jc w:val="right"/>
              <w:rPr>
                <w:rFonts w:ascii="Poppins" w:hAnsi="Poppins" w:cs="Poppins"/>
                <w:color w:val="392388"/>
              </w:rPr>
            </w:pPr>
            <w:r>
              <w:rPr>
                <w:rFonts w:ascii="Poppins" w:hAnsi="Poppins" w:cs="Poppins"/>
                <w:color w:val="392388"/>
                <w:lang w:val="en-GB"/>
              </w:rPr>
              <w:t>£97,300</w:t>
            </w:r>
          </w:p>
        </w:tc>
      </w:tr>
      <w:tr w:rsidR="00C26C0C" w14:paraId="1BE03BBE"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222BEC1C" w14:textId="77777777" w:rsidR="00C26C0C" w:rsidRDefault="00DC28B1">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0A0DA09A"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0.7%</w:t>
            </w:r>
          </w:p>
        </w:tc>
        <w:tc>
          <w:tcPr>
            <w:tcW w:w="1850" w:type="pct"/>
            <w:shd w:val="clear" w:color="auto" w:fill="EFEAFB"/>
          </w:tcPr>
          <w:p w14:paraId="47D6F0C9"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0.7%</w:t>
            </w:r>
          </w:p>
        </w:tc>
      </w:tr>
      <w:tr w:rsidR="00C26C0C" w14:paraId="429A2F4B"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0460B102" w14:textId="77777777" w:rsidR="00C26C0C" w:rsidRDefault="00DC28B1">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0C734A0F"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3DECDAFF" w14:textId="77777777" w:rsidR="00C26C0C" w:rsidRDefault="00DC28B1">
            <w:pPr>
              <w:pStyle w:val="DefaqtoTableBody"/>
              <w:jc w:val="right"/>
              <w:rPr>
                <w:rFonts w:ascii="Poppins" w:hAnsi="Poppins" w:cs="Poppins"/>
                <w:color w:val="392388"/>
              </w:rPr>
            </w:pPr>
            <w:r>
              <w:rPr>
                <w:rFonts w:ascii="Poppins" w:hAnsi="Poppins" w:cs="Poppins"/>
                <w:color w:val="392388"/>
                <w:lang w:val="en-GB"/>
              </w:rPr>
              <w:t>5.9%</w:t>
            </w:r>
          </w:p>
        </w:tc>
      </w:tr>
      <w:tr w:rsidR="00C26C0C" w14:paraId="6C6C4BD6"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015351A" w14:textId="77777777" w:rsidR="00C26C0C" w:rsidRDefault="00DC28B1">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tcBorders>
            <w:shd w:val="clear" w:color="auto" w:fill="EFEAFB"/>
          </w:tcPr>
          <w:p w14:paraId="38A2ECA7"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EFEAFB"/>
          </w:tcPr>
          <w:p w14:paraId="5D5DA413" w14:textId="77777777" w:rsidR="00C26C0C" w:rsidRDefault="00DC28B1">
            <w:pPr>
              <w:pStyle w:val="DefaqtoTableBody"/>
              <w:jc w:val="right"/>
              <w:rPr>
                <w:rFonts w:ascii="Poppins" w:hAnsi="Poppins" w:cs="Poppins"/>
                <w:color w:val="392388"/>
              </w:rPr>
            </w:pPr>
            <w:r>
              <w:rPr>
                <w:rFonts w:ascii="Poppins" w:hAnsi="Poppins" w:cs="Poppins"/>
                <w:color w:val="392388"/>
                <w:lang w:val="en-GB"/>
              </w:rPr>
              <w:t>£100 or 0.1% decrease</w:t>
            </w:r>
          </w:p>
        </w:tc>
      </w:tr>
    </w:tbl>
    <w:p w14:paraId="11A62FE7" w14:textId="77777777" w:rsidR="00C26C0C" w:rsidRDefault="00C26C0C">
      <w:pPr>
        <w:pStyle w:val="Defaqtosmallprint"/>
      </w:pPr>
    </w:p>
    <w:p w14:paraId="2F887EC5" w14:textId="77777777" w:rsidR="00C26C0C" w:rsidRDefault="00DC28B1">
      <w:pPr>
        <w:pStyle w:val="Defaqtosmallprint"/>
        <w:sectPr w:rsidR="00C26C0C">
          <w:headerReference w:type="default" r:id="rId14"/>
          <w:footerReference w:type="default" r:id="rId15"/>
          <w:pgSz w:w="11907" w:h="16839" w:code="9"/>
          <w:pgMar w:top="709" w:right="640" w:bottom="376" w:left="640" w:header="200" w:footer="200" w:gutter="0"/>
          <w:cols w:space="708"/>
          <w:docGrid w:linePitch="360"/>
        </w:sectPr>
      </w:pPr>
      <w:r>
        <w:rPr>
          <w:u w:color="000000"/>
        </w:rPr>
        <w:t>[1] Reduction in Yield is the impact of product, platform and fund charges on the investment growth rate. For example, if the fund grows due to investment growth by 4% in a year and the reduction in yield is 2.5% the fund growth experienced will be 1.5%.</w:t>
      </w:r>
      <w:r>
        <w:br/>
      </w:r>
      <w:r>
        <w:rPr>
          <w:u w:color="000000"/>
        </w:rPr>
        <w:t>[2] Critical Yield is the growth rate required from the new solution to match the projected maturity value of the pension solution.</w:t>
      </w:r>
      <w:r>
        <w:br/>
      </w:r>
      <w:r>
        <w:rPr>
          <w:u w:color="000000"/>
        </w:rPr>
        <w:t>[3] Effect of switching is the change in the maturity value of the new solution assuming the fund experiences the same investment growth.</w:t>
      </w:r>
      <w:r>
        <w:br/>
      </w:r>
    </w:p>
    <w:p w14:paraId="22741AD8" w14:textId="77777777" w:rsidR="00C26C0C" w:rsidRDefault="00DC28B1">
      <w:r>
        <w:rPr>
          <w:noProof/>
        </w:rPr>
        <w:lastRenderedPageBreak/>
        <w:drawing>
          <wp:inline distT="0" distB="0" distL="0" distR="0" wp14:anchorId="4B5435CB" wp14:editId="78A07E91">
            <wp:extent cx="1353426" cy="340290"/>
            <wp:effectExtent l="0" t="0" r="0" b="3175"/>
            <wp:docPr id="8" name="Picture 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cstate="print"/>
                    <a:stretch>
                      <a:fillRect/>
                    </a:stretch>
                  </pic:blipFill>
                  <pic:spPr>
                    <a:xfrm>
                      <a:off x="0" y="0"/>
                      <a:ext cx="1353426" cy="340290"/>
                    </a:xfrm>
                    <a:prstGeom prst="rect">
                      <a:avLst/>
                    </a:prstGeom>
                    <a:noFill/>
                    <a:ln>
                      <a:noFill/>
                    </a:ln>
                  </pic:spPr>
                </pic:pic>
              </a:graphicData>
            </a:graphic>
          </wp:inline>
        </w:drawing>
      </w:r>
    </w:p>
    <w:p w14:paraId="5B368AB0" w14:textId="77777777" w:rsidR="00C26C0C" w:rsidRDefault="00C26C0C">
      <w:pPr>
        <w:pStyle w:val="DefaqtoCoverHeading-noTOC"/>
        <w:rPr>
          <w:rFonts w:cs="Poppins SemiBold"/>
          <w:b w:val="0"/>
          <w:bCs w:val="0"/>
          <w:sz w:val="62"/>
          <w:szCs w:val="62"/>
        </w:rPr>
      </w:pPr>
    </w:p>
    <w:p w14:paraId="567360F2" w14:textId="77777777" w:rsidR="00C26C0C" w:rsidRDefault="00C26C0C">
      <w:pPr>
        <w:pStyle w:val="DefaqtoCoverHeading-noTOC"/>
        <w:rPr>
          <w:rFonts w:cs="Poppins SemiBold"/>
          <w:b w:val="0"/>
          <w:bCs w:val="0"/>
          <w:sz w:val="62"/>
          <w:szCs w:val="62"/>
        </w:rPr>
      </w:pPr>
    </w:p>
    <w:p w14:paraId="235B0A0B" w14:textId="77777777" w:rsidR="00C26C0C" w:rsidRDefault="00DC28B1">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Pension Switching Report for </w:t>
      </w:r>
      <w:r>
        <w:rPr>
          <w:rFonts w:cs="Poppins SemiBold"/>
          <w:b w:val="0"/>
          <w:bCs w:val="0"/>
          <w:noProof/>
        </w:rPr>
        <w:t xml:space="preserve">Mr Anthony Barnes </w:t>
      </w:r>
    </w:p>
    <w:p w14:paraId="769D1193" w14:textId="77777777" w:rsidR="00C26C0C" w:rsidRDefault="00DC28B1">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Kayleigh Sambhi</w:t>
      </w:r>
    </w:p>
    <w:p w14:paraId="02B81C7B" w14:textId="77777777" w:rsidR="00C26C0C" w:rsidRDefault="00C26C0C">
      <w:pPr>
        <w:pStyle w:val="DefaqtoCoverHeading-noTOC"/>
        <w:spacing w:after="160"/>
        <w:rPr>
          <w:rFonts w:ascii="Poppins Light" w:hAnsi="Poppins Light" w:cs="Poppins Light"/>
          <w:b w:val="0"/>
          <w:bCs w:val="0"/>
          <w:color w:val="392388"/>
          <w:sz w:val="32"/>
          <w:szCs w:val="32"/>
        </w:rPr>
      </w:pPr>
    </w:p>
    <w:p w14:paraId="6C2959B2" w14:textId="77777777" w:rsidR="00C26C0C" w:rsidRDefault="00DC28B1">
      <w:pPr>
        <w:ind w:left="23"/>
        <w:rPr>
          <w:rFonts w:ascii="Poppins" w:hAnsi="Poppins" w:cs="Poppins"/>
          <w:sz w:val="36"/>
          <w:szCs w:val="36"/>
        </w:rPr>
      </w:pPr>
      <w:r>
        <w:rPr>
          <w:rFonts w:ascii="Poppins" w:hAnsi="Poppins" w:cs="Poppins"/>
          <w:sz w:val="36"/>
          <w:szCs w:val="36"/>
        </w:rPr>
        <w:tab/>
      </w:r>
    </w:p>
    <w:p w14:paraId="0962F8A8" w14:textId="77777777" w:rsidR="00C26C0C" w:rsidRDefault="00DC28B1">
      <w:pPr>
        <w:rPr>
          <w:rFonts w:ascii="Poppins" w:hAnsi="Poppins" w:cs="Poppins"/>
          <w:sz w:val="36"/>
          <w:szCs w:val="36"/>
        </w:rPr>
        <w:sectPr w:rsidR="00C26C0C">
          <w:headerReference w:type="default" r:id="rId16"/>
          <w:footerReference w:type="default" r:id="rId17"/>
          <w:headerReference w:type="first" r:id="rId18"/>
          <w:footerReference w:type="first" r:id="rId19"/>
          <w:pgSz w:w="11906" w:h="16838"/>
          <w:pgMar w:top="709" w:right="640" w:bottom="376" w:left="640" w:header="200" w:footer="200" w:gutter="0"/>
          <w:pgNumType w:start="1"/>
          <w:cols w:space="720"/>
          <w:titlePg/>
          <w:docGrid w:linePitch="360"/>
        </w:sectPr>
      </w:pPr>
      <w:r>
        <w:rPr>
          <w:rFonts w:ascii="Poppins" w:hAnsi="Poppins" w:cs="Poppins"/>
          <w:noProof/>
          <w:color w:val="4A4948"/>
          <w:sz w:val="36"/>
          <w:szCs w:val="36"/>
        </w:rPr>
        <mc:AlternateContent>
          <mc:Choice Requires="wps">
            <w:drawing>
              <wp:anchor distT="0" distB="0" distL="114300" distR="114300" simplePos="0" relativeHeight="251658240" behindDoc="0" locked="0" layoutInCell="1" allowOverlap="1" wp14:anchorId="40247F01" wp14:editId="53292CCB">
                <wp:simplePos x="0" y="0"/>
                <wp:positionH relativeFrom="margin">
                  <wp:posOffset>10973</wp:posOffset>
                </wp:positionH>
                <wp:positionV relativeFrom="topMargin">
                  <wp:posOffset>6488582</wp:posOffset>
                </wp:positionV>
                <wp:extent cx="6851460" cy="3096083"/>
                <wp:effectExtent l="0" t="0" r="6985" b="9525"/>
                <wp:wrapNone/>
                <wp:docPr id="10"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miter lim="800000"/>
                        </a:ln>
                      </wps:spPr>
                      <wps:style>
                        <a:lnRef idx="0">
                          <a:schemeClr val="accent1"/>
                        </a:lnRef>
                        <a:fillRef idx="0">
                          <a:schemeClr val="accent1"/>
                        </a:fillRef>
                        <a:effectRef idx="0">
                          <a:schemeClr val="accent1"/>
                        </a:effectRef>
                        <a:fontRef idx="minor">
                          <a:schemeClr val="dk1"/>
                        </a:fontRef>
                      </wps:style>
                      <wps:txbx>
                        <w:txbxContent>
                          <w:p w14:paraId="3D100407" w14:textId="77777777" w:rsidR="00C26C0C" w:rsidRDefault="00DC28B1">
                            <w:pPr>
                              <w:jc w:val="right"/>
                              <w:rPr>
                                <w:color w:val="392388"/>
                              </w:rPr>
                            </w:pPr>
                            <w:r>
                              <w:rPr>
                                <w:noProof/>
                              </w:rPr>
                              <w:drawing>
                                <wp:inline distT="0" distB="0" distL="0" distR="0" wp14:anchorId="05035E14" wp14:editId="6D3CDCA3">
                                  <wp:extent cx="2667000" cy="11811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13" name="Picture 13"/>
                            <a:graphic xmlns:a="http://schemas.openxmlformats.org/drawingml/2006/main">
                              <a:graphicData uri="http://schemas.openxmlformats.org/drawingml/2006/picture">
                                <pic:pic xmlns:pic="http://schemas.openxmlformats.org/drawingml/2006/picture">
                                  <pic:nvPicPr>
                                    <pic:cNvPr id="14" name="Picture 14"/>
                                    <pic:cNvPicPr/>
                                  </pic:nvPicPr>
                                  <pic:blipFill>
                                    <a:blip cstate="print" r:embed="PictureId4"/>
                                    <a:stretch>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14:paraId="34E9FA4E" w14:textId="77777777" w:rsidR="00C26C0C" w:rsidRDefault="00DC28B1">
      <w:pPr>
        <w:pStyle w:val="DefaqtoHeading1"/>
      </w:pPr>
      <w:bookmarkStart w:id="5" w:name="_Toc1"/>
      <w:r>
        <w:lastRenderedPageBreak/>
        <w:t>Contents</w:t>
      </w:r>
      <w:bookmarkEnd w:id="5"/>
    </w:p>
    <w:p w14:paraId="0F3461CC" w14:textId="77777777" w:rsidR="00C26C0C" w:rsidRDefault="00DC28B1">
      <w:r>
        <w:t xml:space="preserve"> </w:t>
      </w:r>
    </w:p>
    <w:p w14:paraId="67989251" w14:textId="77777777" w:rsidR="00C26C0C" w:rsidRDefault="00DC28B1">
      <w:pPr>
        <w:pStyle w:val="TOC1"/>
      </w:pPr>
      <w:r>
        <w:fldChar w:fldCharType="begin"/>
      </w:r>
      <w:r>
        <w:instrText>TOC \o "1-3" \h \u \z</w:instrText>
      </w:r>
      <w:r>
        <w:fldChar w:fldCharType="separate"/>
      </w:r>
      <w:hyperlink w:anchor="_Toc1">
        <w:r>
          <w:t>Contents</w:t>
        </w:r>
        <w:r>
          <w:tab/>
        </w:r>
        <w:r>
          <w:fldChar w:fldCharType="begin"/>
        </w:r>
        <w:r>
          <w:instrText>PAGEREF _Toc1 \h</w:instrText>
        </w:r>
        <w:r>
          <w:fldChar w:fldCharType="separate"/>
        </w:r>
        <w:r>
          <w:t>2</w:t>
        </w:r>
        <w:r>
          <w:fldChar w:fldCharType="end"/>
        </w:r>
      </w:hyperlink>
    </w:p>
    <w:p w14:paraId="63322B01" w14:textId="77777777" w:rsidR="00C26C0C" w:rsidRDefault="00DC28B1">
      <w:pPr>
        <w:pStyle w:val="TOC1"/>
      </w:pPr>
      <w:hyperlink w:anchor="_Toc2">
        <w:r>
          <w:t>Existing pension</w:t>
        </w:r>
        <w:r>
          <w:tab/>
        </w:r>
        <w:r>
          <w:fldChar w:fldCharType="begin"/>
        </w:r>
        <w:r>
          <w:instrText>PAGEREF _Toc2 \h</w:instrText>
        </w:r>
        <w:r>
          <w:fldChar w:fldCharType="separate"/>
        </w:r>
        <w:r>
          <w:t>3</w:t>
        </w:r>
        <w:r>
          <w:fldChar w:fldCharType="end"/>
        </w:r>
      </w:hyperlink>
    </w:p>
    <w:p w14:paraId="16A8AFB0" w14:textId="77777777" w:rsidR="00C26C0C" w:rsidRDefault="00DC28B1">
      <w:pPr>
        <w:pStyle w:val="TOC2"/>
        <w:tabs>
          <w:tab w:val="right" w:leader="dot" w:pos="10627"/>
        </w:tabs>
      </w:pPr>
      <w:hyperlink w:anchor="_Toc3">
        <w:r>
          <w:t>Aviva Life &amp; Pensions UK Limited - Current Aviva</w:t>
        </w:r>
        <w:r>
          <w:tab/>
        </w:r>
        <w:r>
          <w:fldChar w:fldCharType="begin"/>
        </w:r>
        <w:r>
          <w:instrText>PAGEREF _Toc3 \h</w:instrText>
        </w:r>
        <w:r>
          <w:fldChar w:fldCharType="separate"/>
        </w:r>
        <w:r>
          <w:t>3</w:t>
        </w:r>
        <w:r>
          <w:fldChar w:fldCharType="end"/>
        </w:r>
      </w:hyperlink>
    </w:p>
    <w:p w14:paraId="6068C31C" w14:textId="77777777" w:rsidR="00C26C0C" w:rsidRDefault="00DC28B1">
      <w:pPr>
        <w:pStyle w:val="TOC3"/>
        <w:tabs>
          <w:tab w:val="right" w:leader="dot" w:pos="10627"/>
        </w:tabs>
      </w:pPr>
      <w:hyperlink w:anchor="_Toc4">
        <w:r>
          <w:t>Illustration details</w:t>
        </w:r>
        <w:r>
          <w:tab/>
        </w:r>
        <w:r>
          <w:fldChar w:fldCharType="begin"/>
        </w:r>
        <w:r>
          <w:instrText>PAGEREF _Toc4 \h</w:instrText>
        </w:r>
        <w:r>
          <w:fldChar w:fldCharType="separate"/>
        </w:r>
        <w:r>
          <w:t>3</w:t>
        </w:r>
        <w:r>
          <w:fldChar w:fldCharType="end"/>
        </w:r>
      </w:hyperlink>
    </w:p>
    <w:p w14:paraId="2E11F0A6" w14:textId="77777777" w:rsidR="00C26C0C" w:rsidRDefault="00DC28B1">
      <w:pPr>
        <w:pStyle w:val="TOC3"/>
        <w:tabs>
          <w:tab w:val="right" w:leader="dot" w:pos="10627"/>
        </w:tabs>
      </w:pPr>
      <w:hyperlink w:anchor="_Toc5">
        <w:r>
          <w:t>Charges data</w:t>
        </w:r>
        <w:r>
          <w:tab/>
        </w:r>
        <w:r>
          <w:fldChar w:fldCharType="begin"/>
        </w:r>
        <w:r>
          <w:instrText>PAGEREF _Toc5 \h</w:instrText>
        </w:r>
        <w:r>
          <w:fldChar w:fldCharType="separate"/>
        </w:r>
        <w:r>
          <w:t>3</w:t>
        </w:r>
        <w:r>
          <w:fldChar w:fldCharType="end"/>
        </w:r>
      </w:hyperlink>
    </w:p>
    <w:p w14:paraId="0149E43B" w14:textId="77777777" w:rsidR="00C26C0C" w:rsidRDefault="00DC28B1">
      <w:pPr>
        <w:pStyle w:val="TOC3"/>
        <w:tabs>
          <w:tab w:val="right" w:leader="dot" w:pos="10627"/>
        </w:tabs>
      </w:pPr>
      <w:hyperlink w:anchor="_Toc6">
        <w:r>
          <w:t>Projected maturity values</w:t>
        </w:r>
        <w:r>
          <w:tab/>
        </w:r>
        <w:r>
          <w:fldChar w:fldCharType="begin"/>
        </w:r>
        <w:r>
          <w:instrText>PAGEREF _Toc6 \h</w:instrText>
        </w:r>
        <w:r>
          <w:fldChar w:fldCharType="separate"/>
        </w:r>
        <w:r>
          <w:t>3</w:t>
        </w:r>
        <w:r>
          <w:fldChar w:fldCharType="end"/>
        </w:r>
      </w:hyperlink>
    </w:p>
    <w:p w14:paraId="0AC54955" w14:textId="77777777" w:rsidR="00C26C0C" w:rsidRDefault="00DC28B1">
      <w:pPr>
        <w:pStyle w:val="TOC1"/>
      </w:pPr>
      <w:hyperlink w:anchor="_Toc7">
        <w:r>
          <w:t>Existing pension vs. New solution</w:t>
        </w:r>
        <w:r>
          <w:tab/>
        </w:r>
        <w:r>
          <w:fldChar w:fldCharType="begin"/>
        </w:r>
        <w:r>
          <w:instrText>PAGEREF _Toc7 \h</w:instrText>
        </w:r>
        <w:r>
          <w:fldChar w:fldCharType="separate"/>
        </w:r>
        <w:r>
          <w:t>5</w:t>
        </w:r>
        <w:r>
          <w:fldChar w:fldCharType="end"/>
        </w:r>
      </w:hyperlink>
    </w:p>
    <w:p w14:paraId="4D9B0790" w14:textId="77777777" w:rsidR="00C26C0C" w:rsidRDefault="00DC28B1">
      <w:pPr>
        <w:pStyle w:val="TOC3"/>
        <w:tabs>
          <w:tab w:val="right" w:leader="dot" w:pos="10627"/>
        </w:tabs>
      </w:pPr>
      <w:hyperlink w:anchor="_Toc8">
        <w:r>
          <w:t>Comparison summary</w:t>
        </w:r>
        <w:r>
          <w:tab/>
        </w:r>
        <w:r>
          <w:fldChar w:fldCharType="begin"/>
        </w:r>
        <w:r>
          <w:instrText>PAGEREF _Toc8 \h</w:instrText>
        </w:r>
        <w:r>
          <w:fldChar w:fldCharType="separate"/>
        </w:r>
        <w:r>
          <w:t>5</w:t>
        </w:r>
        <w:r>
          <w:fldChar w:fldCharType="end"/>
        </w:r>
      </w:hyperlink>
    </w:p>
    <w:p w14:paraId="4F7E01CE" w14:textId="77777777" w:rsidR="00C26C0C" w:rsidRDefault="00DC28B1">
      <w:pPr>
        <w:pStyle w:val="TOC3"/>
        <w:tabs>
          <w:tab w:val="right" w:leader="dot" w:pos="10627"/>
        </w:tabs>
      </w:pPr>
      <w:hyperlink w:anchor="_Toc9">
        <w:r>
          <w:t>Benefits</w:t>
        </w:r>
        <w:r>
          <w:tab/>
        </w:r>
        <w:r>
          <w:fldChar w:fldCharType="begin"/>
        </w:r>
        <w:r>
          <w:instrText>PAGEREF _Toc9 \h</w:instrText>
        </w:r>
        <w:r>
          <w:fldChar w:fldCharType="separate"/>
        </w:r>
        <w:r>
          <w:t>6</w:t>
        </w:r>
        <w:r>
          <w:fldChar w:fldCharType="end"/>
        </w:r>
      </w:hyperlink>
    </w:p>
    <w:p w14:paraId="30181FF1" w14:textId="77777777" w:rsidR="00C26C0C" w:rsidRDefault="00DC28B1">
      <w:pPr>
        <w:pStyle w:val="TOC3"/>
        <w:tabs>
          <w:tab w:val="right" w:leader="dot" w:pos="10627"/>
        </w:tabs>
      </w:pPr>
      <w:hyperlink w:anchor="_Toc10">
        <w:r>
          <w:t>The effect of advice charges</w:t>
        </w:r>
        <w:r>
          <w:tab/>
        </w:r>
        <w:r>
          <w:fldChar w:fldCharType="begin"/>
        </w:r>
        <w:r>
          <w:instrText>PAGEREF _Toc10 \h</w:instrText>
        </w:r>
        <w:r>
          <w:fldChar w:fldCharType="separate"/>
        </w:r>
        <w:r>
          <w:t>6</w:t>
        </w:r>
        <w:r>
          <w:fldChar w:fldCharType="end"/>
        </w:r>
      </w:hyperlink>
    </w:p>
    <w:p w14:paraId="288E2DCE" w14:textId="77777777" w:rsidR="00C26C0C" w:rsidRDefault="00DC28B1">
      <w:pPr>
        <w:pStyle w:val="TOC3"/>
        <w:tabs>
          <w:tab w:val="right" w:leader="dot" w:pos="10627"/>
        </w:tabs>
      </w:pPr>
      <w:hyperlink w:anchor="_Toc11">
        <w:r>
          <w:t>Immediate impact on the fund value following the switch</w:t>
        </w:r>
        <w:r>
          <w:tab/>
        </w:r>
        <w:r>
          <w:fldChar w:fldCharType="begin"/>
        </w:r>
        <w:r>
          <w:instrText>PAGEREF _Toc11 \h</w:instrText>
        </w:r>
        <w:r>
          <w:fldChar w:fldCharType="separate"/>
        </w:r>
        <w:r>
          <w:t>7</w:t>
        </w:r>
        <w:r>
          <w:fldChar w:fldCharType="end"/>
        </w:r>
      </w:hyperlink>
    </w:p>
    <w:p w14:paraId="717FF5B9" w14:textId="77777777" w:rsidR="00C26C0C" w:rsidRDefault="00DC28B1">
      <w:pPr>
        <w:pStyle w:val="TOC3"/>
        <w:tabs>
          <w:tab w:val="right" w:leader="dot" w:pos="10627"/>
        </w:tabs>
      </w:pPr>
      <w:hyperlink w:anchor="_Toc12">
        <w:r>
          <w:t>New solution investment details</w:t>
        </w:r>
        <w:r>
          <w:tab/>
        </w:r>
        <w:r>
          <w:fldChar w:fldCharType="begin"/>
        </w:r>
        <w:r>
          <w:instrText>PAGEREF _Toc12 \h</w:instrText>
        </w:r>
        <w:r>
          <w:fldChar w:fldCharType="separate"/>
        </w:r>
        <w:r>
          <w:t>8</w:t>
        </w:r>
        <w:r>
          <w:fldChar w:fldCharType="end"/>
        </w:r>
      </w:hyperlink>
    </w:p>
    <w:p w14:paraId="5502BBC2" w14:textId="77777777" w:rsidR="00C26C0C" w:rsidRDefault="00DC28B1">
      <w:pPr>
        <w:pStyle w:val="TOC1"/>
      </w:pPr>
      <w:hyperlink w:anchor="_Toc13">
        <w:r>
          <w:t>Selecting the new solution</w:t>
        </w:r>
        <w:r>
          <w:tab/>
        </w:r>
        <w:r>
          <w:fldChar w:fldCharType="begin"/>
        </w:r>
        <w:r>
          <w:instrText>PAGEREF _Toc13 \h</w:instrText>
        </w:r>
        <w:r>
          <w:fldChar w:fldCharType="separate"/>
        </w:r>
        <w:r>
          <w:t>9</w:t>
        </w:r>
        <w:r>
          <w:fldChar w:fldCharType="end"/>
        </w:r>
      </w:hyperlink>
    </w:p>
    <w:p w14:paraId="64E9DD90" w14:textId="77777777" w:rsidR="00C26C0C" w:rsidRDefault="00DC28B1">
      <w:pPr>
        <w:pStyle w:val="TOC3"/>
        <w:tabs>
          <w:tab w:val="right" w:leader="dot" w:pos="10627"/>
        </w:tabs>
      </w:pPr>
      <w:hyperlink w:anchor="_Toc14">
        <w:r>
          <w:t>New solution charges comparison</w:t>
        </w:r>
        <w:r>
          <w:tab/>
        </w:r>
        <w:r>
          <w:fldChar w:fldCharType="begin"/>
        </w:r>
        <w:r>
          <w:instrText>PAGEREF _Toc14 \h</w:instrText>
        </w:r>
        <w:r>
          <w:fldChar w:fldCharType="separate"/>
        </w:r>
        <w:r>
          <w:t>9</w:t>
        </w:r>
        <w:r>
          <w:fldChar w:fldCharType="end"/>
        </w:r>
      </w:hyperlink>
    </w:p>
    <w:p w14:paraId="7AE5C037" w14:textId="77777777" w:rsidR="00C26C0C" w:rsidRDefault="00DC28B1">
      <w:pPr>
        <w:pStyle w:val="TOC3"/>
        <w:tabs>
          <w:tab w:val="right" w:leader="dot" w:pos="10627"/>
        </w:tabs>
      </w:pPr>
      <w:hyperlink w:anchor="_Toc15">
        <w:r>
          <w:t>Stakeholder pension</w:t>
        </w:r>
        <w:r>
          <w:tab/>
        </w:r>
        <w:r>
          <w:fldChar w:fldCharType="begin"/>
        </w:r>
        <w:r>
          <w:instrText>PAGEREF _Toc15 \h</w:instrText>
        </w:r>
        <w:r>
          <w:fldChar w:fldCharType="separate"/>
        </w:r>
        <w:r>
          <w:t>10</w:t>
        </w:r>
        <w:r>
          <w:fldChar w:fldCharType="end"/>
        </w:r>
      </w:hyperlink>
    </w:p>
    <w:p w14:paraId="5B0BF531" w14:textId="77777777" w:rsidR="00C26C0C" w:rsidRDefault="00DC28B1">
      <w:pPr>
        <w:pStyle w:val="TOC1"/>
      </w:pPr>
      <w:hyperlink w:anchor="_Toc16">
        <w:r>
          <w:t>Alternative comparisons</w:t>
        </w:r>
        <w:r>
          <w:tab/>
        </w:r>
        <w:r>
          <w:fldChar w:fldCharType="begin"/>
        </w:r>
        <w:r>
          <w:instrText>PAGEREF _Toc16 \h</w:instrText>
        </w:r>
        <w:r>
          <w:fldChar w:fldCharType="separate"/>
        </w:r>
        <w:r>
          <w:t>11</w:t>
        </w:r>
        <w:r>
          <w:fldChar w:fldCharType="end"/>
        </w:r>
      </w:hyperlink>
    </w:p>
    <w:p w14:paraId="74CA3256" w14:textId="77777777" w:rsidR="00C26C0C" w:rsidRDefault="00DC28B1">
      <w:pPr>
        <w:pStyle w:val="TOC1"/>
      </w:pPr>
      <w:hyperlink w:anchor="_Toc17">
        <w:r>
          <w:t>Appendix</w:t>
        </w:r>
        <w:r>
          <w:tab/>
        </w:r>
        <w:r>
          <w:fldChar w:fldCharType="begin"/>
        </w:r>
        <w:r>
          <w:instrText>PAGEREF _Toc17 \h</w:instrText>
        </w:r>
        <w:r>
          <w:fldChar w:fldCharType="separate"/>
        </w:r>
        <w:r>
          <w:t>12</w:t>
        </w:r>
        <w:r>
          <w:fldChar w:fldCharType="end"/>
        </w:r>
      </w:hyperlink>
    </w:p>
    <w:p w14:paraId="0BFA0FC5" w14:textId="77777777" w:rsidR="00C26C0C" w:rsidRDefault="00DC28B1">
      <w:pPr>
        <w:pStyle w:val="TOC2"/>
        <w:tabs>
          <w:tab w:val="right" w:leader="dot" w:pos="10627"/>
        </w:tabs>
      </w:pPr>
      <w:hyperlink w:anchor="_Toc18">
        <w:r>
          <w:t>Existing pension portfolio details</w:t>
        </w:r>
        <w:r>
          <w:tab/>
        </w:r>
        <w:r>
          <w:fldChar w:fldCharType="begin"/>
        </w:r>
        <w:r>
          <w:instrText>PAGEREF _Toc18 \h</w:instrText>
        </w:r>
        <w:r>
          <w:fldChar w:fldCharType="separate"/>
        </w:r>
        <w:r>
          <w:t>12</w:t>
        </w:r>
        <w:r>
          <w:fldChar w:fldCharType="end"/>
        </w:r>
      </w:hyperlink>
    </w:p>
    <w:p w14:paraId="133BBC3B" w14:textId="77777777" w:rsidR="00C26C0C" w:rsidRDefault="00DC28B1">
      <w:pPr>
        <w:pStyle w:val="TOC2"/>
        <w:tabs>
          <w:tab w:val="right" w:leader="dot" w:pos="10627"/>
        </w:tabs>
      </w:pPr>
      <w:hyperlink w:anchor="_Toc19">
        <w:r>
          <w:t>Aviva Life &amp; Pensions UK Limited - Current Aviva</w:t>
        </w:r>
        <w:r>
          <w:tab/>
        </w:r>
        <w:r>
          <w:fldChar w:fldCharType="begin"/>
        </w:r>
        <w:r>
          <w:instrText>PAGEREF _Toc19 \h</w:instrText>
        </w:r>
        <w:r>
          <w:fldChar w:fldCharType="separate"/>
        </w:r>
        <w:r>
          <w:t>12</w:t>
        </w:r>
        <w:r>
          <w:fldChar w:fldCharType="end"/>
        </w:r>
      </w:hyperlink>
    </w:p>
    <w:p w14:paraId="75B0D7BB" w14:textId="77777777" w:rsidR="00C26C0C" w:rsidRDefault="00DC28B1">
      <w:pPr>
        <w:pStyle w:val="TOC3"/>
        <w:tabs>
          <w:tab w:val="right" w:leader="dot" w:pos="10627"/>
        </w:tabs>
      </w:pPr>
      <w:hyperlink w:anchor="_Toc20">
        <w:r>
          <w:t>Statistics</w:t>
        </w:r>
        <w:r>
          <w:tab/>
        </w:r>
        <w:r>
          <w:fldChar w:fldCharType="begin"/>
        </w:r>
        <w:r>
          <w:instrText>PAGEREF _Toc20 \h</w:instrText>
        </w:r>
        <w:r>
          <w:fldChar w:fldCharType="separate"/>
        </w:r>
        <w:r>
          <w:t>12</w:t>
        </w:r>
        <w:r>
          <w:fldChar w:fldCharType="end"/>
        </w:r>
      </w:hyperlink>
    </w:p>
    <w:p w14:paraId="1C5118E5" w14:textId="77777777" w:rsidR="00C26C0C" w:rsidRDefault="00DC28B1">
      <w:pPr>
        <w:pStyle w:val="TOC3"/>
        <w:tabs>
          <w:tab w:val="right" w:leader="dot" w:pos="10627"/>
        </w:tabs>
      </w:pPr>
      <w:hyperlink w:anchor="_Toc21">
        <w:r>
          <w:t>Funds</w:t>
        </w:r>
        <w:r>
          <w:tab/>
        </w:r>
        <w:r>
          <w:fldChar w:fldCharType="begin"/>
        </w:r>
        <w:r>
          <w:instrText>PAGEREF _Toc21 \h</w:instrText>
        </w:r>
        <w:r>
          <w:fldChar w:fldCharType="separate"/>
        </w:r>
        <w:r>
          <w:t>12</w:t>
        </w:r>
        <w:r>
          <w:fldChar w:fldCharType="end"/>
        </w:r>
      </w:hyperlink>
    </w:p>
    <w:p w14:paraId="6E34DBAF" w14:textId="77777777" w:rsidR="00C26C0C" w:rsidRDefault="00DC28B1">
      <w:pPr>
        <w:pStyle w:val="TOC3"/>
        <w:tabs>
          <w:tab w:val="right" w:leader="dot" w:pos="10627"/>
        </w:tabs>
      </w:pPr>
      <w:hyperlink w:anchor="_Toc22">
        <w:r>
          <w:t>Risk level</w:t>
        </w:r>
        <w:r>
          <w:tab/>
        </w:r>
        <w:r>
          <w:fldChar w:fldCharType="begin"/>
        </w:r>
        <w:r>
          <w:instrText>PAGEREF _Toc22 \h</w:instrText>
        </w:r>
        <w:r>
          <w:fldChar w:fldCharType="separate"/>
        </w:r>
        <w:r>
          <w:t>12</w:t>
        </w:r>
        <w:r>
          <w:fldChar w:fldCharType="end"/>
        </w:r>
      </w:hyperlink>
    </w:p>
    <w:p w14:paraId="7CDCC840" w14:textId="77777777" w:rsidR="00C26C0C" w:rsidRDefault="00DC28B1">
      <w:pPr>
        <w:pStyle w:val="TOC2"/>
        <w:tabs>
          <w:tab w:val="right" w:leader="dot" w:pos="10627"/>
        </w:tabs>
      </w:pPr>
      <w:hyperlink w:anchor="_Toc23">
        <w:r>
          <w:t>Custom Platform Charges</w:t>
        </w:r>
        <w:r>
          <w:tab/>
        </w:r>
        <w:r>
          <w:fldChar w:fldCharType="begin"/>
        </w:r>
        <w:r>
          <w:instrText>PAGEREF _Toc23 \h</w:instrText>
        </w:r>
        <w:r>
          <w:fldChar w:fldCharType="separate"/>
        </w:r>
        <w:r>
          <w:t>13</w:t>
        </w:r>
        <w:r>
          <w:fldChar w:fldCharType="end"/>
        </w:r>
      </w:hyperlink>
    </w:p>
    <w:p w14:paraId="3CFB2CDF" w14:textId="77777777" w:rsidR="00C26C0C" w:rsidRDefault="00DC28B1">
      <w:pPr>
        <w:pStyle w:val="TOC2"/>
        <w:tabs>
          <w:tab w:val="right" w:leader="dot" w:pos="10627"/>
        </w:tabs>
      </w:pPr>
      <w:hyperlink w:anchor="_Toc24">
        <w:r>
          <w:t>Custom SIPP Charges</w:t>
        </w:r>
        <w:r>
          <w:tab/>
        </w:r>
        <w:r>
          <w:fldChar w:fldCharType="begin"/>
        </w:r>
        <w:r>
          <w:instrText>PAGEREF _Toc24 \h</w:instrText>
        </w:r>
        <w:r>
          <w:fldChar w:fldCharType="separate"/>
        </w:r>
        <w:r>
          <w:t>13</w:t>
        </w:r>
        <w:r>
          <w:fldChar w:fldCharType="end"/>
        </w:r>
      </w:hyperlink>
    </w:p>
    <w:p w14:paraId="0AF536F7" w14:textId="77777777" w:rsidR="00C26C0C" w:rsidRDefault="00DC28B1">
      <w:r>
        <w:fldChar w:fldCharType="end"/>
      </w:r>
      <w:r>
        <w:t xml:space="preserve"> </w:t>
      </w:r>
    </w:p>
    <w:p w14:paraId="7C4A4DEF" w14:textId="77777777" w:rsidR="00C26C0C" w:rsidRDefault="00DC28B1">
      <w:pPr>
        <w:pStyle w:val="DefaqtoBody"/>
        <w:sectPr w:rsidR="00C26C0C">
          <w:headerReference w:type="default" r:id="rId20"/>
          <w:footerReference w:type="default" r:id="rId21"/>
          <w:pgSz w:w="11907" w:h="16839" w:code="9"/>
          <w:pgMar w:top="709" w:right="640" w:bottom="376" w:left="640" w:header="200" w:footer="200" w:gutter="0"/>
          <w:cols w:space="708"/>
          <w:docGrid w:linePitch="360"/>
        </w:sectPr>
      </w:pPr>
      <w:r>
        <w:rPr>
          <w:u w:color="000000"/>
        </w:rPr>
        <w:t>In using this report you acknowledge that nothing in this report is, or shall be deemed to constitute, financial, investment or other advice or a recommendation or endorsement by Defaqto in respect of any product or service referred to herein. Your financial adviser, rather than Defaqto, will provide any such advice, recommendation or endorsement.</w:t>
      </w:r>
    </w:p>
    <w:p w14:paraId="499CD078" w14:textId="77777777" w:rsidR="00C26C0C" w:rsidRDefault="00DC28B1">
      <w:pPr>
        <w:pStyle w:val="DefaqtoHeading1"/>
      </w:pPr>
      <w:bookmarkStart w:id="6" w:name="_Toc2"/>
      <w:r>
        <w:lastRenderedPageBreak/>
        <w:t>Existing pension</w:t>
      </w:r>
      <w:bookmarkEnd w:id="6"/>
    </w:p>
    <w:p w14:paraId="1FF6752C" w14:textId="77777777" w:rsidR="00C26C0C" w:rsidRDefault="00DC28B1">
      <w:pPr>
        <w:pStyle w:val="DefaqtoHeading2"/>
      </w:pPr>
      <w:bookmarkStart w:id="7" w:name="_Toc3"/>
      <w:r>
        <w:t>Aviva Life &amp; Pensions UK Limited - Current Aviva</w:t>
      </w:r>
      <w:bookmarkEnd w:id="7"/>
    </w:p>
    <w:p w14:paraId="4CF9C9D6" w14:textId="77777777" w:rsidR="00C26C0C" w:rsidRDefault="00DC28B1">
      <w:pPr>
        <w:pStyle w:val="DefaqtoHeading3"/>
      </w:pPr>
      <w:bookmarkStart w:id="8" w:name="_Toc4"/>
      <w:r>
        <w:t>Illustration details</w:t>
      </w:r>
      <w:bookmarkEnd w:id="8"/>
    </w:p>
    <w:p w14:paraId="25C10111" w14:textId="77777777" w:rsidR="00C26C0C" w:rsidRDefault="00DC28B1">
      <w:pPr>
        <w:pStyle w:val="DefaqtoBody"/>
      </w:pPr>
      <w:r>
        <w:rPr>
          <w:u w:color="000000"/>
        </w:rPr>
        <w:t>The following details were used to calculate the projected maturity values.</w:t>
      </w:r>
    </w:p>
    <w:tbl>
      <w:tblPr>
        <w:tblStyle w:val="Custom1"/>
        <w:tblW w:w="5000" w:type="pct"/>
        <w:tblLook w:val="01E0" w:firstRow="1" w:lastRow="1" w:firstColumn="1" w:lastColumn="1" w:noHBand="0" w:noVBand="0"/>
      </w:tblPr>
      <w:tblGrid>
        <w:gridCol w:w="2654"/>
        <w:gridCol w:w="7963"/>
      </w:tblGrid>
      <w:tr w:rsidR="00C26C0C" w14:paraId="6B4A4331" w14:textId="77777777" w:rsidTr="00C26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852B959" w14:textId="77777777" w:rsidR="00C26C0C" w:rsidRDefault="00DC28B1">
            <w:pPr>
              <w:pStyle w:val="DefaqtoTableBody2"/>
            </w:pPr>
            <w:r>
              <w:t>Provider</w:t>
            </w:r>
          </w:p>
        </w:tc>
        <w:tc>
          <w:tcPr>
            <w:tcW w:w="3750" w:type="pct"/>
          </w:tcPr>
          <w:p w14:paraId="189D72D0"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w:t>
            </w:r>
          </w:p>
        </w:tc>
      </w:tr>
      <w:tr w:rsidR="00C26C0C" w14:paraId="21AE08F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00A065" w14:textId="77777777" w:rsidR="00C26C0C" w:rsidRDefault="00DC28B1">
            <w:pPr>
              <w:pStyle w:val="DefaqtoTableBody2"/>
            </w:pPr>
            <w:r>
              <w:t>Name</w:t>
            </w:r>
          </w:p>
        </w:tc>
        <w:tc>
          <w:tcPr>
            <w:tcW w:w="0" w:type="auto"/>
          </w:tcPr>
          <w:p w14:paraId="02160442"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Current Aviva</w:t>
            </w:r>
          </w:p>
        </w:tc>
      </w:tr>
      <w:tr w:rsidR="00C26C0C" w14:paraId="6EBE36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9B5716" w14:textId="77777777" w:rsidR="00C26C0C" w:rsidRDefault="00DC28B1">
            <w:pPr>
              <w:pStyle w:val="DefaqtoTableBody2"/>
            </w:pPr>
            <w:r>
              <w:t>Product Type</w:t>
            </w:r>
          </w:p>
        </w:tc>
        <w:tc>
          <w:tcPr>
            <w:tcW w:w="0" w:type="auto"/>
          </w:tcPr>
          <w:p w14:paraId="5E689F90"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Personal Pension Plan</w:t>
            </w:r>
          </w:p>
        </w:tc>
      </w:tr>
      <w:tr w:rsidR="00C26C0C" w14:paraId="579CC7A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3C8DA9" w14:textId="77777777" w:rsidR="00C26C0C" w:rsidRDefault="00DC28B1">
            <w:pPr>
              <w:pStyle w:val="DefaqtoTableBody2"/>
            </w:pPr>
            <w:r>
              <w:t>Platform</w:t>
            </w:r>
          </w:p>
        </w:tc>
        <w:tc>
          <w:tcPr>
            <w:tcW w:w="0" w:type="auto"/>
          </w:tcPr>
          <w:p w14:paraId="38134DCF"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None</w:t>
            </w:r>
          </w:p>
        </w:tc>
      </w:tr>
      <w:tr w:rsidR="00C26C0C" w14:paraId="4AFAA7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A345A1" w14:textId="77777777" w:rsidR="00C26C0C" w:rsidRDefault="00DC28B1">
            <w:pPr>
              <w:pStyle w:val="DefaqtoTableBody2"/>
            </w:pPr>
            <w:r>
              <w:t>Retirement age</w:t>
            </w:r>
          </w:p>
        </w:tc>
        <w:tc>
          <w:tcPr>
            <w:tcW w:w="0" w:type="auto"/>
          </w:tcPr>
          <w:p w14:paraId="76B2F8AB"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60</w:t>
            </w:r>
          </w:p>
        </w:tc>
      </w:tr>
      <w:tr w:rsidR="00C26C0C" w14:paraId="0264494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F47721" w14:textId="77777777" w:rsidR="00C26C0C" w:rsidRDefault="00DC28B1">
            <w:pPr>
              <w:pStyle w:val="DefaqtoTableBody2"/>
            </w:pPr>
            <w:r>
              <w:t>Time to retirement</w:t>
            </w:r>
          </w:p>
        </w:tc>
        <w:tc>
          <w:tcPr>
            <w:tcW w:w="0" w:type="auto"/>
          </w:tcPr>
          <w:p w14:paraId="198AF1A0"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4 years</w:t>
            </w:r>
          </w:p>
        </w:tc>
      </w:tr>
      <w:tr w:rsidR="00C26C0C" w14:paraId="3B462F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5C5E45" w14:textId="77777777" w:rsidR="00C26C0C" w:rsidRDefault="00DC28B1">
            <w:pPr>
              <w:pStyle w:val="DefaqtoTableBody2"/>
            </w:pPr>
            <w:r>
              <w:t xml:space="preserve">Valuation: </w:t>
            </w:r>
          </w:p>
        </w:tc>
        <w:tc>
          <w:tcPr>
            <w:tcW w:w="0" w:type="auto"/>
          </w:tcPr>
          <w:p w14:paraId="5E99545C"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£79,092.32</w:t>
            </w:r>
          </w:p>
        </w:tc>
      </w:tr>
      <w:tr w:rsidR="00C26C0C" w14:paraId="31A32DC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93790C" w14:textId="77777777" w:rsidR="00C26C0C" w:rsidRDefault="00DC28B1">
            <w:pPr>
              <w:pStyle w:val="DefaqtoTableBody2"/>
            </w:pPr>
            <w:r>
              <w:t>Transfer value</w:t>
            </w:r>
          </w:p>
        </w:tc>
        <w:tc>
          <w:tcPr>
            <w:tcW w:w="0" w:type="auto"/>
          </w:tcPr>
          <w:p w14:paraId="4A9783AC"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£79,092.32</w:t>
            </w:r>
          </w:p>
        </w:tc>
      </w:tr>
      <w:tr w:rsidR="00C26C0C" w14:paraId="2C235E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12D3F" w14:textId="77777777" w:rsidR="00C26C0C" w:rsidRDefault="00DC28B1">
            <w:pPr>
              <w:pStyle w:val="DefaqtoTableBody2"/>
            </w:pPr>
            <w:r>
              <w:t xml:space="preserve">Transfer penalty: </w:t>
            </w:r>
          </w:p>
        </w:tc>
        <w:tc>
          <w:tcPr>
            <w:tcW w:w="0" w:type="auto"/>
          </w:tcPr>
          <w:p w14:paraId="7FD1BBED"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£0.00</w:t>
            </w:r>
          </w:p>
        </w:tc>
      </w:tr>
      <w:tr w:rsidR="00C26C0C" w14:paraId="62D0F5A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C06AC" w14:textId="77777777" w:rsidR="00C26C0C" w:rsidRDefault="00DC28B1">
            <w:pPr>
              <w:pStyle w:val="DefaqtoTableBody2"/>
            </w:pPr>
            <w:r>
              <w:t>Ongoing contributions</w:t>
            </w:r>
          </w:p>
        </w:tc>
        <w:tc>
          <w:tcPr>
            <w:tcW w:w="0" w:type="auto"/>
          </w:tcPr>
          <w:p w14:paraId="70C8CF98"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None</w:t>
            </w:r>
          </w:p>
        </w:tc>
      </w:tr>
      <w:tr w:rsidR="00C26C0C" w14:paraId="1A1CDC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6BDB43" w14:textId="77777777" w:rsidR="00C26C0C" w:rsidRDefault="00DC28B1">
            <w:pPr>
              <w:pStyle w:val="DefaqtoTableBody2"/>
            </w:pPr>
            <w:r>
              <w:t>Contribution annual increase</w:t>
            </w:r>
          </w:p>
        </w:tc>
        <w:tc>
          <w:tcPr>
            <w:tcW w:w="0" w:type="auto"/>
          </w:tcPr>
          <w:p w14:paraId="15C74E8B"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N/A</w:t>
            </w:r>
          </w:p>
        </w:tc>
      </w:tr>
      <w:tr w:rsidR="00C26C0C" w14:paraId="4B0575D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48AD75" w14:textId="77777777" w:rsidR="00C26C0C" w:rsidRDefault="00DC28B1">
            <w:pPr>
              <w:pStyle w:val="DefaqtoTableBody2"/>
            </w:pPr>
            <w:r>
              <w:t>Subject to an existing advice charge</w:t>
            </w:r>
          </w:p>
        </w:tc>
        <w:tc>
          <w:tcPr>
            <w:tcW w:w="0" w:type="auto"/>
          </w:tcPr>
          <w:p w14:paraId="5F333858"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No</w:t>
            </w:r>
          </w:p>
        </w:tc>
      </w:tr>
    </w:tbl>
    <w:p w14:paraId="2B859158" w14:textId="77777777" w:rsidR="00C26C0C" w:rsidRDefault="00DC28B1">
      <w:r>
        <w:t xml:space="preserve"> </w:t>
      </w:r>
    </w:p>
    <w:p w14:paraId="3E259C35" w14:textId="77777777" w:rsidR="00C26C0C" w:rsidRDefault="00DC28B1">
      <w:pPr>
        <w:pStyle w:val="DefaqtoHeading3"/>
      </w:pPr>
      <w:bookmarkStart w:id="9" w:name="_Toc5"/>
      <w:r>
        <w:t>Charges data</w:t>
      </w:r>
      <w:bookmarkEnd w:id="9"/>
    </w:p>
    <w:p w14:paraId="43E682C8" w14:textId="77777777" w:rsidR="00C26C0C" w:rsidRDefault="00DC28B1">
      <w:pPr>
        <w:pStyle w:val="DefaqtoBody"/>
      </w:pPr>
      <w:r>
        <w:rPr>
          <w:b/>
          <w:bCs/>
          <w:u w:color="000000"/>
        </w:rPr>
        <w:t>Platform fee</w:t>
      </w:r>
    </w:p>
    <w:p w14:paraId="7D341136" w14:textId="77777777" w:rsidR="00C26C0C" w:rsidRDefault="00DC28B1">
      <w:pPr>
        <w:pStyle w:val="DefaqtoBody"/>
      </w:pPr>
      <w:r>
        <w:rPr>
          <w:u w:color="000000"/>
        </w:rPr>
        <w:t>The charge is 0.32% of the fund value at the point of applying the charge.</w:t>
      </w:r>
    </w:p>
    <w:p w14:paraId="51854DA9" w14:textId="77777777" w:rsidR="00C26C0C" w:rsidRDefault="00DC28B1">
      <w:pPr>
        <w:pStyle w:val="DefaqtoBody"/>
      </w:pPr>
      <w:r>
        <w:rPr>
          <w:b/>
          <w:bCs/>
          <w:u w:color="000000"/>
        </w:rPr>
        <w:t>Investment charges</w:t>
      </w:r>
    </w:p>
    <w:p w14:paraId="02012EC8" w14:textId="77777777" w:rsidR="00C26C0C" w:rsidRDefault="00DC28B1">
      <w:pPr>
        <w:pStyle w:val="DefaqtoBody"/>
      </w:pPr>
      <w:r>
        <w:rPr>
          <w:u w:color="000000"/>
        </w:rPr>
        <w:t>The following investment charges were used to calculate the projected maturity values:</w:t>
      </w:r>
    </w:p>
    <w:tbl>
      <w:tblPr>
        <w:tblStyle w:val="DefaqtoTable"/>
        <w:tblW w:w="5000" w:type="pct"/>
        <w:tblLook w:val="01E0" w:firstRow="1" w:lastRow="1" w:firstColumn="1" w:lastColumn="1" w:noHBand="0" w:noVBand="0"/>
      </w:tblPr>
      <w:tblGrid>
        <w:gridCol w:w="5465"/>
        <w:gridCol w:w="2108"/>
        <w:gridCol w:w="3044"/>
      </w:tblGrid>
      <w:tr w:rsidR="00C26C0C" w14:paraId="3638DC0F" w14:textId="77777777" w:rsidTr="00C26C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B0A7CF"/>
            </w:tcBorders>
          </w:tcPr>
          <w:p w14:paraId="026C4EBB" w14:textId="77777777" w:rsidR="00C26C0C" w:rsidRDefault="00DC28B1">
            <w:pPr>
              <w:pStyle w:val="DefaqtoTableBody2"/>
            </w:pPr>
            <w:r>
              <w:t>Vanguard 60%</w:t>
            </w:r>
          </w:p>
        </w:tc>
        <w:tc>
          <w:tcPr>
            <w:tcW w:w="0" w:type="auto"/>
            <w:tcBorders>
              <w:bottom w:val="single" w:sz="4" w:space="0" w:color="B0A7CF"/>
            </w:tcBorders>
          </w:tcPr>
          <w:p w14:paraId="10150586" w14:textId="77777777" w:rsidR="00C26C0C" w:rsidRDefault="00DC28B1">
            <w:pPr>
              <w:pStyle w:val="DefaqtoTableBody2"/>
              <w:jc w:val="right"/>
              <w:cnfStyle w:val="100000000000" w:firstRow="1" w:lastRow="0" w:firstColumn="0" w:lastColumn="0" w:oddVBand="0" w:evenVBand="0" w:oddHBand="0" w:evenHBand="0" w:firstRowFirstColumn="0" w:firstRowLastColumn="0" w:lastRowFirstColumn="0" w:lastRowLastColumn="0"/>
            </w:pPr>
            <w:r>
              <w:t>0.22</w:t>
            </w:r>
          </w:p>
        </w:tc>
        <w:tc>
          <w:tcPr>
            <w:tcW w:w="0" w:type="auto"/>
            <w:tcBorders>
              <w:bottom w:val="single" w:sz="4" w:space="0" w:color="B0A7CF"/>
            </w:tcBorders>
          </w:tcPr>
          <w:p w14:paraId="1181A8E4" w14:textId="77777777" w:rsidR="00C26C0C" w:rsidRDefault="00DC28B1">
            <w:pPr>
              <w:pStyle w:val="DefaqtoTableBody2"/>
              <w:jc w:val="right"/>
              <w:cnfStyle w:val="100000000000" w:firstRow="1" w:lastRow="0" w:firstColumn="0" w:lastColumn="0" w:oddVBand="0" w:evenVBand="0" w:oddHBand="0" w:evenHBand="0" w:firstRowFirstColumn="0" w:firstRowLastColumn="0" w:lastRowFirstColumn="0" w:lastRowLastColumn="0"/>
            </w:pPr>
            <w:r>
              <w:t>35.02%</w:t>
            </w:r>
          </w:p>
        </w:tc>
      </w:tr>
      <w:tr w:rsidR="00C26C0C" w14:paraId="243510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5EF9B2" w14:textId="77777777" w:rsidR="00C26C0C" w:rsidRDefault="00DC28B1">
            <w:pPr>
              <w:pStyle w:val="DefaqtoTableBody2"/>
            </w:pPr>
            <w:r>
              <w:t>Vanguard 80%</w:t>
            </w:r>
          </w:p>
        </w:tc>
        <w:tc>
          <w:tcPr>
            <w:tcW w:w="0" w:type="auto"/>
          </w:tcPr>
          <w:p w14:paraId="5C9DE58C"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0.22</w:t>
            </w:r>
          </w:p>
        </w:tc>
        <w:tc>
          <w:tcPr>
            <w:tcW w:w="0" w:type="auto"/>
          </w:tcPr>
          <w:p w14:paraId="307C1B6E"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64.95%</w:t>
            </w:r>
          </w:p>
        </w:tc>
      </w:tr>
      <w:tr w:rsidR="00C26C0C" w14:paraId="2ADE7A9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BB21B6" w14:textId="77777777" w:rsidR="00C26C0C" w:rsidRDefault="00DC28B1">
            <w:pPr>
              <w:pStyle w:val="DefaqtoTableBody2"/>
            </w:pPr>
            <w:r>
              <w:t>Cash</w:t>
            </w:r>
          </w:p>
        </w:tc>
        <w:tc>
          <w:tcPr>
            <w:tcW w:w="0" w:type="auto"/>
          </w:tcPr>
          <w:p w14:paraId="00090AE7"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0.00</w:t>
            </w:r>
          </w:p>
        </w:tc>
        <w:tc>
          <w:tcPr>
            <w:tcW w:w="0" w:type="auto"/>
          </w:tcPr>
          <w:p w14:paraId="75F3F3D7"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0.03%</w:t>
            </w:r>
          </w:p>
        </w:tc>
      </w:tr>
    </w:tbl>
    <w:p w14:paraId="3411C14E" w14:textId="77777777" w:rsidR="00C26C0C" w:rsidRDefault="00DC28B1">
      <w:r>
        <w:t xml:space="preserve"> </w:t>
      </w:r>
    </w:p>
    <w:p w14:paraId="2831ADFF" w14:textId="77777777" w:rsidR="00C26C0C" w:rsidRDefault="00DC28B1">
      <w:pPr>
        <w:pStyle w:val="DefaqtoHeading3"/>
      </w:pPr>
      <w:bookmarkStart w:id="10" w:name="_Toc6"/>
      <w:r>
        <w:t>Projected maturity values</w:t>
      </w:r>
      <w:bookmarkEnd w:id="10"/>
    </w:p>
    <w:p w14:paraId="14ECCF41" w14:textId="77777777" w:rsidR="00C26C0C" w:rsidRDefault="00DC28B1">
      <w:pPr>
        <w:pStyle w:val="DefaqtoBody"/>
      </w:pPr>
      <w:r>
        <w:rPr>
          <w:u w:color="000000"/>
        </w:rPr>
        <w:t>The following values were calculated based on the charges data entered and exclude the effect of any current advice charge. The growth rates and maturity values have been adjusted to take into account inflation.</w:t>
      </w:r>
    </w:p>
    <w:tbl>
      <w:tblPr>
        <w:tblStyle w:val="DefaqtoTable"/>
        <w:tblW w:w="5000" w:type="pct"/>
        <w:tblLook w:val="01E0" w:firstRow="1" w:lastRow="1" w:firstColumn="1" w:lastColumn="1" w:noHBand="0" w:noVBand="0"/>
      </w:tblPr>
      <w:tblGrid>
        <w:gridCol w:w="3989"/>
        <w:gridCol w:w="3067"/>
        <w:gridCol w:w="3556"/>
      </w:tblGrid>
      <w:tr w:rsidR="00C26C0C" w14:paraId="54088E4D" w14:textId="77777777" w:rsidTr="00C26C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inset" w:sz="8" w:space="0" w:color="FFFFFF"/>
              <w:left w:val="inset" w:sz="8" w:space="0" w:color="FFFFFF"/>
              <w:right w:val="inset" w:sz="18" w:space="0" w:color="614FA0"/>
            </w:tcBorders>
          </w:tcPr>
          <w:p w14:paraId="5BD7AC41" w14:textId="77777777" w:rsidR="00C26C0C" w:rsidRDefault="00C26C0C">
            <w:pPr>
              <w:pStyle w:val="DefaqtoTableBody2"/>
            </w:pPr>
          </w:p>
        </w:tc>
        <w:tc>
          <w:tcPr>
            <w:tcW w:w="0" w:type="auto"/>
          </w:tcPr>
          <w:p w14:paraId="7BF829ED" w14:textId="77777777" w:rsidR="00C26C0C" w:rsidRDefault="00DC28B1">
            <w:pPr>
              <w:pStyle w:val="DefaqtoTableBody2"/>
              <w:jc w:val="right"/>
              <w:cnfStyle w:val="100000000000" w:firstRow="1" w:lastRow="0" w:firstColumn="0" w:lastColumn="0" w:oddVBand="0" w:evenVBand="0" w:oddHBand="0" w:evenHBand="0" w:firstRowFirstColumn="0" w:firstRowLastColumn="0" w:lastRowFirstColumn="0" w:lastRowLastColumn="0"/>
            </w:pPr>
            <w:r>
              <w:t>Growth rate</w:t>
            </w:r>
            <w:r>
              <w:rPr>
                <w:b w:val="0"/>
                <w:bCs w:val="0"/>
                <w:color w:val="000000"/>
                <w:vertAlign w:val="superscript"/>
              </w:rPr>
              <w:t>1</w:t>
            </w:r>
          </w:p>
        </w:tc>
        <w:tc>
          <w:tcPr>
            <w:tcW w:w="0" w:type="auto"/>
          </w:tcPr>
          <w:p w14:paraId="7A6D7403" w14:textId="77777777" w:rsidR="00C26C0C" w:rsidRDefault="00DC28B1">
            <w:pPr>
              <w:pStyle w:val="DefaqtoTableBody2"/>
              <w:jc w:val="right"/>
              <w:cnfStyle w:val="100000000000" w:firstRow="1" w:lastRow="0" w:firstColumn="0" w:lastColumn="0" w:oddVBand="0" w:evenVBand="0" w:oddHBand="0" w:evenHBand="0" w:firstRowFirstColumn="0" w:firstRowLastColumn="0" w:lastRowFirstColumn="0" w:lastRowLastColumn="0"/>
            </w:pPr>
            <w:r>
              <w:t>Maturity value</w:t>
            </w:r>
          </w:p>
        </w:tc>
      </w:tr>
      <w:tr w:rsidR="00C26C0C" w14:paraId="2EFE5BDA" w14:textId="77777777" w:rsidTr="00C26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6747F983" w14:textId="77777777" w:rsidR="00C26C0C" w:rsidRDefault="00DC28B1">
            <w:pPr>
              <w:pStyle w:val="DefaqtoTableBody2"/>
            </w:pPr>
            <w:r>
              <w:rPr>
                <w:b/>
                <w:bCs/>
              </w:rPr>
              <w:t>Low growth rate</w:t>
            </w:r>
          </w:p>
        </w:tc>
        <w:tc>
          <w:tcPr>
            <w:tcW w:w="0" w:type="auto"/>
          </w:tcPr>
          <w:p w14:paraId="4F3BF2C0"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0.00%</w:t>
            </w:r>
          </w:p>
        </w:tc>
        <w:tc>
          <w:tcPr>
            <w:tcW w:w="0" w:type="auto"/>
          </w:tcPr>
          <w:p w14:paraId="49DC99A0"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£77,100</w:t>
            </w:r>
          </w:p>
        </w:tc>
      </w:tr>
      <w:tr w:rsidR="00C26C0C" w14:paraId="14B5E785" w14:textId="77777777" w:rsidTr="00C26C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6F169408" w14:textId="77777777" w:rsidR="00C26C0C" w:rsidRDefault="00DC28B1">
            <w:pPr>
              <w:pStyle w:val="DefaqtoTableBody2"/>
            </w:pPr>
            <w:r>
              <w:rPr>
                <w:b/>
                <w:bCs/>
              </w:rPr>
              <w:t>Mid growth rate</w:t>
            </w:r>
          </w:p>
        </w:tc>
        <w:tc>
          <w:tcPr>
            <w:tcW w:w="0" w:type="auto"/>
          </w:tcPr>
          <w:p w14:paraId="5039EEF1"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c>
          <w:tcPr>
            <w:tcW w:w="0" w:type="auto"/>
          </w:tcPr>
          <w:p w14:paraId="59906D17"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£86,800</w:t>
            </w:r>
          </w:p>
        </w:tc>
      </w:tr>
      <w:tr w:rsidR="00C26C0C" w14:paraId="74C59EF4" w14:textId="77777777" w:rsidTr="00C26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217F9CD4" w14:textId="77777777" w:rsidR="00C26C0C" w:rsidRDefault="00DC28B1">
            <w:pPr>
              <w:pStyle w:val="DefaqtoTableBody2"/>
            </w:pPr>
            <w:r>
              <w:rPr>
                <w:b/>
                <w:bCs/>
              </w:rPr>
              <w:t>High growth rate</w:t>
            </w:r>
          </w:p>
        </w:tc>
        <w:tc>
          <w:tcPr>
            <w:tcW w:w="0" w:type="auto"/>
          </w:tcPr>
          <w:p w14:paraId="37B03DBE"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5.88%</w:t>
            </w:r>
          </w:p>
        </w:tc>
        <w:tc>
          <w:tcPr>
            <w:tcW w:w="0" w:type="auto"/>
          </w:tcPr>
          <w:p w14:paraId="7F3D7BDC"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£97,400</w:t>
            </w:r>
          </w:p>
        </w:tc>
      </w:tr>
    </w:tbl>
    <w:p w14:paraId="5C6FF68B" w14:textId="77777777" w:rsidR="00C26C0C" w:rsidRDefault="00DC28B1">
      <w:pPr>
        <w:pStyle w:val="Defaqtosmallprint"/>
        <w:sectPr w:rsidR="00C26C0C">
          <w:headerReference w:type="default" r:id="rId22"/>
          <w:footerReference w:type="default" r:id="rId23"/>
          <w:pgSz w:w="11907" w:h="16839" w:code="9"/>
          <w:pgMar w:top="709" w:right="640" w:bottom="376" w:left="640" w:header="200" w:footer="200" w:gutter="0"/>
          <w:cols w:space="708"/>
          <w:docGrid w:linePitch="360"/>
        </w:sectPr>
      </w:pPr>
      <w:r>
        <w:rPr>
          <w:u w:color="000000"/>
        </w:rPr>
        <w:t>[1] The maximum mid growth rate used by the pension provider is set by the Financial Conduct Authority (FCA). The low and high growth rates must be 3% lower and 3% higher respectively. The pension provider may choose to use lower growth rates. The annual inflation rate of 2.0% is set by the FCA and is used to reduce the expected growth rate to the values seen in this table.</w:t>
      </w:r>
    </w:p>
    <w:p w14:paraId="4E520EBB" w14:textId="77777777" w:rsidR="00C26C0C" w:rsidRDefault="00DC28B1">
      <w:pPr>
        <w:pStyle w:val="DefaqtoHeading1"/>
      </w:pPr>
      <w:bookmarkStart w:id="11" w:name="_Toc7"/>
      <w:r>
        <w:lastRenderedPageBreak/>
        <w:t>Existing pension vs. New solution</w:t>
      </w:r>
      <w:bookmarkEnd w:id="11"/>
    </w:p>
    <w:p w14:paraId="3D0C0CC7" w14:textId="77777777" w:rsidR="00C26C0C" w:rsidRDefault="00DC28B1">
      <w:pPr>
        <w:pStyle w:val="DefaqtoHeading3"/>
      </w:pPr>
      <w:bookmarkStart w:id="12" w:name="_Toc8"/>
      <w:r>
        <w:t>Comparison summary</w:t>
      </w:r>
      <w:bookmarkEnd w:id="12"/>
    </w:p>
    <w:p w14:paraId="1252F6E7" w14:textId="77777777" w:rsidR="00C26C0C" w:rsidRDefault="00DC28B1">
      <w:pPr>
        <w:pStyle w:val="DefaqtoBody"/>
      </w:pPr>
      <w:r>
        <w:rPr>
          <w:u w:color="000000"/>
        </w:rPr>
        <w:t>The details below are intended to provide a like for like comparison of the value of your pension at retirement between your existing pension and the new solution. The retirement age used is 60.</w:t>
      </w:r>
    </w:p>
    <w:p w14:paraId="13D6AFC5" w14:textId="77777777" w:rsidR="00C26C0C" w:rsidRDefault="00DC28B1">
      <w:pPr>
        <w:pStyle w:val="DefaqtoBody"/>
      </w:pPr>
      <w:r>
        <w:rPr>
          <w:u w:color="000000"/>
        </w:rPr>
        <w:t xml:space="preserve">The figures assume that you switch your existing funds and continue the same level of contributions into your new solution. The cost of any transfer penalties applied by the existing providers are included in the calculation by reducing the amount to be invested in the new solution. </w:t>
      </w:r>
    </w:p>
    <w:p w14:paraId="2E21E6B8" w14:textId="77777777" w:rsidR="00C26C0C" w:rsidRDefault="00DC28B1">
      <w:pPr>
        <w:pStyle w:val="DefaqtoBody"/>
      </w:pPr>
      <w:r>
        <w:rPr>
          <w:u w:color="000000"/>
        </w:rPr>
        <w:t>The analysis is based on switching the existing pension into a new solution before the effect of any advice charges.</w:t>
      </w:r>
    </w:p>
    <w:tbl>
      <w:tblPr>
        <w:tblStyle w:val="DefaqtoTable"/>
        <w:tblW w:w="5000" w:type="pct"/>
        <w:tblLook w:val="01E0" w:firstRow="1" w:lastRow="1" w:firstColumn="1" w:lastColumn="1" w:noHBand="0" w:noVBand="0"/>
      </w:tblPr>
      <w:tblGrid>
        <w:gridCol w:w="2760"/>
        <w:gridCol w:w="3926"/>
        <w:gridCol w:w="3926"/>
      </w:tblGrid>
      <w:tr w:rsidR="00C26C0C" w14:paraId="298FD00B" w14:textId="77777777" w:rsidTr="00C26C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Borders>
              <w:top w:val="inset" w:sz="8" w:space="0" w:color="FFFFFF"/>
              <w:left w:val="inset" w:sz="8" w:space="0" w:color="FFFFFF"/>
              <w:right w:val="inset" w:sz="18" w:space="0" w:color="614FA0"/>
            </w:tcBorders>
          </w:tcPr>
          <w:p w14:paraId="659CE5A0" w14:textId="77777777" w:rsidR="00C26C0C" w:rsidRDefault="00C26C0C">
            <w:pPr>
              <w:pStyle w:val="DefaqtoTableBody2"/>
            </w:pPr>
          </w:p>
        </w:tc>
        <w:tc>
          <w:tcPr>
            <w:tcW w:w="1850" w:type="pct"/>
          </w:tcPr>
          <w:p w14:paraId="4F222196" w14:textId="77777777" w:rsidR="00C26C0C" w:rsidRDefault="00DC28B1">
            <w:pPr>
              <w:pStyle w:val="DefaqtoTableBody2"/>
              <w:cnfStyle w:val="100000000000" w:firstRow="1" w:lastRow="0" w:firstColumn="0" w:lastColumn="0" w:oddVBand="0" w:evenVBand="0" w:oddHBand="0" w:evenHBand="0" w:firstRowFirstColumn="0" w:firstRowLastColumn="0" w:lastRowFirstColumn="0" w:lastRowLastColumn="0"/>
            </w:pPr>
            <w:r>
              <w:t>Existing pension</w:t>
            </w:r>
          </w:p>
        </w:tc>
        <w:tc>
          <w:tcPr>
            <w:tcW w:w="1850" w:type="pct"/>
          </w:tcPr>
          <w:p w14:paraId="6B6F57FF" w14:textId="77777777" w:rsidR="00C26C0C" w:rsidRDefault="00DC28B1">
            <w:pPr>
              <w:pStyle w:val="DefaqtoTableBody2"/>
              <w:cnfStyle w:val="100000000000" w:firstRow="1" w:lastRow="0" w:firstColumn="0" w:lastColumn="0" w:oddVBand="0" w:evenVBand="0" w:oddHBand="0" w:evenHBand="0" w:firstRowFirstColumn="0" w:firstRowLastColumn="0" w:lastRowFirstColumn="0" w:lastRowLastColumn="0"/>
            </w:pPr>
            <w:r>
              <w:t>New solution</w:t>
            </w:r>
          </w:p>
        </w:tc>
      </w:tr>
      <w:tr w:rsidR="00C26C0C" w14:paraId="1EC43F93" w14:textId="77777777" w:rsidTr="00C26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0D2CF9F6" w14:textId="77777777" w:rsidR="00C26C0C" w:rsidRDefault="00DC28B1">
            <w:pPr>
              <w:pStyle w:val="DefaqtoTableBody2"/>
            </w:pPr>
            <w:r>
              <w:rPr>
                <w:b/>
                <w:bCs/>
              </w:rPr>
              <w:t>Product(s)</w:t>
            </w:r>
          </w:p>
        </w:tc>
        <w:tc>
          <w:tcPr>
            <w:tcW w:w="0" w:type="auto"/>
          </w:tcPr>
          <w:p w14:paraId="117DFC2E"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 - Current Aviva</w:t>
            </w:r>
          </w:p>
        </w:tc>
        <w:tc>
          <w:tcPr>
            <w:tcW w:w="0" w:type="auto"/>
          </w:tcPr>
          <w:p w14:paraId="294031D3"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 - Pension Portfolio - Choice</w:t>
            </w:r>
          </w:p>
        </w:tc>
      </w:tr>
      <w:tr w:rsidR="00C26C0C" w14:paraId="69A4466A" w14:textId="77777777" w:rsidTr="00C26C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69C7AEA9" w14:textId="77777777" w:rsidR="00C26C0C" w:rsidRDefault="00DC28B1">
            <w:pPr>
              <w:pStyle w:val="DefaqtoTableBody2"/>
            </w:pPr>
            <w:r>
              <w:rPr>
                <w:b/>
                <w:bCs/>
              </w:rPr>
              <w:t>Platform</w:t>
            </w:r>
          </w:p>
        </w:tc>
        <w:tc>
          <w:tcPr>
            <w:tcW w:w="0" w:type="auto"/>
          </w:tcPr>
          <w:p w14:paraId="2C847571"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None</w:t>
            </w:r>
          </w:p>
        </w:tc>
        <w:tc>
          <w:tcPr>
            <w:tcW w:w="0" w:type="auto"/>
          </w:tcPr>
          <w:p w14:paraId="709A470A"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Aviva Platform</w:t>
            </w:r>
          </w:p>
        </w:tc>
      </w:tr>
    </w:tbl>
    <w:p w14:paraId="5E2E2D0B" w14:textId="77777777" w:rsidR="00C26C0C" w:rsidRDefault="00DC28B1">
      <w:r>
        <w:t xml:space="preserve"> </w:t>
      </w:r>
    </w:p>
    <w:tbl>
      <w:tblPr>
        <w:tblW w:w="5000" w:type="pct"/>
        <w:tblBorders>
          <w:top w:val="single" w:sz="8" w:space="0" w:color="B0A7CF"/>
          <w:left w:val="single" w:sz="8" w:space="0" w:color="B0A7CF"/>
          <w:bottom w:val="single" w:sz="8" w:space="0" w:color="B0A7CF"/>
          <w:right w:val="single" w:sz="8" w:space="0" w:color="B0A7CF"/>
          <w:insideH w:val="single" w:sz="8" w:space="0" w:color="B0A7CF"/>
          <w:insideV w:val="single" w:sz="8" w:space="0" w:color="B0A7CF"/>
        </w:tblBorders>
        <w:tblLayout w:type="fixed"/>
        <w:tblCellMar>
          <w:top w:w="57" w:type="dxa"/>
          <w:bottom w:w="57" w:type="dxa"/>
        </w:tblCellMar>
        <w:tblLook w:val="04A0" w:firstRow="1" w:lastRow="0" w:firstColumn="1" w:lastColumn="0" w:noHBand="0" w:noVBand="1"/>
      </w:tblPr>
      <w:tblGrid>
        <w:gridCol w:w="2761"/>
        <w:gridCol w:w="3928"/>
        <w:gridCol w:w="3928"/>
      </w:tblGrid>
      <w:tr w:rsidR="00C26C0C" w14:paraId="554CF9A4" w14:textId="77777777">
        <w:tc>
          <w:tcPr>
            <w:tcW w:w="1300" w:type="pct"/>
            <w:tcBorders>
              <w:top w:val="nil"/>
              <w:left w:val="nil"/>
              <w:bottom w:val="nil"/>
              <w:right w:val="single" w:sz="18" w:space="0" w:color="614FA0"/>
            </w:tcBorders>
            <w:shd w:val="clear" w:color="auto" w:fill="FFFFFF"/>
          </w:tcPr>
          <w:p w14:paraId="2C82E55A" w14:textId="77777777" w:rsidR="00C26C0C" w:rsidRDefault="00C26C0C">
            <w:pPr>
              <w:pStyle w:val="DefaqtoTableBody"/>
              <w:rPr>
                <w:rFonts w:ascii="Poppins" w:hAnsi="Poppins" w:cs="Poppins"/>
                <w:b/>
                <w:bCs/>
                <w:color w:val="392388"/>
              </w:rPr>
            </w:pPr>
          </w:p>
        </w:tc>
        <w:tc>
          <w:tcPr>
            <w:tcW w:w="1850" w:type="pct"/>
            <w:tcBorders>
              <w:top w:val="single" w:sz="4" w:space="0" w:color="B0A7CF"/>
              <w:left w:val="single" w:sz="18" w:space="0" w:color="614FA0"/>
              <w:bottom w:val="single" w:sz="4" w:space="0" w:color="B0A7CF"/>
              <w:right w:val="single" w:sz="4" w:space="0" w:color="B0A7CF"/>
            </w:tcBorders>
            <w:shd w:val="clear" w:color="auto" w:fill="FFFFFF"/>
          </w:tcPr>
          <w:p w14:paraId="34A565D1" w14:textId="77777777" w:rsidR="00C26C0C" w:rsidRDefault="00DC28B1">
            <w:pPr>
              <w:pStyle w:val="DefaqtoTableBody"/>
              <w:tabs>
                <w:tab w:val="center" w:pos="1671"/>
                <w:tab w:val="right" w:pos="3342"/>
              </w:tabs>
              <w:jc w:val="right"/>
              <w:rPr>
                <w:rFonts w:ascii="Poppins" w:hAnsi="Poppins" w:cs="Poppins"/>
                <w:color w:val="392388"/>
                <w:lang w:val="en-GB"/>
              </w:rPr>
            </w:pPr>
            <w:r>
              <w:rPr>
                <w:rFonts w:ascii="Poppins" w:hAnsi="Poppins" w:cs="Poppins"/>
                <w:b/>
                <w:bCs/>
                <w:noProof/>
                <w:color w:val="392388"/>
              </w:rPr>
              <w:t>Existing pension</w:t>
            </w:r>
          </w:p>
        </w:tc>
        <w:tc>
          <w:tcPr>
            <w:tcW w:w="1850" w:type="pct"/>
            <w:tcBorders>
              <w:left w:val="single" w:sz="4" w:space="0" w:color="B0A7CF"/>
              <w:bottom w:val="single" w:sz="4" w:space="0" w:color="B0A7CF"/>
            </w:tcBorders>
            <w:shd w:val="clear" w:color="auto" w:fill="FFFFFF"/>
          </w:tcPr>
          <w:p w14:paraId="483FDEA3" w14:textId="77777777" w:rsidR="00C26C0C" w:rsidRDefault="00DC28B1">
            <w:pPr>
              <w:pStyle w:val="DefaqtoTableBody"/>
              <w:tabs>
                <w:tab w:val="left" w:pos="1052"/>
                <w:tab w:val="right" w:pos="3263"/>
              </w:tabs>
              <w:jc w:val="right"/>
              <w:rPr>
                <w:rFonts w:ascii="Poppins" w:hAnsi="Poppins" w:cs="Poppins"/>
                <w:color w:val="392388"/>
                <w:lang w:val="en-GB"/>
              </w:rPr>
            </w:pPr>
            <w:r>
              <w:rPr>
                <w:rFonts w:ascii="Poppins" w:hAnsi="Poppins" w:cs="Poppins"/>
                <w:b/>
                <w:bCs/>
                <w:noProof/>
                <w:color w:val="392388"/>
              </w:rPr>
              <w:t>New solution</w:t>
            </w:r>
          </w:p>
        </w:tc>
      </w:tr>
      <w:tr w:rsidR="00C26C0C" w14:paraId="1BE58080"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0511EE09" w14:textId="77777777" w:rsidR="00C26C0C" w:rsidRDefault="00DC28B1">
            <w:pPr>
              <w:pStyle w:val="DefaqtoTableBody"/>
              <w:rPr>
                <w:rFonts w:ascii="Poppins" w:hAnsi="Poppins" w:cs="Poppins"/>
                <w:b/>
                <w:bCs/>
                <w:color w:val="392388"/>
                <w:lang w:val="en-GB"/>
              </w:rPr>
            </w:pPr>
            <w:r>
              <w:rPr>
                <w:rFonts w:ascii="Poppins" w:hAnsi="Poppins" w:cs="Poppins"/>
                <w:b/>
                <w:bCs/>
                <w:color w:val="FFFFFF"/>
              </w:rPr>
              <w:t>Low growth rate – (</w:t>
            </w:r>
            <w:r>
              <w:rPr>
                <w:rFonts w:ascii="Poppins" w:hAnsi="Poppins" w:cs="Poppins"/>
                <w:b/>
                <w:bCs/>
                <w:color w:val="FFFFFF"/>
                <w:lang w:val="en-GB"/>
              </w:rPr>
              <w:t>0.00%)</w:t>
            </w:r>
          </w:p>
        </w:tc>
      </w:tr>
      <w:tr w:rsidR="00C26C0C" w14:paraId="16D5A890"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4E7F6EF0" w14:textId="77777777" w:rsidR="00C26C0C" w:rsidRDefault="00DC28B1">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60</w:t>
            </w:r>
          </w:p>
        </w:tc>
        <w:tc>
          <w:tcPr>
            <w:tcW w:w="1850" w:type="pct"/>
            <w:tcBorders>
              <w:left w:val="single" w:sz="18" w:space="0" w:color="614FA0"/>
            </w:tcBorders>
            <w:shd w:val="clear" w:color="auto" w:fill="FFFFFF"/>
          </w:tcPr>
          <w:p w14:paraId="09CFCF1F" w14:textId="77777777" w:rsidR="00C26C0C" w:rsidRDefault="00DC28B1">
            <w:pPr>
              <w:pStyle w:val="DefaqtoTableBody"/>
              <w:jc w:val="right"/>
              <w:rPr>
                <w:rFonts w:ascii="Poppins" w:hAnsi="Poppins" w:cs="Poppins"/>
                <w:color w:val="392388"/>
              </w:rPr>
            </w:pPr>
            <w:r>
              <w:rPr>
                <w:rFonts w:ascii="Poppins" w:hAnsi="Poppins" w:cs="Poppins"/>
                <w:color w:val="392388"/>
                <w:lang w:val="en-GB"/>
              </w:rPr>
              <w:t>£77,100</w:t>
            </w:r>
          </w:p>
        </w:tc>
        <w:tc>
          <w:tcPr>
            <w:tcW w:w="1850" w:type="pct"/>
            <w:shd w:val="clear" w:color="auto" w:fill="FFFFFF"/>
          </w:tcPr>
          <w:p w14:paraId="04499B40" w14:textId="77777777" w:rsidR="00C26C0C" w:rsidRDefault="00DC28B1">
            <w:pPr>
              <w:pStyle w:val="DefaqtoTableBody"/>
              <w:jc w:val="right"/>
              <w:rPr>
                <w:rFonts w:ascii="Poppins" w:hAnsi="Poppins" w:cs="Poppins"/>
                <w:color w:val="392388"/>
              </w:rPr>
            </w:pPr>
            <w:r>
              <w:rPr>
                <w:rFonts w:ascii="Poppins" w:hAnsi="Poppins" w:cs="Poppins"/>
                <w:color w:val="392388"/>
                <w:lang w:val="en-GB"/>
              </w:rPr>
              <w:t>£77,100</w:t>
            </w:r>
          </w:p>
        </w:tc>
      </w:tr>
      <w:tr w:rsidR="00C26C0C" w14:paraId="5A37389C"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1DB06CA3" w14:textId="77777777" w:rsidR="00C26C0C" w:rsidRDefault="00DC28B1">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14447844"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0.6%</w:t>
            </w:r>
          </w:p>
        </w:tc>
        <w:tc>
          <w:tcPr>
            <w:tcW w:w="1850" w:type="pct"/>
            <w:shd w:val="clear" w:color="auto" w:fill="EFEAFB"/>
          </w:tcPr>
          <w:p w14:paraId="21C69462"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0.6%</w:t>
            </w:r>
          </w:p>
        </w:tc>
      </w:tr>
      <w:tr w:rsidR="00C26C0C" w14:paraId="53991E5F"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13839DAE" w14:textId="77777777" w:rsidR="00C26C0C" w:rsidRDefault="00DC28B1">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3B44C9FE"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5905EE70"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0.0%</w:t>
            </w:r>
          </w:p>
        </w:tc>
      </w:tr>
      <w:tr w:rsidR="00C26C0C" w14:paraId="7A9144B1"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42EFAA1" w14:textId="77777777" w:rsidR="00C26C0C" w:rsidRDefault="00DC28B1">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bottom w:val="single" w:sz="4" w:space="0" w:color="B0A7CF"/>
            </w:tcBorders>
            <w:shd w:val="clear" w:color="auto" w:fill="EFEAFB"/>
          </w:tcPr>
          <w:p w14:paraId="0951BD58"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1FD99E0E"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 or 0.0% decrease</w:t>
            </w:r>
          </w:p>
        </w:tc>
      </w:tr>
      <w:tr w:rsidR="00C26C0C" w14:paraId="0C29A97B"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320530B0" w14:textId="77777777" w:rsidR="00C26C0C" w:rsidRDefault="00DC28B1">
            <w:pPr>
              <w:pStyle w:val="DefaqtoTableBody"/>
              <w:rPr>
                <w:rFonts w:ascii="Poppins" w:hAnsi="Poppins" w:cs="Poppins"/>
                <w:b/>
                <w:bCs/>
                <w:color w:val="392388"/>
                <w:lang w:val="en-GB"/>
              </w:rPr>
            </w:pPr>
            <w:r>
              <w:rPr>
                <w:rFonts w:ascii="Poppins" w:hAnsi="Poppins" w:cs="Poppins"/>
                <w:b/>
                <w:bCs/>
                <w:color w:val="FFFFFF"/>
              </w:rPr>
              <w:t>Mid growth rate – (</w:t>
            </w:r>
            <w:r>
              <w:rPr>
                <w:rFonts w:ascii="Poppins" w:hAnsi="Poppins" w:cs="Poppins"/>
                <w:b/>
                <w:bCs/>
                <w:color w:val="FFFFFF"/>
                <w:lang w:val="en-GB"/>
              </w:rPr>
              <w:t>2.94%)</w:t>
            </w:r>
          </w:p>
        </w:tc>
      </w:tr>
      <w:tr w:rsidR="00C26C0C" w14:paraId="7B839DAF"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3557897C" w14:textId="77777777" w:rsidR="00C26C0C" w:rsidRDefault="00DC28B1">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60</w:t>
            </w:r>
            <w:r>
              <w:rPr>
                <w:rFonts w:ascii="Poppins" w:hAnsi="Poppins" w:cs="Poppins"/>
                <w:b/>
                <w:bCs/>
                <w:color w:val="392388"/>
              </w:rPr>
              <w:t xml:space="preserve"> </w:t>
            </w:r>
          </w:p>
        </w:tc>
        <w:tc>
          <w:tcPr>
            <w:tcW w:w="1850" w:type="pct"/>
            <w:tcBorders>
              <w:left w:val="single" w:sz="18" w:space="0" w:color="614FA0"/>
            </w:tcBorders>
            <w:shd w:val="clear" w:color="auto" w:fill="FFFFFF"/>
          </w:tcPr>
          <w:p w14:paraId="7A421D8E" w14:textId="77777777" w:rsidR="00C26C0C" w:rsidRDefault="00DC28B1">
            <w:pPr>
              <w:pStyle w:val="DefaqtoTableBody"/>
              <w:jc w:val="right"/>
              <w:rPr>
                <w:rFonts w:ascii="Poppins" w:hAnsi="Poppins" w:cs="Poppins"/>
                <w:color w:val="392388"/>
              </w:rPr>
            </w:pPr>
            <w:r>
              <w:rPr>
                <w:rFonts w:ascii="Poppins" w:hAnsi="Poppins" w:cs="Poppins"/>
                <w:color w:val="392388"/>
                <w:lang w:val="en-GB"/>
              </w:rPr>
              <w:t>£86,800</w:t>
            </w:r>
          </w:p>
        </w:tc>
        <w:tc>
          <w:tcPr>
            <w:tcW w:w="1850" w:type="pct"/>
            <w:shd w:val="clear" w:color="auto" w:fill="FFFFFF"/>
          </w:tcPr>
          <w:p w14:paraId="5574C3AD" w14:textId="77777777" w:rsidR="00C26C0C" w:rsidRDefault="00DC28B1">
            <w:pPr>
              <w:pStyle w:val="DefaqtoTableBody"/>
              <w:jc w:val="right"/>
              <w:rPr>
                <w:rFonts w:ascii="Poppins" w:hAnsi="Poppins" w:cs="Poppins"/>
                <w:color w:val="392388"/>
              </w:rPr>
            </w:pPr>
            <w:r>
              <w:rPr>
                <w:rFonts w:ascii="Poppins" w:hAnsi="Poppins" w:cs="Poppins"/>
                <w:color w:val="392388"/>
                <w:lang w:val="en-GB"/>
              </w:rPr>
              <w:t>£86,700</w:t>
            </w:r>
          </w:p>
        </w:tc>
      </w:tr>
      <w:tr w:rsidR="00C26C0C" w14:paraId="55C6C62B"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03453A9D" w14:textId="77777777" w:rsidR="00C26C0C" w:rsidRDefault="00DC28B1">
            <w:pPr>
              <w:pStyle w:val="DefaqtoTableBody"/>
              <w:rPr>
                <w:rFonts w:ascii="Poppins" w:hAnsi="Poppins" w:cs="Poppins"/>
                <w:b/>
                <w:bCs/>
                <w:color w:val="392388"/>
              </w:rPr>
            </w:pPr>
            <w:r>
              <w:rPr>
                <w:rFonts w:ascii="Poppins" w:hAnsi="Poppins" w:cs="Poppins"/>
                <w:b/>
                <w:bCs/>
                <w:color w:val="392388"/>
              </w:rPr>
              <w:t>Reduction in yield</w:t>
            </w:r>
            <w:r>
              <w:rPr>
                <w:rFonts w:ascii="Poppins" w:hAnsi="Poppins" w:cs="Poppins"/>
                <w:b/>
                <w:bCs/>
                <w:color w:val="392388"/>
                <w:vertAlign w:val="superscript"/>
              </w:rPr>
              <w:t>[1]</w:t>
            </w:r>
          </w:p>
        </w:tc>
        <w:tc>
          <w:tcPr>
            <w:tcW w:w="1850" w:type="pct"/>
            <w:tcBorders>
              <w:left w:val="single" w:sz="18" w:space="0" w:color="614FA0"/>
            </w:tcBorders>
            <w:shd w:val="clear" w:color="auto" w:fill="EFEAFB"/>
          </w:tcPr>
          <w:p w14:paraId="11E64C37"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0.6%</w:t>
            </w:r>
          </w:p>
        </w:tc>
        <w:tc>
          <w:tcPr>
            <w:tcW w:w="1850" w:type="pct"/>
            <w:shd w:val="clear" w:color="auto" w:fill="EFEAFB"/>
          </w:tcPr>
          <w:p w14:paraId="4B068FC8"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0.7%</w:t>
            </w:r>
          </w:p>
        </w:tc>
      </w:tr>
      <w:tr w:rsidR="00C26C0C" w14:paraId="341936B4"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45AD49A5" w14:textId="77777777" w:rsidR="00C26C0C" w:rsidRDefault="00DC28B1">
            <w:pPr>
              <w:pStyle w:val="DefaqtoTableBody"/>
              <w:rPr>
                <w:rFonts w:ascii="Poppins" w:hAnsi="Poppins" w:cs="Poppins"/>
                <w:b/>
                <w:bCs/>
                <w:color w:val="392388"/>
              </w:rPr>
            </w:pPr>
            <w:r>
              <w:rPr>
                <w:rFonts w:ascii="Poppins" w:hAnsi="Poppins" w:cs="Poppins"/>
                <w:b/>
                <w:bCs/>
                <w:color w:val="392388"/>
              </w:rPr>
              <w:t>Critical yield</w:t>
            </w:r>
            <w:r>
              <w:rPr>
                <w:rFonts w:ascii="Poppins" w:hAnsi="Poppins" w:cs="Poppins"/>
                <w:b/>
                <w:bCs/>
                <w:color w:val="392388"/>
                <w:vertAlign w:val="superscript"/>
              </w:rPr>
              <w:t>[2]</w:t>
            </w:r>
          </w:p>
        </w:tc>
        <w:tc>
          <w:tcPr>
            <w:tcW w:w="1850" w:type="pct"/>
            <w:tcBorders>
              <w:left w:val="single" w:sz="18" w:space="0" w:color="614FA0"/>
            </w:tcBorders>
            <w:shd w:val="clear" w:color="auto" w:fill="FFFFFF"/>
          </w:tcPr>
          <w:p w14:paraId="23EF199B"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26B620E8" w14:textId="77777777" w:rsidR="00C26C0C" w:rsidRDefault="00DC28B1">
            <w:pPr>
              <w:pStyle w:val="DefaqtoTableBody"/>
              <w:jc w:val="right"/>
              <w:rPr>
                <w:rFonts w:ascii="Poppins" w:hAnsi="Poppins" w:cs="Poppins"/>
                <w:color w:val="392388"/>
              </w:rPr>
            </w:pPr>
            <w:r>
              <w:rPr>
                <w:rFonts w:ascii="Poppins" w:hAnsi="Poppins" w:cs="Poppins"/>
                <w:color w:val="392388"/>
                <w:lang w:val="en-GB"/>
              </w:rPr>
              <w:t>2.9%</w:t>
            </w:r>
          </w:p>
        </w:tc>
      </w:tr>
      <w:tr w:rsidR="00C26C0C" w14:paraId="7C1B3579"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465469BD" w14:textId="77777777" w:rsidR="00C26C0C" w:rsidRDefault="00DC28B1">
            <w:pPr>
              <w:pStyle w:val="DefaqtoTableBody"/>
              <w:rPr>
                <w:rFonts w:ascii="Poppins" w:hAnsi="Poppins" w:cs="Poppins"/>
                <w:b/>
                <w:bCs/>
                <w:color w:val="392388"/>
              </w:rPr>
            </w:pPr>
            <w:r>
              <w:rPr>
                <w:rFonts w:ascii="Poppins" w:hAnsi="Poppins" w:cs="Poppins"/>
                <w:b/>
                <w:bCs/>
                <w:color w:val="392388"/>
              </w:rPr>
              <w:t>Effect of switching</w:t>
            </w:r>
            <w:r>
              <w:rPr>
                <w:rFonts w:ascii="Poppins" w:hAnsi="Poppins" w:cs="Poppins"/>
                <w:b/>
                <w:bCs/>
                <w:color w:val="392388"/>
                <w:vertAlign w:val="superscript"/>
              </w:rPr>
              <w:t>[3]</w:t>
            </w:r>
          </w:p>
        </w:tc>
        <w:tc>
          <w:tcPr>
            <w:tcW w:w="1850" w:type="pct"/>
            <w:tcBorders>
              <w:left w:val="single" w:sz="18" w:space="0" w:color="614FA0"/>
              <w:bottom w:val="single" w:sz="4" w:space="0" w:color="B0A7CF"/>
            </w:tcBorders>
            <w:shd w:val="clear" w:color="auto" w:fill="EFEAFB"/>
          </w:tcPr>
          <w:p w14:paraId="2F69430A"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743DA621" w14:textId="77777777" w:rsidR="00C26C0C" w:rsidRDefault="00DC28B1">
            <w:pPr>
              <w:pStyle w:val="DefaqtoTableBody"/>
              <w:jc w:val="right"/>
              <w:rPr>
                <w:rFonts w:ascii="Poppins" w:hAnsi="Poppins" w:cs="Poppins"/>
                <w:color w:val="392388"/>
              </w:rPr>
            </w:pPr>
            <w:r>
              <w:rPr>
                <w:rFonts w:ascii="Poppins" w:hAnsi="Poppins" w:cs="Poppins"/>
                <w:color w:val="392388"/>
                <w:lang w:val="en-GB"/>
              </w:rPr>
              <w:t>£100 or 0.1% decrease</w:t>
            </w:r>
          </w:p>
        </w:tc>
      </w:tr>
      <w:tr w:rsidR="00C26C0C" w14:paraId="25D7FA0F"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3ADF5BF8" w14:textId="77777777" w:rsidR="00C26C0C" w:rsidRDefault="00DC28B1">
            <w:pPr>
              <w:pStyle w:val="DefaqtoTableBody"/>
              <w:rPr>
                <w:rFonts w:ascii="Poppins" w:hAnsi="Poppins" w:cs="Poppins"/>
                <w:b/>
                <w:bCs/>
                <w:color w:val="392388"/>
                <w:lang w:val="en-GB"/>
              </w:rPr>
            </w:pPr>
            <w:r>
              <w:rPr>
                <w:rFonts w:ascii="Poppins" w:hAnsi="Poppins" w:cs="Poppins"/>
                <w:b/>
                <w:bCs/>
                <w:color w:val="FFFFFF"/>
              </w:rPr>
              <w:t>High growth rate – (</w:t>
            </w:r>
            <w:r>
              <w:rPr>
                <w:rFonts w:ascii="Poppins" w:hAnsi="Poppins" w:cs="Poppins"/>
                <w:b/>
                <w:bCs/>
                <w:color w:val="FFFFFF"/>
                <w:lang w:val="en-GB"/>
              </w:rPr>
              <w:t>5.88%)</w:t>
            </w:r>
          </w:p>
        </w:tc>
      </w:tr>
      <w:tr w:rsidR="00C26C0C" w14:paraId="1A229E51"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69A0D76E" w14:textId="77777777" w:rsidR="00C26C0C" w:rsidRDefault="00DC28B1">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60</w:t>
            </w:r>
            <w:r>
              <w:rPr>
                <w:rFonts w:ascii="Poppins" w:hAnsi="Poppins" w:cs="Poppins"/>
                <w:b/>
                <w:bCs/>
                <w:color w:val="392388"/>
              </w:rPr>
              <w:t xml:space="preserve"> </w:t>
            </w:r>
          </w:p>
        </w:tc>
        <w:tc>
          <w:tcPr>
            <w:tcW w:w="1850" w:type="pct"/>
            <w:tcBorders>
              <w:left w:val="single" w:sz="18" w:space="0" w:color="614FA0"/>
            </w:tcBorders>
            <w:shd w:val="clear" w:color="auto" w:fill="FFFFFF"/>
          </w:tcPr>
          <w:p w14:paraId="5A7589D3" w14:textId="77777777" w:rsidR="00C26C0C" w:rsidRDefault="00DC28B1">
            <w:pPr>
              <w:pStyle w:val="DefaqtoTableBody"/>
              <w:jc w:val="right"/>
              <w:rPr>
                <w:rFonts w:ascii="Poppins" w:hAnsi="Poppins" w:cs="Poppins"/>
                <w:color w:val="392388"/>
              </w:rPr>
            </w:pPr>
            <w:r>
              <w:rPr>
                <w:rFonts w:ascii="Poppins" w:hAnsi="Poppins" w:cs="Poppins"/>
                <w:color w:val="392388"/>
                <w:lang w:val="en-GB"/>
              </w:rPr>
              <w:t>£97,400</w:t>
            </w:r>
          </w:p>
        </w:tc>
        <w:tc>
          <w:tcPr>
            <w:tcW w:w="1850" w:type="pct"/>
            <w:shd w:val="clear" w:color="auto" w:fill="FFFFFF"/>
          </w:tcPr>
          <w:p w14:paraId="6A354EF3" w14:textId="77777777" w:rsidR="00C26C0C" w:rsidRDefault="00DC28B1">
            <w:pPr>
              <w:pStyle w:val="DefaqtoTableBody"/>
              <w:jc w:val="right"/>
              <w:rPr>
                <w:rFonts w:ascii="Poppins" w:hAnsi="Poppins" w:cs="Poppins"/>
                <w:color w:val="392388"/>
              </w:rPr>
            </w:pPr>
            <w:r>
              <w:rPr>
                <w:rFonts w:ascii="Poppins" w:hAnsi="Poppins" w:cs="Poppins"/>
                <w:color w:val="392388"/>
                <w:lang w:val="en-GB"/>
              </w:rPr>
              <w:t>£97,300</w:t>
            </w:r>
          </w:p>
        </w:tc>
      </w:tr>
      <w:tr w:rsidR="00C26C0C" w14:paraId="78854FDA"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D203B54" w14:textId="77777777" w:rsidR="00C26C0C" w:rsidRDefault="00DC28B1">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1890DE4F"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0.7%</w:t>
            </w:r>
          </w:p>
        </w:tc>
        <w:tc>
          <w:tcPr>
            <w:tcW w:w="1850" w:type="pct"/>
            <w:shd w:val="clear" w:color="auto" w:fill="EFEAFB"/>
          </w:tcPr>
          <w:p w14:paraId="08AD398B"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0.7%</w:t>
            </w:r>
          </w:p>
        </w:tc>
      </w:tr>
      <w:tr w:rsidR="00C26C0C" w14:paraId="772419C0"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2D554D8A" w14:textId="77777777" w:rsidR="00C26C0C" w:rsidRDefault="00DC28B1">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3C8C7DFA"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74C9A74D" w14:textId="77777777" w:rsidR="00C26C0C" w:rsidRDefault="00DC28B1">
            <w:pPr>
              <w:pStyle w:val="DefaqtoTableBody"/>
              <w:jc w:val="right"/>
              <w:rPr>
                <w:rFonts w:ascii="Poppins" w:hAnsi="Poppins" w:cs="Poppins"/>
                <w:color w:val="392388"/>
              </w:rPr>
            </w:pPr>
            <w:r>
              <w:rPr>
                <w:rFonts w:ascii="Poppins" w:hAnsi="Poppins" w:cs="Poppins"/>
                <w:color w:val="392388"/>
                <w:lang w:val="en-GB"/>
              </w:rPr>
              <w:t>5.9%</w:t>
            </w:r>
          </w:p>
        </w:tc>
      </w:tr>
      <w:tr w:rsidR="00C26C0C" w14:paraId="6207A47A"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EFCC06E" w14:textId="77777777" w:rsidR="00C26C0C" w:rsidRDefault="00DC28B1">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tcBorders>
            <w:shd w:val="clear" w:color="auto" w:fill="EFEAFB"/>
          </w:tcPr>
          <w:p w14:paraId="016F022C"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EFEAFB"/>
          </w:tcPr>
          <w:p w14:paraId="1AB30D08" w14:textId="77777777" w:rsidR="00C26C0C" w:rsidRDefault="00DC28B1">
            <w:pPr>
              <w:pStyle w:val="DefaqtoTableBody"/>
              <w:jc w:val="right"/>
              <w:rPr>
                <w:rFonts w:ascii="Poppins" w:hAnsi="Poppins" w:cs="Poppins"/>
                <w:color w:val="392388"/>
              </w:rPr>
            </w:pPr>
            <w:r>
              <w:rPr>
                <w:rFonts w:ascii="Poppins" w:hAnsi="Poppins" w:cs="Poppins"/>
                <w:color w:val="392388"/>
                <w:lang w:val="en-GB"/>
              </w:rPr>
              <w:t>£100 or 0.1% decrease</w:t>
            </w:r>
          </w:p>
        </w:tc>
      </w:tr>
    </w:tbl>
    <w:p w14:paraId="5A3DC6FB" w14:textId="77777777" w:rsidR="00C26C0C" w:rsidRDefault="00C26C0C">
      <w:pPr>
        <w:pStyle w:val="Defaqtosmallprint"/>
      </w:pPr>
    </w:p>
    <w:p w14:paraId="0F076780" w14:textId="77777777" w:rsidR="00C26C0C" w:rsidRDefault="00DC28B1">
      <w:pPr>
        <w:pStyle w:val="Defaqtosmallprint"/>
      </w:pPr>
      <w:r>
        <w:rPr>
          <w:u w:color="000000"/>
        </w:rPr>
        <w:t>[1] Reduction in Yield is the impact of product, platform and fund charges on the investment growth rate. For example, if the fund grows due to investment growth by 4% in a year and the reduction in yield is 2.5% the fund growth experienced will be 1.5%.</w:t>
      </w:r>
      <w:r>
        <w:br/>
      </w:r>
      <w:r>
        <w:rPr>
          <w:u w:color="000000"/>
        </w:rPr>
        <w:t>[2] Critical Yield is the growth rate required from the new solution to match the projected maturity value of the existing pension.</w:t>
      </w:r>
      <w:r>
        <w:br/>
      </w:r>
      <w:r>
        <w:rPr>
          <w:u w:color="000000"/>
        </w:rPr>
        <w:t>[3] Effect of switching is the change in the maturity value of the new solution assuming the fund experiences the same investment growth.</w:t>
      </w:r>
      <w:r>
        <w:br/>
      </w:r>
    </w:p>
    <w:p w14:paraId="2A1A4496" w14:textId="77777777" w:rsidR="00C26C0C" w:rsidRDefault="00DC28B1">
      <w:pPr>
        <w:pStyle w:val="DefaqtoBody"/>
      </w:pPr>
      <w:r>
        <w:rPr>
          <w:u w:color="000000"/>
        </w:rPr>
        <w:t>The following graph is based on the existing pension and chosen new solution growing at the same rate, over the same term and the effect charges have on the maturity value.</w:t>
      </w:r>
      <w:r>
        <w:br/>
      </w:r>
      <w:r>
        <w:br/>
      </w:r>
      <w:r>
        <w:rPr>
          <w:noProof/>
        </w:rPr>
        <w:drawing>
          <wp:inline distT="0" distB="0" distL="0" distR="0" wp14:anchorId="6DA84302" wp14:editId="6B1F86B4">
            <wp:extent cx="6191250" cy="417195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cstate="print"/>
                    <a:stretch>
                      <a:fillRect/>
                    </a:stretch>
                  </pic:blipFill>
                  <pic:spPr>
                    <a:xfrm>
                      <a:off x="0" y="0"/>
                      <a:ext cx="6191250" cy="4171950"/>
                    </a:xfrm>
                    <a:prstGeom prst="rect">
                      <a:avLst/>
                    </a:prstGeom>
                  </pic:spPr>
                </pic:pic>
              </a:graphicData>
            </a:graphic>
          </wp:inline>
        </w:drawing>
      </w:r>
    </w:p>
    <w:p w14:paraId="4CC5F2FA" w14:textId="77777777" w:rsidR="00C26C0C" w:rsidRDefault="00DC28B1">
      <w:r>
        <w:t xml:space="preserve"> </w:t>
      </w:r>
    </w:p>
    <w:p w14:paraId="61073B68" w14:textId="77777777" w:rsidR="00C26C0C" w:rsidRDefault="00DC28B1">
      <w:pPr>
        <w:pStyle w:val="DefaqtoHeading3"/>
      </w:pPr>
      <w:bookmarkStart w:id="13" w:name="_Toc9"/>
      <w:r>
        <w:t>Benefits</w:t>
      </w:r>
      <w:bookmarkEnd w:id="13"/>
    </w:p>
    <w:p w14:paraId="6D7EF5C5" w14:textId="77777777" w:rsidR="00C26C0C" w:rsidRDefault="00DC28B1">
      <w:pPr>
        <w:pStyle w:val="DefaqtoBody"/>
      </w:pPr>
      <w:r>
        <w:rPr>
          <w:u w:color="000000"/>
        </w:rPr>
        <w:t>The following is a list of benefits that will be lost when switching:</w:t>
      </w:r>
    </w:p>
    <w:p w14:paraId="3AA78379" w14:textId="77777777" w:rsidR="00C26C0C" w:rsidRDefault="00DC28B1">
      <w:pPr>
        <w:pStyle w:val="DefaqtoBody"/>
      </w:pPr>
      <w:r>
        <w:rPr>
          <w:u w:color="000000"/>
        </w:rPr>
        <w:t>No benefits were listed for the existing products</w:t>
      </w:r>
    </w:p>
    <w:p w14:paraId="476B8B01" w14:textId="77777777" w:rsidR="00C26C0C" w:rsidRDefault="00DC28B1">
      <w:pPr>
        <w:pStyle w:val="DefaqtoHeading3"/>
      </w:pPr>
      <w:bookmarkStart w:id="14" w:name="_Toc10"/>
      <w:r>
        <w:t>The effect of advice charges</w:t>
      </w:r>
      <w:bookmarkEnd w:id="14"/>
    </w:p>
    <w:p w14:paraId="03C07B3C" w14:textId="77777777" w:rsidR="00C26C0C" w:rsidRDefault="00DC28B1">
      <w:pPr>
        <w:pStyle w:val="DefaqtoBody"/>
      </w:pPr>
      <w:r>
        <w:rPr>
          <w:u w:color="000000"/>
        </w:rPr>
        <w:t>Initial adviser charge of £0.00 which is taken from the new solution, reducing the initial investment accordingly.</w:t>
      </w:r>
    </w:p>
    <w:p w14:paraId="0A44666C" w14:textId="77777777" w:rsidR="00C26C0C" w:rsidRDefault="00DC28B1">
      <w:pPr>
        <w:pStyle w:val="DefaqtoBody"/>
      </w:pPr>
      <w:r>
        <w:rPr>
          <w:u w:color="000000"/>
        </w:rPr>
        <w:t>An ongoing annual adviser charge of 1.00% which has been considered as part of the new solution projections below.</w:t>
      </w:r>
    </w:p>
    <w:p w14:paraId="7D19E47E" w14:textId="77777777" w:rsidR="00C26C0C" w:rsidRDefault="00DC28B1">
      <w:pPr>
        <w:pStyle w:val="DefaqtoBody"/>
      </w:pPr>
      <w:r>
        <w:rPr>
          <w:u w:color="000000"/>
        </w:rPr>
        <w:lastRenderedPageBreak/>
        <w:t>The following comparison considers the effect of any adviser charges currently being paid on the existing pension being switched out of and the adviser charges that would become payable on the new solution.</w:t>
      </w:r>
    </w:p>
    <w:p w14:paraId="655FBCDE" w14:textId="77777777" w:rsidR="00C26C0C" w:rsidRDefault="00DC28B1">
      <w:r>
        <w:t xml:space="preserve"> </w:t>
      </w:r>
    </w:p>
    <w:tbl>
      <w:tblPr>
        <w:tblW w:w="5000" w:type="pct"/>
        <w:tblBorders>
          <w:top w:val="single" w:sz="8" w:space="0" w:color="B0A7CF"/>
          <w:left w:val="single" w:sz="8" w:space="0" w:color="B0A7CF"/>
          <w:bottom w:val="single" w:sz="8" w:space="0" w:color="B0A7CF"/>
          <w:right w:val="single" w:sz="8" w:space="0" w:color="B0A7CF"/>
          <w:insideH w:val="single" w:sz="8" w:space="0" w:color="B0A7CF"/>
          <w:insideV w:val="single" w:sz="8" w:space="0" w:color="B0A7CF"/>
        </w:tblBorders>
        <w:tblLayout w:type="fixed"/>
        <w:tblCellMar>
          <w:top w:w="57" w:type="dxa"/>
          <w:bottom w:w="57" w:type="dxa"/>
        </w:tblCellMar>
        <w:tblLook w:val="04A0" w:firstRow="1" w:lastRow="0" w:firstColumn="1" w:lastColumn="0" w:noHBand="0" w:noVBand="1"/>
      </w:tblPr>
      <w:tblGrid>
        <w:gridCol w:w="2761"/>
        <w:gridCol w:w="3928"/>
        <w:gridCol w:w="3928"/>
      </w:tblGrid>
      <w:tr w:rsidR="00C26C0C" w14:paraId="77092BF2" w14:textId="77777777">
        <w:tc>
          <w:tcPr>
            <w:tcW w:w="1300" w:type="pct"/>
            <w:tcBorders>
              <w:top w:val="nil"/>
              <w:left w:val="nil"/>
              <w:bottom w:val="nil"/>
              <w:right w:val="single" w:sz="18" w:space="0" w:color="614FA0"/>
            </w:tcBorders>
            <w:shd w:val="clear" w:color="auto" w:fill="FFFFFF"/>
          </w:tcPr>
          <w:p w14:paraId="24DD7DAC" w14:textId="77777777" w:rsidR="00C26C0C" w:rsidRDefault="00C26C0C">
            <w:pPr>
              <w:pStyle w:val="DefaqtoTableBody"/>
              <w:rPr>
                <w:rFonts w:ascii="Poppins" w:hAnsi="Poppins" w:cs="Poppins"/>
                <w:b/>
                <w:bCs/>
                <w:color w:val="392388"/>
              </w:rPr>
            </w:pPr>
          </w:p>
        </w:tc>
        <w:tc>
          <w:tcPr>
            <w:tcW w:w="1850" w:type="pct"/>
            <w:tcBorders>
              <w:top w:val="single" w:sz="4" w:space="0" w:color="B0A7CF"/>
              <w:left w:val="single" w:sz="18" w:space="0" w:color="614FA0"/>
              <w:bottom w:val="single" w:sz="4" w:space="0" w:color="B0A7CF"/>
              <w:right w:val="single" w:sz="4" w:space="0" w:color="B0A7CF"/>
            </w:tcBorders>
            <w:shd w:val="clear" w:color="auto" w:fill="FFFFFF"/>
          </w:tcPr>
          <w:p w14:paraId="602AEDF9" w14:textId="77777777" w:rsidR="00C26C0C" w:rsidRDefault="00DC28B1">
            <w:pPr>
              <w:pStyle w:val="DefaqtoTableBody"/>
              <w:tabs>
                <w:tab w:val="center" w:pos="1671"/>
                <w:tab w:val="right" w:pos="3342"/>
              </w:tabs>
              <w:jc w:val="right"/>
              <w:rPr>
                <w:rFonts w:ascii="Poppins" w:hAnsi="Poppins" w:cs="Poppins"/>
                <w:color w:val="392388"/>
                <w:lang w:val="en-GB"/>
              </w:rPr>
            </w:pPr>
            <w:r>
              <w:rPr>
                <w:rFonts w:ascii="Poppins" w:hAnsi="Poppins" w:cs="Poppins"/>
                <w:b/>
                <w:bCs/>
                <w:noProof/>
                <w:color w:val="392388"/>
              </w:rPr>
              <w:t>Existing pension</w:t>
            </w:r>
          </w:p>
        </w:tc>
        <w:tc>
          <w:tcPr>
            <w:tcW w:w="1850" w:type="pct"/>
            <w:tcBorders>
              <w:left w:val="single" w:sz="4" w:space="0" w:color="B0A7CF"/>
              <w:bottom w:val="single" w:sz="4" w:space="0" w:color="B0A7CF"/>
            </w:tcBorders>
            <w:shd w:val="clear" w:color="auto" w:fill="FFFFFF"/>
          </w:tcPr>
          <w:p w14:paraId="69F85607" w14:textId="77777777" w:rsidR="00C26C0C" w:rsidRDefault="00DC28B1">
            <w:pPr>
              <w:pStyle w:val="DefaqtoTableBody"/>
              <w:tabs>
                <w:tab w:val="left" w:pos="1052"/>
                <w:tab w:val="right" w:pos="3263"/>
              </w:tabs>
              <w:jc w:val="right"/>
              <w:rPr>
                <w:rFonts w:ascii="Poppins" w:hAnsi="Poppins" w:cs="Poppins"/>
                <w:color w:val="392388"/>
                <w:lang w:val="en-GB"/>
              </w:rPr>
            </w:pPr>
            <w:r>
              <w:rPr>
                <w:rFonts w:ascii="Poppins" w:hAnsi="Poppins" w:cs="Poppins"/>
                <w:b/>
                <w:bCs/>
                <w:noProof/>
                <w:color w:val="392388"/>
              </w:rPr>
              <w:t>New solution</w:t>
            </w:r>
          </w:p>
        </w:tc>
      </w:tr>
      <w:tr w:rsidR="00C26C0C" w14:paraId="1CC43EDB"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35E7E836" w14:textId="77777777" w:rsidR="00C26C0C" w:rsidRDefault="00DC28B1">
            <w:pPr>
              <w:pStyle w:val="DefaqtoTableBody"/>
              <w:rPr>
                <w:rFonts w:ascii="Poppins" w:hAnsi="Poppins" w:cs="Poppins"/>
                <w:b/>
                <w:bCs/>
                <w:color w:val="392388"/>
                <w:lang w:val="en-GB"/>
              </w:rPr>
            </w:pPr>
            <w:r>
              <w:rPr>
                <w:rFonts w:ascii="Poppins" w:hAnsi="Poppins" w:cs="Poppins"/>
                <w:b/>
                <w:bCs/>
                <w:color w:val="FFFFFF"/>
              </w:rPr>
              <w:t>Low growth rate – (</w:t>
            </w:r>
            <w:r>
              <w:rPr>
                <w:rFonts w:ascii="Poppins" w:hAnsi="Poppins" w:cs="Poppins"/>
                <w:b/>
                <w:bCs/>
                <w:color w:val="FFFFFF"/>
                <w:lang w:val="en-GB"/>
              </w:rPr>
              <w:t>0.00%)</w:t>
            </w:r>
          </w:p>
        </w:tc>
      </w:tr>
      <w:tr w:rsidR="00C26C0C" w14:paraId="4E01DCC9"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2FAC05DE" w14:textId="77777777" w:rsidR="00C26C0C" w:rsidRDefault="00DC28B1">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60</w:t>
            </w:r>
          </w:p>
        </w:tc>
        <w:tc>
          <w:tcPr>
            <w:tcW w:w="1850" w:type="pct"/>
            <w:tcBorders>
              <w:left w:val="single" w:sz="18" w:space="0" w:color="614FA0"/>
            </w:tcBorders>
            <w:shd w:val="clear" w:color="auto" w:fill="FFFFFF"/>
          </w:tcPr>
          <w:p w14:paraId="7569D2DD" w14:textId="77777777" w:rsidR="00C26C0C" w:rsidRDefault="00DC28B1">
            <w:pPr>
              <w:pStyle w:val="DefaqtoTableBody"/>
              <w:jc w:val="right"/>
              <w:rPr>
                <w:rFonts w:ascii="Poppins" w:hAnsi="Poppins" w:cs="Poppins"/>
                <w:color w:val="392388"/>
              </w:rPr>
            </w:pPr>
            <w:r>
              <w:rPr>
                <w:rFonts w:ascii="Poppins" w:hAnsi="Poppins" w:cs="Poppins"/>
                <w:color w:val="392388"/>
                <w:lang w:val="en-GB"/>
              </w:rPr>
              <w:t>£74,000</w:t>
            </w:r>
          </w:p>
        </w:tc>
        <w:tc>
          <w:tcPr>
            <w:tcW w:w="1850" w:type="pct"/>
            <w:shd w:val="clear" w:color="auto" w:fill="FFFFFF"/>
          </w:tcPr>
          <w:p w14:paraId="77CB517B" w14:textId="77777777" w:rsidR="00C26C0C" w:rsidRDefault="00DC28B1">
            <w:pPr>
              <w:pStyle w:val="DefaqtoTableBody"/>
              <w:jc w:val="right"/>
              <w:rPr>
                <w:rFonts w:ascii="Poppins" w:hAnsi="Poppins" w:cs="Poppins"/>
                <w:color w:val="392388"/>
              </w:rPr>
            </w:pPr>
            <w:r>
              <w:rPr>
                <w:rFonts w:ascii="Poppins" w:hAnsi="Poppins" w:cs="Poppins"/>
                <w:color w:val="392388"/>
                <w:lang w:val="en-GB"/>
              </w:rPr>
              <w:t>£74,000</w:t>
            </w:r>
          </w:p>
        </w:tc>
      </w:tr>
      <w:tr w:rsidR="00C26C0C" w14:paraId="180790A8"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87FE3A9" w14:textId="77777777" w:rsidR="00C26C0C" w:rsidRDefault="00DC28B1">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1D4D9FAA" w14:textId="77777777" w:rsidR="00C26C0C" w:rsidRDefault="00DC28B1">
            <w:pPr>
              <w:pStyle w:val="DefaqtoTableBody"/>
              <w:jc w:val="right"/>
              <w:rPr>
                <w:rFonts w:ascii="Poppins" w:hAnsi="Poppins" w:cs="Poppins"/>
                <w:color w:val="392388"/>
              </w:rPr>
            </w:pPr>
            <w:r>
              <w:rPr>
                <w:rFonts w:ascii="Poppins" w:hAnsi="Poppins" w:cs="Poppins"/>
                <w:color w:val="392388"/>
                <w:lang w:val="en-GB"/>
              </w:rPr>
              <w:t>1.6%</w:t>
            </w:r>
          </w:p>
        </w:tc>
        <w:tc>
          <w:tcPr>
            <w:tcW w:w="1850" w:type="pct"/>
            <w:shd w:val="clear" w:color="auto" w:fill="EFEAFB"/>
          </w:tcPr>
          <w:p w14:paraId="45F30B5C" w14:textId="77777777" w:rsidR="00C26C0C" w:rsidRDefault="00DC28B1">
            <w:pPr>
              <w:pStyle w:val="DefaqtoTableBody"/>
              <w:jc w:val="right"/>
              <w:rPr>
                <w:rFonts w:ascii="Poppins" w:hAnsi="Poppins" w:cs="Poppins"/>
                <w:color w:val="392388"/>
              </w:rPr>
            </w:pPr>
            <w:r>
              <w:rPr>
                <w:rFonts w:ascii="Poppins" w:hAnsi="Poppins" w:cs="Poppins"/>
                <w:color w:val="392388"/>
                <w:lang w:val="en-GB"/>
              </w:rPr>
              <w:t>1.6%</w:t>
            </w:r>
          </w:p>
        </w:tc>
      </w:tr>
      <w:tr w:rsidR="00C26C0C" w14:paraId="6D18C87F"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5453466" w14:textId="77777777" w:rsidR="00C26C0C" w:rsidRDefault="00DC28B1">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7AF8362C"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1F431F69"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0.0%</w:t>
            </w:r>
          </w:p>
        </w:tc>
      </w:tr>
      <w:tr w:rsidR="00C26C0C" w14:paraId="18C176E8"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6AD0A9AB" w14:textId="77777777" w:rsidR="00C26C0C" w:rsidRDefault="00DC28B1">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bottom w:val="single" w:sz="4" w:space="0" w:color="B0A7CF"/>
            </w:tcBorders>
            <w:shd w:val="clear" w:color="auto" w:fill="EFEAFB"/>
          </w:tcPr>
          <w:p w14:paraId="6209F6EF"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33532BBB"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 or 0.0% decrease</w:t>
            </w:r>
          </w:p>
        </w:tc>
      </w:tr>
      <w:tr w:rsidR="00C26C0C" w14:paraId="5931D5D0"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50FB712E" w14:textId="77777777" w:rsidR="00C26C0C" w:rsidRDefault="00DC28B1">
            <w:pPr>
              <w:pStyle w:val="DefaqtoTableBody"/>
              <w:rPr>
                <w:rFonts w:ascii="Poppins" w:hAnsi="Poppins" w:cs="Poppins"/>
                <w:b/>
                <w:bCs/>
                <w:color w:val="392388"/>
                <w:lang w:val="en-GB"/>
              </w:rPr>
            </w:pPr>
            <w:r>
              <w:rPr>
                <w:rFonts w:ascii="Poppins" w:hAnsi="Poppins" w:cs="Poppins"/>
                <w:b/>
                <w:bCs/>
                <w:color w:val="FFFFFF"/>
              </w:rPr>
              <w:t>Mid growth rate – (</w:t>
            </w:r>
            <w:r>
              <w:rPr>
                <w:rFonts w:ascii="Poppins" w:hAnsi="Poppins" w:cs="Poppins"/>
                <w:b/>
                <w:bCs/>
                <w:color w:val="FFFFFF"/>
                <w:lang w:val="en-GB"/>
              </w:rPr>
              <w:t>2.94%)</w:t>
            </w:r>
          </w:p>
        </w:tc>
      </w:tr>
      <w:tr w:rsidR="00C26C0C" w14:paraId="7714795C"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67E4802D" w14:textId="77777777" w:rsidR="00C26C0C" w:rsidRDefault="00DC28B1">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60</w:t>
            </w:r>
            <w:r>
              <w:rPr>
                <w:rFonts w:ascii="Poppins" w:hAnsi="Poppins" w:cs="Poppins"/>
                <w:b/>
                <w:bCs/>
                <w:color w:val="392388"/>
              </w:rPr>
              <w:t xml:space="preserve"> </w:t>
            </w:r>
          </w:p>
        </w:tc>
        <w:tc>
          <w:tcPr>
            <w:tcW w:w="1850" w:type="pct"/>
            <w:tcBorders>
              <w:left w:val="single" w:sz="18" w:space="0" w:color="614FA0"/>
            </w:tcBorders>
            <w:shd w:val="clear" w:color="auto" w:fill="FFFFFF"/>
          </w:tcPr>
          <w:p w14:paraId="4416229A" w14:textId="77777777" w:rsidR="00C26C0C" w:rsidRDefault="00DC28B1">
            <w:pPr>
              <w:pStyle w:val="DefaqtoTableBody"/>
              <w:jc w:val="right"/>
              <w:rPr>
                <w:rFonts w:ascii="Poppins" w:hAnsi="Poppins" w:cs="Poppins"/>
                <w:color w:val="392388"/>
              </w:rPr>
            </w:pPr>
            <w:r>
              <w:rPr>
                <w:rFonts w:ascii="Poppins" w:hAnsi="Poppins" w:cs="Poppins"/>
                <w:color w:val="392388"/>
                <w:lang w:val="en-GB"/>
              </w:rPr>
              <w:t>£83,300</w:t>
            </w:r>
          </w:p>
        </w:tc>
        <w:tc>
          <w:tcPr>
            <w:tcW w:w="1850" w:type="pct"/>
            <w:shd w:val="clear" w:color="auto" w:fill="FFFFFF"/>
          </w:tcPr>
          <w:p w14:paraId="203A4923" w14:textId="77777777" w:rsidR="00C26C0C" w:rsidRDefault="00DC28B1">
            <w:pPr>
              <w:pStyle w:val="DefaqtoTableBody"/>
              <w:jc w:val="right"/>
              <w:rPr>
                <w:rFonts w:ascii="Poppins" w:hAnsi="Poppins" w:cs="Poppins"/>
                <w:color w:val="392388"/>
              </w:rPr>
            </w:pPr>
            <w:r>
              <w:rPr>
                <w:rFonts w:ascii="Poppins" w:hAnsi="Poppins" w:cs="Poppins"/>
                <w:color w:val="392388"/>
                <w:lang w:val="en-GB"/>
              </w:rPr>
              <w:t>£83,300</w:t>
            </w:r>
          </w:p>
        </w:tc>
      </w:tr>
      <w:tr w:rsidR="00C26C0C" w14:paraId="591D244B"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6780C0B8" w14:textId="77777777" w:rsidR="00C26C0C" w:rsidRDefault="00DC28B1">
            <w:pPr>
              <w:pStyle w:val="DefaqtoTableBody"/>
              <w:rPr>
                <w:rFonts w:ascii="Poppins" w:hAnsi="Poppins" w:cs="Poppins"/>
                <w:b/>
                <w:bCs/>
                <w:color w:val="392388"/>
              </w:rPr>
            </w:pPr>
            <w:r>
              <w:rPr>
                <w:rFonts w:ascii="Poppins" w:hAnsi="Poppins" w:cs="Poppins"/>
                <w:b/>
                <w:bCs/>
                <w:color w:val="392388"/>
              </w:rPr>
              <w:t>Reduction in yield</w:t>
            </w:r>
            <w:r>
              <w:rPr>
                <w:rFonts w:ascii="Poppins" w:hAnsi="Poppins" w:cs="Poppins"/>
                <w:b/>
                <w:bCs/>
                <w:color w:val="392388"/>
                <w:vertAlign w:val="superscript"/>
              </w:rPr>
              <w:t>[1]</w:t>
            </w:r>
          </w:p>
        </w:tc>
        <w:tc>
          <w:tcPr>
            <w:tcW w:w="1850" w:type="pct"/>
            <w:tcBorders>
              <w:left w:val="single" w:sz="18" w:space="0" w:color="614FA0"/>
            </w:tcBorders>
            <w:shd w:val="clear" w:color="auto" w:fill="EFEAFB"/>
          </w:tcPr>
          <w:p w14:paraId="516E4E40" w14:textId="77777777" w:rsidR="00C26C0C" w:rsidRDefault="00DC28B1">
            <w:pPr>
              <w:pStyle w:val="DefaqtoTableBody"/>
              <w:jc w:val="right"/>
              <w:rPr>
                <w:rFonts w:ascii="Poppins" w:hAnsi="Poppins" w:cs="Poppins"/>
                <w:color w:val="392388"/>
              </w:rPr>
            </w:pPr>
            <w:r>
              <w:rPr>
                <w:rFonts w:ascii="Poppins" w:hAnsi="Poppins" w:cs="Poppins"/>
                <w:color w:val="392388"/>
                <w:lang w:val="en-GB"/>
              </w:rPr>
              <w:t>1.7%</w:t>
            </w:r>
          </w:p>
        </w:tc>
        <w:tc>
          <w:tcPr>
            <w:tcW w:w="1850" w:type="pct"/>
            <w:shd w:val="clear" w:color="auto" w:fill="EFEAFB"/>
          </w:tcPr>
          <w:p w14:paraId="0FBCCD50" w14:textId="77777777" w:rsidR="00C26C0C" w:rsidRDefault="00DC28B1">
            <w:pPr>
              <w:pStyle w:val="DefaqtoTableBody"/>
              <w:jc w:val="right"/>
              <w:rPr>
                <w:rFonts w:ascii="Poppins" w:hAnsi="Poppins" w:cs="Poppins"/>
                <w:color w:val="392388"/>
              </w:rPr>
            </w:pPr>
            <w:r>
              <w:rPr>
                <w:rFonts w:ascii="Poppins" w:hAnsi="Poppins" w:cs="Poppins"/>
                <w:color w:val="392388"/>
                <w:lang w:val="en-GB"/>
              </w:rPr>
              <w:t>1.7%</w:t>
            </w:r>
          </w:p>
        </w:tc>
      </w:tr>
      <w:tr w:rsidR="00C26C0C" w14:paraId="331EDA89"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4E062DDB" w14:textId="77777777" w:rsidR="00C26C0C" w:rsidRDefault="00DC28B1">
            <w:pPr>
              <w:pStyle w:val="DefaqtoTableBody"/>
              <w:rPr>
                <w:rFonts w:ascii="Poppins" w:hAnsi="Poppins" w:cs="Poppins"/>
                <w:b/>
                <w:bCs/>
                <w:color w:val="392388"/>
              </w:rPr>
            </w:pPr>
            <w:r>
              <w:rPr>
                <w:rFonts w:ascii="Poppins" w:hAnsi="Poppins" w:cs="Poppins"/>
                <w:b/>
                <w:bCs/>
                <w:color w:val="392388"/>
              </w:rPr>
              <w:t>Critical yield</w:t>
            </w:r>
            <w:r>
              <w:rPr>
                <w:rFonts w:ascii="Poppins" w:hAnsi="Poppins" w:cs="Poppins"/>
                <w:b/>
                <w:bCs/>
                <w:color w:val="392388"/>
                <w:vertAlign w:val="superscript"/>
              </w:rPr>
              <w:t>[2]</w:t>
            </w:r>
          </w:p>
        </w:tc>
        <w:tc>
          <w:tcPr>
            <w:tcW w:w="1850" w:type="pct"/>
            <w:tcBorders>
              <w:left w:val="single" w:sz="18" w:space="0" w:color="614FA0"/>
            </w:tcBorders>
            <w:shd w:val="clear" w:color="auto" w:fill="FFFFFF"/>
          </w:tcPr>
          <w:p w14:paraId="5E1A17E1"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2A12ED1A" w14:textId="77777777" w:rsidR="00C26C0C" w:rsidRDefault="00DC28B1">
            <w:pPr>
              <w:pStyle w:val="DefaqtoTableBody"/>
              <w:jc w:val="right"/>
              <w:rPr>
                <w:rFonts w:ascii="Poppins" w:hAnsi="Poppins" w:cs="Poppins"/>
                <w:color w:val="392388"/>
              </w:rPr>
            </w:pPr>
            <w:r>
              <w:rPr>
                <w:rFonts w:ascii="Poppins" w:hAnsi="Poppins" w:cs="Poppins"/>
                <w:color w:val="392388"/>
                <w:lang w:val="en-GB"/>
              </w:rPr>
              <w:t>2.9%</w:t>
            </w:r>
          </w:p>
        </w:tc>
      </w:tr>
      <w:tr w:rsidR="00C26C0C" w14:paraId="12017E85"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41B27650" w14:textId="77777777" w:rsidR="00C26C0C" w:rsidRDefault="00DC28B1">
            <w:pPr>
              <w:pStyle w:val="DefaqtoTableBody"/>
              <w:rPr>
                <w:rFonts w:ascii="Poppins" w:hAnsi="Poppins" w:cs="Poppins"/>
                <w:b/>
                <w:bCs/>
                <w:color w:val="392388"/>
              </w:rPr>
            </w:pPr>
            <w:r>
              <w:rPr>
                <w:rFonts w:ascii="Poppins" w:hAnsi="Poppins" w:cs="Poppins"/>
                <w:b/>
                <w:bCs/>
                <w:color w:val="392388"/>
              </w:rPr>
              <w:t>Effect of switching</w:t>
            </w:r>
            <w:r>
              <w:rPr>
                <w:rFonts w:ascii="Poppins" w:hAnsi="Poppins" w:cs="Poppins"/>
                <w:b/>
                <w:bCs/>
                <w:color w:val="392388"/>
                <w:vertAlign w:val="superscript"/>
              </w:rPr>
              <w:t>[3]</w:t>
            </w:r>
          </w:p>
        </w:tc>
        <w:tc>
          <w:tcPr>
            <w:tcW w:w="1850" w:type="pct"/>
            <w:tcBorders>
              <w:left w:val="single" w:sz="18" w:space="0" w:color="614FA0"/>
              <w:bottom w:val="single" w:sz="4" w:space="0" w:color="B0A7CF"/>
            </w:tcBorders>
            <w:shd w:val="clear" w:color="auto" w:fill="EFEAFB"/>
          </w:tcPr>
          <w:p w14:paraId="7671ABE8"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01DCE31D"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 or 0.0% decrease</w:t>
            </w:r>
          </w:p>
        </w:tc>
      </w:tr>
      <w:tr w:rsidR="00C26C0C" w14:paraId="0C79E6CC"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5E5F6386" w14:textId="77777777" w:rsidR="00C26C0C" w:rsidRDefault="00DC28B1">
            <w:pPr>
              <w:pStyle w:val="DefaqtoTableBody"/>
              <w:rPr>
                <w:rFonts w:ascii="Poppins" w:hAnsi="Poppins" w:cs="Poppins"/>
                <w:b/>
                <w:bCs/>
                <w:color w:val="392388"/>
                <w:lang w:val="en-GB"/>
              </w:rPr>
            </w:pPr>
            <w:r>
              <w:rPr>
                <w:rFonts w:ascii="Poppins" w:hAnsi="Poppins" w:cs="Poppins"/>
                <w:b/>
                <w:bCs/>
                <w:color w:val="FFFFFF"/>
              </w:rPr>
              <w:t>High growth rate – (</w:t>
            </w:r>
            <w:r>
              <w:rPr>
                <w:rFonts w:ascii="Poppins" w:hAnsi="Poppins" w:cs="Poppins"/>
                <w:b/>
                <w:bCs/>
                <w:color w:val="FFFFFF"/>
                <w:lang w:val="en-GB"/>
              </w:rPr>
              <w:t>5.88%)</w:t>
            </w:r>
          </w:p>
        </w:tc>
      </w:tr>
      <w:tr w:rsidR="00C26C0C" w14:paraId="36FF808E"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3B97CECA" w14:textId="77777777" w:rsidR="00C26C0C" w:rsidRDefault="00DC28B1">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60</w:t>
            </w:r>
            <w:r>
              <w:rPr>
                <w:rFonts w:ascii="Poppins" w:hAnsi="Poppins" w:cs="Poppins"/>
                <w:b/>
                <w:bCs/>
                <w:color w:val="392388"/>
              </w:rPr>
              <w:t xml:space="preserve"> </w:t>
            </w:r>
          </w:p>
        </w:tc>
        <w:tc>
          <w:tcPr>
            <w:tcW w:w="1850" w:type="pct"/>
            <w:tcBorders>
              <w:left w:val="single" w:sz="18" w:space="0" w:color="614FA0"/>
            </w:tcBorders>
            <w:shd w:val="clear" w:color="auto" w:fill="FFFFFF"/>
          </w:tcPr>
          <w:p w14:paraId="49E4FB71" w14:textId="77777777" w:rsidR="00C26C0C" w:rsidRDefault="00DC28B1">
            <w:pPr>
              <w:pStyle w:val="DefaqtoTableBody"/>
              <w:jc w:val="right"/>
              <w:rPr>
                <w:rFonts w:ascii="Poppins" w:hAnsi="Poppins" w:cs="Poppins"/>
                <w:color w:val="392388"/>
              </w:rPr>
            </w:pPr>
            <w:r>
              <w:rPr>
                <w:rFonts w:ascii="Poppins" w:hAnsi="Poppins" w:cs="Poppins"/>
                <w:color w:val="392388"/>
                <w:lang w:val="en-GB"/>
              </w:rPr>
              <w:t>£93,400</w:t>
            </w:r>
          </w:p>
        </w:tc>
        <w:tc>
          <w:tcPr>
            <w:tcW w:w="1850" w:type="pct"/>
            <w:shd w:val="clear" w:color="auto" w:fill="FFFFFF"/>
          </w:tcPr>
          <w:p w14:paraId="708EF2A4" w14:textId="77777777" w:rsidR="00C26C0C" w:rsidRDefault="00DC28B1">
            <w:pPr>
              <w:pStyle w:val="DefaqtoTableBody"/>
              <w:jc w:val="right"/>
              <w:rPr>
                <w:rFonts w:ascii="Poppins" w:hAnsi="Poppins" w:cs="Poppins"/>
                <w:color w:val="392388"/>
              </w:rPr>
            </w:pPr>
            <w:r>
              <w:rPr>
                <w:rFonts w:ascii="Poppins" w:hAnsi="Poppins" w:cs="Poppins"/>
                <w:color w:val="392388"/>
                <w:lang w:val="en-GB"/>
              </w:rPr>
              <w:t>£93,400</w:t>
            </w:r>
          </w:p>
        </w:tc>
      </w:tr>
      <w:tr w:rsidR="00C26C0C" w14:paraId="24C4AEA3"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02F38E8C" w14:textId="77777777" w:rsidR="00C26C0C" w:rsidRDefault="00DC28B1">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54B044DC" w14:textId="77777777" w:rsidR="00C26C0C" w:rsidRDefault="00DC28B1">
            <w:pPr>
              <w:pStyle w:val="DefaqtoTableBody"/>
              <w:jc w:val="right"/>
              <w:rPr>
                <w:rFonts w:ascii="Poppins" w:hAnsi="Poppins" w:cs="Poppins"/>
                <w:color w:val="392388"/>
              </w:rPr>
            </w:pPr>
            <w:r>
              <w:rPr>
                <w:rFonts w:ascii="Poppins" w:hAnsi="Poppins" w:cs="Poppins"/>
                <w:color w:val="392388"/>
                <w:lang w:val="en-GB"/>
              </w:rPr>
              <w:t>1.8%</w:t>
            </w:r>
          </w:p>
        </w:tc>
        <w:tc>
          <w:tcPr>
            <w:tcW w:w="1850" w:type="pct"/>
            <w:shd w:val="clear" w:color="auto" w:fill="EFEAFB"/>
          </w:tcPr>
          <w:p w14:paraId="094E8804" w14:textId="77777777" w:rsidR="00C26C0C" w:rsidRDefault="00DC28B1">
            <w:pPr>
              <w:pStyle w:val="DefaqtoTableBody"/>
              <w:jc w:val="right"/>
              <w:rPr>
                <w:rFonts w:ascii="Poppins" w:hAnsi="Poppins" w:cs="Poppins"/>
                <w:color w:val="392388"/>
              </w:rPr>
            </w:pPr>
            <w:r>
              <w:rPr>
                <w:rFonts w:ascii="Poppins" w:hAnsi="Poppins" w:cs="Poppins"/>
                <w:color w:val="392388"/>
                <w:lang w:val="en-GB"/>
              </w:rPr>
              <w:t>1.7%</w:t>
            </w:r>
          </w:p>
        </w:tc>
      </w:tr>
      <w:tr w:rsidR="00C26C0C" w14:paraId="01B11C03"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286C6AFF" w14:textId="77777777" w:rsidR="00C26C0C" w:rsidRDefault="00DC28B1">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625192EC"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6E7E6337" w14:textId="77777777" w:rsidR="00C26C0C" w:rsidRDefault="00DC28B1">
            <w:pPr>
              <w:pStyle w:val="DefaqtoTableBody"/>
              <w:jc w:val="right"/>
              <w:rPr>
                <w:rFonts w:ascii="Poppins" w:hAnsi="Poppins" w:cs="Poppins"/>
                <w:color w:val="392388"/>
              </w:rPr>
            </w:pPr>
            <w:r>
              <w:rPr>
                <w:rFonts w:ascii="Poppins" w:hAnsi="Poppins" w:cs="Poppins"/>
                <w:color w:val="392388"/>
                <w:lang w:val="en-GB"/>
              </w:rPr>
              <w:t>5.9%</w:t>
            </w:r>
          </w:p>
        </w:tc>
      </w:tr>
      <w:tr w:rsidR="00C26C0C" w14:paraId="476A9194"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028C4947" w14:textId="77777777" w:rsidR="00C26C0C" w:rsidRDefault="00DC28B1">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tcBorders>
            <w:shd w:val="clear" w:color="auto" w:fill="EFEAFB"/>
          </w:tcPr>
          <w:p w14:paraId="5AE3E663" w14:textId="77777777" w:rsidR="00C26C0C" w:rsidRDefault="00DC28B1">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EFEAFB"/>
          </w:tcPr>
          <w:p w14:paraId="740A3A46" w14:textId="77777777" w:rsidR="00C26C0C" w:rsidRDefault="00DC28B1">
            <w:pPr>
              <w:pStyle w:val="DefaqtoTableBody"/>
              <w:jc w:val="right"/>
              <w:rPr>
                <w:rFonts w:ascii="Poppins" w:hAnsi="Poppins" w:cs="Poppins"/>
                <w:color w:val="392388"/>
              </w:rPr>
            </w:pPr>
            <w:r>
              <w:rPr>
                <w:rFonts w:ascii="Poppins" w:hAnsi="Poppins" w:cs="Poppins"/>
                <w:color w:val="392388"/>
                <w:lang w:val="en-GB"/>
              </w:rPr>
              <w:t>£0 or 0.0% decrease</w:t>
            </w:r>
          </w:p>
        </w:tc>
      </w:tr>
    </w:tbl>
    <w:p w14:paraId="5E5FC83C" w14:textId="77777777" w:rsidR="00C26C0C" w:rsidRDefault="00C26C0C">
      <w:pPr>
        <w:pStyle w:val="Defaqtosmallprint"/>
      </w:pPr>
    </w:p>
    <w:p w14:paraId="1B918E19" w14:textId="77777777" w:rsidR="00C26C0C" w:rsidRDefault="00DC28B1">
      <w:pPr>
        <w:pStyle w:val="Defaqtosmallprint"/>
      </w:pPr>
      <w:r>
        <w:rPr>
          <w:u w:color="000000"/>
        </w:rPr>
        <w:t>[1] Reduction in Yield is the impact of product, platform and fund charges on the investment growth rate. For example, if the fund grows due to investment growth by 4% in a year and the reduction in yield is 2.5% the fund growth experienced will be 1.5%.</w:t>
      </w:r>
      <w:r>
        <w:br/>
      </w:r>
      <w:r>
        <w:rPr>
          <w:u w:color="000000"/>
        </w:rPr>
        <w:t>[2] Critical Yield is the growth rate required from the new solution to match the projected maturity value of the existing pension.</w:t>
      </w:r>
      <w:r>
        <w:br/>
      </w:r>
      <w:r>
        <w:rPr>
          <w:u w:color="000000"/>
        </w:rPr>
        <w:t>[3] Effect of switching is the change in the maturity value of the new solution assuming the fund experiences the same investment growth.</w:t>
      </w:r>
      <w:r>
        <w:br/>
      </w:r>
    </w:p>
    <w:p w14:paraId="3A0528ED" w14:textId="77777777" w:rsidR="00C26C0C" w:rsidRDefault="00DC28B1">
      <w:pPr>
        <w:pStyle w:val="DefaqtoHeading3"/>
      </w:pPr>
      <w:bookmarkStart w:id="15" w:name="_Toc11"/>
      <w:r>
        <w:t>Immediate impact on the fund value following the switch</w:t>
      </w:r>
      <w:bookmarkEnd w:id="15"/>
    </w:p>
    <w:p w14:paraId="72FFEFC0" w14:textId="77777777" w:rsidR="00C26C0C" w:rsidRDefault="00DC28B1">
      <w:pPr>
        <w:pStyle w:val="DefaqtoBody"/>
      </w:pPr>
      <w:r>
        <w:rPr>
          <w:u w:color="000000"/>
        </w:rPr>
        <w:t>Any fees applied at the point of switching may reduce the capital value of the pension which will reduce any death benefit payable.</w:t>
      </w:r>
    </w:p>
    <w:p w14:paraId="5F9D88EB" w14:textId="77777777" w:rsidR="00C26C0C" w:rsidRDefault="00DC28B1">
      <w:pPr>
        <w:pStyle w:val="DefaqtoBody"/>
      </w:pPr>
      <w:r>
        <w:rPr>
          <w:u w:color="000000"/>
        </w:rPr>
        <w:t>At the point of switching the fund values are as follows:</w:t>
      </w:r>
    </w:p>
    <w:tbl>
      <w:tblPr>
        <w:tblStyle w:val="Custom1"/>
        <w:tblW w:w="5000" w:type="pct"/>
        <w:tblLook w:val="01E0" w:firstRow="1" w:lastRow="1" w:firstColumn="1" w:lastColumn="1" w:noHBand="0" w:noVBand="0"/>
      </w:tblPr>
      <w:tblGrid>
        <w:gridCol w:w="6983"/>
        <w:gridCol w:w="3634"/>
      </w:tblGrid>
      <w:tr w:rsidR="00C26C0C" w14:paraId="015736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9A7610" w14:textId="77777777" w:rsidR="00C26C0C" w:rsidRDefault="00DC28B1">
            <w:pPr>
              <w:pStyle w:val="DefaqtoTableBody2"/>
            </w:pPr>
            <w:r>
              <w:t>Existing pension:</w:t>
            </w:r>
          </w:p>
        </w:tc>
        <w:tc>
          <w:tcPr>
            <w:tcW w:w="0" w:type="auto"/>
          </w:tcPr>
          <w:p w14:paraId="75B023B8"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£79,092.32</w:t>
            </w:r>
          </w:p>
        </w:tc>
      </w:tr>
      <w:tr w:rsidR="00C26C0C" w14:paraId="48954F5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E0A138" w14:textId="77777777" w:rsidR="00C26C0C" w:rsidRDefault="00DC28B1">
            <w:pPr>
              <w:pStyle w:val="DefaqtoTableBody2"/>
            </w:pPr>
            <w:r>
              <w:t>New solution day one:</w:t>
            </w:r>
          </w:p>
        </w:tc>
        <w:tc>
          <w:tcPr>
            <w:tcW w:w="0" w:type="auto"/>
          </w:tcPr>
          <w:p w14:paraId="09958829"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£79,092.32</w:t>
            </w:r>
          </w:p>
        </w:tc>
      </w:tr>
    </w:tbl>
    <w:p w14:paraId="2310C463" w14:textId="77777777" w:rsidR="00C26C0C" w:rsidRDefault="00C26C0C">
      <w:pPr>
        <w:sectPr w:rsidR="00C26C0C">
          <w:headerReference w:type="default" r:id="rId25"/>
          <w:footerReference w:type="default" r:id="rId26"/>
          <w:pgSz w:w="11907" w:h="16839" w:code="9"/>
          <w:pgMar w:top="709" w:right="640" w:bottom="376" w:left="640" w:header="200" w:footer="200" w:gutter="0"/>
          <w:cols w:space="708"/>
          <w:docGrid w:linePitch="360"/>
        </w:sectPr>
      </w:pPr>
    </w:p>
    <w:p w14:paraId="554ABF9D" w14:textId="77777777" w:rsidR="00C26C0C" w:rsidRDefault="00DC28B1">
      <w:pPr>
        <w:pStyle w:val="DefaqtoHeading3"/>
      </w:pPr>
      <w:bookmarkStart w:id="16" w:name="_Toc12"/>
      <w:r>
        <w:lastRenderedPageBreak/>
        <w:t>New solution investment details</w:t>
      </w:r>
      <w:bookmarkEnd w:id="16"/>
    </w:p>
    <w:p w14:paraId="2FA5C5F9" w14:textId="77777777" w:rsidR="00C26C0C" w:rsidRDefault="00DC28B1">
      <w:pPr>
        <w:pStyle w:val="DefaqtoBody"/>
      </w:pPr>
      <w:r>
        <w:rPr>
          <w:u w:color="000000"/>
        </w:rPr>
        <w:t>The client's portfolio contains the following investments:</w:t>
      </w:r>
    </w:p>
    <w:tbl>
      <w:tblPr>
        <w:tblStyle w:val="DefaqtoTable"/>
        <w:tblW w:w="5000" w:type="pct"/>
        <w:tblLook w:val="01E0" w:firstRow="1" w:lastRow="1" w:firstColumn="1" w:lastColumn="1" w:noHBand="0" w:noVBand="0"/>
      </w:tblPr>
      <w:tblGrid>
        <w:gridCol w:w="2553"/>
        <w:gridCol w:w="1599"/>
        <w:gridCol w:w="1377"/>
        <w:gridCol w:w="1233"/>
        <w:gridCol w:w="1280"/>
        <w:gridCol w:w="1547"/>
        <w:gridCol w:w="1028"/>
      </w:tblGrid>
      <w:tr w:rsidR="00C26C0C" w14:paraId="259916A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A8B66E" w14:textId="77777777" w:rsidR="00C26C0C" w:rsidRDefault="00DC28B1">
            <w:pPr>
              <w:pStyle w:val="DefaqtoTableBody2"/>
            </w:pPr>
            <w:r>
              <w:t>Investment</w:t>
            </w:r>
          </w:p>
        </w:tc>
        <w:tc>
          <w:tcPr>
            <w:tcW w:w="0" w:type="auto"/>
          </w:tcPr>
          <w:p w14:paraId="346B4CB0" w14:textId="77777777" w:rsidR="00C26C0C" w:rsidRDefault="00DC28B1">
            <w:pPr>
              <w:pStyle w:val="DefaqtoTableBody2"/>
              <w:cnfStyle w:val="100000000000" w:firstRow="1" w:lastRow="0" w:firstColumn="0" w:lastColumn="0" w:oddVBand="0" w:evenVBand="0" w:oddHBand="0" w:evenHBand="0" w:firstRowFirstColumn="0" w:firstRowLastColumn="0" w:lastRowFirstColumn="0" w:lastRowLastColumn="0"/>
            </w:pPr>
            <w:r>
              <w:t>Provider</w:t>
            </w:r>
          </w:p>
        </w:tc>
        <w:tc>
          <w:tcPr>
            <w:tcW w:w="0" w:type="auto"/>
          </w:tcPr>
          <w:p w14:paraId="1369D4A8" w14:textId="77777777" w:rsidR="00C26C0C" w:rsidRDefault="00DC28B1">
            <w:pPr>
              <w:pStyle w:val="DefaqtoTableBody2"/>
              <w:cnfStyle w:val="100000000000" w:firstRow="1" w:lastRow="0" w:firstColumn="0" w:lastColumn="0" w:oddVBand="0" w:evenVBand="0" w:oddHBand="0" w:evenHBand="0" w:firstRowFirstColumn="0" w:firstRowLastColumn="0" w:lastRowFirstColumn="0" w:lastRowLastColumn="0"/>
            </w:pPr>
            <w:r>
              <w:t>ISIN</w:t>
            </w:r>
          </w:p>
        </w:tc>
        <w:tc>
          <w:tcPr>
            <w:tcW w:w="0" w:type="auto"/>
          </w:tcPr>
          <w:p w14:paraId="5E0FE6E7" w14:textId="77777777" w:rsidR="00C26C0C" w:rsidRDefault="00DC28B1">
            <w:pPr>
              <w:pStyle w:val="DefaqtoTableBody2"/>
              <w:cnfStyle w:val="100000000000" w:firstRow="1" w:lastRow="0" w:firstColumn="0" w:lastColumn="0" w:oddVBand="0" w:evenVBand="0" w:oddHBand="0" w:evenHBand="0" w:firstRowFirstColumn="0" w:firstRowLastColumn="0" w:lastRowFirstColumn="0" w:lastRowLastColumn="0"/>
            </w:pPr>
            <w:r>
              <w:t>Risk controlled</w:t>
            </w:r>
          </w:p>
        </w:tc>
        <w:tc>
          <w:tcPr>
            <w:tcW w:w="0" w:type="auto"/>
          </w:tcPr>
          <w:p w14:paraId="231A1CC3" w14:textId="77777777" w:rsidR="00C26C0C" w:rsidRDefault="00DC28B1">
            <w:pPr>
              <w:pStyle w:val="DefaqtoTableBody2"/>
              <w:cnfStyle w:val="100000000000" w:firstRow="1" w:lastRow="0" w:firstColumn="0" w:lastColumn="0" w:oddVBand="0" w:evenVBand="0" w:oddHBand="0" w:evenHBand="0" w:firstRowFirstColumn="0" w:firstRowLastColumn="0" w:lastRowFirstColumn="0" w:lastRowLastColumn="0"/>
            </w:pPr>
            <w:r>
              <w:t>Diamond rating</w:t>
            </w:r>
            <w:r>
              <w:rPr>
                <w:b w:val="0"/>
                <w:bCs w:val="0"/>
                <w:color w:val="000000"/>
                <w:vertAlign w:val="superscript"/>
              </w:rPr>
              <w:t>[1]</w:t>
            </w:r>
          </w:p>
        </w:tc>
        <w:tc>
          <w:tcPr>
            <w:tcW w:w="0" w:type="auto"/>
          </w:tcPr>
          <w:p w14:paraId="3BCE2D72" w14:textId="77777777" w:rsidR="00C26C0C" w:rsidRDefault="00DC28B1">
            <w:pPr>
              <w:pStyle w:val="DefaqtoTableBody2"/>
              <w:cnfStyle w:val="100000000000" w:firstRow="1" w:lastRow="0" w:firstColumn="0" w:lastColumn="0" w:oddVBand="0" w:evenVBand="0" w:oddHBand="0" w:evenHBand="0" w:firstRowFirstColumn="0" w:firstRowLastColumn="0" w:lastRowFirstColumn="0" w:lastRowLastColumn="0"/>
            </w:pPr>
            <w:r>
              <w:t>Family diamond rating</w:t>
            </w:r>
            <w:r>
              <w:rPr>
                <w:b w:val="0"/>
                <w:bCs w:val="0"/>
                <w:color w:val="000000"/>
                <w:vertAlign w:val="superscript"/>
              </w:rPr>
              <w:t>[1]</w:t>
            </w:r>
          </w:p>
        </w:tc>
        <w:tc>
          <w:tcPr>
            <w:tcW w:w="0" w:type="auto"/>
          </w:tcPr>
          <w:p w14:paraId="6FB248A0" w14:textId="77777777" w:rsidR="00C26C0C" w:rsidRDefault="00DC28B1">
            <w:pPr>
              <w:pStyle w:val="DefaqtoTableBody2"/>
              <w:jc w:val="right"/>
              <w:cnfStyle w:val="100000000000" w:firstRow="1" w:lastRow="0" w:firstColumn="0" w:lastColumn="0" w:oddVBand="0" w:evenVBand="0" w:oddHBand="0" w:evenHBand="0" w:firstRowFirstColumn="0" w:firstRowLastColumn="0" w:lastRowFirstColumn="0" w:lastRowLastColumn="0"/>
            </w:pPr>
            <w:r>
              <w:t xml:space="preserve"> % Invested</w:t>
            </w:r>
          </w:p>
        </w:tc>
      </w:tr>
      <w:tr w:rsidR="00C26C0C" w14:paraId="6D653CE5" w14:textId="77777777" w:rsidTr="00C26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06566F" w14:textId="77777777" w:rsidR="00C26C0C" w:rsidRDefault="00DC28B1">
            <w:pPr>
              <w:pStyle w:val="DefaqtoTableBody2"/>
            </w:pPr>
            <w:r>
              <w:t>Aviva Insured Funds Multi-asset Plus Fund II (GBP)</w:t>
            </w:r>
          </w:p>
        </w:tc>
        <w:tc>
          <w:tcPr>
            <w:tcW w:w="0" w:type="auto"/>
          </w:tcPr>
          <w:p w14:paraId="772EDDC0"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Aviva Life &amp; Pensions UK Ltd</w:t>
            </w:r>
          </w:p>
        </w:tc>
        <w:tc>
          <w:tcPr>
            <w:tcW w:w="0" w:type="auto"/>
          </w:tcPr>
          <w:p w14:paraId="5BFE11A6"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GB00B8BV3X17</w:t>
            </w:r>
          </w:p>
        </w:tc>
        <w:tc>
          <w:tcPr>
            <w:tcW w:w="0" w:type="auto"/>
          </w:tcPr>
          <w:p w14:paraId="3CF7F3BB" w14:textId="77777777" w:rsidR="00C26C0C" w:rsidRDefault="00DC28B1">
            <w:pPr>
              <w:spacing w:before="16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37FA5A5" wp14:editId="43028754">
                  <wp:extent cx="356617" cy="356617"/>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7" cstate="print"/>
                          <a:stretch>
                            <a:fillRect/>
                          </a:stretch>
                        </pic:blipFill>
                        <pic:spPr>
                          <a:xfrm>
                            <a:off x="0" y="0"/>
                            <a:ext cx="356617" cy="356617"/>
                          </a:xfrm>
                          <a:prstGeom prst="rect">
                            <a:avLst/>
                          </a:prstGeom>
                        </pic:spPr>
                      </pic:pic>
                    </a:graphicData>
                  </a:graphic>
                </wp:inline>
              </w:drawing>
            </w:r>
          </w:p>
        </w:tc>
        <w:tc>
          <w:tcPr>
            <w:tcW w:w="0" w:type="auto"/>
          </w:tcPr>
          <w:p w14:paraId="0F4E3264" w14:textId="77777777" w:rsidR="00C26C0C" w:rsidRDefault="00DC28B1">
            <w:pPr>
              <w:spacing w:before="16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30E79EE" wp14:editId="6D68862F">
                  <wp:extent cx="406400" cy="25400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cstate="print"/>
                          <a:stretch>
                            <a:fillRect/>
                          </a:stretch>
                        </pic:blipFill>
                        <pic:spPr>
                          <a:xfrm>
                            <a:off x="0" y="0"/>
                            <a:ext cx="406400" cy="254000"/>
                          </a:xfrm>
                          <a:prstGeom prst="rect">
                            <a:avLst/>
                          </a:prstGeom>
                        </pic:spPr>
                      </pic:pic>
                    </a:graphicData>
                  </a:graphic>
                </wp:inline>
              </w:drawing>
            </w:r>
          </w:p>
        </w:tc>
        <w:tc>
          <w:tcPr>
            <w:tcW w:w="0" w:type="auto"/>
          </w:tcPr>
          <w:p w14:paraId="45EFD78E" w14:textId="77777777" w:rsidR="00C26C0C" w:rsidRDefault="00DC28B1">
            <w:pPr>
              <w:spacing w:before="16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DF0BA66" wp14:editId="772BC8AC">
                  <wp:extent cx="406400" cy="25400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8" cstate="print"/>
                          <a:stretch>
                            <a:fillRect/>
                          </a:stretch>
                        </pic:blipFill>
                        <pic:spPr>
                          <a:xfrm>
                            <a:off x="0" y="0"/>
                            <a:ext cx="406400" cy="254000"/>
                          </a:xfrm>
                          <a:prstGeom prst="rect">
                            <a:avLst/>
                          </a:prstGeom>
                        </pic:spPr>
                      </pic:pic>
                    </a:graphicData>
                  </a:graphic>
                </wp:inline>
              </w:drawing>
            </w:r>
          </w:p>
        </w:tc>
        <w:tc>
          <w:tcPr>
            <w:tcW w:w="0" w:type="auto"/>
          </w:tcPr>
          <w:p w14:paraId="1D2D4964"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100.00</w:t>
            </w:r>
          </w:p>
        </w:tc>
      </w:tr>
    </w:tbl>
    <w:p w14:paraId="5FDE068A" w14:textId="77777777" w:rsidR="00C26C0C" w:rsidRDefault="00DC28B1">
      <w:pPr>
        <w:pStyle w:val="Defaqtosmallprint"/>
      </w:pPr>
      <w:r>
        <w:rPr>
          <w:b/>
          <w:bCs/>
          <w:u w:color="000000"/>
        </w:rPr>
        <w:t>[1] Defaqto Diamond Rating</w:t>
      </w:r>
    </w:p>
    <w:p w14:paraId="63ADC4F5" w14:textId="77777777" w:rsidR="00C26C0C" w:rsidRDefault="00DC28B1">
      <w:pPr>
        <w:pStyle w:val="Defaqtosmallprint"/>
      </w:pPr>
      <w:r>
        <w:rPr>
          <w:u w:color="000000"/>
        </w:rPr>
        <w:t>Diamond Ratings give managed funds an independent rating of 1 to 5 based on a detailed and well-structured scoring process allowing advisers and their clients to see where they sit in the market in terms of fund performance and competitiveness in other key areas such as cost, scale, access and manager longevity. 1 indicates the lowest rating across the characteristics and features while 5 is the highest.</w:t>
      </w:r>
    </w:p>
    <w:p w14:paraId="1C69C944" w14:textId="77777777" w:rsidR="00C26C0C" w:rsidRDefault="00DC28B1">
      <w:pPr>
        <w:pStyle w:val="Defaqtosmallprint"/>
      </w:pPr>
      <w:r>
        <w:rPr>
          <w:u w:color="000000"/>
        </w:rPr>
        <w:t>Fund Diamond Ratings cover Multi Manager Funds across the 4 relevant IA sectors(Mixed 0 - 35 %, Mixed 20 - 60 %, Mixed 40 - 85 % and Flexible), Directly invested funds across the 4 relevant IA sectors(Mixed 0 - 35 %, Mixed 20 - 60 %, Mixed 40 - 85 % and Flexible) and Index Trackers.</w:t>
      </w:r>
    </w:p>
    <w:p w14:paraId="215AFC83" w14:textId="77777777" w:rsidR="00C26C0C" w:rsidRDefault="00DC28B1">
      <w:pPr>
        <w:pStyle w:val="Defaqtosmallprint"/>
      </w:pPr>
      <w:r>
        <w:rPr>
          <w:u w:color="000000"/>
        </w:rPr>
        <w:t>Fund Family Diamond Ratings are split into Risk Targeted and Risk Focused ‘universes’, with the individual funds coming from the following IA sectors: Mixed 0 - 35 %, Mixed 20 - 60 %, Mixed 40 - 85 %, Flexible, Specialist and Unclassified.</w:t>
      </w:r>
    </w:p>
    <w:p w14:paraId="3A95FA04" w14:textId="77777777" w:rsidR="00C26C0C" w:rsidRDefault="00DC28B1">
      <w:pPr>
        <w:pStyle w:val="Defaqtosmallprint"/>
        <w:sectPr w:rsidR="00C26C0C">
          <w:headerReference w:type="default" r:id="rId29"/>
          <w:footerReference w:type="default" r:id="rId30"/>
          <w:pgSz w:w="11907" w:h="16839" w:code="9"/>
          <w:pgMar w:top="709" w:right="640" w:bottom="376" w:left="640" w:header="200" w:footer="200" w:gutter="0"/>
          <w:cols w:space="708"/>
          <w:docGrid w:linePitch="360"/>
        </w:sectPr>
      </w:pPr>
      <w:r>
        <w:rPr>
          <w:u w:color="000000"/>
        </w:rPr>
        <w:t>MPS Diamond Ratings are quantitative ratings to help identify the most consistent portfolios in terms of 1 year discrete risk adjusted returns, over the preceding 5 year period. Ratings of 1 to 5 correspond to a portfolio’s respective quintile within the portfolio’s Defaqto MPS Comparator peer group. For example, a rating of 5 represents the top 20% of portfolios that have experienced the most consistent risk adjusted returns, over the preceding 5 years discrete period, within the Defaqto MPS Comparator pee</w:t>
      </w:r>
      <w:r>
        <w:rPr>
          <w:u w:color="000000"/>
        </w:rPr>
        <w:t>r group.</w:t>
      </w:r>
    </w:p>
    <w:p w14:paraId="26A54FC9" w14:textId="77777777" w:rsidR="00C26C0C" w:rsidRDefault="00DC28B1">
      <w:pPr>
        <w:pStyle w:val="DefaqtoHeading1"/>
      </w:pPr>
      <w:bookmarkStart w:id="17" w:name="_Toc13"/>
      <w:r>
        <w:lastRenderedPageBreak/>
        <w:t>Selecting the new solution</w:t>
      </w:r>
      <w:bookmarkEnd w:id="17"/>
    </w:p>
    <w:p w14:paraId="2EF28DD0" w14:textId="77777777" w:rsidR="00C26C0C" w:rsidRDefault="00DC28B1">
      <w:pPr>
        <w:pStyle w:val="DefaqtoHeading3"/>
      </w:pPr>
      <w:bookmarkStart w:id="18" w:name="_Toc14"/>
      <w:r>
        <w:t>New solution charges comparison</w:t>
      </w:r>
      <w:bookmarkEnd w:id="18"/>
    </w:p>
    <w:p w14:paraId="2A373C74" w14:textId="77777777" w:rsidR="00C26C0C" w:rsidRDefault="00DC28B1">
      <w:pPr>
        <w:pStyle w:val="DefaqtoBody"/>
      </w:pPr>
      <w:r>
        <w:rPr>
          <w:u w:color="000000"/>
        </w:rPr>
        <w:t>From those solutions which were assessed as being suitable for your needs, a selection was made which included a comparison of all costs including Product, Platform and Fund charges.</w:t>
      </w:r>
    </w:p>
    <w:p w14:paraId="24170A74" w14:textId="77777777" w:rsidR="00C26C0C" w:rsidRDefault="00DC28B1">
      <w:pPr>
        <w:pStyle w:val="DefaqtoBody"/>
      </w:pPr>
      <w:r>
        <w:rPr>
          <w:u w:color="000000"/>
        </w:rPr>
        <w:t>The available solutions were ranked by Maturity Value along with a generic stakeholder pension and the existing pension. The top 10 results are shown below and are based on the medium growth rate projection to a retirement age of 60 which is a term of 4 years.</w:t>
      </w:r>
    </w:p>
    <w:tbl>
      <w:tblPr>
        <w:tblStyle w:val="DefaqtoTable"/>
        <w:tblW w:w="5000" w:type="pct"/>
        <w:tblLook w:val="01E0" w:firstRow="1" w:lastRow="1" w:firstColumn="1" w:lastColumn="1" w:noHBand="0" w:noVBand="0"/>
      </w:tblPr>
      <w:tblGrid>
        <w:gridCol w:w="437"/>
        <w:gridCol w:w="7519"/>
        <w:gridCol w:w="834"/>
        <w:gridCol w:w="1217"/>
        <w:gridCol w:w="305"/>
        <w:gridCol w:w="305"/>
      </w:tblGrid>
      <w:tr w:rsidR="00C26C0C" w14:paraId="48CF9475" w14:textId="77777777" w:rsidTr="00C26C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B0A7CF"/>
            </w:tcBorders>
            <w:shd w:val="clear" w:color="auto" w:fill="FFF1E6"/>
          </w:tcPr>
          <w:p w14:paraId="22F8D597" w14:textId="77777777" w:rsidR="00C26C0C" w:rsidRDefault="00DC28B1">
            <w:pPr>
              <w:pStyle w:val="DefaqtoTableBody2"/>
            </w:pPr>
            <w:r>
              <w:t>1</w:t>
            </w:r>
          </w:p>
        </w:tc>
        <w:tc>
          <w:tcPr>
            <w:tcW w:w="0" w:type="auto"/>
            <w:tcBorders>
              <w:bottom w:val="single" w:sz="4" w:space="0" w:color="B0A7CF"/>
            </w:tcBorders>
            <w:shd w:val="clear" w:color="auto" w:fill="FFF1E6"/>
          </w:tcPr>
          <w:p w14:paraId="3F26C657" w14:textId="77777777" w:rsidR="00C26C0C" w:rsidRDefault="00DC28B1">
            <w:pPr>
              <w:pStyle w:val="DefaqtoTableBody2"/>
              <w:cnfStyle w:val="100000000000" w:firstRow="1" w:lastRow="0" w:firstColumn="0" w:lastColumn="0" w:oddVBand="0" w:evenVBand="0" w:oddHBand="0" w:evenHBand="0" w:firstRowFirstColumn="0" w:firstRowLastColumn="0" w:lastRowFirstColumn="0" w:lastRowLastColumn="0"/>
            </w:pPr>
            <w:r>
              <w:t>Existing Solution</w:t>
            </w:r>
          </w:p>
        </w:tc>
        <w:tc>
          <w:tcPr>
            <w:tcW w:w="0" w:type="auto"/>
            <w:tcBorders>
              <w:bottom w:val="single" w:sz="4" w:space="0" w:color="B0A7CF"/>
            </w:tcBorders>
            <w:shd w:val="clear" w:color="auto" w:fill="FFF1E6"/>
          </w:tcPr>
          <w:p w14:paraId="4D93D231" w14:textId="77777777" w:rsidR="00C26C0C" w:rsidRDefault="00DC28B1">
            <w:pPr>
              <w:pStyle w:val="DefaqtoTableBody2"/>
              <w:jc w:val="right"/>
              <w:cnfStyle w:val="100000000000" w:firstRow="1" w:lastRow="0" w:firstColumn="0" w:lastColumn="0" w:oddVBand="0" w:evenVBand="0" w:oddHBand="0" w:evenHBand="0" w:firstRowFirstColumn="0" w:firstRowLastColumn="0" w:lastRowFirstColumn="0" w:lastRowLastColumn="0"/>
            </w:pPr>
            <w:r>
              <w:t>0.6%</w:t>
            </w:r>
          </w:p>
        </w:tc>
        <w:tc>
          <w:tcPr>
            <w:tcW w:w="0" w:type="auto"/>
            <w:tcBorders>
              <w:bottom w:val="single" w:sz="4" w:space="0" w:color="B0A7CF"/>
            </w:tcBorders>
            <w:shd w:val="clear" w:color="auto" w:fill="FFF1E6"/>
          </w:tcPr>
          <w:p w14:paraId="3AF392CB" w14:textId="77777777" w:rsidR="00C26C0C" w:rsidRDefault="00DC28B1">
            <w:pPr>
              <w:pStyle w:val="DefaqtoTableBody2"/>
              <w:jc w:val="right"/>
              <w:cnfStyle w:val="100000000000" w:firstRow="1" w:lastRow="0" w:firstColumn="0" w:lastColumn="0" w:oddVBand="0" w:evenVBand="0" w:oddHBand="0" w:evenHBand="0" w:firstRowFirstColumn="0" w:firstRowLastColumn="0" w:lastRowFirstColumn="0" w:lastRowLastColumn="0"/>
            </w:pPr>
            <w:r>
              <w:t>£86,800</w:t>
            </w:r>
          </w:p>
        </w:tc>
        <w:tc>
          <w:tcPr>
            <w:tcW w:w="0" w:type="auto"/>
            <w:tcBorders>
              <w:bottom w:val="single" w:sz="4" w:space="0" w:color="B0A7CF"/>
            </w:tcBorders>
            <w:shd w:val="clear" w:color="auto" w:fill="FFF1E6"/>
          </w:tcPr>
          <w:p w14:paraId="2D534C4A" w14:textId="77777777" w:rsidR="00C26C0C" w:rsidRDefault="00C26C0C">
            <w:pPr>
              <w:pStyle w:val="DefaqtoTableBody2"/>
              <w:cnfStyle w:val="100000000000" w:firstRow="1" w:lastRow="0" w:firstColumn="0" w:lastColumn="0" w:oddVBand="0" w:evenVBand="0" w:oddHBand="0" w:evenHBand="0" w:firstRowFirstColumn="0" w:firstRowLastColumn="0" w:lastRowFirstColumn="0" w:lastRowLastColumn="0"/>
            </w:pPr>
          </w:p>
        </w:tc>
        <w:tc>
          <w:tcPr>
            <w:tcW w:w="0" w:type="auto"/>
            <w:tcBorders>
              <w:bottom w:val="single" w:sz="4" w:space="0" w:color="B0A7CF"/>
            </w:tcBorders>
            <w:shd w:val="clear" w:color="auto" w:fill="FFF1E6"/>
          </w:tcPr>
          <w:p w14:paraId="6FA284DA" w14:textId="77777777" w:rsidR="00C26C0C" w:rsidRDefault="00C26C0C">
            <w:pPr>
              <w:pStyle w:val="DefaqtoTableBody2"/>
              <w:cnfStyle w:val="100000000000" w:firstRow="1" w:lastRow="0" w:firstColumn="0" w:lastColumn="0" w:oddVBand="0" w:evenVBand="0" w:oddHBand="0" w:evenHBand="0" w:firstRowFirstColumn="0" w:firstRowLastColumn="0" w:lastRowFirstColumn="0" w:lastRowLastColumn="0"/>
            </w:pPr>
          </w:p>
        </w:tc>
      </w:tr>
      <w:tr w:rsidR="00C26C0C" w14:paraId="1A4CDC28" w14:textId="77777777" w:rsidTr="00C26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1E6"/>
          </w:tcPr>
          <w:p w14:paraId="5E7F30AE" w14:textId="77777777" w:rsidR="00C26C0C" w:rsidRDefault="00DC28B1">
            <w:pPr>
              <w:pStyle w:val="DefaqtoTableBody2"/>
            </w:pPr>
            <w:r>
              <w:t>2</w:t>
            </w:r>
          </w:p>
        </w:tc>
        <w:tc>
          <w:tcPr>
            <w:tcW w:w="0" w:type="auto"/>
            <w:shd w:val="clear" w:color="auto" w:fill="FFF1E6"/>
          </w:tcPr>
          <w:p w14:paraId="507B7DCB"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New Solution</w:t>
            </w:r>
          </w:p>
        </w:tc>
        <w:tc>
          <w:tcPr>
            <w:tcW w:w="0" w:type="auto"/>
            <w:shd w:val="clear" w:color="auto" w:fill="FFF1E6"/>
          </w:tcPr>
          <w:p w14:paraId="2C95B4E1"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0.7%</w:t>
            </w:r>
          </w:p>
        </w:tc>
        <w:tc>
          <w:tcPr>
            <w:tcW w:w="0" w:type="auto"/>
            <w:shd w:val="clear" w:color="auto" w:fill="FFF1E6"/>
          </w:tcPr>
          <w:p w14:paraId="0648F74E"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£86,700</w:t>
            </w:r>
          </w:p>
        </w:tc>
        <w:tc>
          <w:tcPr>
            <w:tcW w:w="0" w:type="auto"/>
            <w:shd w:val="clear" w:color="auto" w:fill="FFF1E6"/>
          </w:tcPr>
          <w:p w14:paraId="38441D77" w14:textId="77777777" w:rsidR="00C26C0C" w:rsidRDefault="00C26C0C">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shd w:val="clear" w:color="auto" w:fill="FFF1E6"/>
          </w:tcPr>
          <w:p w14:paraId="282B2590" w14:textId="77777777" w:rsidR="00C26C0C" w:rsidRDefault="00C26C0C">
            <w:pPr>
              <w:pStyle w:val="DefaqtoTableBody2"/>
              <w:cnfStyle w:val="000000100000" w:firstRow="0" w:lastRow="0" w:firstColumn="0" w:lastColumn="0" w:oddVBand="0" w:evenVBand="0" w:oddHBand="1" w:evenHBand="0" w:firstRowFirstColumn="0" w:firstRowLastColumn="0" w:lastRowFirstColumn="0" w:lastRowLastColumn="0"/>
            </w:pPr>
          </w:p>
        </w:tc>
      </w:tr>
      <w:tr w:rsidR="00C26C0C" w14:paraId="53287FC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A6B204" w14:textId="77777777" w:rsidR="00C26C0C" w:rsidRDefault="00DC28B1">
            <w:pPr>
              <w:pStyle w:val="DefaqtoTableBody2"/>
            </w:pPr>
            <w:r>
              <w:t>3</w:t>
            </w:r>
          </w:p>
        </w:tc>
        <w:tc>
          <w:tcPr>
            <w:tcW w:w="0" w:type="auto"/>
          </w:tcPr>
          <w:p w14:paraId="430801DE"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Product: Aviva Life &amp; Pensions UK Limited - Pension Portfolio - Core</w:t>
            </w:r>
            <w:r>
              <w:br/>
              <w:t>Platform: Aviva Platform</w:t>
            </w:r>
          </w:p>
        </w:tc>
        <w:tc>
          <w:tcPr>
            <w:tcW w:w="0" w:type="auto"/>
          </w:tcPr>
          <w:p w14:paraId="253C8741"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0.7%</w:t>
            </w:r>
          </w:p>
        </w:tc>
        <w:tc>
          <w:tcPr>
            <w:tcW w:w="0" w:type="auto"/>
          </w:tcPr>
          <w:p w14:paraId="1E1D87C8"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£86,700</w:t>
            </w:r>
          </w:p>
        </w:tc>
        <w:tc>
          <w:tcPr>
            <w:tcW w:w="0" w:type="auto"/>
          </w:tcPr>
          <w:p w14:paraId="6DEEBBDA" w14:textId="77777777" w:rsidR="00C26C0C" w:rsidRDefault="00C26C0C">
            <w:pPr>
              <w:pStyle w:val="DefaqtoTableBody2"/>
              <w:cnfStyle w:val="000000010000" w:firstRow="0" w:lastRow="0" w:firstColumn="0" w:lastColumn="0" w:oddVBand="0" w:evenVBand="0" w:oddHBand="0" w:evenHBand="1" w:firstRowFirstColumn="0" w:firstRowLastColumn="0" w:lastRowFirstColumn="0" w:lastRowLastColumn="0"/>
            </w:pPr>
          </w:p>
        </w:tc>
        <w:tc>
          <w:tcPr>
            <w:tcW w:w="0" w:type="auto"/>
          </w:tcPr>
          <w:p w14:paraId="7AA97CDF" w14:textId="77777777" w:rsidR="00C26C0C" w:rsidRDefault="00C26C0C">
            <w:pPr>
              <w:pStyle w:val="DefaqtoTableBody2"/>
              <w:cnfStyle w:val="000000010000" w:firstRow="0" w:lastRow="0" w:firstColumn="0" w:lastColumn="0" w:oddVBand="0" w:evenVBand="0" w:oddHBand="0" w:evenHBand="1" w:firstRowFirstColumn="0" w:firstRowLastColumn="0" w:lastRowFirstColumn="0" w:lastRowLastColumn="0"/>
            </w:pPr>
          </w:p>
        </w:tc>
      </w:tr>
      <w:tr w:rsidR="00C26C0C" w14:paraId="7B9E8F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B9FBFC" w14:textId="77777777" w:rsidR="00C26C0C" w:rsidRDefault="00DC28B1">
            <w:pPr>
              <w:pStyle w:val="DefaqtoTableBody2"/>
            </w:pPr>
            <w:r>
              <w:t>4</w:t>
            </w:r>
          </w:p>
        </w:tc>
        <w:tc>
          <w:tcPr>
            <w:tcW w:w="0" w:type="auto"/>
          </w:tcPr>
          <w:p w14:paraId="2104C977"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Product: Standard Life - Active Money SIPP - Level 2</w:t>
            </w:r>
            <w:r>
              <w:br/>
              <w:t>Platform: None</w:t>
            </w:r>
          </w:p>
        </w:tc>
        <w:tc>
          <w:tcPr>
            <w:tcW w:w="0" w:type="auto"/>
          </w:tcPr>
          <w:p w14:paraId="4FB1A8AE"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0.7%</w:t>
            </w:r>
          </w:p>
        </w:tc>
        <w:tc>
          <w:tcPr>
            <w:tcW w:w="0" w:type="auto"/>
          </w:tcPr>
          <w:p w14:paraId="6DA0FBDE"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£86,400</w:t>
            </w:r>
          </w:p>
        </w:tc>
        <w:tc>
          <w:tcPr>
            <w:tcW w:w="0" w:type="auto"/>
          </w:tcPr>
          <w:p w14:paraId="53EB59A0" w14:textId="77777777" w:rsidR="00C26C0C" w:rsidRDefault="00C26C0C">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tcPr>
          <w:p w14:paraId="06DA3136" w14:textId="77777777" w:rsidR="00C26C0C" w:rsidRDefault="00C26C0C">
            <w:pPr>
              <w:pStyle w:val="DefaqtoTableBody2"/>
              <w:cnfStyle w:val="000000100000" w:firstRow="0" w:lastRow="0" w:firstColumn="0" w:lastColumn="0" w:oddVBand="0" w:evenVBand="0" w:oddHBand="1" w:evenHBand="0" w:firstRowFirstColumn="0" w:firstRowLastColumn="0" w:lastRowFirstColumn="0" w:lastRowLastColumn="0"/>
            </w:pPr>
          </w:p>
        </w:tc>
      </w:tr>
      <w:tr w:rsidR="00C26C0C" w14:paraId="36FEF06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E791C9" w14:textId="77777777" w:rsidR="00C26C0C" w:rsidRDefault="00DC28B1">
            <w:pPr>
              <w:pStyle w:val="DefaqtoTableBody2"/>
            </w:pPr>
            <w:r>
              <w:t>5</w:t>
            </w:r>
          </w:p>
        </w:tc>
        <w:tc>
          <w:tcPr>
            <w:tcW w:w="0" w:type="auto"/>
          </w:tcPr>
          <w:p w14:paraId="2AD076CE"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Product: Aberdeen - Elevate Pension Investment Account (PIA)</w:t>
            </w:r>
            <w:r>
              <w:br/>
              <w:t>Platform: Elevate</w:t>
            </w:r>
          </w:p>
        </w:tc>
        <w:tc>
          <w:tcPr>
            <w:tcW w:w="0" w:type="auto"/>
          </w:tcPr>
          <w:p w14:paraId="1A6A8BD0"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0.9%</w:t>
            </w:r>
          </w:p>
        </w:tc>
        <w:tc>
          <w:tcPr>
            <w:tcW w:w="0" w:type="auto"/>
          </w:tcPr>
          <w:p w14:paraId="04826F47"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£85,700</w:t>
            </w:r>
          </w:p>
        </w:tc>
        <w:tc>
          <w:tcPr>
            <w:tcW w:w="0" w:type="auto"/>
          </w:tcPr>
          <w:p w14:paraId="1AF39990" w14:textId="77777777" w:rsidR="00C26C0C" w:rsidRDefault="00C26C0C">
            <w:pPr>
              <w:pStyle w:val="DefaqtoTableBody2"/>
              <w:cnfStyle w:val="000000010000" w:firstRow="0" w:lastRow="0" w:firstColumn="0" w:lastColumn="0" w:oddVBand="0" w:evenVBand="0" w:oddHBand="0" w:evenHBand="1" w:firstRowFirstColumn="0" w:firstRowLastColumn="0" w:lastRowFirstColumn="0" w:lastRowLastColumn="0"/>
            </w:pPr>
          </w:p>
        </w:tc>
        <w:tc>
          <w:tcPr>
            <w:tcW w:w="0" w:type="auto"/>
          </w:tcPr>
          <w:p w14:paraId="0E56E795" w14:textId="77777777" w:rsidR="00C26C0C" w:rsidRDefault="00C26C0C">
            <w:pPr>
              <w:pStyle w:val="DefaqtoTableBody2"/>
              <w:cnfStyle w:val="000000010000" w:firstRow="0" w:lastRow="0" w:firstColumn="0" w:lastColumn="0" w:oddVBand="0" w:evenVBand="0" w:oddHBand="0" w:evenHBand="1" w:firstRowFirstColumn="0" w:firstRowLastColumn="0" w:lastRowFirstColumn="0" w:lastRowLastColumn="0"/>
            </w:pPr>
          </w:p>
        </w:tc>
      </w:tr>
      <w:tr w:rsidR="00C26C0C" w14:paraId="05FE3D24" w14:textId="77777777" w:rsidTr="00C26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1E6"/>
          </w:tcPr>
          <w:p w14:paraId="6D5A99BA" w14:textId="77777777" w:rsidR="00C26C0C" w:rsidRDefault="00DC28B1">
            <w:pPr>
              <w:pStyle w:val="DefaqtoTableBody2"/>
            </w:pPr>
            <w:r>
              <w:t>6</w:t>
            </w:r>
          </w:p>
        </w:tc>
        <w:tc>
          <w:tcPr>
            <w:tcW w:w="0" w:type="auto"/>
            <w:shd w:val="clear" w:color="auto" w:fill="FFF1E6"/>
          </w:tcPr>
          <w:p w14:paraId="47C878BE"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Generic Stakeholder Pension</w:t>
            </w:r>
          </w:p>
        </w:tc>
        <w:tc>
          <w:tcPr>
            <w:tcW w:w="0" w:type="auto"/>
            <w:shd w:val="clear" w:color="auto" w:fill="FFF1E6"/>
          </w:tcPr>
          <w:p w14:paraId="70CCFABF"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1.6%</w:t>
            </w:r>
          </w:p>
        </w:tc>
        <w:tc>
          <w:tcPr>
            <w:tcW w:w="0" w:type="auto"/>
            <w:shd w:val="clear" w:color="auto" w:fill="FFF1E6"/>
          </w:tcPr>
          <w:p w14:paraId="02BC568B"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£83,700</w:t>
            </w:r>
          </w:p>
        </w:tc>
        <w:tc>
          <w:tcPr>
            <w:tcW w:w="0" w:type="auto"/>
            <w:shd w:val="clear" w:color="auto" w:fill="FFF1E6"/>
          </w:tcPr>
          <w:p w14:paraId="0E50CE5E" w14:textId="77777777" w:rsidR="00C26C0C" w:rsidRDefault="00C26C0C">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shd w:val="clear" w:color="auto" w:fill="FFF1E6"/>
          </w:tcPr>
          <w:p w14:paraId="4D09A4A5" w14:textId="77777777" w:rsidR="00C26C0C" w:rsidRDefault="00C26C0C">
            <w:pPr>
              <w:pStyle w:val="DefaqtoTableBody2"/>
              <w:cnfStyle w:val="000000100000" w:firstRow="0" w:lastRow="0" w:firstColumn="0" w:lastColumn="0" w:oddVBand="0" w:evenVBand="0" w:oddHBand="1" w:evenHBand="0" w:firstRowFirstColumn="0" w:firstRowLastColumn="0" w:lastRowFirstColumn="0" w:lastRowLastColumn="0"/>
            </w:pPr>
          </w:p>
        </w:tc>
      </w:tr>
      <w:tr w:rsidR="00C26C0C" w14:paraId="4283AC0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7C3079" w14:textId="77777777" w:rsidR="00C26C0C" w:rsidRDefault="00DC28B1">
            <w:pPr>
              <w:pStyle w:val="DefaqtoTableBody2"/>
            </w:pPr>
            <w:r>
              <w:t>7</w:t>
            </w:r>
          </w:p>
        </w:tc>
        <w:tc>
          <w:tcPr>
            <w:tcW w:w="0" w:type="auto"/>
          </w:tcPr>
          <w:p w14:paraId="085C53BF"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Product: Standard Life - Active Money SIPP - Level 3</w:t>
            </w:r>
            <w:r>
              <w:br/>
              <w:t>Platform: None</w:t>
            </w:r>
          </w:p>
        </w:tc>
        <w:tc>
          <w:tcPr>
            <w:tcW w:w="0" w:type="auto"/>
          </w:tcPr>
          <w:p w14:paraId="59058C4B"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1.6%</w:t>
            </w:r>
          </w:p>
        </w:tc>
        <w:tc>
          <w:tcPr>
            <w:tcW w:w="0" w:type="auto"/>
          </w:tcPr>
          <w:p w14:paraId="44E40525"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£83,400</w:t>
            </w:r>
          </w:p>
        </w:tc>
        <w:tc>
          <w:tcPr>
            <w:tcW w:w="0" w:type="auto"/>
          </w:tcPr>
          <w:p w14:paraId="7AA6257E" w14:textId="77777777" w:rsidR="00C26C0C" w:rsidRDefault="00C26C0C">
            <w:pPr>
              <w:pStyle w:val="DefaqtoTableBody2"/>
              <w:cnfStyle w:val="000000010000" w:firstRow="0" w:lastRow="0" w:firstColumn="0" w:lastColumn="0" w:oddVBand="0" w:evenVBand="0" w:oddHBand="0" w:evenHBand="1" w:firstRowFirstColumn="0" w:firstRowLastColumn="0" w:lastRowFirstColumn="0" w:lastRowLastColumn="0"/>
            </w:pPr>
          </w:p>
        </w:tc>
        <w:tc>
          <w:tcPr>
            <w:tcW w:w="0" w:type="auto"/>
          </w:tcPr>
          <w:p w14:paraId="52F956CC" w14:textId="77777777" w:rsidR="00C26C0C" w:rsidRDefault="00C26C0C">
            <w:pPr>
              <w:pStyle w:val="DefaqtoTableBody2"/>
              <w:cnfStyle w:val="000000010000" w:firstRow="0" w:lastRow="0" w:firstColumn="0" w:lastColumn="0" w:oddVBand="0" w:evenVBand="0" w:oddHBand="0" w:evenHBand="1" w:firstRowFirstColumn="0" w:firstRowLastColumn="0" w:lastRowFirstColumn="0" w:lastRowLastColumn="0"/>
            </w:pPr>
          </w:p>
        </w:tc>
      </w:tr>
      <w:tr w:rsidR="00C26C0C" w14:paraId="0A6605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6C1D54" w14:textId="77777777" w:rsidR="00C26C0C" w:rsidRDefault="00DC28B1">
            <w:pPr>
              <w:pStyle w:val="DefaqtoTableBody2"/>
            </w:pPr>
            <w:r>
              <w:t>8</w:t>
            </w:r>
          </w:p>
        </w:tc>
        <w:tc>
          <w:tcPr>
            <w:tcW w:w="0" w:type="auto"/>
          </w:tcPr>
          <w:p w14:paraId="5EADF89B"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Product: Royal London - Pension Portfolio - Self Investments</w:t>
            </w:r>
            <w:r>
              <w:br/>
              <w:t>Platform: None</w:t>
            </w:r>
          </w:p>
        </w:tc>
        <w:tc>
          <w:tcPr>
            <w:tcW w:w="0" w:type="auto"/>
          </w:tcPr>
          <w:p w14:paraId="53272B06"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2.0%</w:t>
            </w:r>
          </w:p>
        </w:tc>
        <w:tc>
          <w:tcPr>
            <w:tcW w:w="0" w:type="auto"/>
          </w:tcPr>
          <w:p w14:paraId="20AA616B"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£82,300</w:t>
            </w:r>
          </w:p>
        </w:tc>
        <w:tc>
          <w:tcPr>
            <w:tcW w:w="0" w:type="auto"/>
          </w:tcPr>
          <w:p w14:paraId="4368105A" w14:textId="77777777" w:rsidR="00C26C0C" w:rsidRDefault="00C26C0C">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tcPr>
          <w:p w14:paraId="0A48154E" w14:textId="77777777" w:rsidR="00C26C0C" w:rsidRDefault="00C26C0C">
            <w:pPr>
              <w:pStyle w:val="DefaqtoTableBody2"/>
              <w:cnfStyle w:val="000000100000" w:firstRow="0" w:lastRow="0" w:firstColumn="0" w:lastColumn="0" w:oddVBand="0" w:evenVBand="0" w:oddHBand="1" w:evenHBand="0" w:firstRowFirstColumn="0" w:firstRowLastColumn="0" w:lastRowFirstColumn="0" w:lastRowLastColumn="0"/>
            </w:pPr>
          </w:p>
        </w:tc>
      </w:tr>
    </w:tbl>
    <w:p w14:paraId="06E1D097" w14:textId="77777777" w:rsidR="00C26C0C" w:rsidRDefault="00C26C0C">
      <w:pPr>
        <w:sectPr w:rsidR="00C26C0C">
          <w:headerReference w:type="default" r:id="rId31"/>
          <w:footerReference w:type="default" r:id="rId32"/>
          <w:pgSz w:w="11907" w:h="16839" w:code="9"/>
          <w:pgMar w:top="709" w:right="640" w:bottom="376" w:left="640" w:header="200" w:footer="200" w:gutter="0"/>
          <w:cols w:space="708"/>
          <w:docGrid w:linePitch="360"/>
        </w:sectPr>
      </w:pPr>
    </w:p>
    <w:p w14:paraId="200BF5A4" w14:textId="77777777" w:rsidR="00C26C0C" w:rsidRDefault="00DC28B1">
      <w:pPr>
        <w:pStyle w:val="DefaqtoHeading3"/>
      </w:pPr>
      <w:bookmarkStart w:id="19" w:name="_Toc15"/>
      <w:r>
        <w:lastRenderedPageBreak/>
        <w:t>Stakeholder pension</w:t>
      </w:r>
      <w:bookmarkEnd w:id="19"/>
    </w:p>
    <w:p w14:paraId="05DB64AE" w14:textId="77777777" w:rsidR="00C26C0C" w:rsidRDefault="00DC28B1">
      <w:pPr>
        <w:pStyle w:val="DefaqtoBody"/>
      </w:pPr>
      <w:r>
        <w:rPr>
          <w:u w:color="000000"/>
        </w:rPr>
        <w:t>As part of the comparison a generic Stakeholder pension was considered against the other pension products in the market when selecting a new solution. They have a simple, capped charging structure. The following compares the generic stakeholder pension and the selected new solution.</w:t>
      </w:r>
    </w:p>
    <w:tbl>
      <w:tblPr>
        <w:tblStyle w:val="DefaqtoTable"/>
        <w:tblW w:w="5000" w:type="pct"/>
        <w:tblLook w:val="01E0" w:firstRow="1" w:lastRow="1" w:firstColumn="1" w:lastColumn="1" w:noHBand="0" w:noVBand="0"/>
      </w:tblPr>
      <w:tblGrid>
        <w:gridCol w:w="4200"/>
        <w:gridCol w:w="1700"/>
        <w:gridCol w:w="2448"/>
        <w:gridCol w:w="2264"/>
      </w:tblGrid>
      <w:tr w:rsidR="00C26C0C" w14:paraId="6263C839" w14:textId="77777777" w:rsidTr="00C26C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inset" w:sz="8" w:space="0" w:color="FFFFFF"/>
              <w:left w:val="inset" w:sz="8" w:space="0" w:color="FFFFFF"/>
              <w:right w:val="inset" w:sz="18" w:space="0" w:color="614FA0"/>
            </w:tcBorders>
          </w:tcPr>
          <w:p w14:paraId="4CB2215B" w14:textId="77777777" w:rsidR="00C26C0C" w:rsidRDefault="00C26C0C">
            <w:pPr>
              <w:pStyle w:val="DefaqtoTableBody2"/>
            </w:pPr>
          </w:p>
        </w:tc>
        <w:tc>
          <w:tcPr>
            <w:tcW w:w="0" w:type="auto"/>
          </w:tcPr>
          <w:p w14:paraId="68B67819" w14:textId="77777777" w:rsidR="00C26C0C" w:rsidRDefault="00DC28B1">
            <w:pPr>
              <w:pStyle w:val="DefaqtoTableBody2"/>
              <w:jc w:val="right"/>
              <w:cnfStyle w:val="100000000000" w:firstRow="1" w:lastRow="0" w:firstColumn="0" w:lastColumn="0" w:oddVBand="0" w:evenVBand="0" w:oddHBand="0" w:evenHBand="0" w:firstRowFirstColumn="0" w:firstRowLastColumn="0" w:lastRowFirstColumn="0" w:lastRowLastColumn="0"/>
            </w:pPr>
            <w:r>
              <w:t>Existing Solution</w:t>
            </w:r>
          </w:p>
        </w:tc>
        <w:tc>
          <w:tcPr>
            <w:tcW w:w="0" w:type="auto"/>
          </w:tcPr>
          <w:p w14:paraId="3B2A4155" w14:textId="77777777" w:rsidR="00C26C0C" w:rsidRDefault="00DC28B1">
            <w:pPr>
              <w:pStyle w:val="DefaqtoTableBody2"/>
              <w:jc w:val="right"/>
              <w:cnfStyle w:val="100000000000" w:firstRow="1" w:lastRow="0" w:firstColumn="0" w:lastColumn="0" w:oddVBand="0" w:evenVBand="0" w:oddHBand="0" w:evenHBand="0" w:firstRowFirstColumn="0" w:firstRowLastColumn="0" w:lastRowFirstColumn="0" w:lastRowLastColumn="0"/>
            </w:pPr>
            <w:r>
              <w:t>Generic Stakeholder</w:t>
            </w:r>
          </w:p>
        </w:tc>
        <w:tc>
          <w:tcPr>
            <w:tcW w:w="0" w:type="auto"/>
          </w:tcPr>
          <w:p w14:paraId="5F192315" w14:textId="77777777" w:rsidR="00C26C0C" w:rsidRDefault="00DC28B1">
            <w:pPr>
              <w:pStyle w:val="DefaqtoTableBody2"/>
              <w:jc w:val="right"/>
              <w:cnfStyle w:val="100000000000" w:firstRow="1" w:lastRow="0" w:firstColumn="0" w:lastColumn="0" w:oddVBand="0" w:evenVBand="0" w:oddHBand="0" w:evenHBand="0" w:firstRowFirstColumn="0" w:firstRowLastColumn="0" w:lastRowFirstColumn="0" w:lastRowLastColumn="0"/>
            </w:pPr>
            <w:r>
              <w:t>New solution</w:t>
            </w:r>
          </w:p>
        </w:tc>
      </w:tr>
      <w:tr w:rsidR="00C26C0C" w14:paraId="31E7F2ED" w14:textId="77777777" w:rsidTr="00C26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29052C9E" w14:textId="77777777" w:rsidR="00C26C0C" w:rsidRDefault="00DC28B1">
            <w:pPr>
              <w:pStyle w:val="DefaqtoTableBody2"/>
            </w:pPr>
            <w:r>
              <w:rPr>
                <w:b/>
                <w:bCs/>
              </w:rPr>
              <w:t>Projected value at age 60 (Mid growth)</w:t>
            </w:r>
          </w:p>
        </w:tc>
        <w:tc>
          <w:tcPr>
            <w:tcW w:w="0" w:type="auto"/>
          </w:tcPr>
          <w:p w14:paraId="468D712E"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£86,800</w:t>
            </w:r>
          </w:p>
        </w:tc>
        <w:tc>
          <w:tcPr>
            <w:tcW w:w="0" w:type="auto"/>
          </w:tcPr>
          <w:p w14:paraId="3B3BCC00"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£83,700</w:t>
            </w:r>
          </w:p>
        </w:tc>
        <w:tc>
          <w:tcPr>
            <w:tcW w:w="0" w:type="auto"/>
          </w:tcPr>
          <w:p w14:paraId="000DF11F"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£86,700</w:t>
            </w:r>
          </w:p>
        </w:tc>
      </w:tr>
      <w:tr w:rsidR="00C26C0C" w14:paraId="1FC7757E" w14:textId="77777777" w:rsidTr="00C26C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2A5F3E93" w14:textId="77777777" w:rsidR="00C26C0C" w:rsidRDefault="00DC28B1">
            <w:pPr>
              <w:pStyle w:val="DefaqtoTableBody2"/>
            </w:pPr>
            <w:r>
              <w:rPr>
                <w:b/>
                <w:bCs/>
              </w:rPr>
              <w:t>Effect of switching</w:t>
            </w:r>
            <w:r>
              <w:rPr>
                <w:b/>
                <w:bCs/>
                <w:color w:val="000000"/>
                <w:vertAlign w:val="superscript"/>
              </w:rPr>
              <w:t>[1]</w:t>
            </w:r>
          </w:p>
        </w:tc>
        <w:tc>
          <w:tcPr>
            <w:tcW w:w="0" w:type="auto"/>
          </w:tcPr>
          <w:p w14:paraId="22F051AA"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w:t>
            </w:r>
          </w:p>
        </w:tc>
        <w:tc>
          <w:tcPr>
            <w:tcW w:w="0" w:type="auto"/>
          </w:tcPr>
          <w:p w14:paraId="7879AC70"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-£3,100 or -3.6% decrease</w:t>
            </w:r>
          </w:p>
        </w:tc>
        <w:tc>
          <w:tcPr>
            <w:tcW w:w="0" w:type="auto"/>
          </w:tcPr>
          <w:p w14:paraId="6ED9420A"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-£100 or -0.1% decrease</w:t>
            </w:r>
          </w:p>
        </w:tc>
      </w:tr>
      <w:tr w:rsidR="00C26C0C" w14:paraId="0B6A9712" w14:textId="77777777" w:rsidTr="00C26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41F31FFD" w14:textId="77777777" w:rsidR="00C26C0C" w:rsidRDefault="00DC28B1">
            <w:pPr>
              <w:pStyle w:val="DefaqtoTableBody2"/>
            </w:pPr>
            <w:r>
              <w:rPr>
                <w:b/>
                <w:bCs/>
              </w:rPr>
              <w:t>Reduction in yield</w:t>
            </w:r>
            <w:r>
              <w:rPr>
                <w:b/>
                <w:bCs/>
                <w:color w:val="000000"/>
                <w:vertAlign w:val="superscript"/>
              </w:rPr>
              <w:t>[2]</w:t>
            </w:r>
          </w:p>
        </w:tc>
        <w:tc>
          <w:tcPr>
            <w:tcW w:w="0" w:type="auto"/>
          </w:tcPr>
          <w:p w14:paraId="271F161C"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0.6%</w:t>
            </w:r>
          </w:p>
        </w:tc>
        <w:tc>
          <w:tcPr>
            <w:tcW w:w="0" w:type="auto"/>
          </w:tcPr>
          <w:p w14:paraId="6EA00AE8"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1.6%</w:t>
            </w:r>
          </w:p>
        </w:tc>
        <w:tc>
          <w:tcPr>
            <w:tcW w:w="0" w:type="auto"/>
          </w:tcPr>
          <w:p w14:paraId="0CCF6537"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0.7%</w:t>
            </w:r>
          </w:p>
        </w:tc>
      </w:tr>
      <w:tr w:rsidR="00C26C0C" w14:paraId="62308D8A" w14:textId="77777777" w:rsidTr="00C26C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133247D6" w14:textId="77777777" w:rsidR="00C26C0C" w:rsidRDefault="00DC28B1">
            <w:pPr>
              <w:pStyle w:val="DefaqtoTableBody2"/>
            </w:pPr>
            <w:r>
              <w:rPr>
                <w:b/>
                <w:bCs/>
              </w:rPr>
              <w:t>Growth rate used for projection (Mid growth)</w:t>
            </w:r>
          </w:p>
        </w:tc>
        <w:tc>
          <w:tcPr>
            <w:tcW w:w="0" w:type="auto"/>
          </w:tcPr>
          <w:p w14:paraId="0AFA9C5C"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c>
          <w:tcPr>
            <w:tcW w:w="0" w:type="auto"/>
          </w:tcPr>
          <w:p w14:paraId="4B4D3110"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c>
          <w:tcPr>
            <w:tcW w:w="0" w:type="auto"/>
          </w:tcPr>
          <w:p w14:paraId="6B602321"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r>
    </w:tbl>
    <w:p w14:paraId="7BB2DE57" w14:textId="77777777" w:rsidR="00C26C0C" w:rsidRDefault="00DC28B1">
      <w:pPr>
        <w:pStyle w:val="Defaqtosmallprint"/>
        <w:sectPr w:rsidR="00C26C0C">
          <w:headerReference w:type="default" r:id="rId33"/>
          <w:footerReference w:type="default" r:id="rId34"/>
          <w:pgSz w:w="11907" w:h="16839" w:code="9"/>
          <w:pgMar w:top="709" w:right="640" w:bottom="376" w:left="640" w:header="200" w:footer="200" w:gutter="0"/>
          <w:cols w:space="708"/>
          <w:docGrid w:linePitch="360"/>
        </w:sectPr>
      </w:pPr>
      <w:r>
        <w:rPr>
          <w:u w:color="000000"/>
        </w:rPr>
        <w:t>[1] Effect of switching is the change in the maturity value from the existing pension assuming the fund experiences the same investment growth.</w:t>
      </w:r>
      <w:r>
        <w:br/>
      </w:r>
      <w:r>
        <w:rPr>
          <w:u w:color="000000"/>
        </w:rPr>
        <w:t>[2] Reduction in Yield is the impact of product, platform, fund and ongoing adviser charges on the growth rate. If the fund grows due to investment growth by 4% in a year and the reduction in yield is 2.5% the fund growth experienced will be 1.5%.</w:t>
      </w:r>
    </w:p>
    <w:p w14:paraId="1808AF70" w14:textId="77777777" w:rsidR="00C26C0C" w:rsidRDefault="00DC28B1">
      <w:pPr>
        <w:pStyle w:val="DefaqtoHeading1"/>
      </w:pPr>
      <w:bookmarkStart w:id="20" w:name="_Toc16"/>
      <w:r>
        <w:lastRenderedPageBreak/>
        <w:t>Alternative comparisons</w:t>
      </w:r>
      <w:bookmarkEnd w:id="20"/>
    </w:p>
    <w:p w14:paraId="203F0AAB" w14:textId="77777777" w:rsidR="00C26C0C" w:rsidRDefault="00DC28B1">
      <w:pPr>
        <w:pStyle w:val="DefaqtoBody"/>
        <w:sectPr w:rsidR="00C26C0C">
          <w:headerReference w:type="default" r:id="rId35"/>
          <w:footerReference w:type="default" r:id="rId36"/>
          <w:pgSz w:w="11907" w:h="16839" w:code="9"/>
          <w:pgMar w:top="709" w:right="640" w:bottom="376" w:left="640" w:header="200" w:footer="200" w:gutter="0"/>
          <w:cols w:space="708"/>
          <w:docGrid w:linePitch="360"/>
        </w:sectPr>
      </w:pPr>
      <w:r>
        <w:rPr>
          <w:u w:color="000000"/>
        </w:rPr>
        <w:t>The analysis is based on consolidating the existing pensions into a new solution before the effect of any advice charges.</w:t>
      </w:r>
    </w:p>
    <w:p w14:paraId="2D8917B1" w14:textId="77777777" w:rsidR="00C26C0C" w:rsidRDefault="00DC28B1">
      <w:pPr>
        <w:pStyle w:val="DefaqtoHeading1"/>
      </w:pPr>
      <w:bookmarkStart w:id="21" w:name="_Toc17"/>
      <w:r>
        <w:lastRenderedPageBreak/>
        <w:t>Appendix</w:t>
      </w:r>
      <w:bookmarkEnd w:id="21"/>
    </w:p>
    <w:p w14:paraId="7F5EA568" w14:textId="77777777" w:rsidR="00C26C0C" w:rsidRDefault="00DC28B1">
      <w:pPr>
        <w:pStyle w:val="DefaqtoHeading2"/>
      </w:pPr>
      <w:bookmarkStart w:id="22" w:name="_Toc18"/>
      <w:r>
        <w:t>Existing pension portfolio details</w:t>
      </w:r>
      <w:bookmarkEnd w:id="22"/>
    </w:p>
    <w:p w14:paraId="6CFC8B41" w14:textId="77777777" w:rsidR="00C26C0C" w:rsidRDefault="00DC28B1">
      <w:pPr>
        <w:pStyle w:val="DefaqtoHeading2"/>
      </w:pPr>
      <w:bookmarkStart w:id="23" w:name="_Toc19"/>
      <w:r>
        <w:t>Aviva Life &amp; Pensions UK Limited - Current Aviva</w:t>
      </w:r>
      <w:bookmarkEnd w:id="23"/>
    </w:p>
    <w:p w14:paraId="2F771BD9" w14:textId="77777777" w:rsidR="00C26C0C" w:rsidRDefault="00DC28B1">
      <w:pPr>
        <w:pStyle w:val="DefaqtoHeading3"/>
      </w:pPr>
      <w:bookmarkStart w:id="24" w:name="_Toc20"/>
      <w:r>
        <w:t>Statistics</w:t>
      </w:r>
      <w:bookmarkEnd w:id="24"/>
    </w:p>
    <w:tbl>
      <w:tblPr>
        <w:tblStyle w:val="Custom6"/>
        <w:tblW w:w="5000" w:type="pct"/>
        <w:tblLayout w:type="fixed"/>
        <w:tblLook w:val="01E0" w:firstRow="1" w:lastRow="1" w:firstColumn="1" w:lastColumn="1" w:noHBand="0" w:noVBand="0"/>
      </w:tblPr>
      <w:tblGrid>
        <w:gridCol w:w="3478"/>
        <w:gridCol w:w="3672"/>
        <w:gridCol w:w="3477"/>
      </w:tblGrid>
      <w:tr w:rsidR="00C26C0C" w14:paraId="139F322D" w14:textId="77777777">
        <w:trPr>
          <w:cnfStyle w:val="100000000000" w:firstRow="1" w:lastRow="0" w:firstColumn="0" w:lastColumn="0" w:oddVBand="0" w:evenVBand="0" w:oddHBand="0" w:evenHBand="0" w:firstRowFirstColumn="0" w:firstRowLastColumn="0" w:lastRowFirstColumn="0" w:lastRowLastColumn="0"/>
        </w:trPr>
        <w:tc>
          <w:tcPr>
            <w:tcW w:w="309" w:type="dxa"/>
          </w:tcPr>
          <w:p w14:paraId="07742894" w14:textId="77777777" w:rsidR="00C26C0C" w:rsidRDefault="00DC28B1">
            <w:pPr>
              <w:pStyle w:val="DefaqtoTableBody2"/>
              <w:spacing w:before="800" w:after="800"/>
              <w:jc w:val="center"/>
            </w:pPr>
            <w:r>
              <w:rPr>
                <w:sz w:val="28"/>
                <w:szCs w:val="28"/>
              </w:rPr>
              <w:t>N/A</w:t>
            </w:r>
          </w:p>
        </w:tc>
        <w:tc>
          <w:tcPr>
            <w:tcW w:w="326" w:type="dxa"/>
          </w:tcPr>
          <w:p w14:paraId="0E4579F4" w14:textId="77777777" w:rsidR="00C26C0C" w:rsidRDefault="00DC28B1">
            <w:pPr>
              <w:pStyle w:val="DefaqtoTableBody2"/>
              <w:spacing w:before="800" w:after="800"/>
              <w:jc w:val="center"/>
            </w:pPr>
            <w:r>
              <w:rPr>
                <w:sz w:val="28"/>
                <w:szCs w:val="28"/>
              </w:rPr>
              <w:t>N/A</w:t>
            </w:r>
          </w:p>
        </w:tc>
        <w:tc>
          <w:tcPr>
            <w:tcW w:w="309" w:type="dxa"/>
          </w:tcPr>
          <w:p w14:paraId="1A64445C" w14:textId="77777777" w:rsidR="00C26C0C" w:rsidRDefault="00DC28B1">
            <w:pPr>
              <w:pStyle w:val="DefaqtoTableBody2"/>
              <w:spacing w:before="800" w:after="800"/>
              <w:jc w:val="center"/>
            </w:pPr>
            <w:r>
              <w:rPr>
                <w:sz w:val="28"/>
                <w:szCs w:val="28"/>
              </w:rPr>
              <w:t>N/A</w:t>
            </w:r>
          </w:p>
        </w:tc>
      </w:tr>
    </w:tbl>
    <w:p w14:paraId="5D549707" w14:textId="77777777" w:rsidR="00C26C0C" w:rsidRDefault="00DC28B1">
      <w:pPr>
        <w:pStyle w:val="Defaqtosmallprint"/>
      </w:pPr>
      <w:r>
        <w:rPr>
          <w:u w:color="000000"/>
        </w:rPr>
        <w:t>[1] Annual Management Charge – the annual fee charge by the fund management company to cover costs directly associated with managing your fund. This will not include all costs associated with the fund.</w:t>
      </w:r>
    </w:p>
    <w:p w14:paraId="1132C79B" w14:textId="77777777" w:rsidR="00C26C0C" w:rsidRDefault="00DC28B1">
      <w:pPr>
        <w:pStyle w:val="Defaqtosmallprint"/>
      </w:pPr>
      <w:r>
        <w:rPr>
          <w:u w:color="000000"/>
        </w:rPr>
        <w:t>[2] Ongoing Charge Figure – includes all regular recurring expenses of the fund, including the AMC, and hence provides a more complete picture of actual charges borne by the client. For example, other costs included are: custodian fees; audit fees; legal fees; marketing distribution; and any other recurring charges. Not included are any one-off or irregular charges, such as performance related fees and transaction costs.</w:t>
      </w:r>
    </w:p>
    <w:p w14:paraId="6420338A" w14:textId="77777777" w:rsidR="00C26C0C" w:rsidRDefault="00DC28B1">
      <w:pPr>
        <w:pStyle w:val="DefaqtoHeading3"/>
      </w:pPr>
      <w:bookmarkStart w:id="25" w:name="_Toc21"/>
      <w:r>
        <w:t>Funds</w:t>
      </w:r>
      <w:bookmarkEnd w:id="25"/>
    </w:p>
    <w:tbl>
      <w:tblPr>
        <w:tblStyle w:val="DefaqtoTable"/>
        <w:tblW w:w="5000" w:type="pct"/>
        <w:tblLook w:val="01E0" w:firstRow="1" w:lastRow="1" w:firstColumn="1" w:lastColumn="1" w:noHBand="0" w:noVBand="0"/>
      </w:tblPr>
      <w:tblGrid>
        <w:gridCol w:w="1573"/>
        <w:gridCol w:w="3093"/>
        <w:gridCol w:w="600"/>
        <w:gridCol w:w="1717"/>
        <w:gridCol w:w="2382"/>
        <w:gridCol w:w="1252"/>
      </w:tblGrid>
      <w:tr w:rsidR="00C26C0C" w14:paraId="1151944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6611BF" w14:textId="77777777" w:rsidR="00C26C0C" w:rsidRDefault="00DC28B1">
            <w:pPr>
              <w:pStyle w:val="DefaqtoTableBody2"/>
            </w:pPr>
            <w:r>
              <w:t>Fund</w:t>
            </w:r>
          </w:p>
        </w:tc>
        <w:tc>
          <w:tcPr>
            <w:tcW w:w="0" w:type="auto"/>
          </w:tcPr>
          <w:p w14:paraId="60C39358" w14:textId="77777777" w:rsidR="00C26C0C" w:rsidRDefault="00DC28B1">
            <w:pPr>
              <w:pStyle w:val="DefaqtoTableBody2"/>
              <w:cnfStyle w:val="100000000000" w:firstRow="1" w:lastRow="0" w:firstColumn="0" w:lastColumn="0" w:oddVBand="0" w:evenVBand="0" w:oddHBand="0" w:evenHBand="0" w:firstRowFirstColumn="0" w:firstRowLastColumn="0" w:lastRowFirstColumn="0" w:lastRowLastColumn="0"/>
            </w:pPr>
            <w:r>
              <w:t>Provider</w:t>
            </w:r>
          </w:p>
        </w:tc>
        <w:tc>
          <w:tcPr>
            <w:tcW w:w="0" w:type="auto"/>
          </w:tcPr>
          <w:p w14:paraId="49F87155" w14:textId="77777777" w:rsidR="00C26C0C" w:rsidRDefault="00DC28B1">
            <w:pPr>
              <w:pStyle w:val="DefaqtoTableBody2"/>
              <w:cnfStyle w:val="100000000000" w:firstRow="1" w:lastRow="0" w:firstColumn="0" w:lastColumn="0" w:oddVBand="0" w:evenVBand="0" w:oddHBand="0" w:evenHBand="0" w:firstRowFirstColumn="0" w:firstRowLastColumn="0" w:lastRowFirstColumn="0" w:lastRowLastColumn="0"/>
            </w:pPr>
            <w:r>
              <w:t>ISIN</w:t>
            </w:r>
          </w:p>
        </w:tc>
        <w:tc>
          <w:tcPr>
            <w:tcW w:w="0" w:type="auto"/>
          </w:tcPr>
          <w:p w14:paraId="5B20A5F7" w14:textId="77777777" w:rsidR="00C26C0C" w:rsidRDefault="00DC28B1">
            <w:pPr>
              <w:pStyle w:val="DefaqtoTableBody2"/>
              <w:cnfStyle w:val="100000000000" w:firstRow="1" w:lastRow="0" w:firstColumn="0" w:lastColumn="0" w:oddVBand="0" w:evenVBand="0" w:oddHBand="0" w:evenHBand="0" w:firstRowFirstColumn="0" w:firstRowLastColumn="0" w:lastRowFirstColumn="0" w:lastRowLastColumn="0"/>
            </w:pPr>
            <w:r>
              <w:t>Diamond rating</w:t>
            </w:r>
          </w:p>
        </w:tc>
        <w:tc>
          <w:tcPr>
            <w:tcW w:w="0" w:type="auto"/>
          </w:tcPr>
          <w:p w14:paraId="0E8BD7A4" w14:textId="77777777" w:rsidR="00C26C0C" w:rsidRDefault="00DC28B1">
            <w:pPr>
              <w:pStyle w:val="DefaqtoTableBody2"/>
              <w:cnfStyle w:val="100000000000" w:firstRow="1" w:lastRow="0" w:firstColumn="0" w:lastColumn="0" w:oddVBand="0" w:evenVBand="0" w:oddHBand="0" w:evenHBand="0" w:firstRowFirstColumn="0" w:firstRowLastColumn="0" w:lastRowFirstColumn="0" w:lastRowLastColumn="0"/>
            </w:pPr>
            <w:r>
              <w:t>Family diamond rating</w:t>
            </w:r>
          </w:p>
        </w:tc>
        <w:tc>
          <w:tcPr>
            <w:tcW w:w="0" w:type="auto"/>
          </w:tcPr>
          <w:p w14:paraId="25DC5910" w14:textId="77777777" w:rsidR="00C26C0C" w:rsidRDefault="00DC28B1">
            <w:pPr>
              <w:pStyle w:val="DefaqtoTableBody2"/>
              <w:jc w:val="right"/>
              <w:cnfStyle w:val="100000000000" w:firstRow="1" w:lastRow="0" w:firstColumn="0" w:lastColumn="0" w:oddVBand="0" w:evenVBand="0" w:oddHBand="0" w:evenHBand="0" w:firstRowFirstColumn="0" w:firstRowLastColumn="0" w:lastRowFirstColumn="0" w:lastRowLastColumn="0"/>
            </w:pPr>
            <w:r>
              <w:t>% Invested</w:t>
            </w:r>
          </w:p>
        </w:tc>
      </w:tr>
      <w:tr w:rsidR="00C26C0C" w14:paraId="0236B5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B23CFE" w14:textId="77777777" w:rsidR="00C26C0C" w:rsidRDefault="00DC28B1">
            <w:pPr>
              <w:pStyle w:val="DefaqtoTableBody2"/>
            </w:pPr>
            <w:r>
              <w:t>Vanguard 60%</w:t>
            </w:r>
          </w:p>
        </w:tc>
        <w:tc>
          <w:tcPr>
            <w:tcW w:w="0" w:type="auto"/>
          </w:tcPr>
          <w:p w14:paraId="2DDA7D8B"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w:t>
            </w:r>
          </w:p>
        </w:tc>
        <w:tc>
          <w:tcPr>
            <w:tcW w:w="0" w:type="auto"/>
          </w:tcPr>
          <w:p w14:paraId="320F09DA"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05F9BE33"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59026160"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4B5E7837"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35.02</w:t>
            </w:r>
          </w:p>
        </w:tc>
      </w:tr>
      <w:tr w:rsidR="00C26C0C" w14:paraId="3E5651E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E6F2BF" w14:textId="77777777" w:rsidR="00C26C0C" w:rsidRDefault="00DC28B1">
            <w:pPr>
              <w:pStyle w:val="DefaqtoTableBody2"/>
            </w:pPr>
            <w:r>
              <w:t>Vanguard 80%</w:t>
            </w:r>
          </w:p>
        </w:tc>
        <w:tc>
          <w:tcPr>
            <w:tcW w:w="0" w:type="auto"/>
          </w:tcPr>
          <w:p w14:paraId="41FB501F"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Aviva Life &amp; Pensions UK Limited</w:t>
            </w:r>
          </w:p>
        </w:tc>
        <w:tc>
          <w:tcPr>
            <w:tcW w:w="0" w:type="auto"/>
          </w:tcPr>
          <w:p w14:paraId="613D91B6"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N/A</w:t>
            </w:r>
          </w:p>
        </w:tc>
        <w:tc>
          <w:tcPr>
            <w:tcW w:w="0" w:type="auto"/>
          </w:tcPr>
          <w:p w14:paraId="120BE995"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N/A</w:t>
            </w:r>
          </w:p>
        </w:tc>
        <w:tc>
          <w:tcPr>
            <w:tcW w:w="0" w:type="auto"/>
          </w:tcPr>
          <w:p w14:paraId="6E0CB345" w14:textId="77777777" w:rsidR="00C26C0C" w:rsidRDefault="00DC28B1">
            <w:pPr>
              <w:pStyle w:val="DefaqtoTableBody2"/>
              <w:cnfStyle w:val="000000010000" w:firstRow="0" w:lastRow="0" w:firstColumn="0" w:lastColumn="0" w:oddVBand="0" w:evenVBand="0" w:oddHBand="0" w:evenHBand="1" w:firstRowFirstColumn="0" w:firstRowLastColumn="0" w:lastRowFirstColumn="0" w:lastRowLastColumn="0"/>
            </w:pPr>
            <w:r>
              <w:t>N/A</w:t>
            </w:r>
          </w:p>
        </w:tc>
        <w:tc>
          <w:tcPr>
            <w:tcW w:w="0" w:type="auto"/>
          </w:tcPr>
          <w:p w14:paraId="78465C78" w14:textId="77777777" w:rsidR="00C26C0C" w:rsidRDefault="00DC28B1">
            <w:pPr>
              <w:pStyle w:val="DefaqtoTableBody2"/>
              <w:jc w:val="right"/>
              <w:cnfStyle w:val="000000010000" w:firstRow="0" w:lastRow="0" w:firstColumn="0" w:lastColumn="0" w:oddVBand="0" w:evenVBand="0" w:oddHBand="0" w:evenHBand="1" w:firstRowFirstColumn="0" w:firstRowLastColumn="0" w:lastRowFirstColumn="0" w:lastRowLastColumn="0"/>
            </w:pPr>
            <w:r>
              <w:t>64.95</w:t>
            </w:r>
          </w:p>
        </w:tc>
      </w:tr>
      <w:tr w:rsidR="00C26C0C" w14:paraId="104227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91749F" w14:textId="77777777" w:rsidR="00C26C0C" w:rsidRDefault="00DC28B1">
            <w:pPr>
              <w:pStyle w:val="DefaqtoTableBody2"/>
            </w:pPr>
            <w:r>
              <w:t>Cash</w:t>
            </w:r>
          </w:p>
        </w:tc>
        <w:tc>
          <w:tcPr>
            <w:tcW w:w="0" w:type="auto"/>
          </w:tcPr>
          <w:p w14:paraId="3733BFD8"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w:t>
            </w:r>
          </w:p>
        </w:tc>
        <w:tc>
          <w:tcPr>
            <w:tcW w:w="0" w:type="auto"/>
          </w:tcPr>
          <w:p w14:paraId="57539144"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3BF8C8B4"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5238638D" w14:textId="77777777" w:rsidR="00C26C0C" w:rsidRDefault="00DC28B1">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585000F9" w14:textId="77777777" w:rsidR="00C26C0C" w:rsidRDefault="00DC28B1">
            <w:pPr>
              <w:pStyle w:val="DefaqtoTableBody2"/>
              <w:jc w:val="right"/>
              <w:cnfStyle w:val="000000100000" w:firstRow="0" w:lastRow="0" w:firstColumn="0" w:lastColumn="0" w:oddVBand="0" w:evenVBand="0" w:oddHBand="1" w:evenHBand="0" w:firstRowFirstColumn="0" w:firstRowLastColumn="0" w:lastRowFirstColumn="0" w:lastRowLastColumn="0"/>
            </w:pPr>
            <w:r>
              <w:t>0.03</w:t>
            </w:r>
          </w:p>
        </w:tc>
      </w:tr>
    </w:tbl>
    <w:p w14:paraId="54FBBBAD" w14:textId="77777777" w:rsidR="00C26C0C" w:rsidRDefault="00DC28B1">
      <w:pPr>
        <w:pStyle w:val="Defaqtosmallprint"/>
      </w:pPr>
      <w:r>
        <w:rPr>
          <w:u w:color="000000"/>
        </w:rPr>
        <w:t>The funds data used within Defaqto Engage is sourced from Morningstar UK.</w:t>
      </w:r>
    </w:p>
    <w:p w14:paraId="585BCE43" w14:textId="77777777" w:rsidR="00C26C0C" w:rsidRDefault="00DC28B1">
      <w:pPr>
        <w:pStyle w:val="Defaqtosmallprint"/>
      </w:pPr>
      <w:r>
        <w:rPr>
          <w:u w:color="000000"/>
        </w:rPr>
        <w:t>Morningstar UK Data Disclaimer</w:t>
      </w:r>
    </w:p>
    <w:p w14:paraId="5504C831" w14:textId="77777777" w:rsidR="00C26C0C" w:rsidRDefault="00DC28B1">
      <w:pPr>
        <w:pStyle w:val="Defaqtosmallprint"/>
      </w:pPr>
      <w:r>
        <w:rPr>
          <w:u w:color="000000"/>
        </w:rPr>
        <w:t>The data and calculations contained herein are: (i) proprietary to Morningstar; (ii) not warranted to be accurate, complete or timely; and (iii) provided to you by Defaqto Engage at your own risk. You agree that neither Morningstar nor Defaqto Engage is responsible for any damages or losses arising from any use of this information and that the information must not be relied upon by you, the user, without appropriate verification. Morningstar and Defaqto Engage inform you as follows: (i) no investment decisi</w:t>
      </w:r>
      <w:r>
        <w:rPr>
          <w:u w:color="000000"/>
        </w:rPr>
        <w:t>on should be made in relation to any of the information provided other than on the advice of a professional financial adviser; (ii) past performance is no guarantee of future results; and (iii) the value and income derived from investments can go down as well as up. Data and Calculations: © 2018  Morningstar UK.All Rights Reserved.</w:t>
      </w:r>
    </w:p>
    <w:p w14:paraId="3380D033" w14:textId="77777777" w:rsidR="00C26C0C" w:rsidRDefault="00DC28B1">
      <w:pPr>
        <w:pStyle w:val="DefaqtoHeading3"/>
      </w:pPr>
      <w:bookmarkStart w:id="26" w:name="_Toc22"/>
      <w:r>
        <w:t>Risk level</w:t>
      </w:r>
      <w:bookmarkEnd w:id="26"/>
    </w:p>
    <w:p w14:paraId="6FC00A8B" w14:textId="77777777" w:rsidR="00C26C0C" w:rsidRDefault="00DC28B1">
      <w:pPr>
        <w:pStyle w:val="DefaqtoBody"/>
        <w:sectPr w:rsidR="00C26C0C">
          <w:headerReference w:type="default" r:id="rId37"/>
          <w:footerReference w:type="default" r:id="rId38"/>
          <w:pgSz w:w="11907" w:h="16839" w:code="9"/>
          <w:pgMar w:top="709" w:right="640" w:bottom="376" w:left="640" w:header="200" w:footer="200" w:gutter="0"/>
          <w:cols w:space="708"/>
          <w:docGrid w:linePitch="360"/>
        </w:sectPr>
      </w:pPr>
      <w:r>
        <w:rPr>
          <w:u w:color="000000"/>
        </w:rPr>
        <w:t>The client’s agreed risk level is 4</w:t>
      </w:r>
    </w:p>
    <w:p w14:paraId="3561646B" w14:textId="77777777" w:rsidR="00C26C0C" w:rsidRDefault="00DC28B1">
      <w:pPr>
        <w:pStyle w:val="DefaqtoHeading2"/>
      </w:pPr>
      <w:bookmarkStart w:id="27" w:name="_Toc23"/>
      <w:r>
        <w:lastRenderedPageBreak/>
        <w:t>Custom Platform Charges</w:t>
      </w:r>
      <w:bookmarkEnd w:id="27"/>
    </w:p>
    <w:p w14:paraId="74562254" w14:textId="77777777" w:rsidR="00C26C0C" w:rsidRDefault="00DC28B1">
      <w:pPr>
        <w:pStyle w:val="DefaqtoBody"/>
      </w:pPr>
      <w:r>
        <w:rPr>
          <w:u w:color="000000"/>
        </w:rPr>
        <w:t>Your licence has access to a custom charge applied to platform Aviva Platform, which may have been used when calculating the RIY.</w:t>
      </w:r>
    </w:p>
    <w:p w14:paraId="276FD8F8" w14:textId="77777777" w:rsidR="00C26C0C" w:rsidRDefault="00C26C0C">
      <w:pPr>
        <w:spacing w:after="0"/>
        <w:rPr>
          <w:rFonts w:ascii="Poppins" w:eastAsia="Poppins" w:hAnsi="Poppins" w:cs="Poppins"/>
          <w:color w:val="392388"/>
        </w:rPr>
      </w:pPr>
    </w:p>
    <w:p w14:paraId="08E35DAA" w14:textId="77777777" w:rsidR="00C26C0C" w:rsidRDefault="00DC28B1">
      <w:pPr>
        <w:spacing w:after="0"/>
        <w:rPr>
          <w:color w:val="392388"/>
        </w:rPr>
      </w:pPr>
      <w:r>
        <w:rPr>
          <w:b/>
          <w:bCs/>
          <w:color w:val="392388"/>
          <w:u w:val="single" w:color="392388"/>
        </w:rPr>
        <w:t>Platform Fee</w:t>
      </w:r>
      <w:r>
        <w:br/>
      </w:r>
      <w:r>
        <w:br/>
      </w:r>
      <w:r>
        <w:br/>
      </w:r>
      <w:r>
        <w:rPr>
          <w:color w:val="392388"/>
        </w:rPr>
        <w:t>GIA and ISA fee</w:t>
      </w:r>
      <w:r>
        <w:br/>
      </w:r>
      <w:r>
        <w:br/>
      </w:r>
      <w:r>
        <w:br/>
      </w:r>
      <w:r>
        <w:rPr>
          <w:color w:val="392388"/>
        </w:rPr>
        <w:t>Category - Custody fee</w:t>
      </w:r>
      <w:r>
        <w:br/>
      </w:r>
      <w:r>
        <w:br/>
      </w:r>
      <w:r>
        <w:br/>
      </w:r>
      <w:r>
        <w:rPr>
          <w:color w:val="392388"/>
        </w:rPr>
        <w:t>Fee/Rebate/Allocation Rate - Fee</w:t>
      </w:r>
      <w:r>
        <w:br/>
      </w:r>
      <w:r>
        <w:br/>
      </w:r>
      <w:r>
        <w:br/>
      </w:r>
      <w:r>
        <w:rPr>
          <w:color w:val="392388"/>
        </w:rPr>
        <w:t>VAT to be Added - No</w:t>
      </w:r>
      <w:r>
        <w:br/>
      </w:r>
      <w:r>
        <w:br/>
      </w:r>
      <w:r>
        <w:br/>
      </w:r>
      <w:r>
        <w:rPr>
          <w:color w:val="392388"/>
        </w:rPr>
        <w:t>Phase - Accumulation,Decumulation FAD,Decumulation Capped DD,Decumulation PCLS</w:t>
      </w:r>
      <w:r>
        <w:br/>
      </w:r>
      <w:r>
        <w:br/>
      </w:r>
      <w:r>
        <w:br/>
      </w:r>
      <w:r>
        <w:rPr>
          <w:color w:val="392388"/>
        </w:rPr>
        <w:t>Income Options - Income Taken And No Income Taken</w:t>
      </w:r>
      <w:r>
        <w:br/>
      </w:r>
      <w:r>
        <w:br/>
      </w:r>
      <w:r>
        <w:br/>
      </w:r>
      <w:r>
        <w:rPr>
          <w:color w:val="392388"/>
        </w:rPr>
        <w:t>Flat Rate - 0.21%</w:t>
      </w:r>
      <w:r>
        <w:br/>
      </w:r>
      <w:r>
        <w:br/>
      </w:r>
      <w:r>
        <w:br/>
      </w:r>
      <w:r>
        <w:rPr>
          <w:color w:val="392388"/>
        </w:rPr>
        <w:t>Charge Applied to - Current Balance</w:t>
      </w:r>
      <w:r>
        <w:br/>
      </w:r>
      <w:r>
        <w:br/>
      </w:r>
      <w:r>
        <w:br/>
      </w:r>
      <w:r>
        <w:rPr>
          <w:color w:val="392388"/>
        </w:rPr>
        <w:t>Charge Payable - Annually Charge Applied Monthly</w:t>
      </w:r>
      <w:r>
        <w:br/>
      </w:r>
      <w:r>
        <w:br/>
      </w:r>
      <w:r>
        <w:br/>
      </w:r>
      <w:r>
        <w:rPr>
          <w:color w:val="392388"/>
        </w:rPr>
        <w:t>Arrears/A</w:t>
      </w:r>
      <w:r>
        <w:br/>
      </w:r>
    </w:p>
    <w:p w14:paraId="158D05BF" w14:textId="77777777" w:rsidR="00C26C0C" w:rsidRDefault="00DC28B1">
      <w:r>
        <w:t xml:space="preserve"> </w:t>
      </w:r>
    </w:p>
    <w:p w14:paraId="5E2232B2" w14:textId="77777777" w:rsidR="00C26C0C" w:rsidRDefault="00DC28B1">
      <w:pPr>
        <w:pStyle w:val="DefaqtoHeading2"/>
      </w:pPr>
      <w:bookmarkStart w:id="28" w:name="_Toc24"/>
      <w:r>
        <w:t>Custom SIPP Charges</w:t>
      </w:r>
      <w:bookmarkEnd w:id="28"/>
    </w:p>
    <w:p w14:paraId="60FFCD59" w14:textId="77777777" w:rsidR="00C26C0C" w:rsidRDefault="00DC28B1">
      <w:pPr>
        <w:pStyle w:val="DefaqtoBody"/>
      </w:pPr>
      <w:r>
        <w:rPr>
          <w:u w:color="000000"/>
        </w:rPr>
        <w:t>Your licence has access to a custom charge applied to product Pension Portfolio - Choice, which may have been used when calculating the RIY.</w:t>
      </w:r>
    </w:p>
    <w:p w14:paraId="5075C4BE" w14:textId="77777777" w:rsidR="00C26C0C" w:rsidRDefault="00C26C0C">
      <w:pPr>
        <w:spacing w:after="0"/>
        <w:rPr>
          <w:rFonts w:ascii="Poppins" w:eastAsia="Poppins" w:hAnsi="Poppins" w:cs="Poppins"/>
          <w:color w:val="392388"/>
        </w:rPr>
      </w:pPr>
    </w:p>
    <w:p w14:paraId="51099F10" w14:textId="77777777" w:rsidR="00C26C0C" w:rsidRDefault="00DC28B1">
      <w:pPr>
        <w:spacing w:after="0"/>
        <w:rPr>
          <w:color w:val="392388"/>
        </w:rPr>
      </w:pPr>
      <w:r>
        <w:rPr>
          <w:b/>
          <w:bCs/>
          <w:color w:val="392388"/>
          <w:u w:val="single" w:color="392388"/>
        </w:rPr>
        <w:t>ANNUALFEE/MAN/FEESCHED/Page 23/Aviva Charge</w:t>
      </w:r>
      <w:r>
        <w:br/>
      </w:r>
      <w:r>
        <w:br/>
      </w:r>
      <w:r>
        <w:br/>
      </w:r>
      <w:r>
        <w:lastRenderedPageBreak/>
        <w:br/>
      </w:r>
      <w:r>
        <w:br/>
      </w:r>
      <w:r>
        <w:br/>
      </w:r>
      <w:r>
        <w:rPr>
          <w:color w:val="392388"/>
        </w:rPr>
        <w:t>Category - Wrapper fee</w:t>
      </w:r>
      <w:r>
        <w:br/>
      </w:r>
      <w:r>
        <w:br/>
      </w:r>
      <w:r>
        <w:br/>
      </w:r>
      <w:r>
        <w:rPr>
          <w:color w:val="392388"/>
        </w:rPr>
        <w:t>Fee/Rebate/Allocation Rate - Fee</w:t>
      </w:r>
      <w:r>
        <w:br/>
      </w:r>
      <w:r>
        <w:br/>
      </w:r>
      <w:r>
        <w:br/>
      </w:r>
      <w:r>
        <w:rPr>
          <w:color w:val="392388"/>
        </w:rPr>
        <w:t>VAT to be Added - No</w:t>
      </w:r>
      <w:r>
        <w:br/>
      </w:r>
      <w:r>
        <w:br/>
      </w:r>
      <w:r>
        <w:br/>
      </w:r>
      <w:r>
        <w:rPr>
          <w:color w:val="392388"/>
        </w:rPr>
        <w:t>Phase - Accumulation,Decumulation FAD,Decumulation Capped DD,Decumulation PCLS</w:t>
      </w:r>
      <w:r>
        <w:br/>
      </w:r>
      <w:r>
        <w:br/>
      </w:r>
      <w:r>
        <w:br/>
      </w:r>
      <w:r>
        <w:rPr>
          <w:color w:val="392388"/>
        </w:rPr>
        <w:t>Income Options - Income Taken And No Income Taken</w:t>
      </w:r>
      <w:r>
        <w:br/>
      </w:r>
      <w:r>
        <w:br/>
      </w:r>
      <w:r>
        <w:br/>
      </w:r>
      <w:r>
        <w:rPr>
          <w:color w:val="392388"/>
        </w:rPr>
        <w:t>Flat Rate - £0.00</w:t>
      </w:r>
      <w:r>
        <w:br/>
      </w:r>
      <w:r>
        <w:br/>
      </w:r>
      <w:r>
        <w:br/>
      </w:r>
      <w:r>
        <w:rPr>
          <w:color w:val="392388"/>
        </w:rPr>
        <w:t>Charge Payable - Annually Charge Applied Monthly</w:t>
      </w:r>
      <w:r>
        <w:br/>
      </w:r>
      <w:r>
        <w:br/>
      </w:r>
      <w:r>
        <w:br/>
      </w:r>
      <w:r>
        <w:rPr>
          <w:color w:val="392388"/>
        </w:rPr>
        <w:t>Arrears/Advance - Arrears</w:t>
      </w:r>
      <w:r>
        <w:br/>
      </w:r>
      <w:r>
        <w:br/>
      </w:r>
      <w:r>
        <w:br/>
      </w:r>
      <w:r>
        <w:br/>
      </w:r>
      <w:r>
        <w:br/>
      </w:r>
      <w:r>
        <w:br/>
      </w:r>
      <w:r>
        <w:rPr>
          <w:b/>
          <w:bCs/>
          <w:color w:val="392388"/>
          <w:u w:val="single" w:color="392388"/>
        </w:rPr>
        <w:t>Annual Fee</w:t>
      </w:r>
      <w:r>
        <w:br/>
      </w:r>
      <w:r>
        <w:br/>
      </w:r>
      <w:r>
        <w:br/>
      </w:r>
      <w:r>
        <w:rPr>
          <w:color w:val="392388"/>
        </w:rPr>
        <w:t>Added for custom charge purposes</w:t>
      </w:r>
      <w:r>
        <w:br/>
      </w:r>
      <w:r>
        <w:br/>
      </w:r>
      <w:r>
        <w:br/>
      </w:r>
      <w:r>
        <w:rPr>
          <w:color w:val="392388"/>
        </w:rPr>
        <w:t>Category - Wrapper fee</w:t>
      </w:r>
      <w:r>
        <w:br/>
      </w:r>
      <w:r>
        <w:br/>
      </w:r>
      <w:r>
        <w:br/>
      </w:r>
      <w:r>
        <w:rPr>
          <w:color w:val="392388"/>
        </w:rPr>
        <w:t>Fee/Rebate/Allocation Rate - Rebate</w:t>
      </w:r>
      <w:r>
        <w:br/>
      </w:r>
      <w:r>
        <w:br/>
      </w:r>
      <w:r>
        <w:br/>
      </w:r>
      <w:r>
        <w:rPr>
          <w:color w:val="392388"/>
        </w:rPr>
        <w:t>VAT to be Added - No</w:t>
      </w:r>
      <w:r>
        <w:br/>
      </w:r>
      <w:r>
        <w:br/>
      </w:r>
      <w:r>
        <w:br/>
      </w:r>
      <w:r>
        <w:rPr>
          <w:color w:val="392388"/>
        </w:rPr>
        <w:t>Phase - Accumulation,Decumulation FAD,Decumulation Capped DD,Decumulation PCLS</w:t>
      </w:r>
      <w:r>
        <w:br/>
      </w:r>
      <w:r>
        <w:br/>
      </w:r>
      <w:r>
        <w:br/>
      </w:r>
      <w:r>
        <w:rPr>
          <w:color w:val="392388"/>
        </w:rPr>
        <w:t>Income Options - Income Taken And No Income Taken</w:t>
      </w:r>
      <w:r>
        <w:br/>
      </w:r>
      <w:r>
        <w:br/>
      </w:r>
      <w:r>
        <w:br/>
      </w:r>
      <w:r>
        <w:rPr>
          <w:color w:val="392388"/>
        </w:rPr>
        <w:lastRenderedPageBreak/>
        <w:t>Charge Calculated Against - Current Balance</w:t>
      </w:r>
      <w:r>
        <w:br/>
      </w:r>
      <w:r>
        <w:br/>
      </w:r>
      <w:r>
        <w:br/>
      </w:r>
      <w:r>
        <w:rPr>
          <w:b/>
          <w:bCs/>
          <w:color w:val="392388"/>
        </w:rPr>
        <w:t>Tier Start</w:t>
      </w:r>
      <w:r>
        <w:rPr>
          <w:color w:val="392388"/>
        </w:rPr>
        <w:t xml:space="preserve"> </w:t>
      </w:r>
      <w:r>
        <w:rPr>
          <w:b/>
          <w:bCs/>
          <w:color w:val="392388"/>
        </w:rPr>
        <w:t>Tier End</w:t>
      </w:r>
      <w:r>
        <w:rPr>
          <w:color w:val="392388"/>
        </w:rPr>
        <w:t xml:space="preserve"> </w:t>
      </w:r>
      <w:r>
        <w:rPr>
          <w:b/>
          <w:bCs/>
          <w:color w:val="392388"/>
        </w:rPr>
        <w:t>Charge</w:t>
      </w:r>
      <w:r>
        <w:br/>
      </w:r>
      <w:r>
        <w:rPr>
          <w:color w:val="392388"/>
        </w:rPr>
        <w:t>£1 £999,999 £0.00</w:t>
      </w:r>
      <w:r>
        <w:br/>
      </w:r>
      <w:r>
        <w:rPr>
          <w:color w:val="392388"/>
        </w:rPr>
        <w:t>£1,000,000 Unlimited £0.00</w:t>
      </w:r>
      <w:r>
        <w:br/>
      </w:r>
      <w:r>
        <w:br/>
      </w:r>
      <w:r>
        <w:br/>
      </w:r>
      <w:r>
        <w:br/>
      </w:r>
      <w:r>
        <w:br/>
      </w:r>
      <w:r>
        <w:rPr>
          <w:color w:val="392388"/>
        </w:rPr>
        <w:t>Charge Applied to - Current Balance</w:t>
      </w:r>
      <w:r>
        <w:br/>
      </w:r>
      <w:r>
        <w:br/>
      </w:r>
      <w:r>
        <w:br/>
      </w:r>
      <w:r>
        <w:rPr>
          <w:color w:val="392388"/>
        </w:rPr>
        <w:t>Cha</w:t>
      </w:r>
      <w:r>
        <w:rPr>
          <w:color w:val="392388"/>
        </w:rPr>
        <w:t>rge Payable - Annually Charge Applied Monthly</w:t>
      </w:r>
      <w:r>
        <w:br/>
      </w:r>
      <w:r>
        <w:br/>
      </w:r>
      <w:r>
        <w:br/>
      </w:r>
      <w:r>
        <w:rPr>
          <w:color w:val="392388"/>
        </w:rPr>
        <w:t>Arrears/Advance - Arrears</w:t>
      </w:r>
      <w:r>
        <w:br/>
      </w:r>
      <w:r>
        <w:br/>
      </w:r>
      <w:r>
        <w:br/>
      </w:r>
      <w:r>
        <w:br/>
      </w:r>
      <w:r>
        <w:br/>
      </w:r>
    </w:p>
    <w:p w14:paraId="7928142E" w14:textId="77777777" w:rsidR="00C26C0C" w:rsidRDefault="00DC28B1">
      <w:r>
        <w:t xml:space="preserve"> </w:t>
      </w:r>
    </w:p>
    <w:sectPr w:rsidR="00C26C0C">
      <w:headerReference w:type="default" r:id="rId39"/>
      <w:footerReference w:type="default" r:id="rId40"/>
      <w:pgSz w:w="11907" w:h="16839" w:code="9"/>
      <w:pgMar w:top="709" w:right="640" w:bottom="376" w:left="640" w:header="200" w:footer="2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29A20" w14:textId="77777777" w:rsidR="00DC28B1" w:rsidRDefault="00DC28B1">
      <w:pPr>
        <w:spacing w:after="0" w:line="240" w:lineRule="auto"/>
      </w:pPr>
      <w:r>
        <w:separator/>
      </w:r>
    </w:p>
  </w:endnote>
  <w:endnote w:type="continuationSeparator" w:id="0">
    <w:p w14:paraId="75BC3B60" w14:textId="77777777" w:rsidR="00DC28B1" w:rsidRDefault="00DC2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SemiBold">
    <w:altName w:val="Poppins SemiBold"/>
    <w:charset w:val="00"/>
    <w:family w:val="auto"/>
    <w:pitch w:val="variable"/>
    <w:sig w:usb0="00008007" w:usb1="00000000" w:usb2="00000000" w:usb3="00000000" w:csb0="00000093"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eXGyreAdventor">
    <w:altName w:val="Arial"/>
    <w:panose1 w:val="00000000000000000000"/>
    <w:charset w:val="00"/>
    <w:family w:val="modern"/>
    <w:notTrueType/>
    <w:pitch w:val="variable"/>
    <w:sig w:usb0="00000001"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Light">
    <w:altName w:val="Nirmala UI"/>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26C0C" w14:paraId="45E0387F" w14:textId="77777777">
      <w:tc>
        <w:tcPr>
          <w:tcW w:w="5812" w:type="dxa"/>
        </w:tcPr>
        <w:p w14:paraId="660A642E" w14:textId="77777777" w:rsidR="00C26C0C" w:rsidRDefault="00DC28B1">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Kayleigh Sambhi</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54124529"/>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37B21519" w14:textId="77777777" w:rsidR="00C26C0C" w:rsidRDefault="00DC28B1">
          <w:pPr>
            <w:pStyle w:val="Header"/>
            <w:spacing w:before="120"/>
            <w:ind w:right="21"/>
            <w:jc w:val="right"/>
            <w:rPr>
              <w:rFonts w:ascii="Poppins" w:hAnsi="Poppins" w:cs="Poppins"/>
              <w:color w:val="392388"/>
            </w:rPr>
          </w:pPr>
          <w:r>
            <w:rPr>
              <w:noProof/>
            </w:rPr>
            <w:drawing>
              <wp:inline distT="0" distB="0" distL="0" distR="0" wp14:anchorId="75DBAC51" wp14:editId="076E8AA7">
                <wp:extent cx="914400" cy="190500"/>
                <wp:effectExtent l="0" t="0" r="0" b="0"/>
                <wp:docPr id="47" name="Picture 12"/>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45E446DD" w14:textId="77777777" w:rsidR="00C26C0C" w:rsidRDefault="00C26C0C">
    <w:pPr>
      <w:pStyle w:val="Footer"/>
      <w:rPr>
        <w:rFonts w:ascii="Poppins" w:hAnsi="Poppins" w:cs="Poppins"/>
        <w:color w:val="39238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C95B" w14:textId="77777777" w:rsidR="00C26C0C" w:rsidRDefault="00C26C0C">
    <w:pPr>
      <w:pStyle w:val="Footer"/>
      <w:rPr>
        <w:rFonts w:ascii="Poppins" w:hAnsi="Poppins" w:cs="Poppins"/>
        <w:color w:val="392388"/>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26C0C" w14:paraId="0BE67598" w14:textId="77777777">
      <w:tc>
        <w:tcPr>
          <w:tcW w:w="5812" w:type="dxa"/>
        </w:tcPr>
        <w:p w14:paraId="791543AF" w14:textId="77777777" w:rsidR="00C26C0C" w:rsidRDefault="00DC28B1">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Kayleigh Sambhi</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367453210"/>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3FD28FE1" w14:textId="77777777" w:rsidR="00C26C0C" w:rsidRDefault="00DC28B1">
          <w:pPr>
            <w:pStyle w:val="Header"/>
            <w:spacing w:before="120"/>
            <w:ind w:right="21"/>
            <w:jc w:val="right"/>
            <w:rPr>
              <w:rFonts w:ascii="Poppins" w:hAnsi="Poppins" w:cs="Poppins"/>
              <w:color w:val="392388"/>
            </w:rPr>
          </w:pPr>
          <w:r>
            <w:rPr>
              <w:noProof/>
            </w:rPr>
            <w:drawing>
              <wp:inline distT="0" distB="0" distL="0" distR="0" wp14:anchorId="36C9D972" wp14:editId="78A7CDC4">
                <wp:extent cx="914400" cy="190500"/>
                <wp:effectExtent l="0" t="0" r="0" b="0"/>
                <wp:docPr id="45" name="Picture 10"/>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233A0D4E" w14:textId="77777777" w:rsidR="00C26C0C" w:rsidRDefault="00C26C0C">
    <w:pPr>
      <w:pStyle w:val="Footer"/>
      <w:rPr>
        <w:rFonts w:ascii="Poppins" w:hAnsi="Poppins" w:cs="Poppins"/>
        <w:color w:val="39238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26C0C" w14:paraId="64C17DEF" w14:textId="77777777">
      <w:tc>
        <w:tcPr>
          <w:tcW w:w="5812" w:type="dxa"/>
        </w:tcPr>
        <w:p w14:paraId="49BC1BCF" w14:textId="77777777" w:rsidR="00C26C0C" w:rsidRDefault="00DC28B1">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Kayleigh Sambhi</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564484876"/>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3</w:t>
              </w:r>
              <w:r>
                <w:rPr>
                  <w:rFonts w:ascii="Poppins" w:hAnsi="Poppins" w:cs="Poppins"/>
                  <w:color w:val="392388"/>
                  <w:sz w:val="16"/>
                  <w:szCs w:val="16"/>
                </w:rPr>
                <w:fldChar w:fldCharType="end"/>
              </w:r>
            </w:sdtContent>
          </w:sdt>
        </w:p>
      </w:tc>
      <w:tc>
        <w:tcPr>
          <w:tcW w:w="4678" w:type="dxa"/>
        </w:tcPr>
        <w:p w14:paraId="5083A0ED" w14:textId="77777777" w:rsidR="00C26C0C" w:rsidRDefault="00DC28B1">
          <w:pPr>
            <w:pStyle w:val="Header"/>
            <w:spacing w:before="120"/>
            <w:ind w:right="21"/>
            <w:jc w:val="right"/>
            <w:rPr>
              <w:rFonts w:ascii="Poppins" w:hAnsi="Poppins" w:cs="Poppins"/>
              <w:color w:val="392388"/>
            </w:rPr>
          </w:pPr>
          <w:r>
            <w:rPr>
              <w:noProof/>
            </w:rPr>
            <w:drawing>
              <wp:inline distT="0" distB="0" distL="0" distR="0" wp14:anchorId="588DD2DC" wp14:editId="53DF2919">
                <wp:extent cx="914400" cy="190500"/>
                <wp:effectExtent l="0" t="0" r="0" b="0"/>
                <wp:docPr id="43" name="Picture 8"/>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6E0931DB" w14:textId="77777777" w:rsidR="00C26C0C" w:rsidRDefault="00C26C0C">
    <w:pPr>
      <w:pStyle w:val="Footer"/>
      <w:rPr>
        <w:rFonts w:ascii="Poppins" w:hAnsi="Poppins" w:cs="Poppins"/>
        <w:color w:val="39238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26C0C" w14:paraId="357492A3" w14:textId="77777777">
      <w:tc>
        <w:tcPr>
          <w:tcW w:w="5812" w:type="dxa"/>
        </w:tcPr>
        <w:p w14:paraId="584E0EC6" w14:textId="77777777" w:rsidR="00C26C0C" w:rsidRDefault="00DC28B1">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Kayleigh Sambhi</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579640327"/>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4599B9AA" w14:textId="77777777" w:rsidR="00C26C0C" w:rsidRDefault="00DC28B1">
          <w:pPr>
            <w:pStyle w:val="Header"/>
            <w:spacing w:before="120"/>
            <w:ind w:right="21"/>
            <w:jc w:val="right"/>
            <w:rPr>
              <w:rFonts w:ascii="Poppins" w:hAnsi="Poppins" w:cs="Poppins"/>
              <w:color w:val="392388"/>
            </w:rPr>
          </w:pPr>
          <w:r>
            <w:rPr>
              <w:noProof/>
            </w:rPr>
            <w:drawing>
              <wp:inline distT="0" distB="0" distL="0" distR="0" wp14:anchorId="3338827E" wp14:editId="19F2F085">
                <wp:extent cx="914400" cy="19050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542A55EC" w14:textId="77777777" w:rsidR="00C26C0C" w:rsidRDefault="00C26C0C">
    <w:pPr>
      <w:pStyle w:val="Footer"/>
      <w:rPr>
        <w:rFonts w:ascii="Poppins" w:hAnsi="Poppins" w:cs="Poppins"/>
        <w:color w:val="39238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1E34" w14:textId="77777777" w:rsidR="00C26C0C" w:rsidRDefault="00C26C0C">
    <w:pPr>
      <w:pStyle w:val="Footer"/>
      <w:rPr>
        <w:rFonts w:ascii="Poppins" w:hAnsi="Poppins" w:cs="Poppins"/>
        <w:color w:val="392388"/>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26C0C" w14:paraId="3967C6D3" w14:textId="77777777">
      <w:tc>
        <w:tcPr>
          <w:tcW w:w="5812" w:type="dxa"/>
        </w:tcPr>
        <w:p w14:paraId="314C6CE7" w14:textId="77777777" w:rsidR="00C26C0C" w:rsidRDefault="00DC28B1">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Kayleigh Sambhi</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581875434"/>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5BFAA3B9" w14:textId="77777777" w:rsidR="00C26C0C" w:rsidRDefault="00DC28B1">
          <w:pPr>
            <w:pStyle w:val="Header"/>
            <w:spacing w:before="120"/>
            <w:ind w:right="21"/>
            <w:jc w:val="right"/>
            <w:rPr>
              <w:rFonts w:ascii="Poppins" w:hAnsi="Poppins" w:cs="Poppins"/>
              <w:color w:val="392388"/>
            </w:rPr>
          </w:pPr>
          <w:r>
            <w:rPr>
              <w:noProof/>
            </w:rPr>
            <w:drawing>
              <wp:inline distT="0" distB="0" distL="0" distR="0" wp14:anchorId="1801E281" wp14:editId="1B5B2D95">
                <wp:extent cx="914400" cy="190500"/>
                <wp:effectExtent l="0" t="0" r="0" b="0"/>
                <wp:docPr id="39" name="Picture 12"/>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5D436597" w14:textId="77777777" w:rsidR="00C26C0C" w:rsidRDefault="00C26C0C">
    <w:pPr>
      <w:pStyle w:val="Footer"/>
      <w:rPr>
        <w:rFonts w:ascii="Poppins" w:hAnsi="Poppins" w:cs="Poppins"/>
        <w:color w:val="39238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26C0C" w14:paraId="3C0013E8" w14:textId="77777777">
      <w:tc>
        <w:tcPr>
          <w:tcW w:w="5812" w:type="dxa"/>
        </w:tcPr>
        <w:p w14:paraId="6525A6AA" w14:textId="77777777" w:rsidR="00C26C0C" w:rsidRDefault="00DC28B1">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Kayleigh Sambhi</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884168208"/>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4</w:t>
              </w:r>
              <w:r>
                <w:rPr>
                  <w:rFonts w:ascii="Poppins" w:hAnsi="Poppins" w:cs="Poppins"/>
                  <w:color w:val="392388"/>
                  <w:sz w:val="16"/>
                  <w:szCs w:val="16"/>
                </w:rPr>
                <w:fldChar w:fldCharType="end"/>
              </w:r>
            </w:sdtContent>
          </w:sdt>
        </w:p>
      </w:tc>
      <w:tc>
        <w:tcPr>
          <w:tcW w:w="4678" w:type="dxa"/>
        </w:tcPr>
        <w:p w14:paraId="7077B8F9" w14:textId="77777777" w:rsidR="00C26C0C" w:rsidRDefault="00DC28B1">
          <w:pPr>
            <w:pStyle w:val="Header"/>
            <w:spacing w:before="120"/>
            <w:ind w:right="21"/>
            <w:jc w:val="right"/>
            <w:rPr>
              <w:rFonts w:ascii="Poppins" w:hAnsi="Poppins" w:cs="Poppins"/>
              <w:color w:val="392388"/>
            </w:rPr>
          </w:pPr>
          <w:r>
            <w:rPr>
              <w:noProof/>
            </w:rPr>
            <w:drawing>
              <wp:inline distT="0" distB="0" distL="0" distR="0" wp14:anchorId="13F061E2" wp14:editId="07E7C9C9">
                <wp:extent cx="914400" cy="190500"/>
                <wp:effectExtent l="0" t="0" r="0" b="0"/>
                <wp:docPr id="37" name="Picture 12"/>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6A08710A" w14:textId="77777777" w:rsidR="00C26C0C" w:rsidRDefault="00C26C0C">
    <w:pPr>
      <w:pStyle w:val="Footer"/>
      <w:rPr>
        <w:rFonts w:ascii="Poppins" w:hAnsi="Poppins" w:cs="Poppins"/>
        <w:color w:val="39238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26C0C" w14:paraId="1FCEA28F" w14:textId="77777777">
      <w:tc>
        <w:tcPr>
          <w:tcW w:w="5812" w:type="dxa"/>
        </w:tcPr>
        <w:p w14:paraId="5805EBC7" w14:textId="77777777" w:rsidR="00C26C0C" w:rsidRDefault="00DC28B1">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Kayleigh Sambhi</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593432073"/>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7</w:t>
              </w:r>
              <w:r>
                <w:rPr>
                  <w:rFonts w:ascii="Poppins" w:hAnsi="Poppins" w:cs="Poppins"/>
                  <w:color w:val="392388"/>
                  <w:sz w:val="16"/>
                  <w:szCs w:val="16"/>
                </w:rPr>
                <w:fldChar w:fldCharType="end"/>
              </w:r>
            </w:sdtContent>
          </w:sdt>
        </w:p>
      </w:tc>
      <w:tc>
        <w:tcPr>
          <w:tcW w:w="4678" w:type="dxa"/>
        </w:tcPr>
        <w:p w14:paraId="76330EE0" w14:textId="77777777" w:rsidR="00C26C0C" w:rsidRDefault="00DC28B1">
          <w:pPr>
            <w:pStyle w:val="Header"/>
            <w:spacing w:before="120"/>
            <w:ind w:right="21"/>
            <w:jc w:val="right"/>
            <w:rPr>
              <w:rFonts w:ascii="Poppins" w:hAnsi="Poppins" w:cs="Poppins"/>
              <w:color w:val="392388"/>
            </w:rPr>
          </w:pPr>
          <w:r>
            <w:rPr>
              <w:noProof/>
            </w:rPr>
            <w:drawing>
              <wp:inline distT="0" distB="0" distL="0" distR="0" wp14:anchorId="6234DDB6" wp14:editId="212A8A14">
                <wp:extent cx="914400" cy="190500"/>
                <wp:effectExtent l="0" t="0" r="0" b="0"/>
                <wp:docPr id="35" name="Picture 12"/>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553F131A" w14:textId="77777777" w:rsidR="00C26C0C" w:rsidRDefault="00C26C0C">
    <w:pPr>
      <w:pStyle w:val="Footer"/>
      <w:rPr>
        <w:rFonts w:ascii="Poppins" w:hAnsi="Poppins" w:cs="Poppins"/>
        <w:color w:val="39238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26C0C" w14:paraId="212BBB6B" w14:textId="77777777">
      <w:tc>
        <w:tcPr>
          <w:tcW w:w="5812" w:type="dxa"/>
        </w:tcPr>
        <w:p w14:paraId="66E5C53D" w14:textId="77777777" w:rsidR="00C26C0C" w:rsidRDefault="00DC28B1">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Kayleigh Sambhi</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185252956"/>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8</w:t>
              </w:r>
              <w:r>
                <w:rPr>
                  <w:rFonts w:ascii="Poppins" w:hAnsi="Poppins" w:cs="Poppins"/>
                  <w:color w:val="392388"/>
                  <w:sz w:val="16"/>
                  <w:szCs w:val="16"/>
                </w:rPr>
                <w:fldChar w:fldCharType="end"/>
              </w:r>
            </w:sdtContent>
          </w:sdt>
        </w:p>
      </w:tc>
      <w:tc>
        <w:tcPr>
          <w:tcW w:w="4678" w:type="dxa"/>
        </w:tcPr>
        <w:p w14:paraId="17CCA6E7" w14:textId="77777777" w:rsidR="00C26C0C" w:rsidRDefault="00DC28B1">
          <w:pPr>
            <w:pStyle w:val="Header"/>
            <w:spacing w:before="120"/>
            <w:ind w:right="21"/>
            <w:jc w:val="right"/>
            <w:rPr>
              <w:rFonts w:ascii="Poppins" w:hAnsi="Poppins" w:cs="Poppins"/>
              <w:color w:val="392388"/>
            </w:rPr>
          </w:pPr>
          <w:r>
            <w:rPr>
              <w:noProof/>
            </w:rPr>
            <w:drawing>
              <wp:inline distT="0" distB="0" distL="0" distR="0" wp14:anchorId="77FFD783" wp14:editId="2CFBA9E9">
                <wp:extent cx="914400" cy="190500"/>
                <wp:effectExtent l="0" t="0" r="0" b="0"/>
                <wp:docPr id="33" name="Picture 12"/>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25C1C6FF" w14:textId="77777777" w:rsidR="00C26C0C" w:rsidRDefault="00C26C0C">
    <w:pPr>
      <w:pStyle w:val="Footer"/>
      <w:rPr>
        <w:rFonts w:ascii="Poppins" w:hAnsi="Poppins" w:cs="Poppins"/>
        <w:color w:val="39238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26C0C" w14:paraId="5918439C" w14:textId="77777777">
      <w:tc>
        <w:tcPr>
          <w:tcW w:w="5812" w:type="dxa"/>
        </w:tcPr>
        <w:p w14:paraId="766442BE" w14:textId="77777777" w:rsidR="00C26C0C" w:rsidRDefault="00DC28B1">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Kayleigh Sambhi</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746106271"/>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9</w:t>
              </w:r>
              <w:r>
                <w:rPr>
                  <w:rFonts w:ascii="Poppins" w:hAnsi="Poppins" w:cs="Poppins"/>
                  <w:color w:val="392388"/>
                  <w:sz w:val="16"/>
                  <w:szCs w:val="16"/>
                </w:rPr>
                <w:fldChar w:fldCharType="end"/>
              </w:r>
            </w:sdtContent>
          </w:sdt>
        </w:p>
      </w:tc>
      <w:tc>
        <w:tcPr>
          <w:tcW w:w="4678" w:type="dxa"/>
        </w:tcPr>
        <w:p w14:paraId="7F6176D2" w14:textId="77777777" w:rsidR="00C26C0C" w:rsidRDefault="00DC28B1">
          <w:pPr>
            <w:pStyle w:val="Header"/>
            <w:spacing w:before="120"/>
            <w:ind w:right="21"/>
            <w:jc w:val="right"/>
            <w:rPr>
              <w:rFonts w:ascii="Poppins" w:hAnsi="Poppins" w:cs="Poppins"/>
              <w:color w:val="392388"/>
            </w:rPr>
          </w:pPr>
          <w:r>
            <w:rPr>
              <w:noProof/>
            </w:rPr>
            <w:drawing>
              <wp:inline distT="0" distB="0" distL="0" distR="0" wp14:anchorId="4DB22A15" wp14:editId="47054AAF">
                <wp:extent cx="914400" cy="190500"/>
                <wp:effectExtent l="0" t="0" r="0" b="0"/>
                <wp:docPr id="31" name="Picture 1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12E6921D" w14:textId="77777777" w:rsidR="00C26C0C" w:rsidRDefault="00C26C0C">
    <w:pPr>
      <w:pStyle w:val="Footer"/>
      <w:rPr>
        <w:rFonts w:ascii="Poppins" w:hAnsi="Poppins" w:cs="Poppins"/>
        <w:color w:val="39238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26C0C" w14:paraId="22BEF18A" w14:textId="77777777">
      <w:tc>
        <w:tcPr>
          <w:tcW w:w="5812" w:type="dxa"/>
        </w:tcPr>
        <w:p w14:paraId="1CE8F689" w14:textId="77777777" w:rsidR="00C26C0C" w:rsidRDefault="00DC28B1">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Kayleigh Sambhi</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574267963"/>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10</w:t>
              </w:r>
              <w:r>
                <w:rPr>
                  <w:rFonts w:ascii="Poppins" w:hAnsi="Poppins" w:cs="Poppins"/>
                  <w:color w:val="392388"/>
                  <w:sz w:val="16"/>
                  <w:szCs w:val="16"/>
                </w:rPr>
                <w:fldChar w:fldCharType="end"/>
              </w:r>
            </w:sdtContent>
          </w:sdt>
        </w:p>
      </w:tc>
      <w:tc>
        <w:tcPr>
          <w:tcW w:w="4678" w:type="dxa"/>
        </w:tcPr>
        <w:p w14:paraId="3046AF47" w14:textId="77777777" w:rsidR="00C26C0C" w:rsidRDefault="00DC28B1">
          <w:pPr>
            <w:pStyle w:val="Header"/>
            <w:spacing w:before="120"/>
            <w:ind w:right="21"/>
            <w:jc w:val="right"/>
            <w:rPr>
              <w:rFonts w:ascii="Poppins" w:hAnsi="Poppins" w:cs="Poppins"/>
              <w:color w:val="392388"/>
            </w:rPr>
          </w:pPr>
          <w:r>
            <w:rPr>
              <w:noProof/>
            </w:rPr>
            <w:drawing>
              <wp:inline distT="0" distB="0" distL="0" distR="0" wp14:anchorId="310EFA5C" wp14:editId="26A76CA5">
                <wp:extent cx="914400" cy="190500"/>
                <wp:effectExtent l="0" t="0" r="0" b="0"/>
                <wp:docPr id="29" name="Picture 12"/>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1244FE32" w14:textId="77777777" w:rsidR="00C26C0C" w:rsidRDefault="00C26C0C">
    <w:pPr>
      <w:pStyle w:val="Footer"/>
      <w:rPr>
        <w:rFonts w:ascii="Poppins" w:hAnsi="Poppins" w:cs="Poppins"/>
        <w:color w:val="39238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26C0C" w14:paraId="6C9A1B85" w14:textId="77777777">
      <w:tc>
        <w:tcPr>
          <w:tcW w:w="5812" w:type="dxa"/>
        </w:tcPr>
        <w:p w14:paraId="71CC31DB" w14:textId="77777777" w:rsidR="00C26C0C" w:rsidRDefault="00DC28B1">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Kayleigh Sambhi</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056281570"/>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11</w:t>
              </w:r>
              <w:r>
                <w:rPr>
                  <w:rFonts w:ascii="Poppins" w:hAnsi="Poppins" w:cs="Poppins"/>
                  <w:color w:val="392388"/>
                  <w:sz w:val="16"/>
                  <w:szCs w:val="16"/>
                </w:rPr>
                <w:fldChar w:fldCharType="end"/>
              </w:r>
            </w:sdtContent>
          </w:sdt>
        </w:p>
      </w:tc>
      <w:tc>
        <w:tcPr>
          <w:tcW w:w="4678" w:type="dxa"/>
        </w:tcPr>
        <w:p w14:paraId="41A185E3" w14:textId="77777777" w:rsidR="00C26C0C" w:rsidRDefault="00DC28B1">
          <w:pPr>
            <w:pStyle w:val="Header"/>
            <w:spacing w:before="120"/>
            <w:ind w:right="21"/>
            <w:jc w:val="right"/>
            <w:rPr>
              <w:rFonts w:ascii="Poppins" w:hAnsi="Poppins" w:cs="Poppins"/>
              <w:color w:val="392388"/>
            </w:rPr>
          </w:pPr>
          <w:r>
            <w:rPr>
              <w:noProof/>
            </w:rPr>
            <w:drawing>
              <wp:inline distT="0" distB="0" distL="0" distR="0" wp14:anchorId="7FFFCBE1" wp14:editId="133D840E">
                <wp:extent cx="914400" cy="190500"/>
                <wp:effectExtent l="0" t="0" r="0" b="0"/>
                <wp:docPr id="27" name="Picture 12"/>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6F1EB726" w14:textId="77777777" w:rsidR="00C26C0C" w:rsidRDefault="00C26C0C">
    <w:pPr>
      <w:pStyle w:val="Footer"/>
      <w:rPr>
        <w:rFonts w:ascii="Poppins" w:hAnsi="Poppins" w:cs="Poppins"/>
        <w:color w:val="39238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26C0C" w14:paraId="55CD1D24" w14:textId="77777777">
      <w:tc>
        <w:tcPr>
          <w:tcW w:w="5812" w:type="dxa"/>
        </w:tcPr>
        <w:p w14:paraId="6BFEDD06" w14:textId="77777777" w:rsidR="00C26C0C" w:rsidRDefault="00DC28B1">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Kayleigh Sambhi</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363743006"/>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12</w:t>
              </w:r>
              <w:r>
                <w:rPr>
                  <w:rFonts w:ascii="Poppins" w:hAnsi="Poppins" w:cs="Poppins"/>
                  <w:color w:val="392388"/>
                  <w:sz w:val="16"/>
                  <w:szCs w:val="16"/>
                </w:rPr>
                <w:fldChar w:fldCharType="end"/>
              </w:r>
            </w:sdtContent>
          </w:sdt>
        </w:p>
      </w:tc>
      <w:tc>
        <w:tcPr>
          <w:tcW w:w="4678" w:type="dxa"/>
        </w:tcPr>
        <w:p w14:paraId="2B722A4A" w14:textId="77777777" w:rsidR="00C26C0C" w:rsidRDefault="00DC28B1">
          <w:pPr>
            <w:pStyle w:val="Header"/>
            <w:spacing w:before="120"/>
            <w:ind w:right="21"/>
            <w:jc w:val="right"/>
            <w:rPr>
              <w:rFonts w:ascii="Poppins" w:hAnsi="Poppins" w:cs="Poppins"/>
              <w:color w:val="392388"/>
            </w:rPr>
          </w:pPr>
          <w:r>
            <w:rPr>
              <w:noProof/>
            </w:rPr>
            <w:drawing>
              <wp:inline distT="0" distB="0" distL="0" distR="0" wp14:anchorId="39FFD6BE" wp14:editId="26DDFFB5">
                <wp:extent cx="914400" cy="190500"/>
                <wp:effectExtent l="0" t="0" r="0" b="0"/>
                <wp:docPr id="25" name="Picture 12"/>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38E3DA20" w14:textId="77777777" w:rsidR="00C26C0C" w:rsidRDefault="00C26C0C">
    <w:pPr>
      <w:pStyle w:val="Footer"/>
      <w:rPr>
        <w:rFonts w:ascii="Poppins" w:hAnsi="Poppins" w:cs="Poppins"/>
        <w:color w:val="392388"/>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26C0C" w14:paraId="27B51CDF" w14:textId="77777777">
      <w:tc>
        <w:tcPr>
          <w:tcW w:w="5812" w:type="dxa"/>
        </w:tcPr>
        <w:p w14:paraId="14D81FD5" w14:textId="77777777" w:rsidR="00C26C0C" w:rsidRDefault="00DC28B1">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Kayleigh Sambhi</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157680770"/>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15</w:t>
              </w:r>
              <w:r>
                <w:rPr>
                  <w:rFonts w:ascii="Poppins" w:hAnsi="Poppins" w:cs="Poppins"/>
                  <w:color w:val="392388"/>
                  <w:sz w:val="16"/>
                  <w:szCs w:val="16"/>
                </w:rPr>
                <w:fldChar w:fldCharType="end"/>
              </w:r>
            </w:sdtContent>
          </w:sdt>
        </w:p>
      </w:tc>
      <w:tc>
        <w:tcPr>
          <w:tcW w:w="4678" w:type="dxa"/>
        </w:tcPr>
        <w:p w14:paraId="4249E3CE" w14:textId="77777777" w:rsidR="00C26C0C" w:rsidRDefault="00DC28B1">
          <w:pPr>
            <w:pStyle w:val="Header"/>
            <w:spacing w:before="120"/>
            <w:ind w:right="21"/>
            <w:jc w:val="right"/>
            <w:rPr>
              <w:rFonts w:ascii="Poppins" w:hAnsi="Poppins" w:cs="Poppins"/>
              <w:color w:val="392388"/>
            </w:rPr>
          </w:pPr>
          <w:r>
            <w:rPr>
              <w:noProof/>
            </w:rPr>
            <w:drawing>
              <wp:inline distT="0" distB="0" distL="0" distR="0" wp14:anchorId="2DA77D93" wp14:editId="0D893A6F">
                <wp:extent cx="914400" cy="190500"/>
                <wp:effectExtent l="0" t="0" r="0" b="0"/>
                <wp:docPr id="23" name="Picture 12"/>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6A2151FA" w14:textId="77777777" w:rsidR="00C26C0C" w:rsidRDefault="00C26C0C">
    <w:pPr>
      <w:pStyle w:val="Footer"/>
      <w:rPr>
        <w:rFonts w:ascii="Poppins" w:hAnsi="Poppins" w:cs="Poppins"/>
        <w:color w:val="39238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AD8F5" w14:textId="77777777" w:rsidR="00DC28B1" w:rsidRDefault="00DC28B1">
      <w:pPr>
        <w:spacing w:after="0" w:line="240" w:lineRule="auto"/>
      </w:pPr>
      <w:r>
        <w:separator/>
      </w:r>
    </w:p>
  </w:footnote>
  <w:footnote w:type="continuationSeparator" w:id="0">
    <w:p w14:paraId="3A560DDA" w14:textId="77777777" w:rsidR="00DC28B1" w:rsidRDefault="00DC28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B70FA" w14:textId="77777777" w:rsidR="00C26C0C" w:rsidRDefault="00C26C0C">
    <w:pPr>
      <w:pStyle w:val="Header"/>
      <w:ind w:right="-422"/>
      <w:jc w:val="right"/>
    </w:pPr>
  </w:p>
  <w:p w14:paraId="4D5A1C28" w14:textId="77777777" w:rsidR="00C26C0C" w:rsidRDefault="00C26C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ED45" w14:textId="77777777" w:rsidR="00C26C0C" w:rsidRDefault="00C26C0C">
    <w:pPr>
      <w:pStyle w:val="Header"/>
      <w:ind w:right="-422"/>
      <w:jc w:val="right"/>
    </w:pPr>
  </w:p>
  <w:p w14:paraId="32DA2D5C" w14:textId="77777777" w:rsidR="00C26C0C" w:rsidRDefault="00C26C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EC9F0" w14:textId="77777777" w:rsidR="00C26C0C" w:rsidRDefault="00C26C0C">
    <w:pPr>
      <w:pStyle w:val="Header"/>
      <w:ind w:right="-422"/>
      <w:jc w:val="right"/>
    </w:pPr>
  </w:p>
  <w:p w14:paraId="25B5D5BB" w14:textId="77777777" w:rsidR="00C26C0C" w:rsidRDefault="00C26C0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8315E" w14:textId="77777777" w:rsidR="00C26C0C" w:rsidRDefault="00C26C0C">
    <w:pPr>
      <w:pStyle w:val="Header"/>
      <w:ind w:right="-422"/>
      <w:jc w:val="right"/>
    </w:pPr>
    <w:bookmarkStart w:id="1" w:name="_Hlk75169875"/>
    <w:bookmarkStart w:id="2" w:name="_Hlk75169876"/>
    <w:bookmarkStart w:id="3" w:name="_Hlk75169879"/>
    <w:bookmarkStart w:id="4" w:name="_Hlk75169880"/>
  </w:p>
  <w:bookmarkEnd w:id="1"/>
  <w:bookmarkEnd w:id="2"/>
  <w:bookmarkEnd w:id="3"/>
  <w:p w14:paraId="71FA8F94" w14:textId="77777777" w:rsidR="00C26C0C" w:rsidRDefault="00C26C0C">
    <w:pPr>
      <w:pStyle w:val="Header"/>
    </w:pPr>
  </w:p>
  <w:bookmarkEnd w:id="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69C2" w14:textId="77777777" w:rsidR="00DC28B1" w:rsidRDefault="00DC28B1">
    <w:r>
      <w:c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717AA" w14:textId="77777777" w:rsidR="00C26C0C" w:rsidRDefault="00C26C0C">
    <w:pPr>
      <w:pStyle w:val="Header"/>
      <w:ind w:right="-422"/>
      <w:jc w:val="right"/>
    </w:pPr>
  </w:p>
  <w:p w14:paraId="50F3BD0F" w14:textId="77777777" w:rsidR="00C26C0C" w:rsidRDefault="00C26C0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151E" w14:textId="77777777" w:rsidR="00C26C0C" w:rsidRDefault="00C26C0C">
    <w:pPr>
      <w:pStyle w:val="Header"/>
      <w:ind w:right="-422"/>
      <w:jc w:val="right"/>
    </w:pPr>
  </w:p>
  <w:p w14:paraId="0AD6E9B5" w14:textId="77777777" w:rsidR="00C26C0C" w:rsidRDefault="00C26C0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1A84" w14:textId="77777777" w:rsidR="00C26C0C" w:rsidRDefault="00C26C0C">
    <w:pPr>
      <w:pStyle w:val="Header"/>
      <w:ind w:right="-422"/>
      <w:jc w:val="right"/>
    </w:pPr>
  </w:p>
  <w:p w14:paraId="490116DD" w14:textId="77777777" w:rsidR="00C26C0C" w:rsidRDefault="00C26C0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23E8" w14:textId="77777777" w:rsidR="00C26C0C" w:rsidRDefault="00C26C0C">
    <w:pPr>
      <w:pStyle w:val="Header"/>
      <w:ind w:right="-422"/>
      <w:jc w:val="right"/>
    </w:pPr>
  </w:p>
  <w:p w14:paraId="1DDF4CE1" w14:textId="77777777" w:rsidR="00C26C0C" w:rsidRDefault="00C26C0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A6C67" w14:textId="77777777" w:rsidR="00C26C0C" w:rsidRDefault="00C26C0C">
    <w:pPr>
      <w:pStyle w:val="Header"/>
      <w:ind w:right="-422"/>
      <w:jc w:val="right"/>
    </w:pPr>
  </w:p>
  <w:p w14:paraId="082DB72A" w14:textId="77777777" w:rsidR="00C26C0C" w:rsidRDefault="00C26C0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D2DA" w14:textId="77777777" w:rsidR="00C26C0C" w:rsidRDefault="00C26C0C">
    <w:pPr>
      <w:pStyle w:val="Header"/>
      <w:ind w:right="-422"/>
      <w:jc w:val="right"/>
    </w:pPr>
  </w:p>
  <w:p w14:paraId="03B7ECC9" w14:textId="77777777" w:rsidR="00C26C0C" w:rsidRDefault="00C26C0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71A9E" w14:textId="77777777" w:rsidR="00C26C0C" w:rsidRDefault="00C26C0C">
    <w:pPr>
      <w:pStyle w:val="Header"/>
      <w:ind w:right="-422"/>
      <w:jc w:val="right"/>
    </w:pPr>
  </w:p>
  <w:p w14:paraId="3484EEE6" w14:textId="77777777" w:rsidR="00C26C0C" w:rsidRDefault="00C26C0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2269" w14:textId="77777777" w:rsidR="00C26C0C" w:rsidRDefault="00C26C0C">
    <w:pPr>
      <w:pStyle w:val="Header"/>
      <w:ind w:right="-422"/>
      <w:jc w:val="right"/>
    </w:pPr>
  </w:p>
  <w:p w14:paraId="3AAEE99E" w14:textId="77777777" w:rsidR="00C26C0C" w:rsidRDefault="00C26C0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86D2" w14:textId="77777777" w:rsidR="00C26C0C" w:rsidRDefault="00C26C0C">
    <w:pPr>
      <w:pStyle w:val="Header"/>
      <w:ind w:right="-422"/>
      <w:jc w:val="right"/>
    </w:pPr>
  </w:p>
  <w:p w14:paraId="52F0DC76" w14:textId="77777777" w:rsidR="00C26C0C" w:rsidRDefault="00C26C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0MTSwMDY2Nzc2NLVQ0lEKTi0uzszPAykwrgUAFgfppywAAAA="/>
  </w:docVars>
  <w:rsids>
    <w:rsidRoot w:val="00A86A8E"/>
    <w:rsid w:val="000036E6"/>
    <w:rsid w:val="00010E1C"/>
    <w:rsid w:val="000145C0"/>
    <w:rsid w:val="00021E72"/>
    <w:rsid w:val="00032586"/>
    <w:rsid w:val="000345E7"/>
    <w:rsid w:val="00035002"/>
    <w:rsid w:val="00035B6E"/>
    <w:rsid w:val="000376F0"/>
    <w:rsid w:val="000416B3"/>
    <w:rsid w:val="000467A0"/>
    <w:rsid w:val="000839B8"/>
    <w:rsid w:val="000A3FDE"/>
    <w:rsid w:val="000A5A01"/>
    <w:rsid w:val="000C162B"/>
    <w:rsid w:val="000C22EF"/>
    <w:rsid w:val="000F01DB"/>
    <w:rsid w:val="000F3101"/>
    <w:rsid w:val="001015C4"/>
    <w:rsid w:val="00103C4C"/>
    <w:rsid w:val="0011040F"/>
    <w:rsid w:val="001118D3"/>
    <w:rsid w:val="00111A73"/>
    <w:rsid w:val="00112156"/>
    <w:rsid w:val="001138B0"/>
    <w:rsid w:val="00114620"/>
    <w:rsid w:val="001169B6"/>
    <w:rsid w:val="00116C95"/>
    <w:rsid w:val="001174DA"/>
    <w:rsid w:val="00120A7B"/>
    <w:rsid w:val="00121D62"/>
    <w:rsid w:val="00122992"/>
    <w:rsid w:val="001234C9"/>
    <w:rsid w:val="00127A51"/>
    <w:rsid w:val="00144D8B"/>
    <w:rsid w:val="001473F3"/>
    <w:rsid w:val="00161448"/>
    <w:rsid w:val="001615AE"/>
    <w:rsid w:val="001954AC"/>
    <w:rsid w:val="001A3A29"/>
    <w:rsid w:val="001A4B81"/>
    <w:rsid w:val="001B2B26"/>
    <w:rsid w:val="001C124D"/>
    <w:rsid w:val="001C1304"/>
    <w:rsid w:val="001C4A54"/>
    <w:rsid w:val="001D61D7"/>
    <w:rsid w:val="001E1B10"/>
    <w:rsid w:val="001E2F17"/>
    <w:rsid w:val="001F2A1D"/>
    <w:rsid w:val="002017D0"/>
    <w:rsid w:val="002053E0"/>
    <w:rsid w:val="00213759"/>
    <w:rsid w:val="002153CD"/>
    <w:rsid w:val="00222DB3"/>
    <w:rsid w:val="00223A88"/>
    <w:rsid w:val="002318E6"/>
    <w:rsid w:val="002365A2"/>
    <w:rsid w:val="00240677"/>
    <w:rsid w:val="00251D4E"/>
    <w:rsid w:val="002565E6"/>
    <w:rsid w:val="0026386B"/>
    <w:rsid w:val="0026455E"/>
    <w:rsid w:val="00276059"/>
    <w:rsid w:val="00292C63"/>
    <w:rsid w:val="00296C0F"/>
    <w:rsid w:val="002A72A2"/>
    <w:rsid w:val="002B06CD"/>
    <w:rsid w:val="002B316B"/>
    <w:rsid w:val="002C3F50"/>
    <w:rsid w:val="002D1542"/>
    <w:rsid w:val="002D27B3"/>
    <w:rsid w:val="002D64A0"/>
    <w:rsid w:val="002D73BD"/>
    <w:rsid w:val="002E1116"/>
    <w:rsid w:val="002E32DD"/>
    <w:rsid w:val="002E3329"/>
    <w:rsid w:val="002E5A0F"/>
    <w:rsid w:val="002F0796"/>
    <w:rsid w:val="002F398E"/>
    <w:rsid w:val="003030FB"/>
    <w:rsid w:val="00305795"/>
    <w:rsid w:val="00316D3E"/>
    <w:rsid w:val="00316F09"/>
    <w:rsid w:val="003171EC"/>
    <w:rsid w:val="00326735"/>
    <w:rsid w:val="003323D0"/>
    <w:rsid w:val="0033317F"/>
    <w:rsid w:val="00344A17"/>
    <w:rsid w:val="00350DAB"/>
    <w:rsid w:val="00365B97"/>
    <w:rsid w:val="00373B5E"/>
    <w:rsid w:val="00374EA7"/>
    <w:rsid w:val="00382E1A"/>
    <w:rsid w:val="003870FA"/>
    <w:rsid w:val="003A2D7B"/>
    <w:rsid w:val="003A5509"/>
    <w:rsid w:val="003B0894"/>
    <w:rsid w:val="003B41CE"/>
    <w:rsid w:val="003B5630"/>
    <w:rsid w:val="003C7426"/>
    <w:rsid w:val="003D08EA"/>
    <w:rsid w:val="003D2594"/>
    <w:rsid w:val="003E2A77"/>
    <w:rsid w:val="003F0D32"/>
    <w:rsid w:val="00400A25"/>
    <w:rsid w:val="00400B80"/>
    <w:rsid w:val="004012DE"/>
    <w:rsid w:val="00405514"/>
    <w:rsid w:val="00424DF7"/>
    <w:rsid w:val="00424ED0"/>
    <w:rsid w:val="00425471"/>
    <w:rsid w:val="00430D46"/>
    <w:rsid w:val="004310E5"/>
    <w:rsid w:val="00433A7F"/>
    <w:rsid w:val="00435E7C"/>
    <w:rsid w:val="00437ACE"/>
    <w:rsid w:val="00450296"/>
    <w:rsid w:val="0045079D"/>
    <w:rsid w:val="00451C64"/>
    <w:rsid w:val="00452543"/>
    <w:rsid w:val="004525D3"/>
    <w:rsid w:val="0045275C"/>
    <w:rsid w:val="0046398B"/>
    <w:rsid w:val="004863A6"/>
    <w:rsid w:val="00491C23"/>
    <w:rsid w:val="004928F3"/>
    <w:rsid w:val="00493904"/>
    <w:rsid w:val="00494B80"/>
    <w:rsid w:val="004B21FB"/>
    <w:rsid w:val="004B30F0"/>
    <w:rsid w:val="004B7E8F"/>
    <w:rsid w:val="004C7638"/>
    <w:rsid w:val="004D3329"/>
    <w:rsid w:val="004E7FDD"/>
    <w:rsid w:val="004F1216"/>
    <w:rsid w:val="00502EBE"/>
    <w:rsid w:val="00505830"/>
    <w:rsid w:val="00505E33"/>
    <w:rsid w:val="00514806"/>
    <w:rsid w:val="00517F02"/>
    <w:rsid w:val="005206B4"/>
    <w:rsid w:val="00521D89"/>
    <w:rsid w:val="00522005"/>
    <w:rsid w:val="005229A2"/>
    <w:rsid w:val="005245A4"/>
    <w:rsid w:val="00530591"/>
    <w:rsid w:val="0053559E"/>
    <w:rsid w:val="005364B5"/>
    <w:rsid w:val="00544AB2"/>
    <w:rsid w:val="00564AAD"/>
    <w:rsid w:val="00564C2D"/>
    <w:rsid w:val="005740FE"/>
    <w:rsid w:val="00584DFB"/>
    <w:rsid w:val="00591C86"/>
    <w:rsid w:val="005A17C1"/>
    <w:rsid w:val="005B27FA"/>
    <w:rsid w:val="005B330E"/>
    <w:rsid w:val="005B636A"/>
    <w:rsid w:val="005C15C1"/>
    <w:rsid w:val="005C2D44"/>
    <w:rsid w:val="005D4DAD"/>
    <w:rsid w:val="005D52F2"/>
    <w:rsid w:val="005D74D8"/>
    <w:rsid w:val="005E08E5"/>
    <w:rsid w:val="005E79B7"/>
    <w:rsid w:val="005F0058"/>
    <w:rsid w:val="005F0BEE"/>
    <w:rsid w:val="005F4FD9"/>
    <w:rsid w:val="00602C43"/>
    <w:rsid w:val="006040A7"/>
    <w:rsid w:val="00612DEF"/>
    <w:rsid w:val="006223B8"/>
    <w:rsid w:val="0062384D"/>
    <w:rsid w:val="006251AE"/>
    <w:rsid w:val="00625E85"/>
    <w:rsid w:val="00633AF4"/>
    <w:rsid w:val="00635041"/>
    <w:rsid w:val="00635240"/>
    <w:rsid w:val="006372B6"/>
    <w:rsid w:val="00643F61"/>
    <w:rsid w:val="006454BA"/>
    <w:rsid w:val="00657C51"/>
    <w:rsid w:val="00657D32"/>
    <w:rsid w:val="00660C35"/>
    <w:rsid w:val="00661163"/>
    <w:rsid w:val="006658ED"/>
    <w:rsid w:val="00667BEC"/>
    <w:rsid w:val="00682FA9"/>
    <w:rsid w:val="00683E61"/>
    <w:rsid w:val="0068553D"/>
    <w:rsid w:val="0069449F"/>
    <w:rsid w:val="006A05A3"/>
    <w:rsid w:val="006A1853"/>
    <w:rsid w:val="006A385E"/>
    <w:rsid w:val="006B47E8"/>
    <w:rsid w:val="006C05D9"/>
    <w:rsid w:val="006C1A00"/>
    <w:rsid w:val="006C642C"/>
    <w:rsid w:val="006D2779"/>
    <w:rsid w:val="006F7E8E"/>
    <w:rsid w:val="007017D2"/>
    <w:rsid w:val="00701873"/>
    <w:rsid w:val="007033EC"/>
    <w:rsid w:val="007102F1"/>
    <w:rsid w:val="00710455"/>
    <w:rsid w:val="00722FB6"/>
    <w:rsid w:val="00725AD7"/>
    <w:rsid w:val="00737FA5"/>
    <w:rsid w:val="00753007"/>
    <w:rsid w:val="0077163B"/>
    <w:rsid w:val="00782671"/>
    <w:rsid w:val="00783A56"/>
    <w:rsid w:val="007859E4"/>
    <w:rsid w:val="00787FD5"/>
    <w:rsid w:val="00791970"/>
    <w:rsid w:val="007B7265"/>
    <w:rsid w:val="007C6746"/>
    <w:rsid w:val="007D35C7"/>
    <w:rsid w:val="007E42FB"/>
    <w:rsid w:val="007F0705"/>
    <w:rsid w:val="00807BCE"/>
    <w:rsid w:val="00812649"/>
    <w:rsid w:val="00830CA7"/>
    <w:rsid w:val="008405E2"/>
    <w:rsid w:val="00854987"/>
    <w:rsid w:val="00867E8A"/>
    <w:rsid w:val="008743CB"/>
    <w:rsid w:val="00877092"/>
    <w:rsid w:val="00881EFA"/>
    <w:rsid w:val="00890EA2"/>
    <w:rsid w:val="00892BCF"/>
    <w:rsid w:val="0089324D"/>
    <w:rsid w:val="00896B6C"/>
    <w:rsid w:val="008B4640"/>
    <w:rsid w:val="008C779F"/>
    <w:rsid w:val="008E3352"/>
    <w:rsid w:val="008E774C"/>
    <w:rsid w:val="00911604"/>
    <w:rsid w:val="009121EF"/>
    <w:rsid w:val="00915282"/>
    <w:rsid w:val="00916D30"/>
    <w:rsid w:val="00935991"/>
    <w:rsid w:val="00937707"/>
    <w:rsid w:val="0094484E"/>
    <w:rsid w:val="00946F0E"/>
    <w:rsid w:val="00956DA6"/>
    <w:rsid w:val="00974B87"/>
    <w:rsid w:val="00976FE7"/>
    <w:rsid w:val="00984A56"/>
    <w:rsid w:val="00985798"/>
    <w:rsid w:val="0098735A"/>
    <w:rsid w:val="00995959"/>
    <w:rsid w:val="00996DC4"/>
    <w:rsid w:val="0099756A"/>
    <w:rsid w:val="009A48A9"/>
    <w:rsid w:val="009B2538"/>
    <w:rsid w:val="009B501D"/>
    <w:rsid w:val="009C23B8"/>
    <w:rsid w:val="009C2EDA"/>
    <w:rsid w:val="009C5F48"/>
    <w:rsid w:val="009C620E"/>
    <w:rsid w:val="009C674F"/>
    <w:rsid w:val="009C7A33"/>
    <w:rsid w:val="009F3CD9"/>
    <w:rsid w:val="009F7EB2"/>
    <w:rsid w:val="00A00CF2"/>
    <w:rsid w:val="00A00E76"/>
    <w:rsid w:val="00A02015"/>
    <w:rsid w:val="00A0202A"/>
    <w:rsid w:val="00A114A7"/>
    <w:rsid w:val="00A11B04"/>
    <w:rsid w:val="00A22192"/>
    <w:rsid w:val="00A24E6A"/>
    <w:rsid w:val="00A3030D"/>
    <w:rsid w:val="00A303DD"/>
    <w:rsid w:val="00A30908"/>
    <w:rsid w:val="00A34742"/>
    <w:rsid w:val="00A3579E"/>
    <w:rsid w:val="00A43080"/>
    <w:rsid w:val="00A44727"/>
    <w:rsid w:val="00A50114"/>
    <w:rsid w:val="00A546BD"/>
    <w:rsid w:val="00A555DE"/>
    <w:rsid w:val="00A625F6"/>
    <w:rsid w:val="00A646A9"/>
    <w:rsid w:val="00A82176"/>
    <w:rsid w:val="00A83109"/>
    <w:rsid w:val="00A86A8E"/>
    <w:rsid w:val="00AA0F49"/>
    <w:rsid w:val="00AA13A2"/>
    <w:rsid w:val="00AA19F8"/>
    <w:rsid w:val="00AB1F1F"/>
    <w:rsid w:val="00AB7113"/>
    <w:rsid w:val="00AC14A8"/>
    <w:rsid w:val="00AD169C"/>
    <w:rsid w:val="00AE1800"/>
    <w:rsid w:val="00AE625A"/>
    <w:rsid w:val="00AF1B8C"/>
    <w:rsid w:val="00AF44AC"/>
    <w:rsid w:val="00AF7B17"/>
    <w:rsid w:val="00B0530B"/>
    <w:rsid w:val="00B06F89"/>
    <w:rsid w:val="00B12F3A"/>
    <w:rsid w:val="00B17E1E"/>
    <w:rsid w:val="00B23100"/>
    <w:rsid w:val="00B23BF6"/>
    <w:rsid w:val="00B3436D"/>
    <w:rsid w:val="00B41167"/>
    <w:rsid w:val="00B4137C"/>
    <w:rsid w:val="00B55896"/>
    <w:rsid w:val="00B80862"/>
    <w:rsid w:val="00B81164"/>
    <w:rsid w:val="00B82AA5"/>
    <w:rsid w:val="00B85D3F"/>
    <w:rsid w:val="00B86378"/>
    <w:rsid w:val="00B90635"/>
    <w:rsid w:val="00B97124"/>
    <w:rsid w:val="00BB6308"/>
    <w:rsid w:val="00BC6903"/>
    <w:rsid w:val="00BD1E10"/>
    <w:rsid w:val="00BE17E8"/>
    <w:rsid w:val="00BE4475"/>
    <w:rsid w:val="00BF1A49"/>
    <w:rsid w:val="00BF401E"/>
    <w:rsid w:val="00BF484E"/>
    <w:rsid w:val="00C01B40"/>
    <w:rsid w:val="00C05186"/>
    <w:rsid w:val="00C26C0C"/>
    <w:rsid w:val="00C275E3"/>
    <w:rsid w:val="00C31AB3"/>
    <w:rsid w:val="00C41C0E"/>
    <w:rsid w:val="00C43443"/>
    <w:rsid w:val="00C45701"/>
    <w:rsid w:val="00C475A7"/>
    <w:rsid w:val="00C50FD8"/>
    <w:rsid w:val="00C52FC1"/>
    <w:rsid w:val="00C605A8"/>
    <w:rsid w:val="00C63763"/>
    <w:rsid w:val="00C66711"/>
    <w:rsid w:val="00C72032"/>
    <w:rsid w:val="00C736FD"/>
    <w:rsid w:val="00C75A06"/>
    <w:rsid w:val="00C77362"/>
    <w:rsid w:val="00C94D10"/>
    <w:rsid w:val="00C96A1C"/>
    <w:rsid w:val="00C976A0"/>
    <w:rsid w:val="00CA01FA"/>
    <w:rsid w:val="00CA16AC"/>
    <w:rsid w:val="00CA2BDF"/>
    <w:rsid w:val="00CA46F3"/>
    <w:rsid w:val="00CC0224"/>
    <w:rsid w:val="00CD0230"/>
    <w:rsid w:val="00CD07CB"/>
    <w:rsid w:val="00CD2D25"/>
    <w:rsid w:val="00CD2DE3"/>
    <w:rsid w:val="00CE0B5D"/>
    <w:rsid w:val="00CE3938"/>
    <w:rsid w:val="00CE4B1D"/>
    <w:rsid w:val="00D13FD9"/>
    <w:rsid w:val="00D34195"/>
    <w:rsid w:val="00D377E5"/>
    <w:rsid w:val="00D45EFA"/>
    <w:rsid w:val="00D51D6E"/>
    <w:rsid w:val="00D5204A"/>
    <w:rsid w:val="00D60A00"/>
    <w:rsid w:val="00D60F53"/>
    <w:rsid w:val="00D71D6E"/>
    <w:rsid w:val="00D72BF9"/>
    <w:rsid w:val="00D803FE"/>
    <w:rsid w:val="00D87A48"/>
    <w:rsid w:val="00D947AF"/>
    <w:rsid w:val="00D95DD9"/>
    <w:rsid w:val="00DA1FD4"/>
    <w:rsid w:val="00DA4618"/>
    <w:rsid w:val="00DA46B0"/>
    <w:rsid w:val="00DA5444"/>
    <w:rsid w:val="00DB2DAC"/>
    <w:rsid w:val="00DC231A"/>
    <w:rsid w:val="00DC28B1"/>
    <w:rsid w:val="00DD19E9"/>
    <w:rsid w:val="00DD6EF3"/>
    <w:rsid w:val="00DD75AF"/>
    <w:rsid w:val="00DE1BEA"/>
    <w:rsid w:val="00DE7D10"/>
    <w:rsid w:val="00DF0FBE"/>
    <w:rsid w:val="00DF3891"/>
    <w:rsid w:val="00E03979"/>
    <w:rsid w:val="00E1045D"/>
    <w:rsid w:val="00E20639"/>
    <w:rsid w:val="00E4277A"/>
    <w:rsid w:val="00E466F6"/>
    <w:rsid w:val="00E5219B"/>
    <w:rsid w:val="00E52AF8"/>
    <w:rsid w:val="00E57243"/>
    <w:rsid w:val="00E61621"/>
    <w:rsid w:val="00E6190E"/>
    <w:rsid w:val="00E71336"/>
    <w:rsid w:val="00E82C61"/>
    <w:rsid w:val="00E8460B"/>
    <w:rsid w:val="00E84749"/>
    <w:rsid w:val="00E90461"/>
    <w:rsid w:val="00E92D5D"/>
    <w:rsid w:val="00E94EC1"/>
    <w:rsid w:val="00E959C7"/>
    <w:rsid w:val="00E9624B"/>
    <w:rsid w:val="00EA2E0B"/>
    <w:rsid w:val="00EA3847"/>
    <w:rsid w:val="00EA7AEF"/>
    <w:rsid w:val="00EB0DF8"/>
    <w:rsid w:val="00EB414F"/>
    <w:rsid w:val="00EC614D"/>
    <w:rsid w:val="00ED1682"/>
    <w:rsid w:val="00EF0EA3"/>
    <w:rsid w:val="00EF39C8"/>
    <w:rsid w:val="00EF75E1"/>
    <w:rsid w:val="00F00893"/>
    <w:rsid w:val="00F05388"/>
    <w:rsid w:val="00F10122"/>
    <w:rsid w:val="00F2521D"/>
    <w:rsid w:val="00F40C34"/>
    <w:rsid w:val="00F4546D"/>
    <w:rsid w:val="00F5529D"/>
    <w:rsid w:val="00F55DC3"/>
    <w:rsid w:val="00F72701"/>
    <w:rsid w:val="00F73E76"/>
    <w:rsid w:val="00F7552D"/>
    <w:rsid w:val="00F7696E"/>
    <w:rsid w:val="00F84796"/>
    <w:rsid w:val="00F85505"/>
    <w:rsid w:val="00F91C6E"/>
    <w:rsid w:val="00F935B9"/>
    <w:rsid w:val="00F94A28"/>
    <w:rsid w:val="00F95968"/>
    <w:rsid w:val="00F97ED1"/>
    <w:rsid w:val="00FA7877"/>
    <w:rsid w:val="00FC1B23"/>
    <w:rsid w:val="00FC3EA7"/>
    <w:rsid w:val="00FD3570"/>
    <w:rsid w:val="00FD3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09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1">
    <w:name w:val="heading 1"/>
    <w:next w:val="Normal"/>
    <w:link w:val="Heading1Char"/>
    <w:uiPriority w:val="9"/>
    <w:unhideWhenUsed/>
    <w:qFormat/>
    <w:pPr>
      <w:keepNext/>
      <w:keepLines/>
      <w:spacing w:after="0"/>
      <w:ind w:left="25"/>
      <w:outlineLvl w:val="0"/>
    </w:pPr>
    <w:rPr>
      <w:rFonts w:ascii="Poppins SemiBold" w:hAnsi="Poppins SemiBold" w:cs="Calibri"/>
      <w:b/>
      <w:bCs/>
      <w:color w:val="3B2B8C"/>
      <w:sz w:val="76"/>
      <w:szCs w:val="76"/>
    </w:rPr>
  </w:style>
  <w:style w:type="paragraph" w:styleId="Heading2">
    <w:name w:val="heading 2"/>
    <w:next w:val="Normal"/>
    <w:link w:val="Heading2Char"/>
    <w:uiPriority w:val="9"/>
    <w:unhideWhenUsed/>
    <w:qFormat/>
    <w:pPr>
      <w:keepNext/>
      <w:keepLines/>
      <w:spacing w:after="161"/>
      <w:ind w:left="2"/>
      <w:outlineLvl w:val="1"/>
    </w:pPr>
    <w:rPr>
      <w:rFonts w:ascii="Poppins" w:hAnsi="Poppins" w:cs="Calibri"/>
      <w:color w:val="392388"/>
      <w:sz w:val="44"/>
      <w:szCs w:val="44"/>
    </w:rPr>
  </w:style>
  <w:style w:type="paragraph" w:styleId="Heading3">
    <w:name w:val="heading 3"/>
    <w:next w:val="Normal"/>
    <w:link w:val="Heading3Char"/>
    <w:uiPriority w:val="9"/>
    <w:unhideWhenUsed/>
    <w:qFormat/>
    <w:pPr>
      <w:keepNext/>
      <w:keepLines/>
      <w:spacing w:after="0"/>
      <w:ind w:left="17" w:hanging="10"/>
      <w:outlineLvl w:val="2"/>
    </w:pPr>
    <w:rPr>
      <w:rFonts w:ascii="Poppins" w:hAnsi="Poppins" w:cs="Calibri"/>
      <w:b/>
      <w:bCs/>
      <w:color w:val="392388"/>
      <w:sz w:val="34"/>
      <w:szCs w:val="34"/>
    </w:rPr>
  </w:style>
  <w:style w:type="paragraph" w:styleId="Heading4">
    <w:name w:val="heading 4"/>
    <w:next w:val="Normal"/>
    <w:link w:val="Heading4Char"/>
    <w:uiPriority w:val="9"/>
    <w:unhideWhenUsed/>
    <w:qFormat/>
    <w:pPr>
      <w:keepNext/>
      <w:keepLines/>
      <w:spacing w:after="0" w:line="265" w:lineRule="auto"/>
      <w:ind w:left="10" w:hanging="10"/>
      <w:outlineLvl w:val="3"/>
    </w:pPr>
    <w:rPr>
      <w:rFonts w:ascii="Poppins" w:hAnsi="Poppins" w:cs="Calibri"/>
      <w:b/>
      <w:bCs/>
      <w:color w:val="392388"/>
      <w:sz w:val="28"/>
      <w:szCs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Calibri Light" w:hAnsi="Calibri Light"/>
      <w:color w:val="1C1D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Poppins" w:eastAsia="Calibri" w:hAnsi="Poppins" w:cs="Calibri"/>
      <w:b/>
      <w:bCs/>
      <w:color w:val="392388"/>
      <w:sz w:val="28"/>
      <w:szCs w:val="28"/>
    </w:rPr>
  </w:style>
  <w:style w:type="character" w:customStyle="1" w:styleId="Heading2Char">
    <w:name w:val="Heading 2 Char"/>
    <w:link w:val="Heading2"/>
    <w:uiPriority w:val="9"/>
    <w:rPr>
      <w:rFonts w:ascii="Poppins" w:eastAsia="Calibri" w:hAnsi="Poppins" w:cs="Calibri"/>
      <w:color w:val="392388"/>
      <w:sz w:val="44"/>
      <w:szCs w:val="44"/>
    </w:rPr>
  </w:style>
  <w:style w:type="character" w:customStyle="1" w:styleId="Heading1Char">
    <w:name w:val="Heading 1 Char"/>
    <w:link w:val="Heading1"/>
    <w:uiPriority w:val="9"/>
    <w:rPr>
      <w:rFonts w:ascii="Poppins SemiBold" w:eastAsia="Calibri" w:hAnsi="Poppins SemiBold" w:cs="Calibri"/>
      <w:b/>
      <w:bCs/>
      <w:color w:val="3B2B8C"/>
      <w:sz w:val="76"/>
      <w:szCs w:val="76"/>
    </w:rPr>
  </w:style>
  <w:style w:type="character" w:customStyle="1" w:styleId="Heading3Char">
    <w:name w:val="Heading 3 Char"/>
    <w:link w:val="Heading3"/>
    <w:uiPriority w:val="9"/>
    <w:rPr>
      <w:rFonts w:ascii="Poppins" w:eastAsia="Calibri" w:hAnsi="Poppins" w:cs="Calibri"/>
      <w:b/>
      <w:bCs/>
      <w:color w:val="392388"/>
      <w:sz w:val="34"/>
      <w:szCs w:val="34"/>
    </w:rPr>
  </w:style>
  <w:style w:type="table" w:customStyle="1" w:styleId="CSRTable4">
    <w:name w:val="CSRTable4"/>
    <w:pPr>
      <w:spacing w:after="0" w:line="240" w:lineRule="auto"/>
      <w:contextualSpacing/>
    </w:pPr>
    <w:rPr>
      <w:sz w:val="20"/>
      <w:szCs w:val="20"/>
      <w:lang w:val="en-US" w:eastAsia="en-US"/>
    </w:rPr>
    <w:tblPr>
      <w:tblStyleRowBandSize w:val="1"/>
      <w:tblStyleColBandSize w:val="1"/>
      <w:tblCellMar>
        <w:top w:w="0" w:type="dxa"/>
        <w:left w:w="0" w:type="dxa"/>
        <w:bottom w:w="0" w:type="dxa"/>
        <w:right w:w="0" w:type="dxa"/>
      </w:tblCellMar>
    </w:tblPr>
    <w:tblStylePr w:type="firstRow">
      <w:tblPr/>
      <w:tcPr>
        <w:tcBorders>
          <w:top w:val="nil"/>
          <w:left w:val="nil"/>
          <w:bottom w:val="single" w:sz="4" w:space="0" w:color="auto"/>
          <w:right w:val="nil"/>
          <w:insideH w:val="nil"/>
          <w:insideV w:val="nil"/>
        </w:tcBorders>
      </w:tcPr>
    </w:tblStyle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eastAsia="Calibri" w:hAnsi="Calibri" w:cs="Calibri"/>
      <w:color w:val="000000"/>
    </w:rPr>
  </w:style>
  <w:style w:type="paragraph" w:customStyle="1" w:styleId="DefaqtoBody">
    <w:name w:val="Defaqto Body"/>
    <w:basedOn w:val="Normal"/>
    <w:link w:val="DefaqtoBodyChar"/>
    <w:qFormat/>
    <w:pPr>
      <w:spacing w:before="160" w:after="320" w:line="240" w:lineRule="auto"/>
    </w:pPr>
    <w:rPr>
      <w:rFonts w:ascii="Poppins" w:eastAsia="Cambria" w:hAnsi="Poppins" w:cs="Times New Roman"/>
      <w:color w:val="392388"/>
      <w:lang w:eastAsia="en-US"/>
    </w:rPr>
  </w:style>
  <w:style w:type="character" w:customStyle="1" w:styleId="DefaqtoBodyChar">
    <w:name w:val="Defaqto Body Char"/>
    <w:link w:val="DefaqtoBody"/>
    <w:rPr>
      <w:rFonts w:ascii="Poppins" w:eastAsia="Cambria" w:hAnsi="Poppins" w:cs="Times New Roman"/>
      <w:color w:val="392388"/>
      <w:lang w:eastAsia="en-US"/>
    </w:rPr>
  </w:style>
  <w:style w:type="paragraph" w:customStyle="1" w:styleId="DefaqtoCallout">
    <w:name w:val="Defaqto Callout"/>
    <w:link w:val="DefaqtoCalloutChar"/>
    <w:qFormat/>
    <w:pPr>
      <w:spacing w:after="0" w:line="240" w:lineRule="auto"/>
    </w:pPr>
    <w:rPr>
      <w:rFonts w:ascii="Poppins" w:eastAsia="Cambria" w:hAnsi="Poppins"/>
      <w:noProof/>
      <w:color w:val="392388"/>
      <w:sz w:val="16"/>
      <w:szCs w:val="16"/>
      <w:lang w:val="en-NZ" w:eastAsia="en-US"/>
    </w:rPr>
  </w:style>
  <w:style w:type="character" w:customStyle="1" w:styleId="DefaqtoCalloutChar">
    <w:name w:val="Defaqto Callout Char"/>
    <w:link w:val="DefaqtoCallout"/>
    <w:rPr>
      <w:rFonts w:ascii="Poppins" w:eastAsia="Cambria" w:hAnsi="Poppins" w:cs="Times New Roman"/>
      <w:noProof/>
      <w:color w:val="392388"/>
      <w:sz w:val="16"/>
      <w:szCs w:val="16"/>
      <w:lang w:val="en-NZ"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color w:val="000000"/>
      <w:sz w:val="18"/>
      <w:szCs w:val="18"/>
    </w:rPr>
  </w:style>
  <w:style w:type="paragraph" w:styleId="NoSpacing">
    <w:name w:val="No Spacing"/>
    <w:uiPriority w:val="1"/>
    <w:qFormat/>
    <w:pPr>
      <w:spacing w:after="0" w:line="240" w:lineRule="auto"/>
    </w:pPr>
    <w:rPr>
      <w:lang w:eastAsia="en-US"/>
    </w:rPr>
  </w:style>
  <w:style w:type="table" w:styleId="TableGrid">
    <w:name w:val="Table Grid"/>
    <w:basedOn w:val="TableNormal"/>
    <w:uiPriority w:val="39"/>
    <w:pPr>
      <w:spacing w:after="0" w:line="240" w:lineRule="auto"/>
    </w:pPr>
    <w:rPr>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Revision">
    <w:name w:val="Revision"/>
    <w:uiPriority w:val="99"/>
    <w:semiHidden/>
    <w:pPr>
      <w:spacing w:after="0" w:line="240" w:lineRule="auto"/>
    </w:pPr>
    <w:rPr>
      <w:rFonts w:cs="Calibri"/>
      <w:color w:val="000000"/>
    </w:rPr>
  </w:style>
  <w:style w:type="table" w:customStyle="1" w:styleId="CSRTable1">
    <w:name w:val="CSRTable1"/>
    <w:basedOn w:val="TableNormal"/>
    <w:uiPriority w:val="99"/>
    <w:pPr>
      <w:spacing w:after="0" w:line="240" w:lineRule="auto"/>
      <w:jc w:val="right"/>
    </w:pPr>
    <w:rPr>
      <w:rFonts w:eastAsia="Times New Roman"/>
      <w:sz w:val="20"/>
      <w:szCs w:val="20"/>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val="0"/>
        <w:bCs w:val="0"/>
        <w:sz w:val="24"/>
        <w:szCs w:val="24"/>
      </w:rPr>
      <w:tblPr/>
      <w:tcPr>
        <w:shd w:val="clear" w:color="auto" w:fill="E7E6E6"/>
      </w:tcPr>
    </w:tblStylePr>
    <w:tblStylePr w:type="firstCol">
      <w:pPr>
        <w:jc w:val="left"/>
      </w:pPr>
    </w:tblStylePr>
  </w:style>
  <w:style w:type="paragraph" w:customStyle="1" w:styleId="DefaqtoTableBody">
    <w:name w:val="Defaqto Table Body"/>
    <w:link w:val="DefaqtoTableBodyChar"/>
    <w:qFormat/>
    <w:pPr>
      <w:spacing w:after="0" w:line="240" w:lineRule="auto"/>
    </w:pPr>
    <w:rPr>
      <w:rFonts w:eastAsia="Times New Roman" w:cs="Arial"/>
      <w:sz w:val="16"/>
      <w:szCs w:val="16"/>
      <w:lang w:val="en-US" w:eastAsia="en-US"/>
    </w:rPr>
  </w:style>
  <w:style w:type="paragraph" w:customStyle="1" w:styleId="DefaqtoTableBody2">
    <w:name w:val="Defaqto Table Body 2"/>
    <w:basedOn w:val="DefaqtoTableBody"/>
    <w:link w:val="DefaqtoTableBody2Char"/>
    <w:qFormat/>
    <w:pPr>
      <w:spacing w:before="60" w:after="60"/>
    </w:pPr>
    <w:rPr>
      <w:rFonts w:ascii="Poppins" w:hAnsi="Poppins"/>
      <w:color w:val="392388"/>
    </w:rPr>
  </w:style>
  <w:style w:type="table" w:customStyle="1" w:styleId="CSRTable2">
    <w:name w:val="CSRTable2"/>
    <w:basedOn w:val="TableNormal"/>
    <w:uiPriority w:val="99"/>
    <w:pPr>
      <w:spacing w:after="0" w:line="240" w:lineRule="auto"/>
      <w:jc w:val="center"/>
    </w:pPr>
    <w:rPr>
      <w:b/>
      <w:bCs/>
      <w:sz w:val="28"/>
      <w:szCs w:val="28"/>
    </w:rPr>
    <w:tblPr>
      <w:tblStyleRowBandSize w:val="1"/>
      <w:tblStyleColBandSize w:val="1"/>
      <w:tblCellMar>
        <w:top w:w="113" w:type="dxa"/>
        <w:bottom w:w="113" w:type="dxa"/>
      </w:tblCellMar>
    </w:tblPr>
    <w:tcPr>
      <w:shd w:val="clear" w:color="auto" w:fill="E7E6E6"/>
    </w:tcPr>
    <w:tblStylePr w:type="firstRow">
      <w:tblPr/>
      <w:tcPr>
        <w:tcMar>
          <w:top w:w="284" w:type="dxa"/>
          <w:left w:w="0" w:type="nil"/>
          <w:bottom w:w="0" w:type="nil"/>
          <w:right w:w="0" w:type="nil"/>
        </w:tcMar>
      </w:tcPr>
    </w:tblStylePr>
    <w:tblStylePr w:type="lastRow">
      <w:rPr>
        <w:rFonts w:ascii="Calibri" w:hAnsi="Calibri"/>
        <w:b w:val="0"/>
        <w:bCs w:val="0"/>
        <w:sz w:val="22"/>
        <w:szCs w:val="22"/>
      </w:rPr>
      <w:tblPr/>
      <w:tcPr>
        <w:tcMar>
          <w:top w:w="0" w:type="nil"/>
          <w:left w:w="0" w:type="nil"/>
          <w:bottom w:w="284" w:type="dxa"/>
          <w:right w:w="0" w:type="nil"/>
        </w:tcMar>
      </w:tcPr>
    </w:tblStylePr>
  </w:style>
  <w:style w:type="paragraph" w:customStyle="1" w:styleId="SBParagraph">
    <w:name w:val="SB Paragraph"/>
    <w:basedOn w:val="Normal"/>
    <w:link w:val="SBParagraphChar"/>
    <w:qFormat/>
    <w:rPr>
      <w:rFonts w:cs="Times New Roman"/>
      <w:color w:val="7F7F7F"/>
      <w:sz w:val="24"/>
      <w:szCs w:val="24"/>
    </w:rPr>
  </w:style>
  <w:style w:type="paragraph" w:customStyle="1" w:styleId="Normal-spacebefore">
    <w:name w:val="Normal-spacebefore"/>
    <w:basedOn w:val="SBParagraph"/>
    <w:link w:val="Normal-spacebeforeChar"/>
    <w:qFormat/>
    <w:pPr>
      <w:spacing w:before="160" w:after="0"/>
    </w:pPr>
  </w:style>
  <w:style w:type="character" w:customStyle="1" w:styleId="SBParagraphChar">
    <w:name w:val="SB Paragraph Char"/>
    <w:basedOn w:val="DefaultParagraphFont"/>
    <w:link w:val="SBParagraph"/>
    <w:rPr>
      <w:rFonts w:ascii="Calibri" w:eastAsia="Calibri" w:hAnsi="Calibri" w:cs="Times New Roman"/>
      <w:color w:val="7F7F7F"/>
      <w:sz w:val="24"/>
      <w:szCs w:val="24"/>
    </w:rPr>
  </w:style>
  <w:style w:type="character" w:customStyle="1" w:styleId="Normal-spacebeforeChar">
    <w:name w:val="Normal-spacebefore Char"/>
    <w:basedOn w:val="SBParagraphChar"/>
    <w:link w:val="Normal-spacebefore"/>
    <w:rPr>
      <w:rFonts w:ascii="Calibri" w:eastAsia="Calibri" w:hAnsi="Calibri" w:cs="Calibri"/>
      <w:color w:val="7F7F7F"/>
      <w:sz w:val="24"/>
      <w:szCs w:val="24"/>
    </w:rPr>
  </w:style>
  <w:style w:type="paragraph" w:customStyle="1" w:styleId="RedWarningBox">
    <w:name w:val="RedWarningBox"/>
    <w:basedOn w:val="Normal"/>
    <w:link w:val="RedWarningBoxChar"/>
    <w:qFormat/>
    <w:rPr>
      <w:rFonts w:cs="Segoe UI Symbol"/>
      <w:bdr w:val="single" w:sz="4" w:space="0" w:color="FF0000"/>
    </w:rPr>
  </w:style>
  <w:style w:type="character" w:customStyle="1" w:styleId="RedWarningBoxChar">
    <w:name w:val="RedWarningBox Char"/>
    <w:basedOn w:val="DefaultParagraphFont"/>
    <w:link w:val="RedWarningBox"/>
    <w:rPr>
      <w:rFonts w:ascii="Calibri" w:eastAsia="Calibri" w:hAnsi="Calibri" w:cs="Segoe UI Symbol"/>
      <w:bdr w:val="single" w:sz="4" w:space="0" w:color="FF0000"/>
    </w:rPr>
  </w:style>
  <w:style w:type="paragraph" w:customStyle="1" w:styleId="CSRHeading4">
    <w:name w:val="CSRHeading4"/>
    <w:basedOn w:val="Heading4"/>
    <w:link w:val="CSRHeading4Char"/>
    <w:rPr>
      <w:rFonts w:ascii="Calibri Light" w:hAnsi="Calibri Light"/>
      <w:b w:val="0"/>
      <w:bCs w:val="0"/>
    </w:rPr>
  </w:style>
  <w:style w:type="character" w:customStyle="1" w:styleId="CSRHeading4Char">
    <w:name w:val="CSRHeading4 Char"/>
    <w:basedOn w:val="Heading4Char"/>
    <w:link w:val="CSRHeading4"/>
    <w:rPr>
      <w:rFonts w:ascii="Calibri Light" w:eastAsia="Calibri" w:hAnsi="Calibri Light" w:cs="Calibri"/>
      <w:b w:val="0"/>
      <w:bCs w:val="0"/>
      <w:color w:val="005392"/>
      <w:sz w:val="28"/>
      <w:szCs w:val="28"/>
    </w:rPr>
  </w:style>
  <w:style w:type="paragraph" w:customStyle="1" w:styleId="CSRTable3">
    <w:name w:val="CSRTable3"/>
    <w:basedOn w:val="Normal"/>
    <w:link w:val="CSRTable3Char"/>
    <w:qFormat/>
    <w:pPr>
      <w:spacing w:after="0" w:line="276" w:lineRule="auto"/>
    </w:pPr>
    <w:rPr>
      <w:b/>
      <w:bCs/>
      <w:sz w:val="16"/>
      <w:szCs w:val="16"/>
    </w:rPr>
  </w:style>
  <w:style w:type="character" w:customStyle="1" w:styleId="CSRTable3Char">
    <w:name w:val="CSRTable3 Char"/>
    <w:basedOn w:val="DefaultParagraphFont"/>
    <w:link w:val="CSRTable3"/>
    <w:rPr>
      <w:rFonts w:ascii="Calibri" w:eastAsia="Calibri" w:hAnsi="Calibri" w:cs="Calibri"/>
      <w:b/>
      <w:bCs/>
      <w:sz w:val="16"/>
      <w:szCs w:val="16"/>
    </w:rPr>
  </w:style>
  <w:style w:type="table" w:customStyle="1" w:styleId="TableGrid0">
    <w:name w:val="TableGrid"/>
    <w:pPr>
      <w:spacing w:after="0" w:line="240" w:lineRule="auto"/>
    </w:pPr>
    <w:tblPr>
      <w:tblStyleRowBandSize w:val="1"/>
      <w:tblStyleColBandSize w:val="1"/>
      <w:tblCellMar>
        <w:top w:w="0" w:type="dxa"/>
        <w:left w:w="0" w:type="dxa"/>
        <w:bottom w:w="0" w:type="dxa"/>
        <w:right w:w="0" w:type="dxa"/>
      </w:tblCellMar>
    </w:tblPr>
  </w:style>
  <w:style w:type="table" w:customStyle="1" w:styleId="CSRTable5">
    <w:name w:val="CSRTable5"/>
    <w:basedOn w:val="TableNormal"/>
    <w:uiPriority w:val="99"/>
    <w:pPr>
      <w:spacing w:before="40" w:after="40"/>
      <w:jc w:val="right"/>
    </w:pPr>
    <w:rPr>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val="0"/>
        <w:bCs w:val="0"/>
        <w:sz w:val="24"/>
        <w:szCs w:val="24"/>
      </w:rPr>
      <w:tblPr/>
      <w:tcPr>
        <w:shd w:val="clear" w:color="auto" w:fill="E7E6E6"/>
      </w:tcPr>
    </w:tblStylePr>
    <w:tblStylePr w:type="lastRow">
      <w:rPr>
        <w:color w:val="F2F2F2"/>
      </w:rPr>
      <w:tblPr/>
      <w:tcPr>
        <w:shd w:val="clear" w:color="auto" w:fill="EE7203"/>
      </w:tcPr>
    </w:tblStylePr>
    <w:tblStylePr w:type="firstCol">
      <w:pPr>
        <w:jc w:val="left"/>
      </w:pPr>
    </w:tblStylePr>
  </w:style>
  <w:style w:type="character" w:styleId="Strong">
    <w:name w:val="Strong"/>
    <w:basedOn w:val="DefaultParagraphFont"/>
    <w:uiPriority w:val="22"/>
    <w:qFormat/>
    <w:rPr>
      <w:b/>
      <w:bCs/>
    </w:rPr>
  </w:style>
  <w:style w:type="paragraph" w:customStyle="1" w:styleId="DefaqtoStrong">
    <w:name w:val="Defaqto Strong"/>
    <w:basedOn w:val="Normal"/>
    <w:link w:val="DefaqtoStrongChar"/>
    <w:qFormat/>
    <w:rPr>
      <w:rFonts w:ascii="Poppins" w:hAnsi="Poppins"/>
      <w:b/>
      <w:bCs/>
      <w:sz w:val="20"/>
      <w:szCs w:val="20"/>
    </w:rPr>
  </w:style>
  <w:style w:type="character" w:customStyle="1" w:styleId="DefaqtoStrongChar">
    <w:name w:val="Defaqto Strong Char"/>
    <w:basedOn w:val="DefaultParagraphFont"/>
    <w:link w:val="DefaqtoStrong"/>
    <w:rPr>
      <w:rFonts w:ascii="Poppins" w:eastAsia="Calibri" w:hAnsi="Poppins" w:cs="Calibri"/>
      <w:b/>
      <w:bCs/>
      <w:sz w:val="20"/>
      <w:szCs w:val="20"/>
    </w:rPr>
  </w:style>
  <w:style w:type="paragraph" w:customStyle="1" w:styleId="DefaqtoHeading5">
    <w:name w:val="Defaqto Heading 5"/>
    <w:basedOn w:val="Normal"/>
    <w:link w:val="DefaqtoHeading5Char"/>
    <w:qFormat/>
    <w:rPr>
      <w:rFonts w:ascii="Poppins" w:hAnsi="Poppins"/>
      <w:color w:val="392388"/>
      <w:sz w:val="24"/>
      <w:szCs w:val="24"/>
    </w:rPr>
  </w:style>
  <w:style w:type="character" w:customStyle="1" w:styleId="DefaqtoHeading5Char">
    <w:name w:val="Defaqto Heading 5 Char"/>
    <w:basedOn w:val="DefaultParagraphFont"/>
    <w:link w:val="DefaqtoHeading5"/>
    <w:rPr>
      <w:rFonts w:ascii="Poppins" w:eastAsia="Calibri" w:hAnsi="Poppins" w:cs="Calibri"/>
      <w:color w:val="392388"/>
      <w:sz w:val="24"/>
      <w:szCs w:val="24"/>
    </w:rPr>
  </w:style>
  <w:style w:type="character" w:customStyle="1" w:styleId="Heading5Char">
    <w:name w:val="Heading 5 Char"/>
    <w:basedOn w:val="DefaultParagraphFont"/>
    <w:link w:val="Heading5"/>
    <w:uiPriority w:val="9"/>
    <w:semiHidden/>
    <w:rPr>
      <w:rFonts w:ascii="Calibri Light" w:eastAsia="Calibri Light" w:hAnsi="Calibri Light"/>
      <w:color w:val="1C1D42"/>
    </w:rPr>
  </w:style>
  <w:style w:type="paragraph" w:customStyle="1" w:styleId="Defaqtobody0">
    <w:name w:val="Defaqto body"/>
    <w:basedOn w:val="Normal"/>
    <w:link w:val="DefaqtobodyChar0"/>
    <w:rPr>
      <w:rFonts w:ascii="Arial" w:eastAsia="Arial" w:hAnsi="Arial" w:cs="Times New Roman"/>
      <w:color w:val="808080"/>
      <w:sz w:val="24"/>
      <w:szCs w:val="24"/>
      <w:lang w:eastAsia="en-US"/>
    </w:rPr>
  </w:style>
  <w:style w:type="character" w:customStyle="1" w:styleId="DefaqtobodyChar0">
    <w:name w:val="Defaqto body Char"/>
    <w:link w:val="Defaqtobody0"/>
    <w:rPr>
      <w:rFonts w:ascii="Arial" w:eastAsia="Arial" w:hAnsi="Arial" w:cs="Times New Roman"/>
      <w:color w:val="808080"/>
      <w:sz w:val="24"/>
      <w:szCs w:val="24"/>
      <w:lang w:eastAsia="en-US"/>
    </w:rPr>
  </w:style>
  <w:style w:type="paragraph" w:customStyle="1" w:styleId="DefaqtoCoverPageLevel1">
    <w:name w:val="Defaqto Cover Page Level 1"/>
    <w:link w:val="DefaqtoCoverPageLevel1Char"/>
    <w:qFormat/>
    <w:pPr>
      <w:tabs>
        <w:tab w:val="left" w:pos="3210"/>
      </w:tabs>
      <w:spacing w:after="0" w:line="240" w:lineRule="auto"/>
    </w:pPr>
    <w:rPr>
      <w:rFonts w:ascii="TeXGyreAdventor" w:eastAsia="Cambria" w:hAnsi="TeXGyreAdventor" w:cs="Arial"/>
      <w:color w:val="FFFFFF"/>
      <w:sz w:val="48"/>
      <w:szCs w:val="48"/>
      <w:lang w:eastAsia="en-US"/>
    </w:rPr>
  </w:style>
  <w:style w:type="character" w:customStyle="1" w:styleId="DefaqtoCoverPageLevel1Char">
    <w:name w:val="Defaqto Cover Page Level 1 Char"/>
    <w:link w:val="DefaqtoCoverPageLevel1"/>
    <w:rPr>
      <w:rFonts w:ascii="TeXGyreAdventor" w:eastAsia="Cambria" w:hAnsi="TeXGyreAdventor" w:cs="Arial"/>
      <w:color w:val="FFFFFF"/>
      <w:sz w:val="48"/>
      <w:szCs w:val="48"/>
      <w:lang w:eastAsia="en-US"/>
    </w:rPr>
  </w:style>
  <w:style w:type="paragraph" w:customStyle="1" w:styleId="DefaqtoCoverPageLevel2">
    <w:name w:val="Defaqto Cover Page Level 2"/>
    <w:basedOn w:val="DefaqtoCoverPageLevel1"/>
    <w:link w:val="DefaqtoCoverPageLevel2Char"/>
    <w:qFormat/>
    <w:pPr>
      <w:ind w:left="720"/>
    </w:pPr>
    <w:rPr>
      <w:sz w:val="32"/>
      <w:szCs w:val="32"/>
    </w:rPr>
  </w:style>
  <w:style w:type="character" w:customStyle="1" w:styleId="DefaqtoCoverPageLevel2Char">
    <w:name w:val="Defaqto Cover Page Level 2 Char"/>
    <w:link w:val="DefaqtoCoverPageLevel2"/>
    <w:rPr>
      <w:rFonts w:ascii="TeXGyreAdventor" w:eastAsia="Cambria" w:hAnsi="TeXGyreAdventor" w:cs="Arial"/>
      <w:color w:val="FFFFFF"/>
      <w:sz w:val="32"/>
      <w:szCs w:val="32"/>
      <w:lang w:eastAsia="en-US"/>
    </w:rPr>
  </w:style>
  <w:style w:type="paragraph" w:customStyle="1" w:styleId="DefaqtoHeading2">
    <w:name w:val="Defaqto Heading 2"/>
    <w:basedOn w:val="Heading2"/>
    <w:next w:val="DefaqtoBody"/>
    <w:link w:val="DefaqtoHeading2Char"/>
    <w:qFormat/>
    <w:pPr>
      <w:spacing w:before="120" w:after="320"/>
      <w:ind w:left="0"/>
    </w:pPr>
    <w:rPr>
      <w:rFonts w:ascii="Poppins SemiBold" w:eastAsia="Cambria" w:hAnsi="Poppins SemiBold" w:cs="Times New Roman"/>
      <w:sz w:val="32"/>
      <w:szCs w:val="32"/>
      <w:lang w:eastAsia="en-US"/>
    </w:rPr>
  </w:style>
  <w:style w:type="paragraph" w:customStyle="1" w:styleId="DefaqtoHeading2-noTOC">
    <w:name w:val="Defaqto Heading 2 - no TOC"/>
    <w:basedOn w:val="DefaqtoHeading2"/>
    <w:link w:val="DefaqtoHeading2-noTOCChar"/>
    <w:qFormat/>
    <w:pPr>
      <w:outlineLvl w:val="9"/>
    </w:pPr>
  </w:style>
  <w:style w:type="character" w:customStyle="1" w:styleId="DefaqtoHeading2-noTOCChar">
    <w:name w:val="Defaqto Heading 2 - no TOC Char"/>
    <w:link w:val="DefaqtoHeading2-noTOC"/>
    <w:rPr>
      <w:rFonts w:ascii="Calibri Light" w:eastAsia="Cambria" w:hAnsi="Calibri Light" w:cs="Times New Roman"/>
      <w:b/>
      <w:bCs/>
      <w:color w:val="252758"/>
      <w:sz w:val="28"/>
      <w:szCs w:val="28"/>
      <w:lang w:eastAsia="en-US"/>
    </w:rPr>
  </w:style>
  <w:style w:type="paragraph" w:customStyle="1" w:styleId="DefaqtoHeading3">
    <w:name w:val="Defaqto Heading 3"/>
    <w:basedOn w:val="Heading2"/>
    <w:next w:val="DefaqtoBody"/>
    <w:link w:val="DefaqtoHeading3Char"/>
    <w:qFormat/>
    <w:pPr>
      <w:spacing w:after="320"/>
      <w:ind w:left="0"/>
      <w:outlineLvl w:val="2"/>
    </w:pPr>
    <w:rPr>
      <w:rFonts w:ascii="Poppins SemiBold" w:hAnsi="Poppins SemiBold"/>
      <w:sz w:val="22"/>
      <w:szCs w:val="22"/>
      <w:lang w:val="en-NZ"/>
    </w:rPr>
  </w:style>
  <w:style w:type="paragraph" w:customStyle="1" w:styleId="DefaqtoHeading3-noTOC">
    <w:name w:val="Defaqto Heading 3 - no TOC"/>
    <w:basedOn w:val="DefaqtoHeading3"/>
    <w:link w:val="DefaqtoHeading3-noTOCChar"/>
    <w:qFormat/>
    <w:pPr>
      <w:outlineLvl w:val="9"/>
    </w:pPr>
  </w:style>
  <w:style w:type="character" w:customStyle="1" w:styleId="DefaqtoHeading3-noTOCChar">
    <w:name w:val="Defaqto Heading 3 - no TOC Char"/>
    <w:link w:val="DefaqtoHeading3-noTOC"/>
    <w:rPr>
      <w:rFonts w:ascii="Calibri Light" w:eastAsia="Cambria" w:hAnsi="Calibri Light" w:cs="Times New Roman"/>
      <w:b/>
      <w:bCs/>
      <w:color w:val="252758"/>
      <w:sz w:val="24"/>
      <w:szCs w:val="24"/>
      <w:lang w:val="en-NZ" w:eastAsia="en-US"/>
    </w:rPr>
  </w:style>
  <w:style w:type="paragraph" w:customStyle="1" w:styleId="DefaqtoIntroText">
    <w:name w:val="Defaqto Intro Text"/>
    <w:basedOn w:val="Heading2"/>
    <w:link w:val="DefaqtoIntroTextChar"/>
    <w:qFormat/>
    <w:pPr>
      <w:spacing w:before="400" w:after="360"/>
      <w:ind w:left="0"/>
      <w:outlineLvl w:val="9"/>
    </w:pPr>
    <w:rPr>
      <w:rFonts w:eastAsia="MS Gothic" w:cs="Times New Roman"/>
      <w:sz w:val="32"/>
      <w:szCs w:val="32"/>
      <w:lang w:eastAsia="en-US"/>
    </w:rPr>
  </w:style>
  <w:style w:type="character" w:customStyle="1" w:styleId="DefaqtoIntroTextChar">
    <w:name w:val="Defaqto Intro Text Char"/>
    <w:link w:val="DefaqtoIntroText"/>
    <w:rPr>
      <w:rFonts w:ascii="Poppins" w:eastAsia="MS Gothic" w:hAnsi="Poppins" w:cs="Times New Roman"/>
      <w:color w:val="392388"/>
      <w:sz w:val="32"/>
      <w:szCs w:val="32"/>
      <w:lang w:eastAsia="en-US"/>
    </w:rPr>
  </w:style>
  <w:style w:type="paragraph" w:customStyle="1" w:styleId="DefaqtoIntrotext0">
    <w:name w:val="Defaqto Intro text"/>
    <w:basedOn w:val="Heading2"/>
    <w:link w:val="DefaqtoIntrotextChar0"/>
    <w:pPr>
      <w:spacing w:before="400" w:after="360"/>
      <w:ind w:left="0"/>
      <w:outlineLvl w:val="9"/>
    </w:pPr>
    <w:rPr>
      <w:rFonts w:ascii="Arial" w:eastAsia="MS Gothic" w:hAnsi="Arial" w:cs="Times New Roman"/>
      <w:color w:val="00538F"/>
      <w:sz w:val="32"/>
      <w:szCs w:val="32"/>
      <w:lang w:eastAsia="en-US"/>
    </w:rPr>
  </w:style>
  <w:style w:type="character" w:customStyle="1" w:styleId="DefaqtoIntrotextChar0">
    <w:name w:val="Defaqto Intro text Char"/>
    <w:link w:val="DefaqtoIntrotext0"/>
    <w:rPr>
      <w:rFonts w:ascii="Arial" w:eastAsia="MS Gothic" w:hAnsi="Arial" w:cs="Times New Roman"/>
      <w:color w:val="00538F"/>
      <w:sz w:val="32"/>
      <w:szCs w:val="32"/>
      <w:lang w:eastAsia="en-US"/>
    </w:rPr>
  </w:style>
  <w:style w:type="paragraph" w:customStyle="1" w:styleId="DefaqtoLevel2">
    <w:name w:val="Defaqto Level 2"/>
    <w:basedOn w:val="Heading2"/>
    <w:link w:val="DefaqtoLevel2Char"/>
    <w:qFormat/>
    <w:pPr>
      <w:spacing w:before="240" w:after="240"/>
      <w:ind w:left="0"/>
    </w:pPr>
    <w:rPr>
      <w:rFonts w:ascii="Arial" w:eastAsia="MS Gothic" w:hAnsi="Arial" w:cs="Times New Roman"/>
      <w:b/>
      <w:bCs/>
      <w:color w:val="003479"/>
      <w:sz w:val="28"/>
      <w:szCs w:val="28"/>
      <w:lang w:eastAsia="en-US"/>
    </w:rPr>
  </w:style>
  <w:style w:type="character" w:customStyle="1" w:styleId="DefaqtoLevel2Char">
    <w:name w:val="Defaqto Level 2 Char"/>
    <w:link w:val="DefaqtoLevel2"/>
    <w:rPr>
      <w:rFonts w:ascii="Arial" w:eastAsia="MS Gothic" w:hAnsi="Arial" w:cs="Times New Roman"/>
      <w:b/>
      <w:bCs/>
      <w:color w:val="003479"/>
      <w:sz w:val="28"/>
      <w:szCs w:val="28"/>
      <w:lang w:eastAsia="en-US"/>
    </w:rPr>
  </w:style>
  <w:style w:type="paragraph" w:customStyle="1" w:styleId="Defaqtosmallprint">
    <w:name w:val="Defaqto smallprint"/>
    <w:basedOn w:val="Normal"/>
    <w:link w:val="DefaqtosmallprintChar"/>
    <w:qFormat/>
    <w:pPr>
      <w:keepNext/>
      <w:keepLines/>
      <w:spacing w:before="240" w:after="240"/>
    </w:pPr>
    <w:rPr>
      <w:rFonts w:ascii="Poppins" w:eastAsia="MS Gothic" w:hAnsi="Poppins" w:cs="Times New Roman"/>
      <w:color w:val="392388"/>
      <w:sz w:val="16"/>
      <w:szCs w:val="16"/>
      <w:lang w:eastAsia="en-US"/>
    </w:rPr>
  </w:style>
  <w:style w:type="character" w:customStyle="1" w:styleId="DefaqtosmallprintChar">
    <w:name w:val="Defaqto smallprint Char"/>
    <w:link w:val="Defaqtosmallprint"/>
    <w:rPr>
      <w:rFonts w:ascii="Poppins" w:eastAsia="MS Gothic" w:hAnsi="Poppins" w:cs="Times New Roman"/>
      <w:color w:val="392388"/>
      <w:sz w:val="16"/>
      <w:szCs w:val="16"/>
      <w:lang w:eastAsia="en-US"/>
    </w:rPr>
  </w:style>
  <w:style w:type="paragraph" w:customStyle="1" w:styleId="DefaqtoStyle">
    <w:name w:val="Defaqto Style"/>
    <w:basedOn w:val="Normal"/>
    <w:link w:val="DefaqtoStyleChar"/>
    <w:qFormat/>
    <w:pPr>
      <w:tabs>
        <w:tab w:val="center" w:pos="4513"/>
        <w:tab w:val="right" w:pos="9026"/>
      </w:tabs>
      <w:suppressAutoHyphens/>
      <w:spacing w:after="0" w:line="276" w:lineRule="auto"/>
      <w:ind w:right="1372"/>
    </w:pPr>
    <w:rPr>
      <w:rFonts w:ascii="Arial" w:eastAsia="Cambria" w:hAnsi="Arial" w:cs="Times New Roman"/>
      <w:color w:val="003479"/>
      <w:sz w:val="20"/>
      <w:szCs w:val="20"/>
      <w:lang w:eastAsia="en-US"/>
    </w:rPr>
  </w:style>
  <w:style w:type="character" w:customStyle="1" w:styleId="DefaqtoStyleChar">
    <w:name w:val="Defaqto Style Char"/>
    <w:link w:val="DefaqtoStyle"/>
    <w:rPr>
      <w:rFonts w:ascii="Arial" w:eastAsia="Cambria" w:hAnsi="Arial" w:cs="Times New Roman"/>
      <w:color w:val="003479"/>
      <w:sz w:val="20"/>
      <w:szCs w:val="20"/>
      <w:lang w:eastAsia="en-US"/>
    </w:rPr>
  </w:style>
  <w:style w:type="table" w:customStyle="1" w:styleId="DefaqtoTable">
    <w:name w:val="Defaqto Table"/>
    <w:basedOn w:val="TableNormal"/>
    <w:uiPriority w:val="99"/>
    <w:pPr>
      <w:spacing w:after="0" w:line="240" w:lineRule="auto"/>
    </w:pPr>
    <w:rPr>
      <w:rFonts w:ascii="Poppins" w:eastAsia="Times New Roman" w:hAnsi="Poppins"/>
      <w:lang w:eastAsia="en-US"/>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vAlign w:val="center"/>
    </w:tcPr>
    <w:tblStylePr w:type="firstRow">
      <w:rPr>
        <w:rFonts w:ascii="Poppins SemiBold" w:hAnsi="Poppins SemiBold"/>
        <w:b/>
        <w:bCs/>
        <w:color w:val="392388"/>
        <w:sz w:val="22"/>
        <w:szCs w:val="22"/>
      </w:rPr>
      <w:tblPr/>
      <w:tcPr>
        <w:tcBorders>
          <w:bottom w:val="single" w:sz="18" w:space="0" w:color="614FA0"/>
        </w:tcBorders>
        <w:shd w:val="clear" w:color="auto" w:fill="FFFFFF"/>
      </w:tcPr>
    </w:tblStylePr>
    <w:tblStylePr w:type="firstCol">
      <w:pPr>
        <w:jc w:val="left"/>
      </w:pPr>
    </w:tblStylePr>
    <w:tblStylePr w:type="band1Horz">
      <w:rPr>
        <w:rFonts w:ascii="Poppins" w:hAnsi="Poppins"/>
        <w:color w:val="392388"/>
        <w:sz w:val="22"/>
        <w:szCs w:val="22"/>
      </w:rPr>
      <w:tblPr/>
      <w:tcPr>
        <w:shd w:val="clear" w:color="auto" w:fill="FFFFFF"/>
      </w:tcPr>
    </w:tblStylePr>
    <w:tblStylePr w:type="band2Horz">
      <w:rPr>
        <w:rFonts w:ascii="Poppins" w:hAnsi="Poppins"/>
        <w:color w:val="392388"/>
        <w:sz w:val="22"/>
        <w:szCs w:val="22"/>
      </w:rPr>
      <w:tblPr/>
      <w:tcPr>
        <w:shd w:val="clear" w:color="auto" w:fill="EFEAFB"/>
      </w:tcPr>
    </w:tblStylePr>
  </w:style>
  <w:style w:type="character" w:customStyle="1" w:styleId="DefaqtoTableBody2Char">
    <w:name w:val="Defaqto Table Body 2 Char"/>
    <w:link w:val="DefaqtoTableBody2"/>
    <w:rPr>
      <w:rFonts w:ascii="Poppins" w:eastAsia="Times New Roman" w:hAnsi="Poppins" w:cs="Arial"/>
      <w:color w:val="392388"/>
      <w:sz w:val="16"/>
      <w:szCs w:val="16"/>
      <w:lang w:val="en-US" w:eastAsia="en-US"/>
    </w:rPr>
  </w:style>
  <w:style w:type="paragraph" w:customStyle="1" w:styleId="DefaqtoHeading1">
    <w:name w:val="Defaqto Heading 1"/>
    <w:basedOn w:val="Heading1"/>
    <w:next w:val="DefaqtoBody"/>
    <w:link w:val="DefaqtoHeading1Char"/>
    <w:qFormat/>
    <w:pPr>
      <w:spacing w:before="120" w:after="320"/>
      <w:ind w:left="0"/>
    </w:pPr>
    <w:rPr>
      <w:rFonts w:cs="Times New Roman"/>
      <w:b w:val="0"/>
      <w:bCs w:val="0"/>
      <w:sz w:val="48"/>
      <w:szCs w:val="48"/>
      <w:lang w:eastAsia="en-US"/>
    </w:rPr>
  </w:style>
  <w:style w:type="paragraph" w:customStyle="1" w:styleId="DefaqtoContentspageheading">
    <w:name w:val="Defaqto Contents page heading"/>
    <w:basedOn w:val="DefaqtoHeading1"/>
    <w:qFormat/>
    <w:pPr>
      <w:outlineLvl w:val="9"/>
    </w:pPr>
  </w:style>
  <w:style w:type="paragraph" w:customStyle="1" w:styleId="DefaqtoCoverHeading-noTOC">
    <w:name w:val="Defaqto Cover Heading - no TOC"/>
    <w:basedOn w:val="Heading1"/>
    <w:qFormat/>
    <w:pPr>
      <w:ind w:left="23"/>
      <w:outlineLvl w:val="9"/>
    </w:pPr>
    <w:rPr>
      <w:sz w:val="64"/>
      <w:szCs w:val="64"/>
    </w:rPr>
  </w:style>
  <w:style w:type="paragraph" w:customStyle="1" w:styleId="DefaqtoBodyAfterHeading">
    <w:name w:val="Defaqto Body After Heading"/>
    <w:basedOn w:val="DefaqtoBody"/>
    <w:link w:val="DefaqtoBodyAfterHeadingChar"/>
    <w:qFormat/>
    <w:pPr>
      <w:spacing w:before="0"/>
    </w:pPr>
  </w:style>
  <w:style w:type="character" w:customStyle="1" w:styleId="DefaqtoBodyAfterHeadingChar">
    <w:name w:val="Defaqto Body After Heading Char"/>
    <w:basedOn w:val="DefaqtoBodyChar"/>
    <w:link w:val="DefaqtoBodyAfterHeading"/>
    <w:rPr>
      <w:rFonts w:ascii="Calibri" w:eastAsia="Cambria" w:hAnsi="Calibri" w:cs="Times New Roman"/>
      <w:color w:val="7F7F7F"/>
      <w:sz w:val="24"/>
      <w:szCs w:val="24"/>
      <w:lang w:eastAsia="en-US"/>
    </w:rPr>
  </w:style>
  <w:style w:type="paragraph" w:customStyle="1" w:styleId="DefaqtoBodyHeading">
    <w:name w:val="Defaqto Body Heading"/>
    <w:basedOn w:val="DefaqtoIntroText"/>
    <w:link w:val="DefaqtoBodyHeadingChar"/>
    <w:qFormat/>
    <w:pPr>
      <w:spacing w:before="100" w:after="0"/>
      <w:contextualSpacing/>
    </w:pPr>
    <w:rPr>
      <w:rFonts w:eastAsia="Cambria"/>
      <w:b/>
      <w:bCs/>
      <w:color w:val="7F7F7F"/>
      <w:sz w:val="24"/>
      <w:szCs w:val="24"/>
    </w:rPr>
  </w:style>
  <w:style w:type="character" w:customStyle="1" w:styleId="DefaqtoBodyHeadingChar">
    <w:name w:val="Defaqto Body Heading Char"/>
    <w:basedOn w:val="DefaqtoIntroTextChar"/>
    <w:link w:val="DefaqtoBodyHeading"/>
    <w:rPr>
      <w:rFonts w:ascii="Calibri" w:eastAsia="Cambria" w:hAnsi="Calibri" w:cs="Times New Roman"/>
      <w:b/>
      <w:bCs/>
      <w:color w:val="7F7F7F"/>
      <w:sz w:val="24"/>
      <w:szCs w:val="24"/>
      <w:lang w:eastAsia="en-US"/>
    </w:rPr>
  </w:style>
  <w:style w:type="paragraph" w:styleId="TOC5">
    <w:name w:val="toc 5"/>
    <w:basedOn w:val="Normal"/>
    <w:next w:val="Normal"/>
    <w:uiPriority w:val="39"/>
    <w:unhideWhenUsed/>
    <w:pPr>
      <w:suppressAutoHyphens/>
      <w:spacing w:after="0" w:line="276" w:lineRule="auto"/>
      <w:ind w:left="800"/>
    </w:pPr>
    <w:rPr>
      <w:rFonts w:ascii="Poppins" w:eastAsia="Cambria" w:hAnsi="Poppins" w:cs="Arial"/>
      <w:color w:val="392388"/>
      <w:sz w:val="18"/>
      <w:szCs w:val="18"/>
      <w:lang w:eastAsia="en-US"/>
    </w:rPr>
  </w:style>
  <w:style w:type="paragraph" w:styleId="TOC6">
    <w:name w:val="toc 6"/>
    <w:basedOn w:val="Normal"/>
    <w:next w:val="Normal"/>
    <w:uiPriority w:val="39"/>
    <w:unhideWhenUsed/>
    <w:pPr>
      <w:suppressAutoHyphens/>
      <w:spacing w:after="0" w:line="276" w:lineRule="auto"/>
      <w:ind w:left="1000"/>
    </w:pPr>
    <w:rPr>
      <w:rFonts w:ascii="Poppins" w:eastAsia="Cambria" w:hAnsi="Poppins" w:cs="Arial"/>
      <w:color w:val="392388"/>
      <w:sz w:val="18"/>
      <w:szCs w:val="18"/>
      <w:lang w:eastAsia="en-US"/>
    </w:rPr>
  </w:style>
  <w:style w:type="paragraph" w:styleId="TOC7">
    <w:name w:val="toc 7"/>
    <w:basedOn w:val="Normal"/>
    <w:next w:val="Normal"/>
    <w:uiPriority w:val="39"/>
    <w:unhideWhenUsed/>
    <w:pPr>
      <w:suppressAutoHyphens/>
      <w:spacing w:after="0" w:line="276" w:lineRule="auto"/>
      <w:ind w:left="1200"/>
    </w:pPr>
    <w:rPr>
      <w:rFonts w:ascii="Poppins" w:eastAsia="Cambria" w:hAnsi="Poppins" w:cs="Arial"/>
      <w:color w:val="392388"/>
      <w:sz w:val="18"/>
      <w:szCs w:val="18"/>
      <w:lang w:eastAsia="en-US"/>
    </w:rPr>
  </w:style>
  <w:style w:type="paragraph" w:styleId="TOC8">
    <w:name w:val="toc 8"/>
    <w:basedOn w:val="Normal"/>
    <w:next w:val="Normal"/>
    <w:uiPriority w:val="39"/>
    <w:unhideWhenUsed/>
    <w:pPr>
      <w:suppressAutoHyphens/>
      <w:spacing w:after="0" w:line="276" w:lineRule="auto"/>
      <w:ind w:left="1400"/>
    </w:pPr>
    <w:rPr>
      <w:rFonts w:ascii="Poppins" w:eastAsia="Cambria" w:hAnsi="Poppins" w:cs="Arial"/>
      <w:color w:val="392388"/>
      <w:sz w:val="18"/>
      <w:szCs w:val="18"/>
      <w:lang w:eastAsia="en-US"/>
    </w:rPr>
  </w:style>
  <w:style w:type="paragraph" w:styleId="TOC9">
    <w:name w:val="toc 9"/>
    <w:basedOn w:val="Normal"/>
    <w:next w:val="Normal"/>
    <w:uiPriority w:val="39"/>
    <w:unhideWhenUsed/>
    <w:pPr>
      <w:suppressAutoHyphens/>
      <w:spacing w:after="0" w:line="276" w:lineRule="auto"/>
      <w:ind w:left="1600"/>
    </w:pPr>
    <w:rPr>
      <w:rFonts w:ascii="Poppins" w:eastAsia="Cambria" w:hAnsi="Poppins" w:cs="Arial"/>
      <w:color w:val="392388"/>
      <w:sz w:val="18"/>
      <w:szCs w:val="18"/>
      <w:lang w:eastAsia="en-US"/>
    </w:rPr>
  </w:style>
  <w:style w:type="paragraph" w:styleId="TOCHeading">
    <w:name w:val="TOC Heading"/>
    <w:basedOn w:val="Heading1"/>
    <w:next w:val="Normal"/>
    <w:uiPriority w:val="39"/>
    <w:qFormat/>
    <w:pPr>
      <w:spacing w:before="480" w:line="276" w:lineRule="auto"/>
      <w:ind w:left="0"/>
      <w:outlineLvl w:val="9"/>
    </w:pPr>
    <w:rPr>
      <w:rFonts w:ascii="Poppins" w:eastAsia="MS Gothic" w:hAnsi="Poppins" w:cs="Times New Roman"/>
      <w:color w:val="392388"/>
      <w:sz w:val="28"/>
      <w:szCs w:val="28"/>
      <w:lang w:val="en-US" w:eastAsia="en-US"/>
    </w:rPr>
  </w:style>
  <w:style w:type="table" w:customStyle="1" w:styleId="Custom1">
    <w:name w:val="Custom1"/>
    <w:basedOn w:val="TableNormal"/>
    <w:uiPriority w:val="99"/>
    <w:pPr>
      <w:spacing w:after="0" w:line="240" w:lineRule="auto"/>
    </w:pPr>
    <w:rPr>
      <w:rFonts w:ascii="Poppins" w:eastAsia="Times New Roman"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shd w:val="clear" w:color="auto" w:fill="FFFFFF"/>
    </w:tcPr>
    <w:tblStylePr w:type="firstCol">
      <w:rPr>
        <w:rFonts w:ascii="Poppins" w:hAnsi="Poppins"/>
        <w:b/>
        <w:bCs/>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2">
    <w:name w:val="Custom2"/>
    <w:basedOn w:val="TableNormal"/>
    <w:uiPriority w:val="99"/>
    <w:pPr>
      <w:spacing w:after="0" w:line="240" w:lineRule="auto"/>
    </w:pPr>
    <w:rPr>
      <w:rFonts w:ascii="Times New Roman" w:eastAsia="Times New Roman" w:hAnsi="Times New Roman"/>
      <w:sz w:val="20"/>
      <w:szCs w:val="20"/>
    </w:rPr>
    <w:tblPr>
      <w:tblStyleRowBandSize w:val="1"/>
      <w:tblStyleColBandSize w:val="1"/>
    </w:tblPr>
  </w:style>
  <w:style w:type="table" w:customStyle="1" w:styleId="Custom2b">
    <w:name w:val="Custom2b"/>
    <w:basedOn w:val="Custom2"/>
    <w:uiPriority w:val="99"/>
    <w:rPr>
      <w:color w:val="000000"/>
    </w:rPr>
    <w:tblPr/>
    <w:tcPr>
      <w:shd w:val="clear" w:color="auto" w:fill="D9D9D9"/>
    </w:tcPr>
    <w:tblStylePr w:type="firstRow">
      <w:rPr>
        <w:b/>
        <w:bCs/>
      </w:rPr>
    </w:tblStylePr>
  </w:style>
  <w:style w:type="table" w:customStyle="1" w:styleId="Custom3">
    <w:name w:val="Custom3"/>
    <w:basedOn w:val="TableNormal"/>
    <w:uiPriority w:val="99"/>
    <w:pPr>
      <w:spacing w:after="0" w:line="240" w:lineRule="auto"/>
    </w:pPr>
    <w:rPr>
      <w:rFonts w:eastAsia="Times New Roman"/>
      <w:sz w:val="20"/>
      <w:szCs w:val="20"/>
    </w:rPr>
    <w:tblPr>
      <w:tblStyleRowBandSize w:val="1"/>
      <w:tblStyleColBandSize w:val="1"/>
      <w:tblBorders>
        <w:top w:val="single" w:sz="4" w:space="0" w:color="A6A6A6"/>
        <w:left w:val="nil"/>
        <w:bottom w:val="single" w:sz="4" w:space="0" w:color="A6A6A6"/>
        <w:right w:val="nil"/>
        <w:insideH w:val="single" w:sz="4" w:space="0" w:color="A6A6A6"/>
        <w:insideV w:val="nil"/>
      </w:tblBorders>
    </w:tblPr>
    <w:tcPr>
      <w:shd w:val="clear" w:color="auto" w:fill="FFFFFF"/>
    </w:tcPr>
    <w:tblStylePr w:type="firstRow">
      <w:rPr>
        <w:b/>
        <w:bCs/>
      </w:rPr>
      <w:tblPr/>
      <w:tcPr>
        <w:tcBorders>
          <w:top w:val="single" w:sz="4" w:space="0" w:color="auto"/>
        </w:tcBorders>
        <w:shd w:val="clear" w:color="auto" w:fill="FFFFFF"/>
        <w:vAlign w:val="top"/>
      </w:tcPr>
    </w:tblStylePr>
    <w:tblStylePr w:type="band1Horz">
      <w:tblPr/>
      <w:tcPr>
        <w:shd w:val="clear" w:color="auto" w:fill="FFFFFF"/>
        <w:vAlign w:val="top"/>
      </w:tcPr>
    </w:tblStylePr>
  </w:style>
  <w:style w:type="table" w:customStyle="1" w:styleId="Custom4">
    <w:name w:val="Custom4"/>
    <w:basedOn w:val="Custom1"/>
    <w:uiPriority w:val="99"/>
    <w:tblPr>
      <w:tblBorders>
        <w:top w:val="single" w:sz="4" w:space="0" w:color="BFBFBF"/>
        <w:left w:val="nil"/>
        <w:bottom w:val="single" w:sz="4" w:space="0" w:color="BFBFBF"/>
        <w:right w:val="nil"/>
        <w:insideH w:val="single" w:sz="4" w:space="0" w:color="BFBFBF"/>
        <w:insideV w:val="nil"/>
      </w:tblBorders>
    </w:tblPr>
    <w:tblStylePr w:type="firstRow">
      <w:rPr>
        <w:b/>
        <w:bCs/>
      </w:rPr>
      <w:tblPr/>
      <w:tcPr>
        <w:tcBorders>
          <w:top w:val="single" w:sz="4" w:space="0" w:color="auto"/>
          <w:bottom w:val="single" w:sz="4" w:space="0" w:color="auto"/>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5">
    <w:name w:val="Custom5"/>
    <w:basedOn w:val="Custom3"/>
    <w:uiPriority w:val="99"/>
    <w:rPr>
      <w:rFonts w:ascii="Arial" w:hAnsi="Arial"/>
      <w:sz w:val="24"/>
      <w:szCs w:val="24"/>
    </w:rPr>
    <w:tblPr>
      <w:tblBorders>
        <w:top w:val="nil"/>
        <w:bottom w:val="single" w:sz="4" w:space="0" w:color="BFBFBF"/>
        <w:insideH w:val="single" w:sz="4" w:space="0" w:color="BFBFBF"/>
      </w:tblBorders>
    </w:tblPr>
    <w:tblStylePr w:type="firstRow">
      <w:rPr>
        <w:b/>
        <w:bCs/>
      </w:rPr>
      <w:tblPr/>
      <w:tcPr>
        <w:tcBorders>
          <w:top w:val="single" w:sz="4" w:space="0" w:color="808080"/>
          <w:bottom w:val="single" w:sz="4" w:space="0" w:color="808080"/>
        </w:tcBorders>
        <w:shd w:val="clear" w:color="auto" w:fill="FFFFFF"/>
        <w:vAlign w:val="top"/>
      </w:tcPr>
    </w:tblStylePr>
    <w:tblStylePr w:type="firstCol">
      <w:pPr>
        <w:wordWrap/>
        <w:jc w:val="center"/>
      </w:pPr>
    </w:tblStylePr>
    <w:tblStylePr w:type="band1Horz">
      <w:tblPr/>
      <w:tcPr>
        <w:shd w:val="clear" w:color="auto" w:fill="FFFFFF"/>
        <w:vAlign w:val="top"/>
      </w:tcPr>
    </w:tblStylePr>
  </w:style>
  <w:style w:type="character" w:customStyle="1" w:styleId="DefaqtoTableBodyChar">
    <w:name w:val="Defaqto Table Body Char"/>
    <w:link w:val="DefaqtoTableBody"/>
    <w:rPr>
      <w:rFonts w:ascii="Calibri" w:eastAsia="Times New Roman" w:hAnsi="Calibri" w:cs="Arial"/>
      <w:sz w:val="16"/>
      <w:szCs w:val="16"/>
      <w:lang w:val="en-US" w:eastAsia="en-US"/>
    </w:rPr>
  </w:style>
  <w:style w:type="paragraph" w:styleId="TOC1">
    <w:name w:val="toc 1"/>
    <w:basedOn w:val="Normal"/>
    <w:next w:val="Normal"/>
    <w:link w:val="TOC1Char"/>
    <w:uiPriority w:val="39"/>
    <w:pPr>
      <w:tabs>
        <w:tab w:val="right" w:leader="dot" w:pos="10456"/>
      </w:tabs>
      <w:suppressAutoHyphens/>
      <w:spacing w:before="120" w:after="120" w:line="276" w:lineRule="auto"/>
    </w:pPr>
    <w:rPr>
      <w:rFonts w:ascii="Poppins" w:eastAsia="Cambria" w:hAnsi="Poppins" w:cs="Arial"/>
      <w:b/>
      <w:bCs/>
      <w:caps/>
      <w:color w:val="392388"/>
      <w:sz w:val="20"/>
      <w:szCs w:val="20"/>
      <w:lang w:eastAsia="en-US"/>
    </w:rPr>
  </w:style>
  <w:style w:type="character" w:customStyle="1" w:styleId="TOC1Char">
    <w:name w:val="TOC 1 Char"/>
    <w:link w:val="TOC1"/>
    <w:uiPriority w:val="39"/>
    <w:rPr>
      <w:rFonts w:ascii="Poppins" w:eastAsia="Cambria" w:hAnsi="Poppins" w:cs="Arial"/>
      <w:b/>
      <w:bCs/>
      <w:caps/>
      <w:color w:val="392388"/>
      <w:sz w:val="20"/>
      <w:szCs w:val="20"/>
      <w:lang w:eastAsia="en-US"/>
    </w:rPr>
  </w:style>
  <w:style w:type="paragraph" w:styleId="TOC2">
    <w:name w:val="toc 2"/>
    <w:basedOn w:val="Normal"/>
    <w:next w:val="Normal"/>
    <w:uiPriority w:val="39"/>
    <w:pPr>
      <w:suppressAutoHyphens/>
      <w:spacing w:after="0" w:line="276" w:lineRule="auto"/>
      <w:ind w:left="200"/>
    </w:pPr>
    <w:rPr>
      <w:rFonts w:ascii="Poppins" w:eastAsia="Cambria" w:hAnsi="Poppins" w:cs="Arial"/>
      <w:smallCaps/>
      <w:color w:val="392388"/>
      <w:sz w:val="20"/>
      <w:szCs w:val="20"/>
      <w:lang w:eastAsia="en-US"/>
    </w:rPr>
  </w:style>
  <w:style w:type="paragraph" w:styleId="TOC3">
    <w:name w:val="toc 3"/>
    <w:basedOn w:val="Normal"/>
    <w:next w:val="Normal"/>
    <w:uiPriority w:val="39"/>
    <w:pPr>
      <w:suppressAutoHyphens/>
      <w:spacing w:after="0" w:line="276" w:lineRule="auto"/>
      <w:ind w:left="400"/>
    </w:pPr>
    <w:rPr>
      <w:rFonts w:ascii="Poppins" w:eastAsia="Cambria" w:hAnsi="Poppins" w:cs="Arial"/>
      <w:i/>
      <w:color w:val="392388"/>
      <w:sz w:val="20"/>
      <w:szCs w:val="20"/>
      <w:lang w:eastAsia="en-US"/>
    </w:rPr>
  </w:style>
  <w:style w:type="paragraph" w:styleId="TOC4">
    <w:name w:val="toc 4"/>
    <w:basedOn w:val="Normal"/>
    <w:next w:val="Normal"/>
    <w:uiPriority w:val="39"/>
    <w:unhideWhenUsed/>
    <w:pPr>
      <w:suppressAutoHyphens/>
      <w:spacing w:after="0" w:line="276" w:lineRule="auto"/>
      <w:ind w:left="600"/>
    </w:pPr>
    <w:rPr>
      <w:rFonts w:ascii="Poppins" w:eastAsia="Cambria" w:hAnsi="Poppins" w:cs="Arial"/>
      <w:color w:val="392388"/>
      <w:sz w:val="18"/>
      <w:szCs w:val="18"/>
      <w:lang w:eastAsia="en-US"/>
    </w:rPr>
  </w:style>
  <w:style w:type="table" w:customStyle="1" w:styleId="Custom6">
    <w:name w:val="Custom6"/>
    <w:basedOn w:val="TableNormal"/>
    <w:uiPriority w:val="99"/>
    <w:pPr>
      <w:spacing w:after="0" w:line="240" w:lineRule="auto"/>
    </w:pPr>
    <w:rPr>
      <w:rFonts w:ascii="Poppins" w:eastAsia="Times New Roman" w:hAnsi="Poppins"/>
      <w:color w:val="392388"/>
      <w:sz w:val="28"/>
      <w:szCs w:val="28"/>
    </w:rPr>
    <w:tblPr>
      <w:tblStyleRowBandSize w:val="1"/>
      <w:tblStyleColBandSize w:val="1"/>
      <w:tblCellSpacing w:w="17" w:type="dxa"/>
      <w:tblBorders>
        <w:top w:val="nil"/>
        <w:left w:val="nil"/>
        <w:bottom w:val="nil"/>
        <w:right w:val="nil"/>
        <w:insideH w:val="single" w:sz="8" w:space="0" w:color="B0A7CF"/>
        <w:insideV w:val="single" w:sz="8" w:space="0" w:color="B0A7CF"/>
      </w:tblBorders>
      <w:tblCellMar>
        <w:top w:w="85" w:type="dxa"/>
        <w:left w:w="142" w:type="dxa"/>
        <w:bottom w:w="85" w:type="dxa"/>
        <w:right w:w="142" w:type="dxa"/>
      </w:tblCellMar>
    </w:tblPr>
    <w:trPr>
      <w:tblCellSpacing w:w="17" w:type="dxa"/>
    </w:trPr>
    <w:tcPr>
      <w:shd w:val="clear" w:color="auto" w:fill="FFFFFF"/>
      <w:vAlign w:val="center"/>
    </w:tcPr>
    <w:tblStylePr w:type="firstRow">
      <w:rPr>
        <w:b/>
        <w:bCs/>
      </w:rPr>
    </w:tblStylePr>
  </w:style>
  <w:style w:type="table" w:customStyle="1" w:styleId="CustomPR1">
    <w:name w:val="CustomPR1"/>
    <w:basedOn w:val="TableNormal"/>
    <w:uiPriority w:val="99"/>
    <w:pPr>
      <w:spacing w:after="0" w:line="240" w:lineRule="auto"/>
    </w:pPr>
    <w:rPr>
      <w:rFonts w:ascii="Times New Roman" w:eastAsia="Times New Roman" w:hAnsi="Times New Roman"/>
      <w:sz w:val="20"/>
      <w:szCs w:val="20"/>
    </w:rPr>
    <w:tblPr>
      <w:tblStyleRowBandSize w:val="1"/>
      <w:tblStyleColBandSize w:val="1"/>
      <w:tblBorders>
        <w:top w:val="nil"/>
        <w:left w:val="nil"/>
        <w:bottom w:val="nil"/>
        <w:right w:val="nil"/>
        <w:insideH w:val="single" w:sz="36" w:space="0" w:color="FFFFFF"/>
        <w:insideV w:val="single" w:sz="36" w:space="0" w:color="FFFFFF"/>
      </w:tblBorders>
    </w:tblPr>
  </w:style>
  <w:style w:type="table" w:customStyle="1" w:styleId="CustomPR2">
    <w:name w:val="CustomPR2"/>
    <w:basedOn w:val="TableNormal"/>
    <w:uiPriority w:val="99"/>
    <w:pPr>
      <w:spacing w:after="0" w:line="240" w:lineRule="auto"/>
    </w:pPr>
    <w:rPr>
      <w:rFonts w:eastAsia="Times New Roman"/>
      <w:sz w:val="18"/>
      <w:szCs w:val="18"/>
    </w:rPr>
    <w:tblPr>
      <w:tblStyleRowBandSize w:val="1"/>
      <w:tblStyleColBandSize w:val="1"/>
      <w:jc w:val="center"/>
      <w:tblBorders>
        <w:top w:val="single" w:sz="4" w:space="0" w:color="7F7F7F"/>
        <w:left w:val="nil"/>
        <w:bottom w:val="single" w:sz="4" w:space="0" w:color="7F7F7F"/>
        <w:right w:val="nil"/>
        <w:insideH w:val="single" w:sz="4" w:space="0" w:color="7F7F7F"/>
        <w:insideV w:val="nil"/>
      </w:tblBorders>
    </w:tblPr>
    <w:trPr>
      <w:jc w:val="center"/>
    </w:trPr>
    <w:tcPr>
      <w:tcMar>
        <w:top w:w="144" w:type="dxa"/>
        <w:left w:w="115" w:type="dxa"/>
        <w:bottom w:w="144" w:type="dxa"/>
        <w:right w:w="115" w:type="dxa"/>
      </w:tcMar>
    </w:tcPr>
    <w:tblStylePr w:type="firstRow">
      <w:rPr>
        <w:rFonts w:ascii="Calibri" w:hAnsi="Calibri"/>
        <w:b/>
        <w:bCs/>
        <w:sz w:val="16"/>
        <w:szCs w:val="16"/>
      </w:rPr>
    </w:tblStylePr>
  </w:style>
  <w:style w:type="table" w:customStyle="1" w:styleId="CustomPR3">
    <w:name w:val="CustomPR3"/>
    <w:basedOn w:val="CustomPR1"/>
    <w:uiPriority w:val="99"/>
    <w:tblPr>
      <w:tblBorders>
        <w:insideH w:val="nil"/>
        <w:insideV w:val="nil"/>
      </w:tblBorders>
    </w:tblPr>
    <w:tblStylePr w:type="firstRow">
      <w:rPr>
        <w:b/>
        <w:bCs/>
      </w:rPr>
    </w:tblStylePr>
    <w:tblStylePr w:type="lastRow">
      <w:rPr>
        <w:b/>
        <w:bCs/>
      </w:rPr>
    </w:tblStylePr>
  </w:style>
  <w:style w:type="table" w:customStyle="1" w:styleId="DefaqtoTable-Plain">
    <w:name w:val="Defaqto Table - Plain"/>
    <w:basedOn w:val="TableNormal"/>
    <w:uiPriority w:val="99"/>
    <w:pPr>
      <w:spacing w:after="0" w:line="240" w:lineRule="auto"/>
    </w:pPr>
    <w:rPr>
      <w:rFonts w:ascii="Poppins" w:eastAsia="Times New Roman" w:hAnsi="Poppins"/>
      <w:color w:val="392388"/>
      <w:sz w:val="20"/>
      <w:szCs w:val="20"/>
    </w:rPr>
    <w:tblPr>
      <w:tblStyleRowBandSize w:val="1"/>
      <w:tblStyleColBandSize w:val="1"/>
    </w:tblPr>
  </w:style>
  <w:style w:type="table" w:customStyle="1" w:styleId="CustomPR4">
    <w:name w:val="CustomPR4"/>
    <w:basedOn w:val="DefaqtoTable-Plain"/>
    <w:uiPriority w:val="99"/>
    <w:rPr>
      <w:rFonts w:ascii="Calibri" w:hAnsi="Calibri"/>
      <w:color w:val="000000"/>
    </w:rPr>
    <w:tblPr>
      <w:tblCellSpacing w:w="17" w:type="dxa"/>
      <w:tblBorders>
        <w:top w:val="nil"/>
        <w:left w:val="nil"/>
        <w:bottom w:val="nil"/>
        <w:right w:val="nil"/>
        <w:insideH w:val="nil"/>
        <w:insideV w:val="nil"/>
      </w:tblBorders>
      <w:tblCellMar>
        <w:top w:w="85" w:type="dxa"/>
        <w:left w:w="142" w:type="dxa"/>
        <w:bottom w:w="85" w:type="dxa"/>
        <w:right w:w="142" w:type="dxa"/>
      </w:tblCellMar>
    </w:tblPr>
    <w:trPr>
      <w:tblCellSpacing w:w="17" w:type="dxa"/>
    </w:trPr>
    <w:tcPr>
      <w:shd w:val="clear" w:color="auto" w:fill="D9D9D9"/>
      <w:vAlign w:val="center"/>
    </w:tcPr>
    <w:tblStylePr w:type="firstRow">
      <w:rPr>
        <w:b w:val="0"/>
        <w:bCs w:val="0"/>
      </w:rPr>
    </w:tblStylePr>
    <w:tblStylePr w:type="firstCol">
      <w:rPr>
        <w:b/>
        <w:bCs/>
      </w:rPr>
    </w:tblStylePr>
    <w:tblStylePr w:type="nwCell">
      <w:rPr>
        <w:b/>
        <w:bCs/>
      </w:rPr>
    </w:tblStylePr>
  </w:style>
  <w:style w:type="table" w:customStyle="1" w:styleId="CustomPR5">
    <w:name w:val="CustomPR5"/>
    <w:basedOn w:val="Custom4"/>
    <w:uiPriority w:val="99"/>
    <w:pPr>
      <w:spacing w:line="360" w:lineRule="auto"/>
    </w:pPr>
    <w:rPr>
      <w:rFonts w:ascii="Calibri" w:hAnsi="Calibri"/>
    </w:rPr>
    <w:tblPr>
      <w:tblBorders>
        <w:top w:val="single" w:sz="4" w:space="0" w:color="auto"/>
        <w:bottom w:val="nil"/>
        <w:insideH w:val="nil"/>
      </w:tblBorders>
    </w:tblPr>
    <w:tblStylePr w:type="firstRow">
      <w:rPr>
        <w:b/>
        <w:bCs/>
      </w:rPr>
      <w:tblPr/>
      <w:tcPr>
        <w:tcBorders>
          <w:top w:val="nil"/>
          <w:left w:val="nil"/>
          <w:bottom w:val="single" w:sz="4" w:space="0" w:color="auto"/>
          <w:right w:val="nil"/>
          <w:tl2br w:val="nil"/>
          <w:tr2bl w:val="nil"/>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DefaqtoChartBorder">
    <w:name w:val="Defaqto Chart Border"/>
    <w:basedOn w:val="TableNormal"/>
    <w:qFormat/>
    <w:pPr>
      <w:spacing w:after="0" w:line="240" w:lineRule="auto"/>
    </w:pPr>
    <w:tblPr>
      <w:tblStyleRowBandSize w:val="1"/>
      <w:tblStyleColBandSize w:val="1"/>
      <w:tblCellMar>
        <w:left w:w="0" w:type="dxa"/>
        <w:right w:w="0"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single" w:sz="12" w:space="0" w:color="D0CECE"/>
          <w:left w:val="single" w:sz="12" w:space="0" w:color="D0CECE"/>
          <w:bottom w:val="single" w:sz="12" w:space="0" w:color="D0CECE"/>
          <w:right w:val="single" w:sz="12" w:space="0" w:color="D0CECE"/>
        </w:tcBorders>
      </w:tcPr>
    </w:tblStylePr>
    <w:tblStylePr w:type="swCell">
      <w:pPr>
        <w:jc w:val="center"/>
      </w:pPr>
      <w:rPr>
        <w:b/>
        <w:bCs/>
      </w:rPr>
      <w:tblPr/>
      <w:tcPr>
        <w:vAlign w:val="center"/>
      </w:tcPr>
    </w:tblStylePr>
  </w:style>
  <w:style w:type="character" w:customStyle="1" w:styleId="DefaqtoHeading1Char">
    <w:name w:val="Defaqto Heading 1 Char"/>
    <w:link w:val="DefaqtoHeading1"/>
    <w:rPr>
      <w:rFonts w:ascii="Poppins SemiBold" w:eastAsia="Calibri" w:hAnsi="Poppins SemiBold" w:cs="Times New Roman"/>
      <w:color w:val="3B2B8C"/>
      <w:sz w:val="48"/>
      <w:szCs w:val="48"/>
      <w:lang w:eastAsia="en-US"/>
    </w:rPr>
  </w:style>
  <w:style w:type="paragraph" w:customStyle="1" w:styleId="DefaqtoHeading1-noTOC">
    <w:name w:val="Defaqto Heading 1 - no TOC"/>
    <w:basedOn w:val="DefaqtoHeading1"/>
    <w:qFormat/>
    <w:pPr>
      <w:spacing w:before="240" w:line="640" w:lineRule="exact"/>
      <w:outlineLvl w:val="9"/>
    </w:pPr>
    <w:rPr>
      <w:position w:val="6"/>
      <w:lang w:eastAsia="en-GB"/>
    </w:rPr>
  </w:style>
  <w:style w:type="character" w:customStyle="1" w:styleId="DefaqtoHeading2Char">
    <w:name w:val="Defaqto Heading 2 Char"/>
    <w:link w:val="DefaqtoHeading2"/>
    <w:rPr>
      <w:rFonts w:ascii="Poppins SemiBold" w:eastAsia="Cambria" w:hAnsi="Poppins SemiBold" w:cs="Times New Roman"/>
      <w:color w:val="392388"/>
      <w:sz w:val="32"/>
      <w:szCs w:val="32"/>
      <w:lang w:eastAsia="en-US"/>
    </w:rPr>
  </w:style>
  <w:style w:type="character" w:customStyle="1" w:styleId="DefaqtoHeading3Char">
    <w:name w:val="Defaqto Heading 3 Char"/>
    <w:link w:val="DefaqtoHeading3"/>
    <w:rPr>
      <w:rFonts w:ascii="Poppins SemiBold" w:eastAsia="Calibri" w:hAnsi="Poppins SemiBold" w:cs="Calibri"/>
      <w:color w:val="392388"/>
      <w:lang w:val="en-NZ"/>
    </w:rPr>
  </w:style>
  <w:style w:type="paragraph" w:customStyle="1" w:styleId="DefaqtoHeading4">
    <w:name w:val="Defaqto Heading 4"/>
    <w:basedOn w:val="DefaqtoHeading3"/>
    <w:next w:val="DefaqtoBody"/>
    <w:qFormat/>
    <w:pPr>
      <w:ind w:left="11" w:hanging="11"/>
      <w:outlineLvl w:val="3"/>
    </w:pPr>
  </w:style>
  <w:style w:type="table" w:customStyle="1" w:styleId="DefaqtoQuestionnaire">
    <w:name w:val="Defaqto Questionnaire"/>
    <w:basedOn w:val="TableNormal"/>
    <w:uiPriority w:val="99"/>
    <w:pPr>
      <w:spacing w:before="100" w:after="0" w:line="276" w:lineRule="auto"/>
    </w:pPr>
    <w:rPr>
      <w:rFonts w:ascii="Arial" w:eastAsia="Times New Roman" w:hAnsi="Arial"/>
      <w:color w:val="595959"/>
      <w:sz w:val="18"/>
      <w:szCs w:val="18"/>
    </w:rPr>
    <w:tblPr>
      <w:tblStyleRowBandSize w:val="1"/>
      <w:tblStyleColBandSize w:val="1"/>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Pr>
    <w:tcPr>
      <w:shd w:val="clear" w:color="auto" w:fill="auto"/>
      <w:tcMar>
        <w:top w:w="108" w:type="dxa"/>
        <w:bottom w:w="108" w:type="dxa"/>
      </w:tcMar>
    </w:tcPr>
    <w:tblStylePr w:type="firstRow">
      <w:rPr>
        <w:rFonts w:ascii="Arial" w:hAnsi="Arial"/>
        <w:b/>
        <w:bCs/>
        <w:sz w:val="18"/>
        <w:szCs w:val="18"/>
      </w:rPr>
    </w:tblStylePr>
    <w:tblStylePr w:type="band1Horz">
      <w:rPr>
        <w:rFonts w:ascii="Arial" w:hAnsi="Arial"/>
        <w:sz w:val="18"/>
        <w:szCs w:val="18"/>
      </w:rPr>
      <w:tblPr/>
      <w:tcPr>
        <w:shd w:val="clear" w:color="auto" w:fill="E2EBCF"/>
      </w:tcPr>
    </w:tblStylePr>
    <w:tblStylePr w:type="band2Horz">
      <w:rPr>
        <w:rFonts w:ascii="Arial" w:hAnsi="Arial"/>
        <w:sz w:val="18"/>
        <w:szCs w:val="18"/>
      </w:rPr>
    </w:tblStylePr>
  </w:style>
  <w:style w:type="table" w:customStyle="1" w:styleId="DefaqtoStarRatingsTable">
    <w:name w:val="Defaqto Star Ratings Table"/>
    <w:basedOn w:val="TableNormal"/>
    <w:uiPriority w:val="99"/>
    <w:pPr>
      <w:spacing w:after="0" w:line="240" w:lineRule="auto"/>
      <w:jc w:val="center"/>
    </w:pPr>
    <w:rPr>
      <w:rFonts w:ascii="Poppins"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tblBorders>
    </w:tblPr>
    <w:tcPr>
      <w:shd w:val="clear" w:color="auto" w:fill="auto"/>
      <w:vAlign w:val="center"/>
    </w:tcPr>
  </w:style>
  <w:style w:type="paragraph" w:customStyle="1" w:styleId="DefaqtoTableBody3">
    <w:name w:val="Defaqto Table Body 3"/>
    <w:basedOn w:val="Normal"/>
    <w:qFormat/>
    <w:pPr>
      <w:spacing w:before="60" w:after="60" w:line="240" w:lineRule="auto"/>
    </w:pPr>
    <w:rPr>
      <w:rFonts w:ascii="Arial" w:eastAsia="Times New Roman" w:hAnsi="Arial" w:cs="Arial"/>
      <w:color w:val="595959"/>
      <w:sz w:val="18"/>
      <w:szCs w:val="18"/>
      <w:lang w:val="en-US"/>
    </w:rPr>
  </w:style>
  <w:style w:type="paragraph" w:customStyle="1" w:styleId="Defaqtotableheader">
    <w:name w:val="Defaqto table header"/>
    <w:basedOn w:val="Normal"/>
    <w:link w:val="DefaqtotableheaderChar"/>
    <w:qFormat/>
    <w:pPr>
      <w:spacing w:after="0"/>
    </w:pPr>
    <w:rPr>
      <w:rFonts w:ascii="Arial" w:eastAsia="Arial" w:hAnsi="Arial" w:cs="Times New Roman"/>
      <w:color w:val="FFFFFF"/>
      <w:lang w:eastAsia="en-US"/>
    </w:rPr>
  </w:style>
  <w:style w:type="character" w:customStyle="1" w:styleId="DefaqtotableheaderChar">
    <w:name w:val="Defaqto table header Char"/>
    <w:link w:val="Defaqtotableheader"/>
    <w:rPr>
      <w:rFonts w:ascii="Arial" w:eastAsia="Arial" w:hAnsi="Arial" w:cs="Times New Roman"/>
      <w:color w:val="FFFFFF"/>
      <w:lang w:eastAsia="en-US"/>
    </w:rPr>
  </w:style>
  <w:style w:type="table" w:customStyle="1" w:styleId="DefaqtoTableOLD">
    <w:name w:val="Defaqto Table OLD"/>
    <w:basedOn w:val="TableNormal"/>
    <w:uiPriority w:val="99"/>
    <w:pPr>
      <w:spacing w:after="0" w:line="240" w:lineRule="auto"/>
    </w:pPr>
    <w:rPr>
      <w:rFonts w:eastAsia="Times New Roman"/>
      <w:sz w:val="16"/>
      <w:szCs w:val="16"/>
    </w:rPr>
    <w:tblPr>
      <w:tblStyleRowBandSize w:val="1"/>
      <w:tblStyleColBandSize w:val="1"/>
      <w:tblBorders>
        <w:top w:val="single" w:sz="4" w:space="0" w:color="7F7F7F"/>
        <w:left w:val="nil"/>
        <w:bottom w:val="single" w:sz="4" w:space="0" w:color="7F7F7F"/>
        <w:right w:val="nil"/>
        <w:insideH w:val="nil"/>
        <w:insideV w:val="nil"/>
      </w:tblBorders>
      <w:tblCellMar>
        <w:top w:w="28" w:type="dxa"/>
        <w:bottom w:w="28" w:type="dxa"/>
      </w:tblCellMar>
    </w:tblPr>
    <w:tblStylePr w:type="firstRow">
      <w:rPr>
        <w:rFonts w:ascii="Times New Roman" w:hAnsi="Times New Roman"/>
        <w:b/>
        <w:bCs/>
        <w:sz w:val="16"/>
        <w:szCs w:val="16"/>
      </w:rPr>
      <w:tblPr/>
      <w:tcPr>
        <w:tcBorders>
          <w:bottom w:val="single" w:sz="4" w:space="0" w:color="7F7F7F"/>
        </w:tcBorders>
        <w:vAlign w:val="center"/>
      </w:tcPr>
    </w:tblStylePr>
    <w:tblStylePr w:type="lastRow">
      <w:rPr>
        <w:b/>
        <w:bCs/>
      </w:rPr>
      <w:tblPr/>
      <w:tcPr>
        <w:tcBorders>
          <w:top w:val="single" w:sz="4" w:space="0" w:color="7F7F7F"/>
        </w:tcBorders>
        <w:vAlign w:val="top"/>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vAlign w:val="top"/>
      </w:tcPr>
    </w:tblStylePr>
    <w:tblStylePr w:type="band2Vert">
      <w:tblPr/>
      <w:tcPr>
        <w:tcBorders>
          <w:left w:val="single" w:sz="4" w:space="0" w:color="7F7F7F"/>
          <w:right w:val="single" w:sz="4" w:space="0" w:color="7F7F7F"/>
        </w:tcBorders>
        <w:vAlign w:val="top"/>
      </w:tcPr>
    </w:tblStylePr>
    <w:tblStylePr w:type="band1Horz">
      <w:tblPr/>
      <w:tcPr>
        <w:tcBorders>
          <w:top w:val="single" w:sz="4" w:space="0" w:color="7F7F7F"/>
          <w:bottom w:val="single" w:sz="4" w:space="0" w:color="7F7F7F"/>
        </w:tcBorders>
        <w:vAlign w:val="top"/>
      </w:tcPr>
    </w:tblStyle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customStyle="1" w:styleId="RecommendationHeading">
    <w:name w:val="Recommendation Heading"/>
    <w:basedOn w:val="DefaqtoContentspageheading"/>
    <w:qFormat/>
    <w:pPr>
      <w:spacing w:before="240" w:line="640" w:lineRule="exact"/>
    </w:pPr>
    <w:rPr>
      <w:position w:val="6"/>
    </w:rPr>
  </w:style>
  <w:style w:type="paragraph" w:customStyle="1" w:styleId="CSRHeading2">
    <w:name w:val="CSRHeading2"/>
    <w:basedOn w:val="Heading2"/>
    <w:qFormat/>
    <w:pPr>
      <w:spacing w:after="0"/>
      <w:ind w:left="0"/>
    </w:pPr>
    <w:rPr>
      <w:rFonts w:ascii="Calibri Light" w:hAnsi="Calibri Light"/>
      <w:color w:val="005493"/>
      <w:sz w:val="76"/>
      <w:szCs w:val="76"/>
    </w:rPr>
  </w:style>
  <w:style w:type="paragraph" w:customStyle="1" w:styleId="CSRHeading3-noTOC">
    <w:name w:val="CSRHeading3 - no TOC"/>
    <w:basedOn w:val="Normal"/>
    <w:qFormat/>
    <w:pPr>
      <w:spacing w:line="256" w:lineRule="auto"/>
    </w:pPr>
    <w:rPr>
      <w:rFonts w:ascii="Calibri Light" w:hAnsi="Calibri Light"/>
      <w:color w:val="005392"/>
      <w:sz w:val="44"/>
      <w:szCs w:val="44"/>
    </w:rPr>
  </w:style>
  <w:style w:type="paragraph" w:customStyle="1" w:styleId="CSRHeading5">
    <w:name w:val="CSRHeading5"/>
    <w:basedOn w:val="Heading5"/>
    <w:qFormat/>
    <w:rPr>
      <w:color w:val="005493"/>
      <w:sz w:val="24"/>
      <w:szCs w:val="24"/>
    </w:rPr>
  </w:style>
  <w:style w:type="character" w:customStyle="1" w:styleId="CSRHeading2Char">
    <w:name w:val="CSRHeading2 Char"/>
    <w:basedOn w:val="Heading2Char"/>
    <w:qFormat/>
    <w:rPr>
      <w:rFonts w:ascii="Calibri Light" w:eastAsia="Calibri" w:hAnsi="Calibri Light" w:cs="Calibri"/>
      <w:color w:val="005493"/>
      <w:sz w:val="76"/>
      <w:szCs w:val="76"/>
    </w:rPr>
  </w:style>
  <w:style w:type="character" w:customStyle="1" w:styleId="CSRHeading3-noTOCChar">
    <w:name w:val="CSRHeading3 - no TOC Char"/>
    <w:basedOn w:val="DefaultParagraphFont"/>
    <w:qFormat/>
    <w:rPr>
      <w:rFonts w:ascii="Calibri Light" w:eastAsia="Calibri" w:hAnsi="Calibri Light"/>
      <w:color w:val="005392"/>
      <w:sz w:val="44"/>
      <w:szCs w:val="44"/>
    </w:rPr>
  </w:style>
  <w:style w:type="character" w:customStyle="1" w:styleId="CSRHeading5Char">
    <w:name w:val="CSRHeading5 Char"/>
    <w:basedOn w:val="DefaultParagraphFont"/>
    <w:qFormat/>
    <w:rPr>
      <w:rFonts w:ascii="Calibri Light" w:eastAsia="Calibri Light" w:hAnsi="Calibri Light"/>
      <w:color w:val="005493"/>
      <w:sz w:val="24"/>
      <w:szCs w:val="24"/>
    </w:rPr>
  </w:style>
  <w:style w:type="character" w:styleId="Hyperlink">
    <w:name w:val="Hyperlink"/>
    <w:basedOn w:val="DefaultParagraphFont"/>
    <w:qFormat/>
    <w:rPr>
      <w:color w:val="00549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3972">
      <w:bodyDiv w:val="1"/>
      <w:marLeft w:val="0"/>
      <w:marRight w:val="0"/>
      <w:marTop w:val="0"/>
      <w:marBottom w:val="0"/>
      <w:divBdr>
        <w:top w:val="none" w:sz="0" w:space="0" w:color="auto"/>
        <w:left w:val="none" w:sz="0" w:space="0" w:color="auto"/>
        <w:bottom w:val="none" w:sz="0" w:space="0" w:color="auto"/>
        <w:right w:val="none" w:sz="0" w:space="0" w:color="auto"/>
      </w:divBdr>
    </w:div>
    <w:div w:id="428891026">
      <w:bodyDiv w:val="1"/>
      <w:marLeft w:val="0"/>
      <w:marRight w:val="0"/>
      <w:marTop w:val="0"/>
      <w:marBottom w:val="0"/>
      <w:divBdr>
        <w:top w:val="none" w:sz="0" w:space="0" w:color="auto"/>
        <w:left w:val="none" w:sz="0" w:space="0" w:color="auto"/>
        <w:bottom w:val="none" w:sz="0" w:space="0" w:color="auto"/>
        <w:right w:val="none" w:sz="0" w:space="0" w:color="auto"/>
      </w:divBdr>
    </w:div>
    <w:div w:id="716516061">
      <w:bodyDiv w:val="1"/>
      <w:marLeft w:val="0"/>
      <w:marRight w:val="0"/>
      <w:marTop w:val="0"/>
      <w:marBottom w:val="0"/>
      <w:divBdr>
        <w:top w:val="none" w:sz="0" w:space="0" w:color="auto"/>
        <w:left w:val="none" w:sz="0" w:space="0" w:color="auto"/>
        <w:bottom w:val="none" w:sz="0" w:space="0" w:color="auto"/>
        <w:right w:val="none" w:sz="0" w:space="0" w:color="auto"/>
      </w:divBdr>
    </w:div>
    <w:div w:id="760875425">
      <w:bodyDiv w:val="1"/>
      <w:marLeft w:val="0"/>
      <w:marRight w:val="0"/>
      <w:marTop w:val="0"/>
      <w:marBottom w:val="0"/>
      <w:divBdr>
        <w:top w:val="none" w:sz="0" w:space="0" w:color="auto"/>
        <w:left w:val="none" w:sz="0" w:space="0" w:color="auto"/>
        <w:bottom w:val="none" w:sz="0" w:space="0" w:color="auto"/>
        <w:right w:val="none" w:sz="0" w:space="0" w:color="auto"/>
      </w:divBdr>
    </w:div>
    <w:div w:id="793907003">
      <w:bodyDiv w:val="1"/>
      <w:marLeft w:val="0"/>
      <w:marRight w:val="0"/>
      <w:marTop w:val="0"/>
      <w:marBottom w:val="0"/>
      <w:divBdr>
        <w:top w:val="none" w:sz="0" w:space="0" w:color="auto"/>
        <w:left w:val="none" w:sz="0" w:space="0" w:color="auto"/>
        <w:bottom w:val="none" w:sz="0" w:space="0" w:color="auto"/>
        <w:right w:val="none" w:sz="0" w:space="0" w:color="auto"/>
      </w:divBdr>
    </w:div>
    <w:div w:id="821578545">
      <w:bodyDiv w:val="1"/>
      <w:marLeft w:val="0"/>
      <w:marRight w:val="0"/>
      <w:marTop w:val="0"/>
      <w:marBottom w:val="0"/>
      <w:divBdr>
        <w:top w:val="none" w:sz="0" w:space="0" w:color="auto"/>
        <w:left w:val="none" w:sz="0" w:space="0" w:color="auto"/>
        <w:bottom w:val="none" w:sz="0" w:space="0" w:color="auto"/>
        <w:right w:val="none" w:sz="0" w:space="0" w:color="auto"/>
      </w:divBdr>
    </w:div>
    <w:div w:id="1282107495">
      <w:bodyDiv w:val="1"/>
      <w:marLeft w:val="0"/>
      <w:marRight w:val="0"/>
      <w:marTop w:val="0"/>
      <w:marBottom w:val="0"/>
      <w:divBdr>
        <w:top w:val="none" w:sz="0" w:space="0" w:color="auto"/>
        <w:left w:val="none" w:sz="0" w:space="0" w:color="auto"/>
        <w:bottom w:val="none" w:sz="0" w:space="0" w:color="auto"/>
        <w:right w:val="none" w:sz="0" w:space="0" w:color="auto"/>
      </w:divBdr>
    </w:div>
    <w:div w:id="1335760845">
      <w:bodyDiv w:val="1"/>
      <w:marLeft w:val="0"/>
      <w:marRight w:val="0"/>
      <w:marTop w:val="0"/>
      <w:marBottom w:val="0"/>
      <w:divBdr>
        <w:top w:val="none" w:sz="0" w:space="0" w:color="auto"/>
        <w:left w:val="none" w:sz="0" w:space="0" w:color="auto"/>
        <w:bottom w:val="none" w:sz="0" w:space="0" w:color="auto"/>
        <w:right w:val="none" w:sz="0" w:space="0" w:color="auto"/>
      </w:divBdr>
    </w:div>
    <w:div w:id="1433010434">
      <w:bodyDiv w:val="1"/>
      <w:marLeft w:val="0"/>
      <w:marRight w:val="0"/>
      <w:marTop w:val="0"/>
      <w:marBottom w:val="0"/>
      <w:divBdr>
        <w:top w:val="none" w:sz="0" w:space="0" w:color="auto"/>
        <w:left w:val="none" w:sz="0" w:space="0" w:color="auto"/>
        <w:bottom w:val="none" w:sz="0" w:space="0" w:color="auto"/>
        <w:right w:val="none" w:sz="0" w:space="0" w:color="auto"/>
      </w:divBdr>
    </w:div>
    <w:div w:id="1435635480">
      <w:bodyDiv w:val="1"/>
      <w:marLeft w:val="0"/>
      <w:marRight w:val="0"/>
      <w:marTop w:val="0"/>
      <w:marBottom w:val="0"/>
      <w:divBdr>
        <w:top w:val="none" w:sz="0" w:space="0" w:color="auto"/>
        <w:left w:val="none" w:sz="0" w:space="0" w:color="auto"/>
        <w:bottom w:val="none" w:sz="0" w:space="0" w:color="auto"/>
        <w:right w:val="none" w:sz="0" w:space="0" w:color="auto"/>
      </w:divBdr>
    </w:div>
    <w:div w:id="1532693411">
      <w:bodyDiv w:val="1"/>
      <w:marLeft w:val="0"/>
      <w:marRight w:val="0"/>
      <w:marTop w:val="0"/>
      <w:marBottom w:val="0"/>
      <w:divBdr>
        <w:top w:val="none" w:sz="0" w:space="0" w:color="auto"/>
        <w:left w:val="none" w:sz="0" w:space="0" w:color="auto"/>
        <w:bottom w:val="none" w:sz="0" w:space="0" w:color="auto"/>
        <w:right w:val="none" w:sz="0" w:space="0" w:color="auto"/>
      </w:divBdr>
    </w:div>
    <w:div w:id="1807580747">
      <w:bodyDiv w:val="1"/>
      <w:marLeft w:val="0"/>
      <w:marRight w:val="0"/>
      <w:marTop w:val="0"/>
      <w:marBottom w:val="0"/>
      <w:divBdr>
        <w:top w:val="none" w:sz="0" w:space="0" w:color="auto"/>
        <w:left w:val="none" w:sz="0" w:space="0" w:color="auto"/>
        <w:bottom w:val="none" w:sz="0" w:space="0" w:color="auto"/>
        <w:right w:val="none" w:sz="0" w:space="0" w:color="auto"/>
      </w:divBdr>
    </w:div>
    <w:div w:id="1970434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footer" Target="footer9.xml"/><Relationship Id="rId39" Type="http://schemas.openxmlformats.org/officeDocument/2006/relationships/header" Target="header14.xml"/><Relationship Id="rId21" Type="http://schemas.openxmlformats.org/officeDocument/2006/relationships/footer" Target="footer7.xml"/><Relationship Id="rId34" Type="http://schemas.openxmlformats.org/officeDocument/2006/relationships/footer" Target="footer12.xml"/><Relationship Id="rId42" Type="http://schemas.openxmlformats.org/officeDocument/2006/relationships/theme" Target="theme/theme1.xml"/><Relationship Id="rId7" Type="http://schemas.openxmlformats.org/officeDocument/2006/relationships/image" Target="media/image1.png"/><Relationship Id="PictureId4"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5.png"/><Relationship Id="rId32" Type="http://schemas.openxmlformats.org/officeDocument/2006/relationships/footer" Target="footer11.xml"/><Relationship Id="rId37" Type="http://schemas.openxmlformats.org/officeDocument/2006/relationships/header" Target="header13.xml"/><Relationship Id="rId40" Type="http://schemas.openxmlformats.org/officeDocument/2006/relationships/footer" Target="footer15.xml"/><Relationship Id="rId45" Type="http://schemas.openxmlformats.org/officeDocument/2006/relationships/customXml" Target="../customXml/item4.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7.png"/><Relationship Id="rId36" Type="http://schemas.openxmlformats.org/officeDocument/2006/relationships/footer" Target="footer13.xml"/><Relationship Id="rId10" Type="http://schemas.openxmlformats.org/officeDocument/2006/relationships/footer" Target="footer2.xml"/><Relationship Id="PictureId2" Type="http://schemas.openxmlformats.org/officeDocument/2006/relationships/image" Target="media/image20.png"/><Relationship Id="rId19" Type="http://schemas.openxmlformats.org/officeDocument/2006/relationships/footer" Target="footer6.xml"/><Relationship Id="rId31" Type="http://schemas.openxmlformats.org/officeDocument/2006/relationships/header" Target="header10.xml"/><Relationship Id="rId44"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6.png"/><Relationship Id="rId30" Type="http://schemas.openxmlformats.org/officeDocument/2006/relationships/footer" Target="footer10.xml"/><Relationship Id="rId35" Type="http://schemas.openxmlformats.org/officeDocument/2006/relationships/header" Target="header12.xml"/><Relationship Id="rId43" Type="http://schemas.openxmlformats.org/officeDocument/2006/relationships/customXml" Target="../customXml/item2.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header" Target="header11.xml"/><Relationship Id="rId38" Type="http://schemas.openxmlformats.org/officeDocument/2006/relationships/footer" Target="footer14.xml"/><Relationship Id="rId20" Type="http://schemas.openxmlformats.org/officeDocument/2006/relationships/header" Target="header6.xml"/><Relationship Id="rId41"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Ratings colour palette 2">
      <a:dk1>
        <a:sysClr val="windowText" lastClr="000000"/>
      </a:dk1>
      <a:lt1>
        <a:sysClr val="window" lastClr="FFFFFF"/>
      </a:lt1>
      <a:dk2>
        <a:srgbClr val="44546A"/>
      </a:dk2>
      <a:lt2>
        <a:srgbClr val="E7E6E6"/>
      </a:lt2>
      <a:accent1>
        <a:srgbClr val="252758"/>
      </a:accent1>
      <a:accent2>
        <a:srgbClr val="005493"/>
      </a:accent2>
      <a:accent3>
        <a:srgbClr val="9AC1E0"/>
      </a:accent3>
      <a:accent4>
        <a:srgbClr val="4A4A49"/>
      </a:accent4>
      <a:accent5>
        <a:srgbClr val="EE7203"/>
      </a:accent5>
      <a:accent6>
        <a:srgbClr val="005493"/>
      </a:accent6>
      <a:hlink>
        <a:srgbClr val="005493"/>
      </a:hlink>
      <a:folHlink>
        <a:srgbClr val="9AC1E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914A77CEB4BD94C8AA6F864E0E1E0F0" ma:contentTypeVersion="18" ma:contentTypeDescription="Create a new document." ma:contentTypeScope="" ma:versionID="34c9bc844f93fa874cef005947d8df7f">
  <xsd:schema xmlns:xsd="http://www.w3.org/2001/XMLSchema" xmlns:xs="http://www.w3.org/2001/XMLSchema" xmlns:p="http://schemas.microsoft.com/office/2006/metadata/properties" xmlns:ns2="9406731d-9f5a-4a79-be91-b3c631be9543" xmlns:ns3="6afbcf95-dc46-4c9d-8f85-fba641a1d2ea" targetNamespace="http://schemas.microsoft.com/office/2006/metadata/properties" ma:root="true" ma:fieldsID="bca217c6d2e8a03c014f1493517b33c6" ns2:_="" ns3:_="">
    <xsd:import namespace="9406731d-9f5a-4a79-be91-b3c631be9543"/>
    <xsd:import namespace="6afbcf95-dc46-4c9d-8f85-fba641a1d2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6731d-9f5a-4a79-be91-b3c631be95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f2afa00-c010-483a-81d7-5ec2d9895e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fbcf95-dc46-4c9d-8f85-fba641a1d2e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641ea8e-a4ed-4b4e-98f0-2bab0db2d818}" ma:internalName="TaxCatchAll" ma:showField="CatchAllData" ma:web="6afbcf95-dc46-4c9d-8f85-fba641a1d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406731d-9f5a-4a79-be91-b3c631be9543">
      <Terms xmlns="http://schemas.microsoft.com/office/infopath/2007/PartnerControls"/>
    </lcf76f155ced4ddcb4097134ff3c332f>
    <TaxCatchAll xmlns="6afbcf95-dc46-4c9d-8f85-fba641a1d2ea" xsi:nil="true"/>
  </documentManagement>
</p:properties>
</file>

<file path=customXml/itemProps1.xml><?xml version="1.0" encoding="utf-8"?>
<ds:datastoreItem xmlns:ds="http://schemas.openxmlformats.org/officeDocument/2006/customXml" ds:itemID="{C6DCAE27-1D02-4879-A4B7-CBE5F898DA22}">
  <ds:schemaRefs>
    <ds:schemaRef ds:uri="http://schemas.openxmlformats.org/officeDocument/2006/bibliography"/>
  </ds:schemaRefs>
</ds:datastoreItem>
</file>

<file path=customXml/itemProps2.xml><?xml version="1.0" encoding="utf-8"?>
<ds:datastoreItem xmlns:ds="http://schemas.openxmlformats.org/officeDocument/2006/customXml" ds:itemID="{0B5FCD1F-80BE-4927-BBA5-1A7F23A20373}"/>
</file>

<file path=customXml/itemProps3.xml><?xml version="1.0" encoding="utf-8"?>
<ds:datastoreItem xmlns:ds="http://schemas.openxmlformats.org/officeDocument/2006/customXml" ds:itemID="{703F8C8B-92C3-4A79-93EE-28EE1815F0CB}"/>
</file>

<file path=customXml/itemProps4.xml><?xml version="1.0" encoding="utf-8"?>
<ds:datastoreItem xmlns:ds="http://schemas.openxmlformats.org/officeDocument/2006/customXml" ds:itemID="{DAF499DB-7027-473E-9C1E-01D25A86A235}"/>
</file>

<file path=docMetadata/LabelInfo.xml><?xml version="1.0" encoding="utf-8"?>
<clbl:labelList xmlns:clbl="http://schemas.microsoft.com/office/2020/mipLabelMetadata">
  <clbl:label id="{3e287deb-1eb1-44c1-8f84-90531d56bbbd}" enabled="1" method="Standard" siteId="{50ff177a-9196-4193-bd14-0d6441be932b}" removed="0"/>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2688</Words>
  <Characters>15322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2025-12-16T10:14:00Z</dcterms:created>
  <dcterms:modified xsi:type="dcterms:W3CDTF">2025-12-16T10:14:00Z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0x010100E914A77CEB4BD94C8AA6F864E0E1E0F0</vt:lpwstr>
  </property>
</Properties>
</file>