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16.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header29.xml" ContentType="application/vnd.openxmlformats-officedocument.wordprocessingml.header+xml"/>
  <Override PartName="/word/footer17.xml" ContentType="application/vnd.openxmlformats-officedocument.wordprocessingml.footer+xml"/>
  <Override PartName="/word/header17.xml" ContentType="application/vnd.openxmlformats-officedocument.wordprocessingml.head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footer20.xml" ContentType="application/vnd.openxmlformats-officedocument.wordprocessingml.footer+xml"/>
  <Override PartName="/word/header20.xml" ContentType="application/vnd.openxmlformats-officedocument.wordprocessingml.header+xml"/>
  <Override PartName="/word/footer21.xml" ContentType="application/vnd.openxmlformats-officedocument.wordprocessingml.footer+xml"/>
  <Override PartName="/word/header21.xml" ContentType="application/vnd.openxmlformats-officedocument.wordprocessingml.header+xml"/>
  <Override PartName="/word/footer22.xml" ContentType="application/vnd.openxmlformats-officedocument.wordprocessingml.footer+xml"/>
  <Override PartName="/word/header22.xml" ContentType="application/vnd.openxmlformats-officedocument.wordprocessingml.header+xml"/>
  <Override PartName="/word/footer23.xml" ContentType="application/vnd.openxmlformats-officedocument.wordprocessingml.footer+xml"/>
  <Override PartName="/word/header23.xml" ContentType="application/vnd.openxmlformats-officedocument.wordprocessingml.header+xml"/>
  <Override PartName="/word/footer24.xml" ContentType="application/vnd.openxmlformats-officedocument.wordprocessingml.footer+xml"/>
  <Override PartName="/word/header24.xml" ContentType="application/vnd.openxmlformats-officedocument.wordprocessingml.header+xml"/>
  <Override PartName="/word/footer25.xml" ContentType="application/vnd.openxmlformats-officedocument.wordprocessingml.footer+xml"/>
  <Override PartName="/word/header25.xml" ContentType="application/vnd.openxmlformats-officedocument.wordprocessingml.header+xml"/>
  <Override PartName="/word/footer26.xml" ContentType="application/vnd.openxmlformats-officedocument.wordprocessingml.footer+xml"/>
  <Override PartName="/word/header26.xml" ContentType="application/vnd.openxmlformats-officedocument.wordprocessingml.header+xml"/>
  <Override PartName="/word/footer27.xml" ContentType="application/vnd.openxmlformats-officedocument.wordprocessingml.footer+xml"/>
  <Override PartName="/word/header27.xml" ContentType="application/vnd.openxmlformats-officedocument.wordprocessingml.header+xml"/>
  <Override PartName="/word/footer28.xml" ContentType="application/vnd.openxmlformats-officedocument.wordprocessingml.footer+xml"/>
  <Override PartName="/word/header28.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6E0C5D" w14:textId="77777777" w:rsidR="00C04B10" w:rsidRDefault="001148AB">
      <w:r>
        <w:rPr>
          <w:noProof/>
        </w:rPr>
        <w:drawing>
          <wp:inline distT="0" distB="0" distL="0" distR="0" wp14:anchorId="7E36CEFF" wp14:editId="17AFF77D">
            <wp:extent cx="1353426" cy="340290"/>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353426" cy="340290"/>
                    </a:xfrm>
                    <a:prstGeom prst="rect">
                      <a:avLst/>
                    </a:prstGeom>
                    <a:noFill/>
                    <a:ln>
                      <a:noFill/>
                    </a:ln>
                  </pic:spPr>
                </pic:pic>
              </a:graphicData>
            </a:graphic>
          </wp:inline>
        </w:drawing>
      </w:r>
    </w:p>
    <w:p w14:paraId="15DD0C74" w14:textId="77777777" w:rsidR="00C04B10" w:rsidRDefault="00C04B10">
      <w:pPr>
        <w:pStyle w:val="DefaqtoCoverHeading-noTOC"/>
        <w:rPr>
          <w:rFonts w:cs="Poppins SemiBold"/>
          <w:b w:val="0"/>
          <w:bCs w:val="0"/>
          <w:sz w:val="62"/>
          <w:szCs w:val="62"/>
        </w:rPr>
      </w:pPr>
    </w:p>
    <w:p w14:paraId="5C336840" w14:textId="77777777" w:rsidR="00C04B10" w:rsidRDefault="00C04B10">
      <w:pPr>
        <w:pStyle w:val="DefaqtoCoverHeading-noTOC"/>
        <w:rPr>
          <w:rFonts w:cs="Poppins SemiBold"/>
          <w:b w:val="0"/>
          <w:bCs w:val="0"/>
          <w:sz w:val="62"/>
          <w:szCs w:val="62"/>
        </w:rPr>
      </w:pPr>
    </w:p>
    <w:p w14:paraId="3B333C3D" w14:textId="77777777" w:rsidR="00C04B10" w:rsidRDefault="001148AB">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Summary for </w:t>
      </w:r>
      <w:r>
        <w:rPr>
          <w:rFonts w:cs="Poppins SemiBold"/>
          <w:b w:val="0"/>
          <w:bCs w:val="0"/>
          <w:noProof/>
        </w:rPr>
        <w:t xml:space="preserve">Mr Anthony Barnes </w:t>
      </w:r>
      <w:bookmarkStart w:id="0" w:name="_Hlk74053138"/>
    </w:p>
    <w:p w14:paraId="379AB399" w14:textId="77777777" w:rsidR="00C04B10" w:rsidRDefault="001148AB">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bookmarkEnd w:id="0"/>
    </w:p>
    <w:p w14:paraId="44E8BA57" w14:textId="77777777" w:rsidR="00C04B10" w:rsidRDefault="001148AB">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2F417991" w14:textId="77777777" w:rsidR="00C04B10" w:rsidRDefault="001148AB">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7DE180F8" w14:textId="77777777" w:rsidR="00C04B10" w:rsidRDefault="001148AB">
      <w:pPr>
        <w:rPr>
          <w:rFonts w:ascii="Poppins" w:hAnsi="Poppins" w:cs="Poppins"/>
          <w:sz w:val="36"/>
          <w:szCs w:val="36"/>
        </w:rPr>
        <w:sectPr w:rsidR="00C04B10">
          <w:headerReference w:type="default" r:id="rId8"/>
          <w:footerReference w:type="default" r:id="rId9"/>
          <w:footerReference w:type="first" r:id="rId10"/>
          <w:pgSz w:w="11906" w:h="16838"/>
          <w:pgMar w:top="709" w:right="640" w:bottom="376" w:left="640" w:header="200" w:footer="200" w:gutter="0"/>
          <w:pgNumType w:start="1"/>
          <w:cols w:space="720"/>
          <w:titlePg/>
          <w:docGrid w:linePitch="299"/>
        </w:sectPr>
      </w:pPr>
      <w:r>
        <w:rPr>
          <w:rFonts w:ascii="Poppins" w:hAnsi="Poppins" w:cs="Poppins"/>
          <w:noProof/>
          <w:color w:val="4A4948"/>
          <w:sz w:val="36"/>
          <w:szCs w:val="36"/>
        </w:rPr>
        <mc:AlternateContent>
          <mc:Choice Requires="wps">
            <w:drawing>
              <wp:anchor distT="0" distB="0" distL="114300" distR="114300" simplePos="0" relativeHeight="251657216" behindDoc="0" locked="0" layoutInCell="1" allowOverlap="1" wp14:anchorId="54B62AC9" wp14:editId="6B943995">
                <wp:simplePos x="0" y="0"/>
                <wp:positionH relativeFrom="margin">
                  <wp:posOffset>10973</wp:posOffset>
                </wp:positionH>
                <wp:positionV relativeFrom="topMargin">
                  <wp:posOffset>6488582</wp:posOffset>
                </wp:positionV>
                <wp:extent cx="6851460" cy="3096083"/>
                <wp:effectExtent l="0" t="0" r="6985" b="9525"/>
                <wp:wrapNone/>
                <wp:docPr id="3"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headEnd type="none" w="med" len="med"/>
                          <a:tailEnd type="none" w="med" len="med"/>
                        </a:ln>
                      </wps:spPr>
                      <wps:style>
                        <a:lnRef idx="0">
                          <a:schemeClr val="accent1"/>
                        </a:lnRef>
                        <a:fillRef idx="0">
                          <a:schemeClr val="accent1"/>
                        </a:fillRef>
                        <a:effectRef idx="0">
                          <a:schemeClr val="accent1"/>
                        </a:effectRef>
                        <a:fontRef idx="minor">
                          <a:schemeClr val="dk1"/>
                        </a:fontRef>
                      </wps:style>
                      <wps:txbx>
                        <w:txbxContent>
                          <w:p w14:paraId="12DF2C13" w14:textId="77777777" w:rsidR="00C04B10" w:rsidRDefault="001148AB">
                            <w:pPr>
                              <w:jc w:val="right"/>
                              <w:rPr>
                                <w:color w:val="392388"/>
                              </w:rPr>
                            </w:pPr>
                            <w:r>
                              <w:rPr>
                                <w:noProof/>
                              </w:rPr>
                              <w:drawing>
                                <wp:inline distT="0" distB="0" distL="0" distR="0" wp14:anchorId="2CD26895" wp14:editId="1F02EF60">
                                  <wp:extent cx="2667000" cy="118110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6" name="Picture 4"/>
                            <a:graphic xmlns:a="http://schemas.openxmlformats.org/drawingml/2006/main">
                              <a:graphicData uri="http://schemas.openxmlformats.org/drawingml/2006/picture">
                                <pic:pic xmlns:pic="http://schemas.openxmlformats.org/drawingml/2006/picture">
                                  <pic:nvPicPr>
                                    <pic:cNvPr id="7" name="Picture 7"/>
                                    <pic:cNvPicPr/>
                                  </pic:nvPicPr>
                                  <pic:blipFill>
                                    <a:blip cstate="print" r:embed="PictureId2"/>
                                    <a:stretch xmlns:a="http://schemas.openxmlformats.org/drawingml/2006/main">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4F1DAD5E" w14:textId="77777777" w:rsidR="00C04B10" w:rsidRDefault="001148AB">
      <w:pPr>
        <w:pStyle w:val="DefaqtoHeading1-noTOC"/>
      </w:pPr>
      <w:r>
        <w:lastRenderedPageBreak/>
        <w:t>Recommendation</w:t>
      </w:r>
    </w:p>
    <w:p w14:paraId="4090D1FB" w14:textId="77777777" w:rsidR="00C04B10" w:rsidRDefault="001148AB">
      <w:pPr>
        <w:pStyle w:val="DefaqtoIntroText"/>
        <w:rPr>
          <w:rFonts w:cs="Poppins"/>
          <w:lang w:val="en-NZ"/>
        </w:rPr>
      </w:pPr>
      <w:r>
        <w:rPr>
          <w:b/>
          <w:bCs/>
        </w:rPr>
        <w:t>Investment:</w:t>
      </w:r>
      <w:r>
        <w:t xml:space="preserve"> £79,000 then £0 monthly</w:t>
      </w:r>
    </w:p>
    <w:p w14:paraId="0ED45411" w14:textId="77777777" w:rsidR="00C04B10" w:rsidRDefault="00C04B10">
      <w:pPr>
        <w:pStyle w:val="DefaqtoBody"/>
      </w:pPr>
    </w:p>
    <w:p w14:paraId="02A9C767" w14:textId="77777777" w:rsidR="00C04B10" w:rsidRDefault="001148AB">
      <w:pPr>
        <w:pStyle w:val="DefaqtoBody"/>
      </w:pPr>
      <w:r>
        <w:t xml:space="preserve">The agreed risk level considered your natural attitude to risk, capacity for loss and required return for your goal. </w:t>
      </w:r>
    </w:p>
    <w:tbl>
      <w:tblPr>
        <w:tblW w:w="0" w:type="auto"/>
        <w:tblCellSpacing w:w="22" w:type="dxa"/>
        <w:tblBorders>
          <w:top w:val="nil"/>
          <w:left w:val="nil"/>
          <w:bottom w:val="nil"/>
          <w:right w:val="nil"/>
          <w:insideH w:val="nil"/>
          <w:insideV w:val="nil"/>
        </w:tblBorders>
        <w:tblLayout w:type="fixed"/>
        <w:tblLook w:val="04A0" w:firstRow="1" w:lastRow="0" w:firstColumn="1" w:lastColumn="0" w:noHBand="0" w:noVBand="1"/>
      </w:tblPr>
      <w:tblGrid>
        <w:gridCol w:w="3660"/>
      </w:tblGrid>
      <w:tr w:rsidR="00C04B10" w14:paraId="08EB2489" w14:textId="77777777">
        <w:trPr>
          <w:tblCellSpacing w:w="22" w:type="dxa"/>
        </w:trPr>
        <w:tc>
          <w:tcPr>
            <w:tcW w:w="3572" w:type="dxa"/>
            <w:tcBorders>
              <w:top w:val="single" w:sz="4" w:space="0" w:color="B0A7CF"/>
              <w:left w:val="single" w:sz="4" w:space="0" w:color="B0A7CF"/>
              <w:bottom w:val="single" w:sz="4" w:space="0" w:color="B0A7CF"/>
              <w:right w:val="single" w:sz="4" w:space="0" w:color="B0A7CF"/>
            </w:tcBorders>
          </w:tcPr>
          <w:p w14:paraId="465368E0" w14:textId="77777777" w:rsidR="00C04B10" w:rsidRDefault="001148AB">
            <w:pPr>
              <w:pStyle w:val="DefaqtoBody"/>
              <w:spacing w:before="240" w:after="240"/>
              <w:jc w:val="center"/>
              <w:rPr>
                <w:rFonts w:cs="Poppins"/>
              </w:rPr>
            </w:pPr>
            <w:r>
              <w:rPr>
                <w:rFonts w:cs="Poppins"/>
                <w:b/>
                <w:bCs/>
                <w:sz w:val="48"/>
                <w:szCs w:val="48"/>
              </w:rPr>
              <w:t>4</w:t>
            </w:r>
            <w:r>
              <w:rPr>
                <w:rFonts w:cs="Poppins"/>
                <w:b/>
                <w:bCs/>
                <w:sz w:val="48"/>
                <w:szCs w:val="48"/>
              </w:rPr>
              <w:br/>
            </w:r>
            <w:r>
              <w:rPr>
                <w:rFonts w:cs="Poppins"/>
                <w:sz w:val="20"/>
                <w:szCs w:val="20"/>
              </w:rPr>
              <w:t>Agreed risk level</w:t>
            </w:r>
            <w:r>
              <w:rPr>
                <w:rFonts w:cs="Poppins"/>
                <w:b/>
                <w:bCs/>
                <w:sz w:val="20"/>
                <w:szCs w:val="20"/>
                <w:vertAlign w:val="superscript"/>
                <w:lang w:val="en-NZ"/>
              </w:rPr>
              <w:t>[1]</w:t>
            </w:r>
          </w:p>
        </w:tc>
      </w:tr>
    </w:tbl>
    <w:p w14:paraId="3FE54701" w14:textId="77777777" w:rsidR="00C04B10" w:rsidRDefault="001148AB">
      <w:pPr>
        <w:pStyle w:val="Defaqtosmallprint"/>
        <w:rPr>
          <w:rFonts w:ascii="Lucida Sans" w:hAnsi="Lucida Sans"/>
          <w:lang w:val="en-NZ"/>
        </w:rPr>
      </w:pPr>
      <w:r>
        <w:rPr>
          <w:rFonts w:ascii="Calibri" w:hAnsi="Calibri" w:cs="Calibri"/>
          <w:lang w:val="en-NZ"/>
        </w:rPr>
        <w:t>[1] 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w:t>
      </w:r>
      <w:r>
        <w:rPr>
          <w:rFonts w:ascii="Calibri" w:hAnsi="Calibri" w:cs="Calibri"/>
          <w:lang w:val="en-NZ"/>
        </w:rPr>
        <w:t xml:space="preserve">s a Cautious Balanced investor you are inclined to look for safer investments, although you may consider taking some risk in exchange for increased potential returns. </w:t>
      </w:r>
    </w:p>
    <w:p w14:paraId="59E1C3C8" w14:textId="77777777" w:rsidR="00C04B10" w:rsidRDefault="001148AB">
      <w:pPr>
        <w:pStyle w:val="DefaqtoHeading2-noTOC"/>
      </w:pPr>
      <w:r>
        <w:rPr>
          <w:lang w:val="en-NZ"/>
        </w:rPr>
        <w:t>Investments</w:t>
      </w:r>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25"/>
      </w:tblGrid>
      <w:tr w:rsidR="00C04B10" w14:paraId="15B38987" w14:textId="77777777">
        <w:trPr>
          <w:tblCellSpacing w:w="22" w:type="dxa"/>
        </w:trPr>
        <w:tc>
          <w:tcPr>
            <w:tcW w:w="2637" w:type="dxa"/>
            <w:tcBorders>
              <w:top w:val="single" w:sz="4" w:space="0" w:color="B0A7CF"/>
              <w:left w:val="single" w:sz="4" w:space="0" w:color="B0A7CF"/>
              <w:bottom w:val="single" w:sz="4" w:space="0" w:color="B0A7CF"/>
              <w:right w:val="single" w:sz="4" w:space="0" w:color="B0A7CF"/>
            </w:tcBorders>
            <w:vAlign w:val="center"/>
            <w:hideMark/>
          </w:tcPr>
          <w:p w14:paraId="4520C85E" w14:textId="77777777" w:rsidR="00C04B10" w:rsidRDefault="001148AB">
            <w:pPr>
              <w:pStyle w:val="DefaqtoBody"/>
              <w:spacing w:before="240" w:after="240"/>
              <w:jc w:val="center"/>
              <w:rPr>
                <w:rFonts w:cs="Poppins"/>
                <w:sz w:val="20"/>
                <w:szCs w:val="20"/>
                <w:vertAlign w:val="superscript"/>
              </w:rPr>
            </w:pPr>
            <w:r>
              <w:rPr>
                <w:rFonts w:cs="Poppins"/>
                <w:b/>
                <w:bCs/>
                <w:sz w:val="48"/>
                <w:szCs w:val="48"/>
                <w:lang w:val="en-NZ"/>
              </w:rPr>
              <w:t>0.41%</w:t>
            </w:r>
            <w:r>
              <w:rPr>
                <w:rFonts w:cs="Poppins"/>
                <w:b/>
                <w:bCs/>
                <w:lang w:val="en-NZ"/>
              </w:rPr>
              <w:br/>
            </w:r>
            <w:r>
              <w:rPr>
                <w:rFonts w:cs="Poppins"/>
                <w:sz w:val="20"/>
                <w:szCs w:val="20"/>
              </w:rPr>
              <w:t>Weighted AMC</w:t>
            </w:r>
            <w:r>
              <w:rPr>
                <w:rFonts w:cs="Poppins"/>
                <w:sz w:val="20"/>
                <w:szCs w:val="20"/>
                <w:vertAlign w:val="superscript"/>
              </w:rPr>
              <w:t>[1]</w:t>
            </w:r>
          </w:p>
        </w:tc>
      </w:tr>
    </w:tbl>
    <w:p w14:paraId="23AFCF8B" w14:textId="77777777" w:rsidR="00C04B10" w:rsidRDefault="00C04B10">
      <w:pPr>
        <w:pStyle w:val="Tag"/>
        <w:rPr>
          <w:rFonts w:ascii="Calibri" w:hAnsi="Calibri"/>
          <w:color w:val="392388"/>
          <w:sz w:val="20"/>
          <w:szCs w:val="20"/>
          <w:lang w:val="en-NZ"/>
        </w:rPr>
      </w:pPr>
    </w:p>
    <w:p w14:paraId="2AB9D69F" w14:textId="77777777" w:rsidR="00C04B10" w:rsidRDefault="001148AB">
      <w:pPr>
        <w:pStyle w:val="Defaqtosmallprint"/>
        <w:rPr>
          <w:rFonts w:ascii="Lucida Sans" w:hAnsi="Lucida Sans"/>
          <w:lang w:val="en-NZ"/>
        </w:rPr>
      </w:pPr>
      <w:r>
        <w:rPr>
          <w:rStyle w:val="DefaqtosmallprintChar"/>
          <w:rFonts w:ascii="Lucida Sans" w:hAnsi="Lucida Sans"/>
          <w:noProof/>
        </w:rPr>
        <w:t>[1]</w:t>
      </w:r>
      <w:r>
        <w:rPr>
          <w:rStyle w:val="DefaqtosmallprintChar"/>
          <w:rFonts w:ascii="Lucida Sans" w:hAnsi="Lucida Sans"/>
        </w:rPr>
        <w:t xml:space="preserve"> Annual management charge – the annual fee charge by the fund management company to cover costs directly associated with managing your fund. This will not include all costs associated with the fund.</w:t>
      </w:r>
      <w:r>
        <w:rPr>
          <w:rFonts w:ascii="Lucida Sans" w:hAnsi="Lucida Sans"/>
          <w:lang w:val="en-NZ"/>
        </w:rPr>
        <w:t xml:space="preserve"> </w:t>
      </w:r>
      <w:r>
        <w:rPr>
          <w:rFonts w:ascii="Lucida Sans" w:hAnsi="Lucida Sans"/>
          <w:lang w:val="en-NZ"/>
        </w:rPr>
        <w:br/>
      </w:r>
    </w:p>
    <w:tbl>
      <w:tblPr>
        <w:tblStyle w:val="DefaqtoTable"/>
        <w:tblW w:w="5000" w:type="pct"/>
        <w:tblLayout w:type="fixed"/>
        <w:tblLook w:val="0420" w:firstRow="1" w:lastRow="0" w:firstColumn="0" w:lastColumn="0" w:noHBand="0" w:noVBand="1"/>
      </w:tblPr>
      <w:tblGrid>
        <w:gridCol w:w="4616"/>
        <w:gridCol w:w="4367"/>
        <w:gridCol w:w="1633"/>
      </w:tblGrid>
      <w:tr w:rsidR="00C04B10" w14:paraId="7DA69224" w14:textId="77777777" w:rsidTr="00C04B10">
        <w:trPr>
          <w:cnfStyle w:val="100000000000" w:firstRow="1" w:lastRow="0" w:firstColumn="0" w:lastColumn="0" w:oddVBand="0" w:evenVBand="0" w:oddHBand="0" w:evenHBand="0" w:firstRowFirstColumn="0" w:firstRowLastColumn="0" w:lastRowFirstColumn="0" w:lastRowLastColumn="0"/>
        </w:trPr>
        <w:tc>
          <w:tcPr>
            <w:tcW w:w="2174" w:type="pct"/>
          </w:tcPr>
          <w:p w14:paraId="366B6469" w14:textId="77777777" w:rsidR="00C04B10" w:rsidRDefault="001148AB">
            <w:pPr>
              <w:pStyle w:val="DefaqtoTableBody2"/>
              <w:rPr>
                <w:b w:val="0"/>
                <w:bCs w:val="0"/>
              </w:rPr>
            </w:pPr>
            <w:bookmarkStart w:id="1" w:name="OLE_LINK5"/>
            <w:bookmarkStart w:id="2" w:name="OLE_LINK6"/>
            <w:r>
              <w:t>Investment</w:t>
            </w:r>
          </w:p>
        </w:tc>
        <w:tc>
          <w:tcPr>
            <w:tcW w:w="2057" w:type="pct"/>
          </w:tcPr>
          <w:p w14:paraId="50F7D108" w14:textId="77777777" w:rsidR="00C04B10" w:rsidRDefault="001148AB">
            <w:pPr>
              <w:pStyle w:val="DefaqtoTableBody2"/>
              <w:rPr>
                <w:b w:val="0"/>
                <w:bCs w:val="0"/>
              </w:rPr>
            </w:pPr>
            <w:r>
              <w:t>Provider</w:t>
            </w:r>
            <w:r>
              <w:tab/>
            </w:r>
          </w:p>
        </w:tc>
        <w:tc>
          <w:tcPr>
            <w:tcW w:w="769" w:type="pct"/>
          </w:tcPr>
          <w:p w14:paraId="4E1B0549" w14:textId="77777777" w:rsidR="00C04B10" w:rsidRDefault="001148AB">
            <w:pPr>
              <w:pStyle w:val="DefaqtoTableBody2"/>
              <w:jc w:val="right"/>
              <w:rPr>
                <w:b w:val="0"/>
                <w:bCs w:val="0"/>
              </w:rPr>
            </w:pPr>
            <w:r>
              <w:t>% Invested</w:t>
            </w:r>
          </w:p>
        </w:tc>
      </w:tr>
      <w:tr w:rsidR="00C04B10" w14:paraId="365CF82F" w14:textId="77777777" w:rsidTr="00C04B10">
        <w:trPr>
          <w:cnfStyle w:val="000000100000" w:firstRow="0" w:lastRow="0" w:firstColumn="0" w:lastColumn="0" w:oddVBand="0" w:evenVBand="0" w:oddHBand="1" w:evenHBand="0" w:firstRowFirstColumn="0" w:firstRowLastColumn="0" w:lastRowFirstColumn="0" w:lastRowLastColumn="0"/>
        </w:trPr>
        <w:tc>
          <w:tcPr>
            <w:tcW w:w="2174" w:type="pct"/>
          </w:tcPr>
          <w:p w14:paraId="7A4159FF" w14:textId="77777777" w:rsidR="00C04B10" w:rsidRDefault="001148AB">
            <w:pPr>
              <w:pStyle w:val="DefaqtoTableBody2"/>
            </w:pPr>
            <w:r>
              <w:rPr>
                <w:lang w:val="en-NZ"/>
              </w:rPr>
              <w:t>Aviva Insured Funds Multi-asset Plus Fund II (GBP)</w:t>
            </w:r>
          </w:p>
        </w:tc>
        <w:tc>
          <w:tcPr>
            <w:tcW w:w="2057" w:type="pct"/>
          </w:tcPr>
          <w:p w14:paraId="382693A2" w14:textId="77777777" w:rsidR="00C04B10" w:rsidRDefault="001148AB">
            <w:pPr>
              <w:pStyle w:val="DefaqtoTableBody2"/>
            </w:pPr>
            <w:r>
              <w:rPr>
                <w:lang w:val="en-NZ"/>
              </w:rPr>
              <w:t>Aviva Life &amp; Pensions UK Ltd</w:t>
            </w:r>
          </w:p>
        </w:tc>
        <w:tc>
          <w:tcPr>
            <w:tcW w:w="769" w:type="pct"/>
          </w:tcPr>
          <w:p w14:paraId="3AFA7B67" w14:textId="77777777" w:rsidR="00C04B10" w:rsidRDefault="001148AB">
            <w:pPr>
              <w:pStyle w:val="DefaqtoTableBody2"/>
              <w:jc w:val="right"/>
            </w:pPr>
            <w:r>
              <w:rPr>
                <w:lang w:val="en-NZ"/>
              </w:rPr>
              <w:t>100.00</w:t>
            </w:r>
            <w:bookmarkStart w:id="3" w:name="OLE_LINK7"/>
            <w:bookmarkEnd w:id="3"/>
          </w:p>
        </w:tc>
      </w:tr>
      <w:bookmarkEnd w:id="1"/>
      <w:bookmarkEnd w:id="2"/>
    </w:tbl>
    <w:p w14:paraId="27A9EDC8" w14:textId="77777777" w:rsidR="00C04B10" w:rsidRDefault="00C04B10">
      <w:pPr>
        <w:pStyle w:val="Tag"/>
        <w:rPr>
          <w:color w:val="392388"/>
        </w:rPr>
        <w:sectPr w:rsidR="00C04B10">
          <w:headerReference w:type="default" r:id="rId12"/>
          <w:footerReference w:type="default" r:id="rId13"/>
          <w:pgSz w:w="11906" w:h="16838"/>
          <w:pgMar w:top="709" w:right="640" w:bottom="376" w:left="640" w:header="200" w:footer="200" w:gutter="0"/>
          <w:cols w:space="708"/>
          <w:docGrid w:linePitch="360"/>
        </w:sectPr>
      </w:pPr>
    </w:p>
    <w:p w14:paraId="3D13C8CE" w14:textId="77777777" w:rsidR="00C04B10" w:rsidRDefault="001148AB">
      <w:pPr>
        <w:pStyle w:val="DefaqtoHeading2-noTOC"/>
      </w:pPr>
      <w:r>
        <w:lastRenderedPageBreak/>
        <w:t>Asset allocation</w:t>
      </w:r>
    </w:p>
    <w:p w14:paraId="3B0B54B0" w14:textId="77777777" w:rsidR="00C04B10" w:rsidRDefault="00C04B10">
      <w:pPr>
        <w:rPr>
          <w:color w:val="392388"/>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C04B10" w14:paraId="2D1C8CDD" w14:textId="77777777">
        <w:trPr>
          <w:tblCellSpacing w:w="15" w:type="dxa"/>
        </w:trPr>
        <w:tc>
          <w:tcPr>
            <w:tcW w:w="1000" w:type="pct"/>
          </w:tcPr>
          <w:p w14:paraId="3CBCB336" w14:textId="77777777" w:rsidR="00C04B10" w:rsidRDefault="001148AB">
            <w:pPr>
              <w:spacing w:after="0"/>
            </w:pPr>
            <w:r>
              <w:pict w14:anchorId="3071FD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C04B10" w14:paraId="5764F06D" w14:textId="77777777">
              <w:trPr>
                <w:trHeight w:val="400"/>
                <w:tblCellSpacing w:w="15" w:type="dxa"/>
              </w:trPr>
              <w:tc>
                <w:tcPr>
                  <w:tcW w:w="120" w:type="dxa"/>
                  <w:gridSpan w:val="2"/>
                  <w:tcBorders>
                    <w:bottom w:val="single" w:sz="4" w:space="0" w:color="000000"/>
                  </w:tcBorders>
                </w:tcPr>
                <w:p w14:paraId="2E33FF33" w14:textId="77777777" w:rsidR="00C04B10" w:rsidRDefault="001148AB">
                  <w:pPr>
                    <w:spacing w:after="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1BD2268A" w14:textId="77777777" w:rsidR="00C04B10" w:rsidRDefault="001148AB">
                  <w:pPr>
                    <w:spacing w:after="0" w:line="240" w:lineRule="auto"/>
                    <w:jc w:val="right"/>
                  </w:pPr>
                  <w:r>
                    <w:rPr>
                      <w:rFonts w:ascii="Poppins" w:eastAsia="Poppins" w:hAnsi="Poppins" w:cs="Poppins"/>
                      <w:b/>
                      <w:bCs/>
                      <w:sz w:val="16"/>
                      <w:szCs w:val="16"/>
                    </w:rPr>
                    <w:t xml:space="preserve">NET %⁽¹⁾ </w:t>
                  </w:r>
                </w:p>
              </w:tc>
              <w:tc>
                <w:tcPr>
                  <w:tcW w:w="550" w:type="pct"/>
                  <w:tcBorders>
                    <w:bottom w:val="single" w:sz="4" w:space="0" w:color="000000"/>
                  </w:tcBorders>
                </w:tcPr>
                <w:p w14:paraId="681D3BE5" w14:textId="77777777" w:rsidR="00C04B10" w:rsidRDefault="001148AB">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448FB022" w14:textId="77777777" w:rsidR="00C04B10" w:rsidRDefault="001148AB">
                  <w:pPr>
                    <w:spacing w:after="0" w:line="240" w:lineRule="auto"/>
                    <w:jc w:val="right"/>
                  </w:pPr>
                  <w:r>
                    <w:rPr>
                      <w:rFonts w:ascii="Poppins" w:eastAsia="Poppins" w:hAnsi="Poppins" w:cs="Poppins"/>
                      <w:b/>
                      <w:bCs/>
                      <w:sz w:val="16"/>
                      <w:szCs w:val="16"/>
                    </w:rPr>
                    <w:t>LONG %</w:t>
                  </w:r>
                </w:p>
              </w:tc>
            </w:tr>
            <w:tr w:rsidR="00C04B10" w14:paraId="71DD604E" w14:textId="77777777">
              <w:trPr>
                <w:tblCellSpacing w:w="15" w:type="dxa"/>
              </w:trPr>
              <w:tc>
                <w:tcPr>
                  <w:tcW w:w="0" w:type="auto"/>
                  <w:vAlign w:val="center"/>
                </w:tcPr>
                <w:p w14:paraId="56686AE6" w14:textId="77777777" w:rsidR="00C04B10" w:rsidRDefault="001148AB">
                  <w:pPr>
                    <w:spacing w:after="0" w:line="240" w:lineRule="auto"/>
                  </w:pPr>
                  <w:r>
                    <w:rPr>
                      <w:rFonts w:ascii="Wingdings" w:eastAsia="Wingdings" w:hAnsi="Wingdings" w:cs="Wingdings"/>
                      <w:color w:val="A0A5A9"/>
                      <w:sz w:val="16"/>
                      <w:szCs w:val="16"/>
                    </w:rPr>
                    <w:t>l</w:t>
                  </w:r>
                </w:p>
              </w:tc>
              <w:tc>
                <w:tcPr>
                  <w:tcW w:w="0" w:type="auto"/>
                  <w:vAlign w:val="center"/>
                </w:tcPr>
                <w:p w14:paraId="7ED9E992" w14:textId="77777777" w:rsidR="00C04B10" w:rsidRDefault="001148AB">
                  <w:pPr>
                    <w:spacing w:after="0" w:line="240" w:lineRule="auto"/>
                  </w:pPr>
                  <w:r>
                    <w:rPr>
                      <w:rFonts w:ascii="Poppins" w:eastAsia="Poppins" w:hAnsi="Poppins" w:cs="Poppins"/>
                      <w:sz w:val="16"/>
                      <w:szCs w:val="16"/>
                    </w:rPr>
                    <w:t>Global (ex-UK) Fixed Income</w:t>
                  </w:r>
                </w:p>
              </w:tc>
              <w:tc>
                <w:tcPr>
                  <w:tcW w:w="550" w:type="pct"/>
                  <w:vAlign w:val="center"/>
                </w:tcPr>
                <w:p w14:paraId="08E27516" w14:textId="77777777" w:rsidR="00C04B10" w:rsidRDefault="001148AB">
                  <w:pPr>
                    <w:spacing w:after="0" w:line="240" w:lineRule="auto"/>
                    <w:jc w:val="right"/>
                  </w:pPr>
                  <w:r>
                    <w:rPr>
                      <w:rFonts w:ascii="Poppins" w:eastAsia="Poppins" w:hAnsi="Poppins" w:cs="Poppins"/>
                      <w:sz w:val="16"/>
                      <w:szCs w:val="16"/>
                    </w:rPr>
                    <w:t>33.43</w:t>
                  </w:r>
                </w:p>
              </w:tc>
              <w:tc>
                <w:tcPr>
                  <w:tcW w:w="550" w:type="pct"/>
                  <w:vAlign w:val="center"/>
                </w:tcPr>
                <w:p w14:paraId="72B287F5" w14:textId="77777777" w:rsidR="00C04B10" w:rsidRDefault="001148AB">
                  <w:pPr>
                    <w:spacing w:after="0" w:line="240" w:lineRule="auto"/>
                    <w:jc w:val="right"/>
                  </w:pPr>
                  <w:r>
                    <w:rPr>
                      <w:rFonts w:ascii="Poppins" w:eastAsia="Poppins" w:hAnsi="Poppins" w:cs="Poppins"/>
                      <w:sz w:val="16"/>
                      <w:szCs w:val="16"/>
                    </w:rPr>
                    <w:t>-5.54</w:t>
                  </w:r>
                </w:p>
              </w:tc>
              <w:tc>
                <w:tcPr>
                  <w:tcW w:w="550" w:type="pct"/>
                  <w:vAlign w:val="center"/>
                </w:tcPr>
                <w:p w14:paraId="4616C055" w14:textId="77777777" w:rsidR="00C04B10" w:rsidRDefault="001148AB">
                  <w:pPr>
                    <w:spacing w:after="0" w:line="240" w:lineRule="auto"/>
                    <w:jc w:val="right"/>
                  </w:pPr>
                  <w:r>
                    <w:rPr>
                      <w:rFonts w:ascii="Poppins" w:eastAsia="Poppins" w:hAnsi="Poppins" w:cs="Poppins"/>
                      <w:sz w:val="16"/>
                      <w:szCs w:val="16"/>
                    </w:rPr>
                    <w:t>38.97</w:t>
                  </w:r>
                </w:p>
              </w:tc>
            </w:tr>
            <w:tr w:rsidR="00C04B10" w14:paraId="661FC2B9" w14:textId="77777777">
              <w:trPr>
                <w:tblCellSpacing w:w="15" w:type="dxa"/>
              </w:trPr>
              <w:tc>
                <w:tcPr>
                  <w:tcW w:w="0" w:type="auto"/>
                  <w:vAlign w:val="center"/>
                </w:tcPr>
                <w:p w14:paraId="54C491F6" w14:textId="77777777" w:rsidR="00C04B10" w:rsidRDefault="001148AB">
                  <w:pPr>
                    <w:spacing w:after="0" w:line="240" w:lineRule="auto"/>
                  </w:pPr>
                  <w:r>
                    <w:rPr>
                      <w:rFonts w:ascii="Wingdings" w:eastAsia="Wingdings" w:hAnsi="Wingdings" w:cs="Wingdings"/>
                      <w:color w:val="8E44AD"/>
                      <w:sz w:val="16"/>
                      <w:szCs w:val="16"/>
                    </w:rPr>
                    <w:t>l</w:t>
                  </w:r>
                </w:p>
              </w:tc>
              <w:tc>
                <w:tcPr>
                  <w:tcW w:w="0" w:type="auto"/>
                  <w:vAlign w:val="center"/>
                </w:tcPr>
                <w:p w14:paraId="14206D80" w14:textId="77777777" w:rsidR="00C04B10" w:rsidRDefault="001148AB">
                  <w:pPr>
                    <w:spacing w:after="0" w:line="240" w:lineRule="auto"/>
                  </w:pPr>
                  <w:r>
                    <w:rPr>
                      <w:rFonts w:ascii="Poppins" w:eastAsia="Poppins" w:hAnsi="Poppins" w:cs="Poppins"/>
                      <w:sz w:val="16"/>
                      <w:szCs w:val="16"/>
                    </w:rPr>
                    <w:t>North America Equity</w:t>
                  </w:r>
                </w:p>
              </w:tc>
              <w:tc>
                <w:tcPr>
                  <w:tcW w:w="550" w:type="pct"/>
                  <w:vAlign w:val="center"/>
                </w:tcPr>
                <w:p w14:paraId="3B1586E4" w14:textId="77777777" w:rsidR="00C04B10" w:rsidRDefault="001148AB">
                  <w:pPr>
                    <w:spacing w:after="0" w:line="240" w:lineRule="auto"/>
                    <w:jc w:val="right"/>
                  </w:pPr>
                  <w:r>
                    <w:rPr>
                      <w:rFonts w:ascii="Poppins" w:eastAsia="Poppins" w:hAnsi="Poppins" w:cs="Poppins"/>
                      <w:sz w:val="16"/>
                      <w:szCs w:val="16"/>
                    </w:rPr>
                    <w:t>28.95</w:t>
                  </w:r>
                </w:p>
              </w:tc>
              <w:tc>
                <w:tcPr>
                  <w:tcW w:w="550" w:type="pct"/>
                  <w:vAlign w:val="center"/>
                </w:tcPr>
                <w:p w14:paraId="43E4A5EE"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35BE71C7" w14:textId="77777777" w:rsidR="00C04B10" w:rsidRDefault="001148AB">
                  <w:pPr>
                    <w:spacing w:after="0" w:line="240" w:lineRule="auto"/>
                    <w:jc w:val="right"/>
                  </w:pPr>
                  <w:r>
                    <w:rPr>
                      <w:rFonts w:ascii="Poppins" w:eastAsia="Poppins" w:hAnsi="Poppins" w:cs="Poppins"/>
                      <w:sz w:val="16"/>
                      <w:szCs w:val="16"/>
                    </w:rPr>
                    <w:t>28.95</w:t>
                  </w:r>
                </w:p>
              </w:tc>
            </w:tr>
            <w:tr w:rsidR="00C04B10" w14:paraId="3FAE209D" w14:textId="77777777">
              <w:trPr>
                <w:tblCellSpacing w:w="15" w:type="dxa"/>
              </w:trPr>
              <w:tc>
                <w:tcPr>
                  <w:tcW w:w="0" w:type="auto"/>
                  <w:vAlign w:val="center"/>
                </w:tcPr>
                <w:p w14:paraId="6B7E0E78" w14:textId="77777777" w:rsidR="00C04B10" w:rsidRDefault="001148AB">
                  <w:pPr>
                    <w:spacing w:after="0" w:line="240" w:lineRule="auto"/>
                  </w:pPr>
                  <w:r>
                    <w:rPr>
                      <w:rFonts w:ascii="Wingdings" w:eastAsia="Wingdings" w:hAnsi="Wingdings" w:cs="Wingdings"/>
                      <w:color w:val="3FC6D4"/>
                      <w:sz w:val="16"/>
                      <w:szCs w:val="16"/>
                    </w:rPr>
                    <w:t>l</w:t>
                  </w:r>
                </w:p>
              </w:tc>
              <w:tc>
                <w:tcPr>
                  <w:tcW w:w="0" w:type="auto"/>
                  <w:vAlign w:val="center"/>
                </w:tcPr>
                <w:p w14:paraId="5DFDF493" w14:textId="77777777" w:rsidR="00C04B10" w:rsidRDefault="001148AB">
                  <w:pPr>
                    <w:spacing w:after="0" w:line="240" w:lineRule="auto"/>
                  </w:pPr>
                  <w:r>
                    <w:rPr>
                      <w:rFonts w:ascii="Poppins" w:eastAsia="Poppins" w:hAnsi="Poppins" w:cs="Poppins"/>
                      <w:sz w:val="16"/>
                      <w:szCs w:val="16"/>
                    </w:rPr>
                    <w:t>Europe (ex-UK) Equity</w:t>
                  </w:r>
                </w:p>
              </w:tc>
              <w:tc>
                <w:tcPr>
                  <w:tcW w:w="550" w:type="pct"/>
                  <w:vAlign w:val="center"/>
                </w:tcPr>
                <w:p w14:paraId="729C834A" w14:textId="77777777" w:rsidR="00C04B10" w:rsidRDefault="001148AB">
                  <w:pPr>
                    <w:spacing w:after="0" w:line="240" w:lineRule="auto"/>
                    <w:jc w:val="right"/>
                  </w:pPr>
                  <w:r>
                    <w:rPr>
                      <w:rFonts w:ascii="Poppins" w:eastAsia="Poppins" w:hAnsi="Poppins" w:cs="Poppins"/>
                      <w:sz w:val="16"/>
                      <w:szCs w:val="16"/>
                    </w:rPr>
                    <w:t>6.99</w:t>
                  </w:r>
                </w:p>
              </w:tc>
              <w:tc>
                <w:tcPr>
                  <w:tcW w:w="550" w:type="pct"/>
                  <w:vAlign w:val="center"/>
                </w:tcPr>
                <w:p w14:paraId="7965B08E"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4D332F65" w14:textId="77777777" w:rsidR="00C04B10" w:rsidRDefault="001148AB">
                  <w:pPr>
                    <w:spacing w:after="0" w:line="240" w:lineRule="auto"/>
                    <w:jc w:val="right"/>
                  </w:pPr>
                  <w:r>
                    <w:rPr>
                      <w:rFonts w:ascii="Poppins" w:eastAsia="Poppins" w:hAnsi="Poppins" w:cs="Poppins"/>
                      <w:sz w:val="16"/>
                      <w:szCs w:val="16"/>
                    </w:rPr>
                    <w:t>6.99</w:t>
                  </w:r>
                </w:p>
              </w:tc>
            </w:tr>
            <w:tr w:rsidR="00C04B10" w14:paraId="60942FBE" w14:textId="77777777">
              <w:trPr>
                <w:tblCellSpacing w:w="15" w:type="dxa"/>
              </w:trPr>
              <w:tc>
                <w:tcPr>
                  <w:tcW w:w="0" w:type="auto"/>
                  <w:vAlign w:val="center"/>
                </w:tcPr>
                <w:p w14:paraId="16260898" w14:textId="77777777" w:rsidR="00C04B10" w:rsidRDefault="001148AB">
                  <w:pPr>
                    <w:spacing w:after="0" w:line="240" w:lineRule="auto"/>
                  </w:pPr>
                  <w:r>
                    <w:rPr>
                      <w:rFonts w:ascii="Wingdings" w:eastAsia="Wingdings" w:hAnsi="Wingdings" w:cs="Wingdings"/>
                      <w:color w:val="A1D6B5"/>
                      <w:sz w:val="16"/>
                      <w:szCs w:val="16"/>
                    </w:rPr>
                    <w:t>l</w:t>
                  </w:r>
                </w:p>
              </w:tc>
              <w:tc>
                <w:tcPr>
                  <w:tcW w:w="0" w:type="auto"/>
                  <w:vAlign w:val="center"/>
                </w:tcPr>
                <w:p w14:paraId="4C2475BA" w14:textId="77777777" w:rsidR="00C04B10" w:rsidRDefault="001148AB">
                  <w:pPr>
                    <w:spacing w:after="0" w:line="240" w:lineRule="auto"/>
                  </w:pPr>
                  <w:r>
                    <w:rPr>
                      <w:rFonts w:ascii="Poppins" w:eastAsia="Poppins" w:hAnsi="Poppins" w:cs="Poppins"/>
                      <w:sz w:val="16"/>
                      <w:szCs w:val="16"/>
                    </w:rPr>
                    <w:t>Other</w:t>
                  </w:r>
                </w:p>
              </w:tc>
              <w:tc>
                <w:tcPr>
                  <w:tcW w:w="550" w:type="pct"/>
                  <w:vAlign w:val="center"/>
                </w:tcPr>
                <w:p w14:paraId="2DC5377D" w14:textId="77777777" w:rsidR="00C04B10" w:rsidRDefault="001148AB">
                  <w:pPr>
                    <w:spacing w:after="0" w:line="240" w:lineRule="auto"/>
                    <w:jc w:val="right"/>
                  </w:pPr>
                  <w:r>
                    <w:rPr>
                      <w:rFonts w:ascii="Poppins" w:eastAsia="Poppins" w:hAnsi="Poppins" w:cs="Poppins"/>
                      <w:sz w:val="16"/>
                      <w:szCs w:val="16"/>
                    </w:rPr>
                    <w:t>4.95</w:t>
                  </w:r>
                </w:p>
              </w:tc>
              <w:tc>
                <w:tcPr>
                  <w:tcW w:w="550" w:type="pct"/>
                  <w:vAlign w:val="center"/>
                </w:tcPr>
                <w:p w14:paraId="01EE84DD" w14:textId="77777777" w:rsidR="00C04B10" w:rsidRDefault="001148AB">
                  <w:pPr>
                    <w:spacing w:after="0" w:line="240" w:lineRule="auto"/>
                    <w:jc w:val="right"/>
                  </w:pPr>
                  <w:r>
                    <w:rPr>
                      <w:rFonts w:ascii="Poppins" w:eastAsia="Poppins" w:hAnsi="Poppins" w:cs="Poppins"/>
                      <w:sz w:val="16"/>
                      <w:szCs w:val="16"/>
                    </w:rPr>
                    <w:t>-64.73</w:t>
                  </w:r>
                </w:p>
              </w:tc>
              <w:tc>
                <w:tcPr>
                  <w:tcW w:w="550" w:type="pct"/>
                  <w:vAlign w:val="center"/>
                </w:tcPr>
                <w:p w14:paraId="366BCC95" w14:textId="77777777" w:rsidR="00C04B10" w:rsidRDefault="001148AB">
                  <w:pPr>
                    <w:spacing w:after="0" w:line="240" w:lineRule="auto"/>
                    <w:jc w:val="right"/>
                  </w:pPr>
                  <w:r>
                    <w:rPr>
                      <w:rFonts w:ascii="Poppins" w:eastAsia="Poppins" w:hAnsi="Poppins" w:cs="Poppins"/>
                      <w:sz w:val="16"/>
                      <w:szCs w:val="16"/>
                    </w:rPr>
                    <w:t>69.68</w:t>
                  </w:r>
                </w:p>
              </w:tc>
            </w:tr>
            <w:tr w:rsidR="00C04B10" w14:paraId="1EC9B194" w14:textId="77777777">
              <w:trPr>
                <w:tblCellSpacing w:w="15" w:type="dxa"/>
              </w:trPr>
              <w:tc>
                <w:tcPr>
                  <w:tcW w:w="0" w:type="auto"/>
                  <w:vAlign w:val="center"/>
                </w:tcPr>
                <w:p w14:paraId="2FF88509" w14:textId="77777777" w:rsidR="00C04B10" w:rsidRDefault="001148AB">
                  <w:pPr>
                    <w:spacing w:after="0" w:line="240" w:lineRule="auto"/>
                  </w:pPr>
                  <w:r>
                    <w:rPr>
                      <w:rFonts w:ascii="Wingdings" w:eastAsia="Wingdings" w:hAnsi="Wingdings" w:cs="Wingdings"/>
                      <w:color w:val="6B4723"/>
                      <w:sz w:val="16"/>
                      <w:szCs w:val="16"/>
                    </w:rPr>
                    <w:t>l</w:t>
                  </w:r>
                </w:p>
              </w:tc>
              <w:tc>
                <w:tcPr>
                  <w:tcW w:w="0" w:type="auto"/>
                  <w:vAlign w:val="center"/>
                </w:tcPr>
                <w:p w14:paraId="6C146B28" w14:textId="77777777" w:rsidR="00C04B10" w:rsidRDefault="001148AB">
                  <w:pPr>
                    <w:spacing w:after="0" w:line="240" w:lineRule="auto"/>
                  </w:pPr>
                  <w:r>
                    <w:rPr>
                      <w:rFonts w:ascii="Poppins" w:eastAsia="Poppins" w:hAnsi="Poppins" w:cs="Poppins"/>
                      <w:sz w:val="16"/>
                      <w:szCs w:val="16"/>
                    </w:rPr>
                    <w:t>Absolute Return</w:t>
                  </w:r>
                </w:p>
              </w:tc>
              <w:tc>
                <w:tcPr>
                  <w:tcW w:w="550" w:type="pct"/>
                  <w:vAlign w:val="center"/>
                </w:tcPr>
                <w:p w14:paraId="665FC2E8" w14:textId="77777777" w:rsidR="00C04B10" w:rsidRDefault="001148AB">
                  <w:pPr>
                    <w:spacing w:after="0" w:line="240" w:lineRule="auto"/>
                    <w:jc w:val="right"/>
                  </w:pPr>
                  <w:r>
                    <w:rPr>
                      <w:rFonts w:ascii="Poppins" w:eastAsia="Poppins" w:hAnsi="Poppins" w:cs="Poppins"/>
                      <w:sz w:val="16"/>
                      <w:szCs w:val="16"/>
                    </w:rPr>
                    <w:t>4.94</w:t>
                  </w:r>
                </w:p>
              </w:tc>
              <w:tc>
                <w:tcPr>
                  <w:tcW w:w="550" w:type="pct"/>
                  <w:vAlign w:val="center"/>
                </w:tcPr>
                <w:p w14:paraId="02C53559"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629C3C7F" w14:textId="77777777" w:rsidR="00C04B10" w:rsidRDefault="001148AB">
                  <w:pPr>
                    <w:spacing w:after="0" w:line="240" w:lineRule="auto"/>
                    <w:jc w:val="right"/>
                  </w:pPr>
                  <w:r>
                    <w:rPr>
                      <w:rFonts w:ascii="Poppins" w:eastAsia="Poppins" w:hAnsi="Poppins" w:cs="Poppins"/>
                      <w:sz w:val="16"/>
                      <w:szCs w:val="16"/>
                    </w:rPr>
                    <w:t>4.94</w:t>
                  </w:r>
                </w:p>
              </w:tc>
            </w:tr>
            <w:tr w:rsidR="00C04B10" w14:paraId="0C4E2918" w14:textId="77777777">
              <w:trPr>
                <w:tblCellSpacing w:w="15" w:type="dxa"/>
              </w:trPr>
              <w:tc>
                <w:tcPr>
                  <w:tcW w:w="0" w:type="auto"/>
                  <w:vAlign w:val="center"/>
                </w:tcPr>
                <w:p w14:paraId="3AAE324A" w14:textId="77777777" w:rsidR="00C04B10" w:rsidRDefault="001148AB">
                  <w:pPr>
                    <w:spacing w:after="0" w:line="240" w:lineRule="auto"/>
                  </w:pPr>
                  <w:r>
                    <w:rPr>
                      <w:rFonts w:ascii="Wingdings" w:eastAsia="Wingdings" w:hAnsi="Wingdings" w:cs="Wingdings"/>
                      <w:color w:val="C0392B"/>
                      <w:sz w:val="16"/>
                      <w:szCs w:val="16"/>
                    </w:rPr>
                    <w:t>l</w:t>
                  </w:r>
                </w:p>
              </w:tc>
              <w:tc>
                <w:tcPr>
                  <w:tcW w:w="0" w:type="auto"/>
                  <w:vAlign w:val="center"/>
                </w:tcPr>
                <w:p w14:paraId="47CC0B36" w14:textId="77777777" w:rsidR="00C04B10" w:rsidRDefault="001148AB">
                  <w:pPr>
                    <w:spacing w:after="0" w:line="240" w:lineRule="auto"/>
                  </w:pPr>
                  <w:r>
                    <w:rPr>
                      <w:rFonts w:ascii="Poppins" w:eastAsia="Poppins" w:hAnsi="Poppins" w:cs="Poppins"/>
                      <w:sz w:val="16"/>
                      <w:szCs w:val="16"/>
                    </w:rPr>
                    <w:t>UK Corporate Bonds</w:t>
                  </w:r>
                </w:p>
              </w:tc>
              <w:tc>
                <w:tcPr>
                  <w:tcW w:w="550" w:type="pct"/>
                  <w:vAlign w:val="center"/>
                </w:tcPr>
                <w:p w14:paraId="79D6F7A5" w14:textId="77777777" w:rsidR="00C04B10" w:rsidRDefault="001148AB">
                  <w:pPr>
                    <w:spacing w:after="0" w:line="240" w:lineRule="auto"/>
                    <w:jc w:val="right"/>
                  </w:pPr>
                  <w:r>
                    <w:rPr>
                      <w:rFonts w:ascii="Poppins" w:eastAsia="Poppins" w:hAnsi="Poppins" w:cs="Poppins"/>
                      <w:sz w:val="16"/>
                      <w:szCs w:val="16"/>
                    </w:rPr>
                    <w:t>4.58</w:t>
                  </w:r>
                </w:p>
              </w:tc>
              <w:tc>
                <w:tcPr>
                  <w:tcW w:w="550" w:type="pct"/>
                  <w:vAlign w:val="center"/>
                </w:tcPr>
                <w:p w14:paraId="46E77DC3"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39D06F64" w14:textId="77777777" w:rsidR="00C04B10" w:rsidRDefault="001148AB">
                  <w:pPr>
                    <w:spacing w:after="0" w:line="240" w:lineRule="auto"/>
                    <w:jc w:val="right"/>
                  </w:pPr>
                  <w:r>
                    <w:rPr>
                      <w:rFonts w:ascii="Poppins" w:eastAsia="Poppins" w:hAnsi="Poppins" w:cs="Poppins"/>
                      <w:sz w:val="16"/>
                      <w:szCs w:val="16"/>
                    </w:rPr>
                    <w:t>4.58</w:t>
                  </w:r>
                </w:p>
              </w:tc>
            </w:tr>
            <w:tr w:rsidR="00C04B10" w14:paraId="0D2A3D4B" w14:textId="77777777">
              <w:trPr>
                <w:tblCellSpacing w:w="15" w:type="dxa"/>
              </w:trPr>
              <w:tc>
                <w:tcPr>
                  <w:tcW w:w="0" w:type="auto"/>
                  <w:vAlign w:val="center"/>
                </w:tcPr>
                <w:p w14:paraId="2D8B486C" w14:textId="77777777" w:rsidR="00C04B10" w:rsidRDefault="001148AB">
                  <w:pPr>
                    <w:spacing w:after="0" w:line="240" w:lineRule="auto"/>
                  </w:pPr>
                  <w:r>
                    <w:rPr>
                      <w:rFonts w:ascii="Wingdings" w:eastAsia="Wingdings" w:hAnsi="Wingdings" w:cs="Wingdings"/>
                      <w:color w:val="D35400"/>
                      <w:sz w:val="16"/>
                      <w:szCs w:val="16"/>
                    </w:rPr>
                    <w:t>l</w:t>
                  </w:r>
                </w:p>
              </w:tc>
              <w:tc>
                <w:tcPr>
                  <w:tcW w:w="0" w:type="auto"/>
                  <w:vAlign w:val="center"/>
                </w:tcPr>
                <w:p w14:paraId="536634BE" w14:textId="77777777" w:rsidR="00C04B10" w:rsidRDefault="001148AB">
                  <w:pPr>
                    <w:spacing w:after="0" w:line="240" w:lineRule="auto"/>
                  </w:pPr>
                  <w:r>
                    <w:rPr>
                      <w:rFonts w:ascii="Poppins" w:eastAsia="Poppins" w:hAnsi="Poppins" w:cs="Poppins"/>
                      <w:sz w:val="16"/>
                      <w:szCs w:val="16"/>
                    </w:rPr>
                    <w:t>UK Government Bonds</w:t>
                  </w:r>
                </w:p>
              </w:tc>
              <w:tc>
                <w:tcPr>
                  <w:tcW w:w="550" w:type="pct"/>
                  <w:vAlign w:val="center"/>
                </w:tcPr>
                <w:p w14:paraId="1302513E" w14:textId="77777777" w:rsidR="00C04B10" w:rsidRDefault="001148AB">
                  <w:pPr>
                    <w:spacing w:after="0" w:line="240" w:lineRule="auto"/>
                    <w:jc w:val="right"/>
                  </w:pPr>
                  <w:r>
                    <w:rPr>
                      <w:rFonts w:ascii="Poppins" w:eastAsia="Poppins" w:hAnsi="Poppins" w:cs="Poppins"/>
                      <w:sz w:val="16"/>
                      <w:szCs w:val="16"/>
                    </w:rPr>
                    <w:t>3.58</w:t>
                  </w:r>
                </w:p>
              </w:tc>
              <w:tc>
                <w:tcPr>
                  <w:tcW w:w="550" w:type="pct"/>
                  <w:vAlign w:val="center"/>
                </w:tcPr>
                <w:p w14:paraId="5AF3606F"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45C762E8" w14:textId="77777777" w:rsidR="00C04B10" w:rsidRDefault="001148AB">
                  <w:pPr>
                    <w:spacing w:after="0" w:line="240" w:lineRule="auto"/>
                    <w:jc w:val="right"/>
                  </w:pPr>
                  <w:r>
                    <w:rPr>
                      <w:rFonts w:ascii="Poppins" w:eastAsia="Poppins" w:hAnsi="Poppins" w:cs="Poppins"/>
                      <w:sz w:val="16"/>
                      <w:szCs w:val="16"/>
                    </w:rPr>
                    <w:t>3.58</w:t>
                  </w:r>
                </w:p>
              </w:tc>
            </w:tr>
            <w:tr w:rsidR="00C04B10" w14:paraId="4B3E7DEE" w14:textId="77777777">
              <w:trPr>
                <w:tblCellSpacing w:w="15" w:type="dxa"/>
              </w:trPr>
              <w:tc>
                <w:tcPr>
                  <w:tcW w:w="0" w:type="auto"/>
                  <w:vAlign w:val="center"/>
                </w:tcPr>
                <w:p w14:paraId="287E2603" w14:textId="77777777" w:rsidR="00C04B10" w:rsidRDefault="001148AB">
                  <w:pPr>
                    <w:spacing w:after="0" w:line="240" w:lineRule="auto"/>
                  </w:pPr>
                  <w:r>
                    <w:rPr>
                      <w:rFonts w:ascii="Wingdings" w:eastAsia="Wingdings" w:hAnsi="Wingdings" w:cs="Wingdings"/>
                      <w:color w:val="16A085"/>
                      <w:sz w:val="16"/>
                      <w:szCs w:val="16"/>
                    </w:rPr>
                    <w:t>l</w:t>
                  </w:r>
                </w:p>
              </w:tc>
              <w:tc>
                <w:tcPr>
                  <w:tcW w:w="0" w:type="auto"/>
                  <w:vAlign w:val="center"/>
                </w:tcPr>
                <w:p w14:paraId="0A850AAC" w14:textId="77777777" w:rsidR="00C04B10" w:rsidRDefault="001148AB">
                  <w:pPr>
                    <w:spacing w:after="0" w:line="240" w:lineRule="auto"/>
                  </w:pPr>
                  <w:r>
                    <w:rPr>
                      <w:rFonts w:ascii="Poppins" w:eastAsia="Poppins" w:hAnsi="Poppins" w:cs="Poppins"/>
                      <w:sz w:val="16"/>
                      <w:szCs w:val="16"/>
                    </w:rPr>
                    <w:t>Japan Equity</w:t>
                  </w:r>
                </w:p>
              </w:tc>
              <w:tc>
                <w:tcPr>
                  <w:tcW w:w="550" w:type="pct"/>
                  <w:vAlign w:val="center"/>
                </w:tcPr>
                <w:p w14:paraId="2CF72A33" w14:textId="77777777" w:rsidR="00C04B10" w:rsidRDefault="001148AB">
                  <w:pPr>
                    <w:spacing w:after="0" w:line="240" w:lineRule="auto"/>
                    <w:jc w:val="right"/>
                  </w:pPr>
                  <w:r>
                    <w:rPr>
                      <w:rFonts w:ascii="Poppins" w:eastAsia="Poppins" w:hAnsi="Poppins" w:cs="Poppins"/>
                      <w:sz w:val="16"/>
                      <w:szCs w:val="16"/>
                    </w:rPr>
                    <w:t>2.18</w:t>
                  </w:r>
                </w:p>
              </w:tc>
              <w:tc>
                <w:tcPr>
                  <w:tcW w:w="550" w:type="pct"/>
                  <w:vAlign w:val="center"/>
                </w:tcPr>
                <w:p w14:paraId="211AA578"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164AB640" w14:textId="77777777" w:rsidR="00C04B10" w:rsidRDefault="001148AB">
                  <w:pPr>
                    <w:spacing w:after="0" w:line="240" w:lineRule="auto"/>
                    <w:jc w:val="right"/>
                  </w:pPr>
                  <w:r>
                    <w:rPr>
                      <w:rFonts w:ascii="Poppins" w:eastAsia="Poppins" w:hAnsi="Poppins" w:cs="Poppins"/>
                      <w:sz w:val="16"/>
                      <w:szCs w:val="16"/>
                    </w:rPr>
                    <w:t>2.18</w:t>
                  </w:r>
                </w:p>
              </w:tc>
            </w:tr>
            <w:tr w:rsidR="00C04B10" w14:paraId="6A94CE1E" w14:textId="77777777">
              <w:trPr>
                <w:tblCellSpacing w:w="15" w:type="dxa"/>
              </w:trPr>
              <w:tc>
                <w:tcPr>
                  <w:tcW w:w="0" w:type="auto"/>
                  <w:vAlign w:val="center"/>
                </w:tcPr>
                <w:p w14:paraId="3771F4A5" w14:textId="77777777" w:rsidR="00C04B10" w:rsidRDefault="001148AB">
                  <w:pPr>
                    <w:spacing w:after="0" w:line="240" w:lineRule="auto"/>
                  </w:pPr>
                  <w:r>
                    <w:rPr>
                      <w:rFonts w:ascii="Wingdings" w:eastAsia="Wingdings" w:hAnsi="Wingdings" w:cs="Wingdings"/>
                      <w:color w:val="2CABFF"/>
                      <w:sz w:val="16"/>
                      <w:szCs w:val="16"/>
                    </w:rPr>
                    <w:t>l</w:t>
                  </w:r>
                </w:p>
              </w:tc>
              <w:tc>
                <w:tcPr>
                  <w:tcW w:w="0" w:type="auto"/>
                  <w:vAlign w:val="center"/>
                </w:tcPr>
                <w:p w14:paraId="29C327F9" w14:textId="77777777" w:rsidR="00C04B10" w:rsidRDefault="001148AB">
                  <w:pPr>
                    <w:spacing w:after="0" w:line="240" w:lineRule="auto"/>
                  </w:pPr>
                  <w:r>
                    <w:rPr>
                      <w:rFonts w:ascii="Poppins" w:eastAsia="Poppins" w:hAnsi="Poppins" w:cs="Poppins"/>
                      <w:sz w:val="16"/>
                      <w:szCs w:val="16"/>
                    </w:rPr>
                    <w:t>Cash - Short Term Money Market</w:t>
                  </w:r>
                </w:p>
              </w:tc>
              <w:tc>
                <w:tcPr>
                  <w:tcW w:w="550" w:type="pct"/>
                  <w:vAlign w:val="center"/>
                </w:tcPr>
                <w:p w14:paraId="3EE1409E" w14:textId="77777777" w:rsidR="00C04B10" w:rsidRDefault="001148AB">
                  <w:pPr>
                    <w:spacing w:after="0" w:line="240" w:lineRule="auto"/>
                    <w:jc w:val="right"/>
                  </w:pPr>
                  <w:r>
                    <w:rPr>
                      <w:rFonts w:ascii="Poppins" w:eastAsia="Poppins" w:hAnsi="Poppins" w:cs="Poppins"/>
                      <w:sz w:val="16"/>
                      <w:szCs w:val="16"/>
                    </w:rPr>
                    <w:t>2.13</w:t>
                  </w:r>
                </w:p>
              </w:tc>
              <w:tc>
                <w:tcPr>
                  <w:tcW w:w="550" w:type="pct"/>
                  <w:vAlign w:val="center"/>
                </w:tcPr>
                <w:p w14:paraId="6278B9F9" w14:textId="77777777" w:rsidR="00C04B10" w:rsidRDefault="001148AB">
                  <w:pPr>
                    <w:spacing w:after="0" w:line="240" w:lineRule="auto"/>
                    <w:jc w:val="right"/>
                  </w:pPr>
                  <w:r>
                    <w:rPr>
                      <w:rFonts w:ascii="Poppins" w:eastAsia="Poppins" w:hAnsi="Poppins" w:cs="Poppins"/>
                      <w:sz w:val="16"/>
                      <w:szCs w:val="16"/>
                    </w:rPr>
                    <w:t>-5.80</w:t>
                  </w:r>
                </w:p>
              </w:tc>
              <w:tc>
                <w:tcPr>
                  <w:tcW w:w="550" w:type="pct"/>
                  <w:vAlign w:val="center"/>
                </w:tcPr>
                <w:p w14:paraId="4C8377B9" w14:textId="77777777" w:rsidR="00C04B10" w:rsidRDefault="001148AB">
                  <w:pPr>
                    <w:spacing w:after="0" w:line="240" w:lineRule="auto"/>
                    <w:jc w:val="right"/>
                  </w:pPr>
                  <w:r>
                    <w:rPr>
                      <w:rFonts w:ascii="Poppins" w:eastAsia="Poppins" w:hAnsi="Poppins" w:cs="Poppins"/>
                      <w:sz w:val="16"/>
                      <w:szCs w:val="16"/>
                    </w:rPr>
                    <w:t>7.93</w:t>
                  </w:r>
                </w:p>
              </w:tc>
            </w:tr>
            <w:tr w:rsidR="00C04B10" w14:paraId="1315A7A6" w14:textId="77777777">
              <w:trPr>
                <w:tblCellSpacing w:w="15" w:type="dxa"/>
              </w:trPr>
              <w:tc>
                <w:tcPr>
                  <w:tcW w:w="0" w:type="auto"/>
                  <w:vAlign w:val="center"/>
                </w:tcPr>
                <w:p w14:paraId="69B453E6" w14:textId="77777777" w:rsidR="00C04B10" w:rsidRDefault="001148AB">
                  <w:pPr>
                    <w:spacing w:after="0" w:line="240" w:lineRule="auto"/>
                  </w:pPr>
                  <w:r>
                    <w:rPr>
                      <w:rFonts w:ascii="Wingdings" w:eastAsia="Wingdings" w:hAnsi="Wingdings" w:cs="Wingdings"/>
                      <w:color w:val="F39C12"/>
                      <w:sz w:val="16"/>
                      <w:szCs w:val="16"/>
                    </w:rPr>
                    <w:t>l</w:t>
                  </w:r>
                </w:p>
              </w:tc>
              <w:tc>
                <w:tcPr>
                  <w:tcW w:w="0" w:type="auto"/>
                  <w:vAlign w:val="center"/>
                </w:tcPr>
                <w:p w14:paraId="46039A30" w14:textId="77777777" w:rsidR="00C04B10" w:rsidRDefault="001148AB">
                  <w:pPr>
                    <w:spacing w:after="0" w:line="240" w:lineRule="auto"/>
                  </w:pPr>
                  <w:r>
                    <w:rPr>
                      <w:rFonts w:ascii="Poppins" w:eastAsia="Poppins" w:hAnsi="Poppins" w:cs="Poppins"/>
                      <w:sz w:val="16"/>
                      <w:szCs w:val="16"/>
                    </w:rPr>
                    <w:t>Developed Pacific (ex-Japan) Equity</w:t>
                  </w:r>
                </w:p>
              </w:tc>
              <w:tc>
                <w:tcPr>
                  <w:tcW w:w="550" w:type="pct"/>
                  <w:vAlign w:val="center"/>
                </w:tcPr>
                <w:p w14:paraId="133EF20A" w14:textId="77777777" w:rsidR="00C04B10" w:rsidRDefault="001148AB">
                  <w:pPr>
                    <w:spacing w:after="0" w:line="240" w:lineRule="auto"/>
                    <w:jc w:val="right"/>
                  </w:pPr>
                  <w:r>
                    <w:rPr>
                      <w:rFonts w:ascii="Poppins" w:eastAsia="Poppins" w:hAnsi="Poppins" w:cs="Poppins"/>
                      <w:sz w:val="16"/>
                      <w:szCs w:val="16"/>
                    </w:rPr>
                    <w:t>2.12</w:t>
                  </w:r>
                </w:p>
              </w:tc>
              <w:tc>
                <w:tcPr>
                  <w:tcW w:w="550" w:type="pct"/>
                  <w:vAlign w:val="center"/>
                </w:tcPr>
                <w:p w14:paraId="70D831DC"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30FDC906" w14:textId="77777777" w:rsidR="00C04B10" w:rsidRDefault="001148AB">
                  <w:pPr>
                    <w:spacing w:after="0" w:line="240" w:lineRule="auto"/>
                    <w:jc w:val="right"/>
                  </w:pPr>
                  <w:r>
                    <w:rPr>
                      <w:rFonts w:ascii="Poppins" w:eastAsia="Poppins" w:hAnsi="Poppins" w:cs="Poppins"/>
                      <w:sz w:val="16"/>
                      <w:szCs w:val="16"/>
                    </w:rPr>
                    <w:t>2.12</w:t>
                  </w:r>
                </w:p>
              </w:tc>
            </w:tr>
            <w:tr w:rsidR="00C04B10" w14:paraId="18DA1957" w14:textId="77777777">
              <w:trPr>
                <w:tblCellSpacing w:w="15" w:type="dxa"/>
              </w:trPr>
              <w:tc>
                <w:tcPr>
                  <w:tcW w:w="0" w:type="auto"/>
                  <w:vAlign w:val="center"/>
                </w:tcPr>
                <w:p w14:paraId="40CD552F" w14:textId="77777777" w:rsidR="00C04B10" w:rsidRDefault="001148AB">
                  <w:pPr>
                    <w:spacing w:after="0" w:line="240" w:lineRule="auto"/>
                  </w:pPr>
                  <w:r>
                    <w:rPr>
                      <w:rFonts w:ascii="Wingdings" w:eastAsia="Wingdings" w:hAnsi="Wingdings" w:cs="Wingdings"/>
                      <w:color w:val="727E7E"/>
                      <w:sz w:val="16"/>
                      <w:szCs w:val="16"/>
                    </w:rPr>
                    <w:t>l</w:t>
                  </w:r>
                </w:p>
              </w:tc>
              <w:tc>
                <w:tcPr>
                  <w:tcW w:w="0" w:type="auto"/>
                  <w:vAlign w:val="center"/>
                </w:tcPr>
                <w:p w14:paraId="2049C9A9" w14:textId="77777777" w:rsidR="00C04B10" w:rsidRDefault="001148AB">
                  <w:pPr>
                    <w:spacing w:after="0" w:line="240" w:lineRule="auto"/>
                  </w:pPr>
                  <w:r>
                    <w:rPr>
                      <w:rFonts w:ascii="Poppins" w:eastAsia="Poppins" w:hAnsi="Poppins" w:cs="Poppins"/>
                      <w:sz w:val="16"/>
                      <w:szCs w:val="16"/>
                    </w:rPr>
                    <w:t>Emerging Markets Equity</w:t>
                  </w:r>
                </w:p>
              </w:tc>
              <w:tc>
                <w:tcPr>
                  <w:tcW w:w="550" w:type="pct"/>
                  <w:vAlign w:val="center"/>
                </w:tcPr>
                <w:p w14:paraId="49CA2D37" w14:textId="77777777" w:rsidR="00C04B10" w:rsidRDefault="001148AB">
                  <w:pPr>
                    <w:spacing w:after="0" w:line="240" w:lineRule="auto"/>
                    <w:jc w:val="right"/>
                  </w:pPr>
                  <w:r>
                    <w:rPr>
                      <w:rFonts w:ascii="Poppins" w:eastAsia="Poppins" w:hAnsi="Poppins" w:cs="Poppins"/>
                      <w:sz w:val="16"/>
                      <w:szCs w:val="16"/>
                    </w:rPr>
                    <w:t>2.09</w:t>
                  </w:r>
                </w:p>
              </w:tc>
              <w:tc>
                <w:tcPr>
                  <w:tcW w:w="550" w:type="pct"/>
                  <w:vAlign w:val="center"/>
                </w:tcPr>
                <w:p w14:paraId="6C356222"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5702934F" w14:textId="77777777" w:rsidR="00C04B10" w:rsidRDefault="001148AB">
                  <w:pPr>
                    <w:spacing w:after="0" w:line="240" w:lineRule="auto"/>
                    <w:jc w:val="right"/>
                  </w:pPr>
                  <w:r>
                    <w:rPr>
                      <w:rFonts w:ascii="Poppins" w:eastAsia="Poppins" w:hAnsi="Poppins" w:cs="Poppins"/>
                      <w:sz w:val="16"/>
                      <w:szCs w:val="16"/>
                    </w:rPr>
                    <w:t>2.09</w:t>
                  </w:r>
                </w:p>
              </w:tc>
            </w:tr>
            <w:tr w:rsidR="00C04B10" w14:paraId="359ADEE7" w14:textId="77777777">
              <w:trPr>
                <w:tblCellSpacing w:w="15" w:type="dxa"/>
              </w:trPr>
              <w:tc>
                <w:tcPr>
                  <w:tcW w:w="0" w:type="auto"/>
                  <w:vAlign w:val="center"/>
                </w:tcPr>
                <w:p w14:paraId="020AD7B4" w14:textId="77777777" w:rsidR="00C04B10" w:rsidRDefault="001148AB">
                  <w:pPr>
                    <w:spacing w:after="0" w:line="240" w:lineRule="auto"/>
                  </w:pPr>
                  <w:r>
                    <w:rPr>
                      <w:rFonts w:ascii="Wingdings" w:eastAsia="Wingdings" w:hAnsi="Wingdings" w:cs="Wingdings"/>
                      <w:color w:val="E95F7A"/>
                      <w:sz w:val="16"/>
                      <w:szCs w:val="16"/>
                    </w:rPr>
                    <w:t>l</w:t>
                  </w:r>
                </w:p>
              </w:tc>
              <w:tc>
                <w:tcPr>
                  <w:tcW w:w="0" w:type="auto"/>
                  <w:vAlign w:val="center"/>
                </w:tcPr>
                <w:p w14:paraId="7501D799" w14:textId="77777777" w:rsidR="00C04B10" w:rsidRDefault="001148AB">
                  <w:pPr>
                    <w:spacing w:after="0" w:line="240" w:lineRule="auto"/>
                  </w:pPr>
                  <w:r>
                    <w:rPr>
                      <w:rFonts w:ascii="Poppins" w:eastAsia="Poppins" w:hAnsi="Poppins" w:cs="Poppins"/>
                      <w:sz w:val="16"/>
                      <w:szCs w:val="16"/>
                    </w:rPr>
                    <w:t>Commodities</w:t>
                  </w:r>
                </w:p>
              </w:tc>
              <w:tc>
                <w:tcPr>
                  <w:tcW w:w="550" w:type="pct"/>
                  <w:vAlign w:val="center"/>
                </w:tcPr>
                <w:p w14:paraId="62B9062A" w14:textId="77777777" w:rsidR="00C04B10" w:rsidRDefault="001148AB">
                  <w:pPr>
                    <w:spacing w:after="0" w:line="240" w:lineRule="auto"/>
                    <w:jc w:val="right"/>
                  </w:pPr>
                  <w:r>
                    <w:rPr>
                      <w:rFonts w:ascii="Poppins" w:eastAsia="Poppins" w:hAnsi="Poppins" w:cs="Poppins"/>
                      <w:sz w:val="16"/>
                      <w:szCs w:val="16"/>
                    </w:rPr>
                    <w:t>2.03</w:t>
                  </w:r>
                </w:p>
              </w:tc>
              <w:tc>
                <w:tcPr>
                  <w:tcW w:w="550" w:type="pct"/>
                  <w:vAlign w:val="center"/>
                </w:tcPr>
                <w:p w14:paraId="6F2E544B"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5F64B5AF" w14:textId="77777777" w:rsidR="00C04B10" w:rsidRDefault="001148AB">
                  <w:pPr>
                    <w:spacing w:after="0" w:line="240" w:lineRule="auto"/>
                    <w:jc w:val="right"/>
                  </w:pPr>
                  <w:r>
                    <w:rPr>
                      <w:rFonts w:ascii="Poppins" w:eastAsia="Poppins" w:hAnsi="Poppins" w:cs="Poppins"/>
                      <w:sz w:val="16"/>
                      <w:szCs w:val="16"/>
                    </w:rPr>
                    <w:t>2.03</w:t>
                  </w:r>
                </w:p>
              </w:tc>
            </w:tr>
            <w:tr w:rsidR="00C04B10" w14:paraId="56F2FC39" w14:textId="77777777">
              <w:trPr>
                <w:tblCellSpacing w:w="15" w:type="dxa"/>
              </w:trPr>
              <w:tc>
                <w:tcPr>
                  <w:tcW w:w="0" w:type="auto"/>
                  <w:vAlign w:val="center"/>
                </w:tcPr>
                <w:p w14:paraId="11662614" w14:textId="77777777" w:rsidR="00C04B10" w:rsidRDefault="001148AB">
                  <w:pPr>
                    <w:spacing w:after="0" w:line="240" w:lineRule="auto"/>
                  </w:pPr>
                  <w:r>
                    <w:rPr>
                      <w:rFonts w:ascii="Wingdings" w:eastAsia="Wingdings" w:hAnsi="Wingdings" w:cs="Wingdings"/>
                      <w:color w:val="FFE382"/>
                      <w:sz w:val="16"/>
                      <w:szCs w:val="16"/>
                    </w:rPr>
                    <w:t>l</w:t>
                  </w:r>
                </w:p>
              </w:tc>
              <w:tc>
                <w:tcPr>
                  <w:tcW w:w="0" w:type="auto"/>
                  <w:vAlign w:val="center"/>
                </w:tcPr>
                <w:p w14:paraId="16CF7ECC" w14:textId="77777777" w:rsidR="00C04B10" w:rsidRDefault="001148AB">
                  <w:pPr>
                    <w:spacing w:after="0" w:line="240" w:lineRule="auto"/>
                  </w:pPr>
                  <w:r>
                    <w:rPr>
                      <w:rFonts w:ascii="Poppins" w:eastAsia="Poppins" w:hAnsi="Poppins" w:cs="Poppins"/>
                      <w:sz w:val="16"/>
                      <w:szCs w:val="16"/>
                    </w:rPr>
                    <w:t>UK Equity</w:t>
                  </w:r>
                </w:p>
              </w:tc>
              <w:tc>
                <w:tcPr>
                  <w:tcW w:w="550" w:type="pct"/>
                  <w:vAlign w:val="center"/>
                </w:tcPr>
                <w:p w14:paraId="31400E0F" w14:textId="77777777" w:rsidR="00C04B10" w:rsidRDefault="001148AB">
                  <w:pPr>
                    <w:spacing w:after="0" w:line="240" w:lineRule="auto"/>
                    <w:jc w:val="right"/>
                  </w:pPr>
                  <w:r>
                    <w:rPr>
                      <w:rFonts w:ascii="Poppins" w:eastAsia="Poppins" w:hAnsi="Poppins" w:cs="Poppins"/>
                      <w:sz w:val="16"/>
                      <w:szCs w:val="16"/>
                    </w:rPr>
                    <w:t>2.02</w:t>
                  </w:r>
                </w:p>
              </w:tc>
              <w:tc>
                <w:tcPr>
                  <w:tcW w:w="550" w:type="pct"/>
                  <w:vAlign w:val="center"/>
                </w:tcPr>
                <w:p w14:paraId="016826E7"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13A90A0B" w14:textId="77777777" w:rsidR="00C04B10" w:rsidRDefault="001148AB">
                  <w:pPr>
                    <w:spacing w:after="0" w:line="240" w:lineRule="auto"/>
                    <w:jc w:val="right"/>
                  </w:pPr>
                  <w:r>
                    <w:rPr>
                      <w:rFonts w:ascii="Poppins" w:eastAsia="Poppins" w:hAnsi="Poppins" w:cs="Poppins"/>
                      <w:sz w:val="16"/>
                      <w:szCs w:val="16"/>
                    </w:rPr>
                    <w:t>2.02</w:t>
                  </w:r>
                </w:p>
              </w:tc>
            </w:tr>
            <w:tr w:rsidR="00C04B10" w14:paraId="5C8D1B0F" w14:textId="77777777">
              <w:trPr>
                <w:tblCellSpacing w:w="15" w:type="dxa"/>
              </w:trPr>
              <w:tc>
                <w:tcPr>
                  <w:tcW w:w="0" w:type="auto"/>
                  <w:vAlign w:val="center"/>
                </w:tcPr>
                <w:p w14:paraId="42C2ECD6" w14:textId="77777777" w:rsidR="00C04B10" w:rsidRDefault="001148AB">
                  <w:pPr>
                    <w:spacing w:after="0" w:line="240" w:lineRule="auto"/>
                  </w:pPr>
                  <w:r>
                    <w:rPr>
                      <w:rFonts w:ascii="Wingdings" w:eastAsia="Wingdings" w:hAnsi="Wingdings" w:cs="Wingdings"/>
                      <w:color w:val="2C3E50"/>
                      <w:sz w:val="16"/>
                      <w:szCs w:val="16"/>
                    </w:rPr>
                    <w:t>l</w:t>
                  </w:r>
                </w:p>
              </w:tc>
              <w:tc>
                <w:tcPr>
                  <w:tcW w:w="0" w:type="auto"/>
                  <w:vAlign w:val="center"/>
                </w:tcPr>
                <w:p w14:paraId="4B04B2E5" w14:textId="77777777" w:rsidR="00C04B10" w:rsidRDefault="001148AB">
                  <w:pPr>
                    <w:spacing w:after="0" w:line="240" w:lineRule="auto"/>
                  </w:pPr>
                  <w:r>
                    <w:rPr>
                      <w:rFonts w:ascii="Poppins" w:eastAsia="Poppins" w:hAnsi="Poppins" w:cs="Poppins"/>
                      <w:sz w:val="16"/>
                      <w:szCs w:val="16"/>
                    </w:rPr>
                    <w:t>Global Property</w:t>
                  </w:r>
                </w:p>
              </w:tc>
              <w:tc>
                <w:tcPr>
                  <w:tcW w:w="550" w:type="pct"/>
                  <w:vAlign w:val="center"/>
                </w:tcPr>
                <w:p w14:paraId="0E4FDD47" w14:textId="77777777" w:rsidR="00C04B10" w:rsidRDefault="001148AB">
                  <w:pPr>
                    <w:spacing w:after="0" w:line="240" w:lineRule="auto"/>
                    <w:jc w:val="right"/>
                  </w:pPr>
                  <w:r>
                    <w:rPr>
                      <w:rFonts w:ascii="Poppins" w:eastAsia="Poppins" w:hAnsi="Poppins" w:cs="Poppins"/>
                      <w:sz w:val="16"/>
                      <w:szCs w:val="16"/>
                    </w:rPr>
                    <w:t>0.02</w:t>
                  </w:r>
                </w:p>
              </w:tc>
              <w:tc>
                <w:tcPr>
                  <w:tcW w:w="550" w:type="pct"/>
                  <w:vAlign w:val="center"/>
                </w:tcPr>
                <w:p w14:paraId="28E8975B"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7E033820" w14:textId="77777777" w:rsidR="00C04B10" w:rsidRDefault="001148AB">
                  <w:pPr>
                    <w:spacing w:after="0" w:line="240" w:lineRule="auto"/>
                    <w:jc w:val="right"/>
                  </w:pPr>
                  <w:r>
                    <w:rPr>
                      <w:rFonts w:ascii="Poppins" w:eastAsia="Poppins" w:hAnsi="Poppins" w:cs="Poppins"/>
                      <w:sz w:val="16"/>
                      <w:szCs w:val="16"/>
                    </w:rPr>
                    <w:t>0.02</w:t>
                  </w:r>
                </w:p>
              </w:tc>
            </w:tr>
          </w:tbl>
          <w:p w14:paraId="2C53FCF8" w14:textId="77777777" w:rsidR="00C04B10" w:rsidRDefault="00C04B10">
            <w:pPr>
              <w:spacing w:after="0"/>
            </w:pPr>
          </w:p>
        </w:tc>
      </w:tr>
      <w:tr w:rsidR="00C04B10" w14:paraId="3C8F0D02" w14:textId="77777777">
        <w:trPr>
          <w:tblCellSpacing w:w="15" w:type="dxa"/>
        </w:trPr>
        <w:tc>
          <w:tcPr>
            <w:tcW w:w="0" w:type="auto"/>
            <w:gridSpan w:val="2"/>
          </w:tcPr>
          <w:p w14:paraId="3B54BACD" w14:textId="77777777" w:rsidR="00C04B10" w:rsidRDefault="001148AB">
            <w:pPr>
              <w:spacing w:after="0"/>
            </w:pPr>
            <w:r>
              <w:rPr>
                <w:rFonts w:ascii="Poppins" w:eastAsia="Poppins" w:hAnsi="Poppins" w:cs="Poppins"/>
                <w:sz w:val="16"/>
                <w:szCs w:val="16"/>
              </w:rPr>
              <w:t>⁽</w:t>
            </w:r>
            <w:r>
              <w:rPr>
                <w:rFonts w:ascii="Poppins" w:eastAsia="Poppins" w:hAnsi="Poppins" w:cs="Poppins"/>
                <w:sz w:val="16"/>
                <w:szCs w:val="16"/>
              </w:rPr>
              <w:t>¹⁾ Due to rounding there may be a discrepancy between the Long/Short % and the Net %.</w:t>
            </w:r>
          </w:p>
        </w:tc>
      </w:tr>
    </w:tbl>
    <w:p w14:paraId="56F2EAF4" w14:textId="77777777" w:rsidR="00C04B10" w:rsidRDefault="00C04B10">
      <w:pPr>
        <w:spacing w:after="280" w:afterAutospacing="1"/>
      </w:pPr>
    </w:p>
    <w:p w14:paraId="402C7BB1" w14:textId="77777777" w:rsidR="00C04B10" w:rsidRDefault="001148AB">
      <w:pPr>
        <w:rPr>
          <w:color w:val="392388"/>
          <w:lang w:val="en-NZ"/>
        </w:rPr>
      </w:pPr>
      <w:r>
        <w:rPr>
          <w:color w:val="392388"/>
          <w:lang w:val="en-NZ"/>
        </w:rPr>
        <w:br w:type="page"/>
      </w:r>
    </w:p>
    <w:p w14:paraId="0592021B" w14:textId="77777777" w:rsidR="00C04B10" w:rsidRDefault="001148AB">
      <w:pPr>
        <w:pStyle w:val="DefaqtoHeading2-noTOC"/>
      </w:pPr>
      <w:r>
        <w:rPr>
          <w:lang w:val="en-NZ"/>
        </w:rPr>
        <w:lastRenderedPageBreak/>
        <w:t xml:space="preserve">Investment </w:t>
      </w:r>
      <w:r>
        <w:t>performance</w:t>
      </w:r>
    </w:p>
    <w:p w14:paraId="4D678041" w14:textId="77777777" w:rsidR="00C04B10" w:rsidRDefault="001148AB">
      <w:pPr>
        <w:pStyle w:val="DefaqtoHeading3-noTOC"/>
      </w:pPr>
      <w:r>
        <w:t>Individual cumulative investment performance graph</w:t>
      </w:r>
    </w:p>
    <w:p w14:paraId="16B00B2B" w14:textId="77777777" w:rsidR="00C04B10" w:rsidRDefault="001148AB">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7AA92405" w14:textId="77777777" w:rsidR="00C04B10" w:rsidRDefault="001148AB">
      <w:r>
        <w:rPr>
          <w:noProof/>
        </w:rPr>
        <w:drawing>
          <wp:inline distT="0" distB="0" distL="0" distR="0" wp14:anchorId="2022278B" wp14:editId="5953CE52">
            <wp:extent cx="6731000" cy="4533900"/>
            <wp:effectExtent l="0" t="0" r="0" b="0"/>
            <wp:docPr id="8" name="Picture 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C04B10" w14:paraId="3F58D4E9"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45D7C4E2" w14:textId="77777777" w:rsidR="00C04B10" w:rsidRDefault="001148AB">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01A8EFB1"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Aviva Insured Funds Multi-asset Plus Fund II (GBP)</w:t>
            </w:r>
          </w:p>
        </w:tc>
        <w:tc>
          <w:tcPr>
            <w:tcW w:w="250" w:type="pct"/>
            <w:tcBorders>
              <w:bottom w:val="single" w:sz="4" w:space="0" w:color="B0A7CF"/>
            </w:tcBorders>
          </w:tcPr>
          <w:p w14:paraId="490007C2" w14:textId="77777777" w:rsidR="00C04B10" w:rsidRDefault="00C04B10">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213668A2" w14:textId="77777777" w:rsidR="00C04B10" w:rsidRDefault="00C04B10">
            <w:pPr>
              <w:pStyle w:val="DefaqtoTableBody2"/>
              <w:cnfStyle w:val="100000000000" w:firstRow="1" w:lastRow="0" w:firstColumn="0" w:lastColumn="0" w:oddVBand="0" w:evenVBand="0" w:oddHBand="0" w:evenHBand="0" w:firstRowFirstColumn="0" w:firstRowLastColumn="0" w:lastRowFirstColumn="0" w:lastRowLastColumn="0"/>
            </w:pPr>
          </w:p>
        </w:tc>
      </w:tr>
    </w:tbl>
    <w:p w14:paraId="4DECC21D" w14:textId="77777777" w:rsidR="00C04B10" w:rsidRDefault="001148AB">
      <w:pPr>
        <w:pStyle w:val="DefaqtoBody"/>
      </w:pPr>
      <w:r>
        <w:rPr>
          <w:u w:color="000000"/>
        </w:rPr>
        <w:t xml:space="preserve"> </w:t>
      </w:r>
    </w:p>
    <w:p w14:paraId="0EDFB9B7" w14:textId="77777777" w:rsidR="00C04B10" w:rsidRDefault="001148AB">
      <w:pPr>
        <w:pStyle w:val="DefaqtoHeading3-noTOC"/>
      </w:pPr>
      <w:r>
        <w:t>Individual cumulative investment performance table</w:t>
      </w:r>
    </w:p>
    <w:p w14:paraId="37E45987" w14:textId="77777777" w:rsidR="00C04B10" w:rsidRDefault="001148AB">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C04B10" w14:paraId="3EA86BEA"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4E4B64C9" w14:textId="77777777" w:rsidR="00C04B10" w:rsidRDefault="001148AB">
            <w:pPr>
              <w:pStyle w:val="DefaqtoTableBody2"/>
            </w:pPr>
            <w:r>
              <w:t>FUND</w:t>
            </w:r>
          </w:p>
        </w:tc>
        <w:tc>
          <w:tcPr>
            <w:tcW w:w="400" w:type="pct"/>
          </w:tcPr>
          <w:p w14:paraId="3D665D91"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1B2068C2"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455F8F3A"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7E06791C"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59612D98"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001EF4F8"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C04B10" w14:paraId="6EFAAE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40D516" w14:textId="77777777" w:rsidR="00C04B10" w:rsidRDefault="001148AB">
            <w:pPr>
              <w:pStyle w:val="DefaqtoTableBody2"/>
            </w:pPr>
            <w:r>
              <w:t>Aviva Insured Funds Multi-asset Plus Fund II (GBP)</w:t>
            </w:r>
          </w:p>
        </w:tc>
        <w:tc>
          <w:tcPr>
            <w:tcW w:w="0" w:type="auto"/>
          </w:tcPr>
          <w:p w14:paraId="783B967D"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5.58</w:t>
            </w:r>
          </w:p>
        </w:tc>
        <w:tc>
          <w:tcPr>
            <w:tcW w:w="0" w:type="auto"/>
          </w:tcPr>
          <w:p w14:paraId="21093006"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12.61</w:t>
            </w:r>
          </w:p>
        </w:tc>
        <w:tc>
          <w:tcPr>
            <w:tcW w:w="0" w:type="auto"/>
          </w:tcPr>
          <w:p w14:paraId="78841E55"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11.92</w:t>
            </w:r>
          </w:p>
        </w:tc>
        <w:tc>
          <w:tcPr>
            <w:tcW w:w="0" w:type="auto"/>
          </w:tcPr>
          <w:p w14:paraId="7F8CA001"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33.59</w:t>
            </w:r>
          </w:p>
        </w:tc>
        <w:tc>
          <w:tcPr>
            <w:tcW w:w="0" w:type="auto"/>
          </w:tcPr>
          <w:p w14:paraId="50E353C1"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36.21</w:t>
            </w:r>
          </w:p>
        </w:tc>
        <w:tc>
          <w:tcPr>
            <w:tcW w:w="0" w:type="auto"/>
          </w:tcPr>
          <w:p w14:paraId="3C10E3A9"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70.66</w:t>
            </w:r>
          </w:p>
        </w:tc>
      </w:tr>
    </w:tbl>
    <w:p w14:paraId="21FF7203" w14:textId="77777777" w:rsidR="00C04B10" w:rsidRDefault="00C04B10">
      <w:pPr>
        <w:spacing w:line="240" w:lineRule="auto"/>
        <w:rPr>
          <w:color w:val="392388"/>
          <w:lang w:val="en-NZ"/>
        </w:rPr>
      </w:pPr>
    </w:p>
    <w:p w14:paraId="5FC5A34C" w14:textId="77777777" w:rsidR="00C04B10" w:rsidRDefault="00C04B10">
      <w:pPr>
        <w:spacing w:line="240" w:lineRule="auto"/>
        <w:rPr>
          <w:color w:val="392388"/>
          <w:lang w:val="en-NZ"/>
        </w:rPr>
      </w:pPr>
    </w:p>
    <w:p w14:paraId="3C167C04" w14:textId="77777777" w:rsidR="00C04B10" w:rsidRDefault="00C04B10">
      <w:pPr>
        <w:spacing w:line="240" w:lineRule="auto"/>
        <w:rPr>
          <w:color w:val="392388"/>
          <w:lang w:val="en-NZ"/>
        </w:rPr>
      </w:pPr>
    </w:p>
    <w:p w14:paraId="45A08463" w14:textId="77777777" w:rsidR="00C04B10" w:rsidRDefault="001148AB">
      <w:pPr>
        <w:pStyle w:val="DefaqtoHeading3-noTOC"/>
      </w:pPr>
      <w:r>
        <w:t>Individual discrete investment performance table</w:t>
      </w:r>
    </w:p>
    <w:p w14:paraId="3A03A920" w14:textId="77777777" w:rsidR="00C04B10" w:rsidRDefault="001148AB">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C04B10" w14:paraId="722504CA"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397BFE54" w14:textId="77777777" w:rsidR="00C04B10" w:rsidRDefault="001148AB">
            <w:pPr>
              <w:pStyle w:val="DefaqtoTableBody2"/>
            </w:pPr>
            <w:r>
              <w:t>Fund</w:t>
            </w:r>
          </w:p>
        </w:tc>
        <w:tc>
          <w:tcPr>
            <w:tcW w:w="500" w:type="pct"/>
          </w:tcPr>
          <w:p w14:paraId="64D89DDA"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652C9D05"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7B90A713"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77667112"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300CB268"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C04B10" w14:paraId="6D5D8FE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1359E64" w14:textId="77777777" w:rsidR="00C04B10" w:rsidRDefault="001148AB">
            <w:pPr>
              <w:pStyle w:val="DefaqtoTableBody2"/>
            </w:pPr>
            <w:r>
              <w:t>Aviva Insured Funds Multi-asset Plus Fund II</w:t>
            </w:r>
          </w:p>
        </w:tc>
        <w:tc>
          <w:tcPr>
            <w:tcW w:w="0" w:type="auto"/>
          </w:tcPr>
          <w:p w14:paraId="510A101C"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6.91</w:t>
            </w:r>
          </w:p>
        </w:tc>
        <w:tc>
          <w:tcPr>
            <w:tcW w:w="0" w:type="auto"/>
          </w:tcPr>
          <w:p w14:paraId="0A18DB57"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-8.73</w:t>
            </w:r>
          </w:p>
        </w:tc>
        <w:tc>
          <w:tcPr>
            <w:tcW w:w="0" w:type="auto"/>
          </w:tcPr>
          <w:p w14:paraId="76A351EC"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8.13</w:t>
            </w:r>
          </w:p>
        </w:tc>
        <w:tc>
          <w:tcPr>
            <w:tcW w:w="0" w:type="auto"/>
          </w:tcPr>
          <w:p w14:paraId="728AC936"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10.02</w:t>
            </w:r>
          </w:p>
        </w:tc>
        <w:tc>
          <w:tcPr>
            <w:tcW w:w="0" w:type="auto"/>
          </w:tcPr>
          <w:p w14:paraId="51560DD5"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11.01</w:t>
            </w:r>
          </w:p>
        </w:tc>
      </w:tr>
    </w:tbl>
    <w:p w14:paraId="39665D7F" w14:textId="77777777" w:rsidR="00C04B10" w:rsidRDefault="00C04B10">
      <w:pPr>
        <w:rPr>
          <w:noProof/>
          <w:color w:val="392388"/>
        </w:rPr>
      </w:pPr>
    </w:p>
    <w:p w14:paraId="271D9D31" w14:textId="77777777" w:rsidR="00C04B10" w:rsidRDefault="00C04B10">
      <w:pPr>
        <w:spacing w:line="240" w:lineRule="auto"/>
        <w:rPr>
          <w:color w:val="392388"/>
          <w:lang w:val="en-NZ"/>
        </w:rPr>
        <w:sectPr w:rsidR="00C04B10">
          <w:headerReference w:type="default" r:id="rId16"/>
          <w:footerReference w:type="default" r:id="rId17"/>
          <w:pgSz w:w="11906" w:h="16838"/>
          <w:pgMar w:top="709" w:right="640" w:bottom="376" w:left="640" w:header="200" w:footer="200" w:gutter="0"/>
          <w:cols w:space="708"/>
          <w:docGrid w:linePitch="360"/>
        </w:sectPr>
      </w:pPr>
    </w:p>
    <w:p w14:paraId="3624224A" w14:textId="77777777" w:rsidR="00C04B10" w:rsidRDefault="001148AB">
      <w:pPr>
        <w:pStyle w:val="DefaqtoHeading2-noTOC"/>
      </w:pPr>
      <w:r>
        <w:lastRenderedPageBreak/>
        <w:t>Product</w:t>
      </w:r>
    </w:p>
    <w:p w14:paraId="23444148" w14:textId="77777777" w:rsidR="00C04B10" w:rsidRDefault="00C04B10">
      <w:pPr>
        <w:pStyle w:val="DefaqtoBody"/>
      </w:pPr>
    </w:p>
    <w:tbl>
      <w:tblPr>
        <w:tblStyle w:val="DefaqtoTable"/>
        <w:tblW w:w="5000" w:type="pct"/>
        <w:tblLayout w:type="fixed"/>
        <w:tblLook w:val="0420" w:firstRow="1" w:lastRow="0" w:firstColumn="0" w:lastColumn="0" w:noHBand="0" w:noVBand="1"/>
      </w:tblPr>
      <w:tblGrid>
        <w:gridCol w:w="5119"/>
        <w:gridCol w:w="5497"/>
      </w:tblGrid>
      <w:tr w:rsidR="00C04B10" w14:paraId="03CEBFAB" w14:textId="77777777" w:rsidTr="00C04B10">
        <w:trPr>
          <w:cnfStyle w:val="100000000000" w:firstRow="1" w:lastRow="0" w:firstColumn="0" w:lastColumn="0" w:oddVBand="0" w:evenVBand="0" w:oddHBand="0" w:evenHBand="0" w:firstRowFirstColumn="0" w:firstRowLastColumn="0" w:lastRowFirstColumn="0" w:lastRowLastColumn="0"/>
        </w:trPr>
        <w:tc>
          <w:tcPr>
            <w:tcW w:w="2411" w:type="pct"/>
          </w:tcPr>
          <w:p w14:paraId="0C893D2D" w14:textId="77777777" w:rsidR="00C04B10" w:rsidRDefault="001148AB">
            <w:pPr>
              <w:pStyle w:val="DefaqtoTableBody2"/>
            </w:pPr>
            <w:r>
              <w:t>Name</w:t>
            </w:r>
          </w:p>
        </w:tc>
        <w:tc>
          <w:tcPr>
            <w:tcW w:w="2589" w:type="pct"/>
          </w:tcPr>
          <w:p w14:paraId="07FCAEE8" w14:textId="77777777" w:rsidR="00C04B10" w:rsidRDefault="001148AB">
            <w:pPr>
              <w:pStyle w:val="DefaqtoTableBody2"/>
            </w:pPr>
            <w:r>
              <w:t>Provider</w:t>
            </w:r>
          </w:p>
        </w:tc>
      </w:tr>
      <w:tr w:rsidR="00C04B10" w14:paraId="441B10DA" w14:textId="77777777" w:rsidTr="00C04B10">
        <w:trPr>
          <w:cnfStyle w:val="000000100000" w:firstRow="0" w:lastRow="0" w:firstColumn="0" w:lastColumn="0" w:oddVBand="0" w:evenVBand="0" w:oddHBand="1" w:evenHBand="0" w:firstRowFirstColumn="0" w:firstRowLastColumn="0" w:lastRowFirstColumn="0" w:lastRowLastColumn="0"/>
        </w:trPr>
        <w:tc>
          <w:tcPr>
            <w:tcW w:w="2411" w:type="pct"/>
          </w:tcPr>
          <w:p w14:paraId="2D9BBE3E" w14:textId="77777777" w:rsidR="00C04B10" w:rsidRDefault="001148AB">
            <w:pPr>
              <w:pStyle w:val="DefaqtoTableBody2"/>
            </w:pPr>
            <w:r>
              <w:t>Pension Portfolio - Choice</w:t>
            </w:r>
          </w:p>
        </w:tc>
        <w:tc>
          <w:tcPr>
            <w:tcW w:w="2589" w:type="pct"/>
          </w:tcPr>
          <w:p w14:paraId="4ADE1010" w14:textId="77777777" w:rsidR="00C04B10" w:rsidRDefault="001148AB">
            <w:pPr>
              <w:pStyle w:val="DefaqtoTableBody2"/>
            </w:pPr>
            <w:r>
              <w:t>Aviva Life &amp; Pensions UK Limited</w:t>
            </w:r>
          </w:p>
        </w:tc>
      </w:tr>
    </w:tbl>
    <w:p w14:paraId="5D624945" w14:textId="77777777" w:rsidR="00C04B10" w:rsidRDefault="00C04B10">
      <w:pPr>
        <w:pStyle w:val="DefaqtoBody"/>
      </w:pPr>
    </w:p>
    <w:p w14:paraId="1EA1C03F" w14:textId="77777777" w:rsidR="00C04B10" w:rsidRDefault="001148AB">
      <w:pPr>
        <w:rPr>
          <w:color w:val="392388"/>
        </w:rPr>
      </w:pPr>
      <w:r>
        <w:rPr>
          <w:color w:val="392388"/>
        </w:rPr>
        <w:br w:type="page"/>
      </w:r>
    </w:p>
    <w:p w14:paraId="3E59051B" w14:textId="77777777" w:rsidR="00C04B10" w:rsidRDefault="001148AB">
      <w:pPr>
        <w:pStyle w:val="DefaqtoHeading2-noTOC"/>
      </w:pPr>
      <w:r>
        <w:lastRenderedPageBreak/>
        <w:t>Platform</w:t>
      </w:r>
    </w:p>
    <w:tbl>
      <w:tblPr>
        <w:tblStyle w:val="DefaqtoTable"/>
        <w:tblW w:w="5000" w:type="pct"/>
        <w:tblLayout w:type="fixed"/>
        <w:tblLook w:val="0420" w:firstRow="1" w:lastRow="0" w:firstColumn="0" w:lastColumn="0" w:noHBand="0" w:noVBand="1"/>
      </w:tblPr>
      <w:tblGrid>
        <w:gridCol w:w="5119"/>
        <w:gridCol w:w="5497"/>
      </w:tblGrid>
      <w:tr w:rsidR="00C04B10" w14:paraId="363E422D" w14:textId="77777777" w:rsidTr="00C04B10">
        <w:trPr>
          <w:cnfStyle w:val="100000000000" w:firstRow="1" w:lastRow="0" w:firstColumn="0" w:lastColumn="0" w:oddVBand="0" w:evenVBand="0" w:oddHBand="0" w:evenHBand="0" w:firstRowFirstColumn="0" w:firstRowLastColumn="0" w:lastRowFirstColumn="0" w:lastRowLastColumn="0"/>
        </w:trPr>
        <w:tc>
          <w:tcPr>
            <w:tcW w:w="2411" w:type="pct"/>
          </w:tcPr>
          <w:p w14:paraId="7825BCF0" w14:textId="77777777" w:rsidR="00C04B10" w:rsidRDefault="001148AB">
            <w:pPr>
              <w:pStyle w:val="DefaqtoTableBody2"/>
            </w:pPr>
            <w:r>
              <w:t>Name</w:t>
            </w:r>
          </w:p>
        </w:tc>
        <w:tc>
          <w:tcPr>
            <w:tcW w:w="2589" w:type="pct"/>
          </w:tcPr>
          <w:p w14:paraId="5ACE451D" w14:textId="77777777" w:rsidR="00C04B10" w:rsidRDefault="001148AB">
            <w:pPr>
              <w:pStyle w:val="DefaqtoTableBody2"/>
            </w:pPr>
            <w:r>
              <w:t>Provider</w:t>
            </w:r>
          </w:p>
        </w:tc>
      </w:tr>
      <w:tr w:rsidR="00C04B10" w14:paraId="5D62893B" w14:textId="77777777" w:rsidTr="00C04B10">
        <w:trPr>
          <w:cnfStyle w:val="000000100000" w:firstRow="0" w:lastRow="0" w:firstColumn="0" w:lastColumn="0" w:oddVBand="0" w:evenVBand="0" w:oddHBand="1" w:evenHBand="0" w:firstRowFirstColumn="0" w:firstRowLastColumn="0" w:lastRowFirstColumn="0" w:lastRowLastColumn="0"/>
        </w:trPr>
        <w:tc>
          <w:tcPr>
            <w:tcW w:w="2411" w:type="pct"/>
          </w:tcPr>
          <w:p w14:paraId="0D7D8D9F" w14:textId="77777777" w:rsidR="00C04B10" w:rsidRDefault="001148AB">
            <w:pPr>
              <w:pStyle w:val="DefaqtoTableBody2"/>
            </w:pPr>
            <w:r>
              <w:t>Aviva Platform</w:t>
            </w:r>
          </w:p>
        </w:tc>
        <w:tc>
          <w:tcPr>
            <w:tcW w:w="2589" w:type="pct"/>
          </w:tcPr>
          <w:p w14:paraId="24AEB500" w14:textId="77777777" w:rsidR="00C04B10" w:rsidRDefault="001148AB">
            <w:pPr>
              <w:pStyle w:val="DefaqtoTableBody2"/>
            </w:pPr>
            <w:r>
              <w:t>Aviva</w:t>
            </w:r>
          </w:p>
        </w:tc>
      </w:tr>
    </w:tbl>
    <w:p w14:paraId="28377A2C" w14:textId="77777777" w:rsidR="00C04B10" w:rsidRDefault="001148AB">
      <w:pPr>
        <w:rPr>
          <w:rFonts w:ascii="Arial" w:eastAsia="Arial" w:hAnsi="Arial" w:cs="Times New Roman"/>
          <w:b/>
          <w:bCs/>
          <w:color w:val="392388"/>
          <w:sz w:val="28"/>
          <w:szCs w:val="28"/>
          <w:lang w:eastAsia="en-US"/>
        </w:rPr>
      </w:pPr>
      <w:r>
        <w:rPr>
          <w:color w:val="392388"/>
        </w:rPr>
        <w:br w:type="page"/>
      </w:r>
    </w:p>
    <w:p w14:paraId="7356A660" w14:textId="77777777" w:rsidR="00C04B10" w:rsidRDefault="00C04B10">
      <w:pPr>
        <w:rPr>
          <w:color w:val="392388"/>
        </w:rPr>
        <w:sectPr w:rsidR="00C04B10">
          <w:headerReference w:type="default" r:id="rId18"/>
          <w:footerReference w:type="default" r:id="rId19"/>
          <w:pgSz w:w="11906" w:h="16838"/>
          <w:pgMar w:top="709" w:right="640" w:bottom="376" w:left="640" w:header="200" w:footer="200" w:gutter="0"/>
          <w:cols w:space="720"/>
          <w:docGrid w:linePitch="360"/>
        </w:sectPr>
      </w:pPr>
    </w:p>
    <w:p w14:paraId="5E399A26" w14:textId="77777777" w:rsidR="00C04B10" w:rsidRDefault="001148AB">
      <w:r>
        <w:rPr>
          <w:noProof/>
        </w:rPr>
        <w:lastRenderedPageBreak/>
        <w:drawing>
          <wp:inline distT="0" distB="0" distL="0" distR="0" wp14:anchorId="7F1EFCEC" wp14:editId="62D9E178">
            <wp:extent cx="1353426" cy="340290"/>
            <wp:effectExtent l="0" t="0" r="0" b="3175"/>
            <wp:docPr id="10" name="Picture 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cstate="print"/>
                    <a:stretch>
                      <a:fillRect/>
                    </a:stretch>
                  </pic:blipFill>
                  <pic:spPr>
                    <a:xfrm>
                      <a:off x="0" y="0"/>
                      <a:ext cx="1353426" cy="340290"/>
                    </a:xfrm>
                    <a:prstGeom prst="rect">
                      <a:avLst/>
                    </a:prstGeom>
                    <a:noFill/>
                    <a:ln>
                      <a:noFill/>
                    </a:ln>
                  </pic:spPr>
                </pic:pic>
              </a:graphicData>
            </a:graphic>
          </wp:inline>
        </w:drawing>
      </w:r>
    </w:p>
    <w:p w14:paraId="62DB8596" w14:textId="77777777" w:rsidR="00C04B10" w:rsidRDefault="00C04B10">
      <w:pPr>
        <w:pStyle w:val="DefaqtoCoverHeading-noTOC"/>
        <w:rPr>
          <w:rFonts w:cs="Poppins SemiBold"/>
          <w:b w:val="0"/>
          <w:bCs w:val="0"/>
          <w:sz w:val="62"/>
          <w:szCs w:val="62"/>
        </w:rPr>
      </w:pPr>
    </w:p>
    <w:p w14:paraId="1AA0A6E8" w14:textId="77777777" w:rsidR="00C04B10" w:rsidRDefault="00C04B10">
      <w:pPr>
        <w:pStyle w:val="DefaqtoCoverHeading-noTOC"/>
        <w:rPr>
          <w:rFonts w:cs="Poppins SemiBold"/>
          <w:b w:val="0"/>
          <w:bCs w:val="0"/>
          <w:sz w:val="62"/>
          <w:szCs w:val="62"/>
        </w:rPr>
      </w:pPr>
    </w:p>
    <w:p w14:paraId="202FDCD6" w14:textId="77777777" w:rsidR="00C04B10" w:rsidRDefault="001148AB">
      <w:pPr>
        <w:pStyle w:val="DefaqtoCoverHeading-noTOC"/>
        <w:spacing w:after="320"/>
        <w:rPr>
          <w:rFonts w:ascii="Poppins Light" w:hAnsi="Poppins Light" w:cs="Poppins Light"/>
          <w:b w:val="0"/>
          <w:bCs w:val="0"/>
          <w:color w:val="392388"/>
          <w:sz w:val="32"/>
          <w:szCs w:val="32"/>
        </w:rPr>
      </w:pPr>
      <w:r>
        <w:rPr>
          <w:rFonts w:cs="Poppins SemiBold"/>
          <w:b w:val="0"/>
          <w:bCs w:val="0"/>
        </w:rPr>
        <w:t xml:space="preserve">Research Report for </w:t>
      </w:r>
      <w:r>
        <w:rPr>
          <w:rFonts w:cs="Poppins SemiBold"/>
          <w:b w:val="0"/>
          <w:bCs w:val="0"/>
          <w:noProof/>
        </w:rPr>
        <w:t xml:space="preserve">Mr Anthony Barnes </w:t>
      </w:r>
    </w:p>
    <w:p w14:paraId="6737CD50" w14:textId="77777777" w:rsidR="00C04B10" w:rsidRDefault="001148AB">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Thomas Redmond</w:t>
      </w:r>
    </w:p>
    <w:p w14:paraId="62CC7284" w14:textId="77777777" w:rsidR="00C04B10" w:rsidRDefault="001148AB">
      <w:pPr>
        <w:pStyle w:val="DefaqtoCoverHeading-noTOC"/>
        <w:spacing w:after="160"/>
        <w:rPr>
          <w:rFonts w:ascii="Poppins Light" w:hAnsi="Poppins Light" w:cs="Poppins Light"/>
          <w:b w:val="0"/>
          <w:bCs w:val="0"/>
          <w:color w:val="392388"/>
          <w:sz w:val="32"/>
          <w:szCs w:val="32"/>
        </w:rPr>
      </w:pPr>
      <w:r>
        <w:rPr>
          <w:rFonts w:ascii="Poppins Light" w:hAnsi="Poppins Light" w:cs="Poppins Light"/>
          <w:b w:val="0"/>
          <w:bCs w:val="0"/>
          <w:noProof/>
          <w:color w:val="392388"/>
          <w:sz w:val="32"/>
          <w:szCs w:val="32"/>
        </w:rPr>
        <w:t>TFAS Wealth Ltd</w:t>
      </w:r>
    </w:p>
    <w:p w14:paraId="585226D7" w14:textId="77777777" w:rsidR="00C04B10" w:rsidRDefault="001148AB">
      <w:pPr>
        <w:ind w:left="23"/>
        <w:rPr>
          <w:rFonts w:ascii="Poppins" w:hAnsi="Poppins" w:cs="Poppins"/>
          <w:sz w:val="36"/>
          <w:szCs w:val="36"/>
        </w:rPr>
      </w:pPr>
      <w:r>
        <w:rPr>
          <w:rFonts w:ascii="Poppins Light" w:hAnsi="Poppins Light" w:cs="Poppins Light"/>
          <w:noProof/>
          <w:color w:val="392388"/>
          <w:sz w:val="32"/>
          <w:szCs w:val="32"/>
        </w:rPr>
        <w:t>03 December 2025</w:t>
      </w:r>
      <w:r>
        <w:rPr>
          <w:rFonts w:ascii="Poppins" w:hAnsi="Poppins" w:cs="Poppins"/>
          <w:sz w:val="36"/>
          <w:szCs w:val="36"/>
        </w:rPr>
        <w:tab/>
      </w:r>
    </w:p>
    <w:p w14:paraId="62A8EDBB" w14:textId="77777777" w:rsidR="00C04B10" w:rsidRDefault="001148AB">
      <w:pPr>
        <w:rPr>
          <w:rFonts w:ascii="Poppins" w:hAnsi="Poppins" w:cs="Poppins"/>
          <w:sz w:val="36"/>
          <w:szCs w:val="36"/>
        </w:rPr>
        <w:sectPr w:rsidR="00C04B10">
          <w:headerReference w:type="default" r:id="rId20"/>
          <w:footerReference w:type="default" r:id="rId21"/>
          <w:headerReference w:type="first" r:id="rId22"/>
          <w:footerReference w:type="first" r:id="rId23"/>
          <w:pgSz w:w="11906" w:h="16838"/>
          <w:pgMar w:top="709" w:right="640" w:bottom="376" w:left="640" w:header="200" w:footer="200" w:gutter="0"/>
          <w:pgNumType w:start="1"/>
          <w:cols w:space="720"/>
          <w:titlePg/>
          <w:docGrid w:linePitch="360"/>
        </w:sectPr>
      </w:pPr>
      <w:r>
        <w:rPr>
          <w:rFonts w:ascii="Poppins" w:hAnsi="Poppins" w:cs="Poppins"/>
          <w:noProof/>
          <w:color w:val="4A4948"/>
          <w:sz w:val="36"/>
          <w:szCs w:val="36"/>
        </w:rPr>
        <mc:AlternateContent>
          <mc:Choice Requires="wps">
            <w:drawing>
              <wp:anchor distT="0" distB="0" distL="114300" distR="114300" simplePos="0" relativeHeight="251658240" behindDoc="0" locked="0" layoutInCell="1" allowOverlap="1" wp14:anchorId="5BAB9C9F" wp14:editId="61A46C68">
                <wp:simplePos x="0" y="0"/>
                <wp:positionH relativeFrom="margin">
                  <wp:posOffset>10973</wp:posOffset>
                </wp:positionH>
                <wp:positionV relativeFrom="topMargin">
                  <wp:posOffset>6488582</wp:posOffset>
                </wp:positionV>
                <wp:extent cx="6851460" cy="3096083"/>
                <wp:effectExtent l="0" t="0" r="6985" b="9525"/>
                <wp:wrapNone/>
                <wp:docPr id="12" name="Text Box 2"/>
                <wp:cNvGraphicFramePr/>
                <a:graphic xmlns:a="http://schemas.openxmlformats.org/drawingml/2006/main">
                  <a:graphicData uri="http://schemas.microsoft.com/office/word/2010/wordprocessingShape">
                    <wps:wsp>
                      <wps:cNvSpPr txBox="1"/>
                      <wps:spPr>
                        <a:xfrm>
                          <a:off x="0" y="0"/>
                          <a:ext cx="6851460" cy="3096083"/>
                        </a:xfrm>
                        <a:prstGeom prst="rect">
                          <a:avLst/>
                        </a:prstGeom>
                        <a:solidFill>
                          <a:srgbClr val="FFFFFF"/>
                        </a:solidFill>
                        <a:ln w="9525">
                          <a:noFill/>
                          <a:miter lim="800000"/>
                        </a:ln>
                      </wps:spPr>
                      <wps:style>
                        <a:lnRef idx="0">
                          <a:schemeClr val="accent1"/>
                        </a:lnRef>
                        <a:fillRef idx="0">
                          <a:schemeClr val="accent1"/>
                        </a:fillRef>
                        <a:effectRef idx="0">
                          <a:schemeClr val="accent1"/>
                        </a:effectRef>
                        <a:fontRef idx="minor">
                          <a:schemeClr val="dk1"/>
                        </a:fontRef>
                      </wps:style>
                      <wps:txbx>
                        <w:txbxContent>
                          <w:p w14:paraId="2975096F" w14:textId="77777777" w:rsidR="00C04B10" w:rsidRDefault="001148AB">
                            <w:pPr>
                              <w:jc w:val="right"/>
                              <w:rPr>
                                <w:color w:val="392388"/>
                              </w:rPr>
                            </w:pPr>
                            <w:r>
                              <w:rPr>
                                <w:noProof/>
                              </w:rPr>
                              <w:drawing>
                                <wp:inline distT="0" distB="0" distL="0" distR="0" wp14:anchorId="4EA60825" wp14:editId="52935E37">
                                  <wp:extent cx="2667000" cy="118110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cstate="print"/>
                                          <a:stretch>
                                            <a:fillRect/>
                                          </a:stretch>
                                        </pic:blipFill>
                                        <pic:spPr>
                                          <a:xfrm>
                                            <a:off x="0" y="0"/>
                                            <a:ext cx="2667000" cy="1181100"/>
                                          </a:xfrm>
                                          <a:prstGeom prst="rect">
                                            <a:avLst/>
                                          </a:prstGeom>
                                        </pic:spPr>
                                      </pic:pic>
                                    </a:graphicData>
                                  </a:graphic>
                                </wp:inline>
                              </w:drawing>
                            </w:r>
                          </w:p>
                        </w:txbxContent>
                      </wps:txbx>
                      <wps:bodyPr rot="0" vert="horz" wrap="square" lIns="0" tIns="0" rIns="0" bIns="0" anchor="b" anchorCtr="0"/>
                    </wps:wsp>
                  </a:graphicData>
                </a:graphic>
                <wp14:sizeRelH relativeFrom="margin">
                  <wp14:pctWidth>0</wp14:pctWidth>
                </wp14:sizeRelH>
                <wp14:sizeRelV relativeFrom="margin">
                  <wp14:pctHeight>0</wp14:pctHeight>
                </wp14:sizeRelV>
              </wp:anchor>
            </w:drawing>
          </mc:Choice>
          <mc:Fallback xmlns:pic="http://schemas.openxmlformats.org/drawingml/2006/picture" xmlns:a="http://schemas.openxmlformats.org/drawingml/2006/main">
            <w:pict>
              <v:rect style="width:539.49pt;height:243.79pt;position:absolute;mso-position-horizontal-relative:margin;margin-left:0.86pt;mso-position-vertical-relative:top-margin-area;margin-top:510.91pt;mso-wrap-style:square;mso-wrap-distance-left:9pt;mso-wrap-distance-top:0pt;mso-wrap-distance-right:9pt;mso-wrap-distance-bottom:0pt;z-index:251676672;mso-wrap-style:square;v-text-anchor:bottom;visibility:visible" fillcolor="#FFFFFF" stroked="false" strokeweight="0.75pt">
                <v:textbox inset="0pt,0pt,0pt,0pt">
                  <w:txbxContent>
                    <w:p>
                      <w:pPr>
                        <w:jc w:val="right"/>
                        <w:rPr>
                          <w:color w:val="392388"/>
                        </w:rPr>
                      </w:pPr>
                      <w:r>
                        <w:drawing>
                          <wp:inline>
                            <wp:extent cx="2667000" cy="1181100"/>
                            <wp:docPr id="15" name="Picture 15"/>
                            <a:graphic xmlns:a="http://schemas.openxmlformats.org/drawingml/2006/main">
                              <a:graphicData uri="http://schemas.openxmlformats.org/drawingml/2006/picture">
                                <pic:pic xmlns:pic="http://schemas.openxmlformats.org/drawingml/2006/picture">
                                  <pic:nvPicPr>
                                    <pic:cNvPr id="16" name="Picture 16"/>
                                    <pic:cNvPicPr/>
                                  </pic:nvPicPr>
                                  <pic:blipFill>
                                    <a:blip cstate="print" r:embed="PictureId6"/>
                                    <a:stretch>
                                      <a:fillRect/>
                                    </a:stretch>
                                  </pic:blipFill>
                                  <pic:spPr>
                                    <a:xfrm>
                                      <a:off x="0" y="0"/>
                                      <a:ext cx="2667000" cy="1181100"/>
                                    </a:xfrm>
                                    <a:prstGeom prst="rect">
                                      <a:avLst/>
                                    </a:prstGeom>
                                  </pic:spPr>
                                </pic:pic>
                              </a:graphicData>
                            </a:graphic>
                          </wp:inline>
                        </w:drawing>
                      </w:r>
                    </w:p>
                  </w:txbxContent>
                </v:textbox>
                <w10:wrap type="none" side="both"/>
              </v:rect>
            </w:pict>
          </mc:Fallback>
        </mc:AlternateContent>
      </w:r>
    </w:p>
    <w:p w14:paraId="05B500CB" w14:textId="77777777" w:rsidR="00C04B10" w:rsidRDefault="001148AB">
      <w:pPr>
        <w:pStyle w:val="DefaqtoHeading1"/>
      </w:pPr>
      <w:bookmarkStart w:id="4" w:name="_Toc1"/>
      <w:r>
        <w:lastRenderedPageBreak/>
        <w:t>Contents</w:t>
      </w:r>
      <w:bookmarkEnd w:id="4"/>
    </w:p>
    <w:p w14:paraId="0BEC27C4" w14:textId="77777777" w:rsidR="00C04B10" w:rsidRDefault="001148AB">
      <w:r>
        <w:t xml:space="preserve"> </w:t>
      </w:r>
    </w:p>
    <w:p w14:paraId="7DBE50A2" w14:textId="77777777" w:rsidR="00C04B10" w:rsidRDefault="001148AB">
      <w:pPr>
        <w:pStyle w:val="TOC1"/>
      </w:pPr>
      <w:r>
        <w:fldChar w:fldCharType="begin"/>
      </w:r>
      <w:r>
        <w:instrText>TOC \o "1-3" \h \u \z</w:instrText>
      </w:r>
      <w:r>
        <w:fldChar w:fldCharType="separate"/>
      </w:r>
      <w:hyperlink w:anchor="_Toc1">
        <w:r>
          <w:t>Contents</w:t>
        </w:r>
        <w:r>
          <w:tab/>
        </w:r>
        <w:r>
          <w:fldChar w:fldCharType="begin"/>
        </w:r>
        <w:r>
          <w:instrText>PAGEREF _Toc1 \h</w:instrText>
        </w:r>
        <w:r>
          <w:fldChar w:fldCharType="separate"/>
        </w:r>
        <w:r>
          <w:t>2</w:t>
        </w:r>
        <w:r>
          <w:fldChar w:fldCharType="end"/>
        </w:r>
      </w:hyperlink>
    </w:p>
    <w:p w14:paraId="09284D2B" w14:textId="77777777" w:rsidR="00C04B10" w:rsidRDefault="001148AB">
      <w:pPr>
        <w:pStyle w:val="TOC1"/>
      </w:pPr>
      <w:hyperlink w:anchor="_Toc2">
        <w:r>
          <w:t>Risk profile</w:t>
        </w:r>
        <w:r>
          <w:tab/>
        </w:r>
        <w:r>
          <w:fldChar w:fldCharType="begin"/>
        </w:r>
        <w:r>
          <w:instrText>PAGEREF _Toc2 \h</w:instrText>
        </w:r>
        <w:r>
          <w:fldChar w:fldCharType="separate"/>
        </w:r>
        <w:r>
          <w:t>4</w:t>
        </w:r>
        <w:r>
          <w:fldChar w:fldCharType="end"/>
        </w:r>
      </w:hyperlink>
    </w:p>
    <w:p w14:paraId="6A2516E7" w14:textId="77777777" w:rsidR="00C04B10" w:rsidRDefault="001148AB">
      <w:pPr>
        <w:pStyle w:val="TOC2"/>
        <w:tabs>
          <w:tab w:val="right" w:leader="dot" w:pos="10627"/>
        </w:tabs>
      </w:pPr>
      <w:hyperlink w:anchor="_Toc3">
        <w:r>
          <w:rPr>
            <w:b/>
            <w:bCs/>
          </w:rPr>
          <w:t>How are risk levels used to create suitable investment portfolios?</w:t>
        </w:r>
        <w:r>
          <w:tab/>
        </w:r>
        <w:r>
          <w:fldChar w:fldCharType="begin"/>
        </w:r>
        <w:r>
          <w:instrText>PAGEREF _Toc3 \h</w:instrText>
        </w:r>
        <w:r>
          <w:fldChar w:fldCharType="separate"/>
        </w:r>
        <w:r>
          <w:t>4</w:t>
        </w:r>
        <w:r>
          <w:fldChar w:fldCharType="end"/>
        </w:r>
      </w:hyperlink>
    </w:p>
    <w:p w14:paraId="2BEC832C" w14:textId="77777777" w:rsidR="00C04B10" w:rsidRDefault="001148AB">
      <w:pPr>
        <w:pStyle w:val="TOC2"/>
        <w:tabs>
          <w:tab w:val="right" w:leader="dot" w:pos="10627"/>
        </w:tabs>
      </w:pPr>
      <w:hyperlink w:anchor="_Toc4">
        <w:r>
          <w:t>Agreed risk level</w:t>
        </w:r>
        <w:r>
          <w:tab/>
        </w:r>
        <w:r>
          <w:fldChar w:fldCharType="begin"/>
        </w:r>
        <w:r>
          <w:instrText>PAGEREF _Toc4 \h</w:instrText>
        </w:r>
        <w:r>
          <w:fldChar w:fldCharType="separate"/>
        </w:r>
        <w:r>
          <w:t>5</w:t>
        </w:r>
        <w:r>
          <w:fldChar w:fldCharType="end"/>
        </w:r>
      </w:hyperlink>
    </w:p>
    <w:p w14:paraId="2B70EE00" w14:textId="77777777" w:rsidR="00C04B10" w:rsidRDefault="001148AB">
      <w:pPr>
        <w:pStyle w:val="TOC1"/>
      </w:pPr>
      <w:hyperlink w:anchor="_Toc5">
        <w:r>
          <w:rPr>
            <w:lang w:val="en-NZ"/>
          </w:rPr>
          <w:t>Investments</w:t>
        </w:r>
        <w:r>
          <w:rPr>
            <w:lang w:val="en-NZ"/>
          </w:rPr>
          <w:t xml:space="preserve"> </w:t>
        </w:r>
        <w:r>
          <w:t>selection</w:t>
        </w:r>
        <w:r>
          <w:tab/>
        </w:r>
        <w:r>
          <w:fldChar w:fldCharType="begin"/>
        </w:r>
        <w:r>
          <w:instrText>PAGEREF _Toc5 \h</w:instrText>
        </w:r>
        <w:r>
          <w:fldChar w:fldCharType="separate"/>
        </w:r>
        <w:r>
          <w:t>6</w:t>
        </w:r>
        <w:r>
          <w:fldChar w:fldCharType="end"/>
        </w:r>
      </w:hyperlink>
    </w:p>
    <w:p w14:paraId="266746A0" w14:textId="77777777" w:rsidR="00C04B10" w:rsidRDefault="001148AB">
      <w:pPr>
        <w:pStyle w:val="TOC2"/>
        <w:tabs>
          <w:tab w:val="right" w:leader="dot" w:pos="10627"/>
        </w:tabs>
      </w:pPr>
      <w:hyperlink w:anchor="_Toc6">
        <w:r>
          <w:t xml:space="preserve">Risk </w:t>
        </w:r>
        <w:r>
          <w:rPr>
            <w:lang w:val="en-NZ"/>
          </w:rPr>
          <w:t>Rated investments</w:t>
        </w:r>
        <w:r>
          <w:tab/>
        </w:r>
        <w:r>
          <w:fldChar w:fldCharType="begin"/>
        </w:r>
        <w:r>
          <w:instrText>PAGEREF _Toc6 \h</w:instrText>
        </w:r>
        <w:r>
          <w:fldChar w:fldCharType="separate"/>
        </w:r>
        <w:r>
          <w:t>6</w:t>
        </w:r>
        <w:r>
          <w:fldChar w:fldCharType="end"/>
        </w:r>
      </w:hyperlink>
    </w:p>
    <w:p w14:paraId="630D2CAF" w14:textId="77777777" w:rsidR="00C04B10" w:rsidRDefault="001148AB">
      <w:pPr>
        <w:pStyle w:val="TOC2"/>
        <w:tabs>
          <w:tab w:val="right" w:leader="dot" w:pos="10627"/>
        </w:tabs>
      </w:pPr>
      <w:hyperlink w:anchor="_Toc7">
        <w:r>
          <w:t>Portfolio details</w:t>
        </w:r>
        <w:r>
          <w:tab/>
        </w:r>
        <w:r>
          <w:fldChar w:fldCharType="begin"/>
        </w:r>
        <w:r>
          <w:instrText>PAGEREF _Toc7 \h</w:instrText>
        </w:r>
        <w:r>
          <w:fldChar w:fldCharType="separate"/>
        </w:r>
        <w:r>
          <w:t>6</w:t>
        </w:r>
        <w:r>
          <w:fldChar w:fldCharType="end"/>
        </w:r>
      </w:hyperlink>
    </w:p>
    <w:p w14:paraId="0B781722" w14:textId="77777777" w:rsidR="00C04B10" w:rsidRDefault="001148AB">
      <w:pPr>
        <w:pStyle w:val="TOC3"/>
        <w:tabs>
          <w:tab w:val="right" w:leader="dot" w:pos="10627"/>
        </w:tabs>
      </w:pPr>
      <w:hyperlink w:anchor="_Toc3558327">
        <w:r>
          <w:t>Statistics</w:t>
        </w:r>
        <w:r>
          <w:tab/>
        </w:r>
        <w:r>
          <w:fldChar w:fldCharType="begin"/>
        </w:r>
        <w:r>
          <w:instrText>PAGEREF _Toc3558327 \h</w:instrText>
        </w:r>
        <w:r>
          <w:fldChar w:fldCharType="separate"/>
        </w:r>
        <w:r>
          <w:t>6</w:t>
        </w:r>
        <w:r>
          <w:fldChar w:fldCharType="end"/>
        </w:r>
      </w:hyperlink>
    </w:p>
    <w:p w14:paraId="191C39DD" w14:textId="77777777" w:rsidR="00C04B10" w:rsidRDefault="001148AB">
      <w:pPr>
        <w:pStyle w:val="TOC3"/>
        <w:tabs>
          <w:tab w:val="right" w:leader="dot" w:pos="10627"/>
        </w:tabs>
      </w:pPr>
      <w:hyperlink w:anchor="_Toc8">
        <w:r>
          <w:t>Investments</w:t>
        </w:r>
        <w:r>
          <w:tab/>
        </w:r>
        <w:r>
          <w:fldChar w:fldCharType="begin"/>
        </w:r>
        <w:r>
          <w:instrText>PAGEREF _Toc8 \h</w:instrText>
        </w:r>
        <w:r>
          <w:fldChar w:fldCharType="separate"/>
        </w:r>
        <w:r>
          <w:t>6</w:t>
        </w:r>
        <w:r>
          <w:fldChar w:fldCharType="end"/>
        </w:r>
      </w:hyperlink>
    </w:p>
    <w:p w14:paraId="6AE483D6" w14:textId="77777777" w:rsidR="00C04B10" w:rsidRDefault="001148AB">
      <w:pPr>
        <w:pStyle w:val="TOC3"/>
        <w:tabs>
          <w:tab w:val="right" w:leader="dot" w:pos="10627"/>
        </w:tabs>
      </w:pPr>
      <w:hyperlink w:anchor="_Toc9">
        <w:r>
          <w:t>Risk level</w:t>
        </w:r>
        <w:r>
          <w:tab/>
        </w:r>
        <w:r>
          <w:fldChar w:fldCharType="begin"/>
        </w:r>
        <w:r>
          <w:instrText>PAGEREF _Toc9 \h</w:instrText>
        </w:r>
        <w:r>
          <w:fldChar w:fldCharType="separate"/>
        </w:r>
        <w:r>
          <w:t>7</w:t>
        </w:r>
        <w:r>
          <w:fldChar w:fldCharType="end"/>
        </w:r>
      </w:hyperlink>
    </w:p>
    <w:p w14:paraId="5BA29D8E" w14:textId="77777777" w:rsidR="00C04B10" w:rsidRDefault="001148AB">
      <w:pPr>
        <w:pStyle w:val="TOC3"/>
        <w:tabs>
          <w:tab w:val="right" w:leader="dot" w:pos="10627"/>
        </w:tabs>
      </w:pPr>
      <w:hyperlink w:anchor="_Toc10">
        <w:r>
          <w:t>Combined cumulative investment performance graph</w:t>
        </w:r>
        <w:r>
          <w:tab/>
        </w:r>
        <w:r>
          <w:fldChar w:fldCharType="begin"/>
        </w:r>
        <w:r>
          <w:instrText>PAGEREF _Toc10 \h</w:instrText>
        </w:r>
        <w:r>
          <w:fldChar w:fldCharType="separate"/>
        </w:r>
        <w:r>
          <w:t>8</w:t>
        </w:r>
        <w:r>
          <w:fldChar w:fldCharType="end"/>
        </w:r>
      </w:hyperlink>
    </w:p>
    <w:p w14:paraId="08833152" w14:textId="77777777" w:rsidR="00C04B10" w:rsidRDefault="001148AB">
      <w:pPr>
        <w:pStyle w:val="TOC3"/>
        <w:tabs>
          <w:tab w:val="right" w:leader="dot" w:pos="10627"/>
        </w:tabs>
      </w:pPr>
      <w:hyperlink w:anchor="_Toc11">
        <w:r>
          <w:t>Combined cumulative investment performance table</w:t>
        </w:r>
        <w:r>
          <w:tab/>
        </w:r>
        <w:r>
          <w:fldChar w:fldCharType="begin"/>
        </w:r>
        <w:r>
          <w:instrText>PAGEREF _Toc11 \h</w:instrText>
        </w:r>
        <w:r>
          <w:fldChar w:fldCharType="separate"/>
        </w:r>
        <w:r>
          <w:t>8</w:t>
        </w:r>
        <w:r>
          <w:fldChar w:fldCharType="end"/>
        </w:r>
      </w:hyperlink>
    </w:p>
    <w:p w14:paraId="2C07DD60" w14:textId="77777777" w:rsidR="00C04B10" w:rsidRDefault="001148AB">
      <w:pPr>
        <w:pStyle w:val="TOC3"/>
        <w:tabs>
          <w:tab w:val="right" w:leader="dot" w:pos="10627"/>
        </w:tabs>
      </w:pPr>
      <w:hyperlink w:anchor="_Toc12">
        <w:r>
          <w:t>Individual cumulative investment performance graph</w:t>
        </w:r>
        <w:r>
          <w:tab/>
        </w:r>
        <w:r>
          <w:fldChar w:fldCharType="begin"/>
        </w:r>
        <w:r>
          <w:instrText>PAGEREF _Toc12 \h</w:instrText>
        </w:r>
        <w:r>
          <w:fldChar w:fldCharType="separate"/>
        </w:r>
        <w:r>
          <w:t>9</w:t>
        </w:r>
        <w:r>
          <w:fldChar w:fldCharType="end"/>
        </w:r>
      </w:hyperlink>
    </w:p>
    <w:p w14:paraId="44C46366" w14:textId="77777777" w:rsidR="00C04B10" w:rsidRDefault="001148AB">
      <w:pPr>
        <w:pStyle w:val="TOC3"/>
        <w:tabs>
          <w:tab w:val="right" w:leader="dot" w:pos="10627"/>
        </w:tabs>
      </w:pPr>
      <w:hyperlink w:anchor="_Toc13">
        <w:r>
          <w:t>Individual cumulative investment performance table</w:t>
        </w:r>
        <w:r>
          <w:tab/>
        </w:r>
        <w:r>
          <w:fldChar w:fldCharType="begin"/>
        </w:r>
        <w:r>
          <w:instrText>PAGEREF _Toc13 \h</w:instrText>
        </w:r>
        <w:r>
          <w:fldChar w:fldCharType="separate"/>
        </w:r>
        <w:r>
          <w:t>9</w:t>
        </w:r>
        <w:r>
          <w:fldChar w:fldCharType="end"/>
        </w:r>
      </w:hyperlink>
    </w:p>
    <w:p w14:paraId="3D260A62" w14:textId="77777777" w:rsidR="00C04B10" w:rsidRDefault="001148AB">
      <w:pPr>
        <w:pStyle w:val="TOC3"/>
        <w:tabs>
          <w:tab w:val="right" w:leader="dot" w:pos="10627"/>
        </w:tabs>
      </w:pPr>
      <w:hyperlink w:anchor="_Toc14">
        <w:r>
          <w:t>Combined discrete investment performance graph</w:t>
        </w:r>
        <w:r>
          <w:tab/>
        </w:r>
        <w:r>
          <w:fldChar w:fldCharType="begin"/>
        </w:r>
        <w:r>
          <w:instrText>PAGEREF _Toc14 \h</w:instrText>
        </w:r>
        <w:r>
          <w:fldChar w:fldCharType="separate"/>
        </w:r>
        <w:r>
          <w:t>10</w:t>
        </w:r>
        <w:r>
          <w:fldChar w:fldCharType="end"/>
        </w:r>
      </w:hyperlink>
    </w:p>
    <w:p w14:paraId="776932A1" w14:textId="77777777" w:rsidR="00C04B10" w:rsidRDefault="001148AB">
      <w:pPr>
        <w:pStyle w:val="TOC3"/>
        <w:tabs>
          <w:tab w:val="right" w:leader="dot" w:pos="10627"/>
        </w:tabs>
      </w:pPr>
      <w:hyperlink w:anchor="_Toc15">
        <w:r>
          <w:t>Combined discrete investment performance table</w:t>
        </w:r>
        <w:r>
          <w:tab/>
        </w:r>
        <w:r>
          <w:fldChar w:fldCharType="begin"/>
        </w:r>
        <w:r>
          <w:instrText>PAGEREF _Toc15 \h</w:instrText>
        </w:r>
        <w:r>
          <w:fldChar w:fldCharType="separate"/>
        </w:r>
        <w:r>
          <w:t>10</w:t>
        </w:r>
        <w:r>
          <w:fldChar w:fldCharType="end"/>
        </w:r>
      </w:hyperlink>
    </w:p>
    <w:p w14:paraId="19C8534F" w14:textId="77777777" w:rsidR="00C04B10" w:rsidRDefault="001148AB">
      <w:pPr>
        <w:pStyle w:val="TOC3"/>
        <w:tabs>
          <w:tab w:val="right" w:leader="dot" w:pos="10627"/>
        </w:tabs>
      </w:pPr>
      <w:hyperlink w:anchor="_Toc16">
        <w:r>
          <w:t>Individual discrete investment performance table</w:t>
        </w:r>
        <w:r>
          <w:tab/>
        </w:r>
        <w:r>
          <w:fldChar w:fldCharType="begin"/>
        </w:r>
        <w:r>
          <w:instrText>PAGEREF _Toc16 \h</w:instrText>
        </w:r>
        <w:r>
          <w:fldChar w:fldCharType="separate"/>
        </w:r>
        <w:r>
          <w:t>10</w:t>
        </w:r>
        <w:r>
          <w:fldChar w:fldCharType="end"/>
        </w:r>
      </w:hyperlink>
    </w:p>
    <w:p w14:paraId="3530CB40" w14:textId="77777777" w:rsidR="00C04B10" w:rsidRDefault="001148AB">
      <w:pPr>
        <w:pStyle w:val="TOC3"/>
        <w:tabs>
          <w:tab w:val="right" w:leader="dot" w:pos="10627"/>
        </w:tabs>
      </w:pPr>
      <w:hyperlink w:anchor="_Toc17">
        <w:r>
          <w:t>Combined top ten holdings</w:t>
        </w:r>
        <w:r>
          <w:tab/>
        </w:r>
        <w:r>
          <w:fldChar w:fldCharType="begin"/>
        </w:r>
        <w:r>
          <w:instrText>PAGEREF _Toc17 \h</w:instrText>
        </w:r>
        <w:r>
          <w:fldChar w:fldCharType="separate"/>
        </w:r>
        <w:r>
          <w:t>12</w:t>
        </w:r>
        <w:r>
          <w:fldChar w:fldCharType="end"/>
        </w:r>
      </w:hyperlink>
    </w:p>
    <w:p w14:paraId="2BF23004" w14:textId="77777777" w:rsidR="00C04B10" w:rsidRDefault="001148AB">
      <w:pPr>
        <w:pStyle w:val="TOC3"/>
        <w:tabs>
          <w:tab w:val="right" w:leader="dot" w:pos="10627"/>
        </w:tabs>
      </w:pPr>
      <w:hyperlink w:anchor="_Toc18">
        <w:r>
          <w:t>Asset allocation</w:t>
        </w:r>
        <w:r>
          <w:tab/>
        </w:r>
        <w:r>
          <w:fldChar w:fldCharType="begin"/>
        </w:r>
        <w:r>
          <w:instrText>PAGEREF _Toc18 \h</w:instrText>
        </w:r>
        <w:r>
          <w:fldChar w:fldCharType="separate"/>
        </w:r>
        <w:r>
          <w:t>13</w:t>
        </w:r>
        <w:r>
          <w:fldChar w:fldCharType="end"/>
        </w:r>
      </w:hyperlink>
    </w:p>
    <w:p w14:paraId="0528D429" w14:textId="77777777" w:rsidR="00C04B10" w:rsidRDefault="001148AB">
      <w:pPr>
        <w:pStyle w:val="TOC2"/>
        <w:tabs>
          <w:tab w:val="right" w:leader="dot" w:pos="10627"/>
        </w:tabs>
      </w:pPr>
      <w:hyperlink w:anchor="_Toc3558338">
        <w:r>
          <w:t>Filters</w:t>
        </w:r>
        <w:r>
          <w:tab/>
        </w:r>
        <w:r>
          <w:fldChar w:fldCharType="begin"/>
        </w:r>
        <w:r>
          <w:instrText>PAGEREF _Toc3558338 \h</w:instrText>
        </w:r>
        <w:r>
          <w:fldChar w:fldCharType="separate"/>
        </w:r>
        <w:r>
          <w:t>14</w:t>
        </w:r>
        <w:r>
          <w:fldChar w:fldCharType="end"/>
        </w:r>
      </w:hyperlink>
    </w:p>
    <w:p w14:paraId="0A5FE00C" w14:textId="77777777" w:rsidR="00C04B10" w:rsidRDefault="001148AB">
      <w:pPr>
        <w:pStyle w:val="TOC2"/>
        <w:tabs>
          <w:tab w:val="right" w:leader="dot" w:pos="10627"/>
        </w:tabs>
      </w:pPr>
      <w:hyperlink w:anchor="_Toc3558339">
        <w:r>
          <w:t>Shortlist</w:t>
        </w:r>
        <w:r>
          <w:tab/>
        </w:r>
        <w:r>
          <w:fldChar w:fldCharType="begin"/>
        </w:r>
        <w:r>
          <w:instrText>PAGEREF _Toc3558339 \h</w:instrText>
        </w:r>
        <w:r>
          <w:fldChar w:fldCharType="separate"/>
        </w:r>
        <w:r>
          <w:t>14</w:t>
        </w:r>
        <w:r>
          <w:fldChar w:fldCharType="end"/>
        </w:r>
      </w:hyperlink>
    </w:p>
    <w:p w14:paraId="1B22D3D9" w14:textId="77777777" w:rsidR="00C04B10" w:rsidRDefault="001148AB">
      <w:pPr>
        <w:pStyle w:val="TOC2"/>
        <w:tabs>
          <w:tab w:val="right" w:leader="dot" w:pos="10627"/>
        </w:tabs>
      </w:pPr>
      <w:hyperlink w:anchor="_Toc3558340">
        <w:r>
          <w:t>Supplementary research</w:t>
        </w:r>
        <w:r>
          <w:tab/>
        </w:r>
        <w:r>
          <w:fldChar w:fldCharType="begin"/>
        </w:r>
        <w:r>
          <w:instrText>PAGEREF _Toc3558340 \h</w:instrText>
        </w:r>
        <w:r>
          <w:fldChar w:fldCharType="separate"/>
        </w:r>
        <w:r>
          <w:t>15</w:t>
        </w:r>
        <w:r>
          <w:fldChar w:fldCharType="end"/>
        </w:r>
      </w:hyperlink>
    </w:p>
    <w:p w14:paraId="2225FB1C" w14:textId="77777777" w:rsidR="00C04B10" w:rsidRDefault="001148AB">
      <w:pPr>
        <w:pStyle w:val="TOC3"/>
        <w:tabs>
          <w:tab w:val="right" w:leader="dot" w:pos="10627"/>
        </w:tabs>
      </w:pPr>
      <w:hyperlink w:anchor="_Toc3558344">
        <w:r>
          <w:t>Data comparisons</w:t>
        </w:r>
        <w:r>
          <w:tab/>
        </w:r>
        <w:r>
          <w:fldChar w:fldCharType="begin"/>
        </w:r>
        <w:r>
          <w:instrText>PAGEREF _Toc3558344 \h</w:instrText>
        </w:r>
        <w:r>
          <w:fldChar w:fldCharType="separate"/>
        </w:r>
        <w:r>
          <w:t>16</w:t>
        </w:r>
        <w:r>
          <w:fldChar w:fldCharType="end"/>
        </w:r>
      </w:hyperlink>
    </w:p>
    <w:p w14:paraId="261F1B65" w14:textId="77777777" w:rsidR="00C04B10" w:rsidRDefault="001148AB">
      <w:pPr>
        <w:pStyle w:val="TOC1"/>
      </w:pPr>
      <w:hyperlink w:anchor="_Toc19">
        <w:r>
          <w:t>Product selection</w:t>
        </w:r>
        <w:r>
          <w:tab/>
        </w:r>
        <w:r>
          <w:fldChar w:fldCharType="begin"/>
        </w:r>
        <w:r>
          <w:instrText>PAGEREF _Toc19 \h</w:instrText>
        </w:r>
        <w:r>
          <w:fldChar w:fldCharType="separate"/>
        </w:r>
        <w:r>
          <w:t>19</w:t>
        </w:r>
        <w:r>
          <w:fldChar w:fldCharType="end"/>
        </w:r>
      </w:hyperlink>
    </w:p>
    <w:p w14:paraId="126AAA57" w14:textId="77777777" w:rsidR="00C04B10" w:rsidRDefault="001148AB">
      <w:pPr>
        <w:pStyle w:val="TOC2"/>
        <w:tabs>
          <w:tab w:val="right" w:leader="dot" w:pos="10627"/>
        </w:tabs>
      </w:pPr>
      <w:hyperlink w:anchor="_Toc20">
        <w:r>
          <w:t>Selected Research Area</w:t>
        </w:r>
        <w:r>
          <w:tab/>
        </w:r>
        <w:r>
          <w:fldChar w:fldCharType="begin"/>
        </w:r>
        <w:r>
          <w:instrText>PAGEREF _Toc20 \h</w:instrText>
        </w:r>
        <w:r>
          <w:fldChar w:fldCharType="separate"/>
        </w:r>
        <w:r>
          <w:t>19</w:t>
        </w:r>
        <w:r>
          <w:fldChar w:fldCharType="end"/>
        </w:r>
      </w:hyperlink>
    </w:p>
    <w:p w14:paraId="21158B5F" w14:textId="77777777" w:rsidR="00C04B10" w:rsidRDefault="001148AB">
      <w:pPr>
        <w:pStyle w:val="TOC2"/>
        <w:tabs>
          <w:tab w:val="right" w:leader="dot" w:pos="10627"/>
        </w:tabs>
      </w:pPr>
      <w:hyperlink w:anchor="_Toc21">
        <w:r>
          <w:t>Recommended Product</w:t>
        </w:r>
        <w:r>
          <w:tab/>
        </w:r>
        <w:r>
          <w:fldChar w:fldCharType="begin"/>
        </w:r>
        <w:r>
          <w:instrText>PAGEREF _Toc21 \h</w:instrText>
        </w:r>
        <w:r>
          <w:fldChar w:fldCharType="separate"/>
        </w:r>
        <w:r>
          <w:t>19</w:t>
        </w:r>
        <w:r>
          <w:fldChar w:fldCharType="end"/>
        </w:r>
      </w:hyperlink>
    </w:p>
    <w:p w14:paraId="52908517" w14:textId="77777777" w:rsidR="00C04B10" w:rsidRDefault="001148AB">
      <w:pPr>
        <w:pStyle w:val="TOC2"/>
        <w:tabs>
          <w:tab w:val="right" w:leader="dot" w:pos="10627"/>
        </w:tabs>
      </w:pPr>
      <w:hyperlink w:anchor="_Toc22">
        <w:r>
          <w:t>Panel</w:t>
        </w:r>
        <w:r>
          <w:tab/>
        </w:r>
        <w:r>
          <w:fldChar w:fldCharType="begin"/>
        </w:r>
        <w:r>
          <w:instrText>PAGEREF _Toc22 \h</w:instrText>
        </w:r>
        <w:r>
          <w:fldChar w:fldCharType="separate"/>
        </w:r>
        <w:r>
          <w:t>20</w:t>
        </w:r>
        <w:r>
          <w:fldChar w:fldCharType="end"/>
        </w:r>
      </w:hyperlink>
    </w:p>
    <w:p w14:paraId="0D4EAB6F" w14:textId="77777777" w:rsidR="00C04B10" w:rsidRDefault="001148AB">
      <w:pPr>
        <w:pStyle w:val="TOC2"/>
        <w:tabs>
          <w:tab w:val="right" w:leader="dot" w:pos="10627"/>
        </w:tabs>
      </w:pPr>
      <w:hyperlink w:anchor="_Toc23">
        <w:r>
          <w:t>Template</w:t>
        </w:r>
        <w:r>
          <w:tab/>
        </w:r>
        <w:r>
          <w:fldChar w:fldCharType="begin"/>
        </w:r>
        <w:r>
          <w:instrText>PAGEREF _Toc23 \h</w:instrText>
        </w:r>
        <w:r>
          <w:fldChar w:fldCharType="separate"/>
        </w:r>
        <w:r>
          <w:t>20</w:t>
        </w:r>
        <w:r>
          <w:fldChar w:fldCharType="end"/>
        </w:r>
      </w:hyperlink>
    </w:p>
    <w:p w14:paraId="1E138044" w14:textId="77777777" w:rsidR="00C04B10" w:rsidRDefault="001148AB">
      <w:pPr>
        <w:pStyle w:val="TOC2"/>
        <w:tabs>
          <w:tab w:val="right" w:leader="dot" w:pos="10627"/>
        </w:tabs>
      </w:pPr>
      <w:hyperlink w:anchor="_Toc24">
        <w:r>
          <w:t>Filters</w:t>
        </w:r>
        <w:r>
          <w:tab/>
        </w:r>
        <w:r>
          <w:fldChar w:fldCharType="begin"/>
        </w:r>
        <w:r>
          <w:instrText>PAGEREF _Toc24 \h</w:instrText>
        </w:r>
        <w:r>
          <w:fldChar w:fldCharType="separate"/>
        </w:r>
        <w:r>
          <w:t>20</w:t>
        </w:r>
        <w:r>
          <w:fldChar w:fldCharType="end"/>
        </w:r>
      </w:hyperlink>
    </w:p>
    <w:p w14:paraId="6D2C7A5B" w14:textId="77777777" w:rsidR="00C04B10" w:rsidRDefault="001148AB">
      <w:pPr>
        <w:pStyle w:val="TOC2"/>
        <w:tabs>
          <w:tab w:val="right" w:leader="dot" w:pos="10627"/>
        </w:tabs>
      </w:pPr>
      <w:hyperlink w:anchor="_Toc25">
        <w:r>
          <w:t>Shortlist</w:t>
        </w:r>
        <w:r>
          <w:tab/>
        </w:r>
        <w:r>
          <w:fldChar w:fldCharType="begin"/>
        </w:r>
        <w:r>
          <w:instrText>PAGEREF _Toc25 \h</w:instrText>
        </w:r>
        <w:r>
          <w:fldChar w:fldCharType="separate"/>
        </w:r>
        <w:r>
          <w:t>21</w:t>
        </w:r>
        <w:r>
          <w:fldChar w:fldCharType="end"/>
        </w:r>
      </w:hyperlink>
    </w:p>
    <w:p w14:paraId="5E5EE41A" w14:textId="77777777" w:rsidR="00C04B10" w:rsidRDefault="001148AB">
      <w:pPr>
        <w:pStyle w:val="TOC2"/>
        <w:tabs>
          <w:tab w:val="right" w:leader="dot" w:pos="10627"/>
        </w:tabs>
      </w:pPr>
      <w:hyperlink w:anchor="_Toc26">
        <w:r>
          <w:t>DNA features</w:t>
        </w:r>
        <w:r>
          <w:tab/>
        </w:r>
        <w:r>
          <w:fldChar w:fldCharType="begin"/>
        </w:r>
        <w:r>
          <w:instrText>PAGEREF _Toc26 \h</w:instrText>
        </w:r>
        <w:r>
          <w:fldChar w:fldCharType="separate"/>
        </w:r>
        <w:r>
          <w:t>22</w:t>
        </w:r>
        <w:r>
          <w:fldChar w:fldCharType="end"/>
        </w:r>
      </w:hyperlink>
    </w:p>
    <w:p w14:paraId="79619AC6" w14:textId="77777777" w:rsidR="00C04B10" w:rsidRDefault="001148AB">
      <w:pPr>
        <w:pStyle w:val="TOC2"/>
        <w:tabs>
          <w:tab w:val="right" w:leader="dot" w:pos="10627"/>
        </w:tabs>
      </w:pPr>
      <w:hyperlink w:anchor="_Toc27">
        <w:r>
          <w:t>Brochure comparisons</w:t>
        </w:r>
        <w:r>
          <w:tab/>
        </w:r>
        <w:r>
          <w:fldChar w:fldCharType="begin"/>
        </w:r>
        <w:r>
          <w:instrText>PAGEREF _Toc27 \h</w:instrText>
        </w:r>
        <w:r>
          <w:fldChar w:fldCharType="separate"/>
        </w:r>
        <w:r>
          <w:t>23</w:t>
        </w:r>
        <w:r>
          <w:fldChar w:fldCharType="end"/>
        </w:r>
      </w:hyperlink>
    </w:p>
    <w:p w14:paraId="307B9C43" w14:textId="77777777" w:rsidR="00C04B10" w:rsidRDefault="001148AB">
      <w:pPr>
        <w:pStyle w:val="TOC1"/>
      </w:pPr>
      <w:hyperlink w:anchor="_Toc28">
        <w:r>
          <w:t>Platform selection</w:t>
        </w:r>
        <w:r>
          <w:tab/>
        </w:r>
        <w:r>
          <w:fldChar w:fldCharType="begin"/>
        </w:r>
        <w:r>
          <w:instrText>PAGEREF _Toc28 \h</w:instrText>
        </w:r>
        <w:r>
          <w:fldChar w:fldCharType="separate"/>
        </w:r>
        <w:r>
          <w:t>25</w:t>
        </w:r>
        <w:r>
          <w:fldChar w:fldCharType="end"/>
        </w:r>
      </w:hyperlink>
    </w:p>
    <w:p w14:paraId="11267369" w14:textId="77777777" w:rsidR="00C04B10" w:rsidRDefault="001148AB">
      <w:pPr>
        <w:pStyle w:val="TOC2"/>
        <w:tabs>
          <w:tab w:val="right" w:leader="dot" w:pos="10627"/>
        </w:tabs>
      </w:pPr>
      <w:hyperlink w:anchor="_Toc29">
        <w:r>
          <w:t>Recommended Platform</w:t>
        </w:r>
        <w:r>
          <w:tab/>
        </w:r>
        <w:r>
          <w:fldChar w:fldCharType="begin"/>
        </w:r>
        <w:r>
          <w:instrText>PAGEREF _Toc29 \h</w:instrText>
        </w:r>
        <w:r>
          <w:fldChar w:fldCharType="separate"/>
        </w:r>
        <w:r>
          <w:t>25</w:t>
        </w:r>
        <w:r>
          <w:fldChar w:fldCharType="end"/>
        </w:r>
      </w:hyperlink>
    </w:p>
    <w:p w14:paraId="0B26380C" w14:textId="77777777" w:rsidR="00C04B10" w:rsidRDefault="001148AB">
      <w:pPr>
        <w:pStyle w:val="TOC2"/>
        <w:tabs>
          <w:tab w:val="right" w:leader="dot" w:pos="10627"/>
        </w:tabs>
      </w:pPr>
      <w:hyperlink w:anchor="_Toc30">
        <w:r>
          <w:t>Panel</w:t>
        </w:r>
        <w:r>
          <w:tab/>
        </w:r>
        <w:r>
          <w:fldChar w:fldCharType="begin"/>
        </w:r>
        <w:r>
          <w:instrText>PAGEREF _Toc30 \h</w:instrText>
        </w:r>
        <w:r>
          <w:fldChar w:fldCharType="separate"/>
        </w:r>
        <w:r>
          <w:t>26</w:t>
        </w:r>
        <w:r>
          <w:fldChar w:fldCharType="end"/>
        </w:r>
      </w:hyperlink>
    </w:p>
    <w:p w14:paraId="5440E0FA" w14:textId="77777777" w:rsidR="00C04B10" w:rsidRDefault="001148AB">
      <w:pPr>
        <w:pStyle w:val="TOC2"/>
        <w:tabs>
          <w:tab w:val="right" w:leader="dot" w:pos="10627"/>
        </w:tabs>
      </w:pPr>
      <w:hyperlink w:anchor="_Toc31">
        <w:r>
          <w:t>Template</w:t>
        </w:r>
        <w:r>
          <w:tab/>
        </w:r>
        <w:r>
          <w:fldChar w:fldCharType="begin"/>
        </w:r>
        <w:r>
          <w:instrText>PAGEREF _Toc31 \h</w:instrText>
        </w:r>
        <w:r>
          <w:fldChar w:fldCharType="separate"/>
        </w:r>
        <w:r>
          <w:t>26</w:t>
        </w:r>
        <w:r>
          <w:fldChar w:fldCharType="end"/>
        </w:r>
      </w:hyperlink>
    </w:p>
    <w:p w14:paraId="5803AEA3" w14:textId="77777777" w:rsidR="00C04B10" w:rsidRDefault="001148AB">
      <w:pPr>
        <w:pStyle w:val="TOC2"/>
        <w:tabs>
          <w:tab w:val="right" w:leader="dot" w:pos="10627"/>
        </w:tabs>
      </w:pPr>
      <w:hyperlink w:anchor="_Toc32">
        <w:r>
          <w:t>Filters</w:t>
        </w:r>
        <w:r>
          <w:tab/>
        </w:r>
        <w:r>
          <w:fldChar w:fldCharType="begin"/>
        </w:r>
        <w:r>
          <w:instrText>PAGEREF _Toc32 \h</w:instrText>
        </w:r>
        <w:r>
          <w:fldChar w:fldCharType="separate"/>
        </w:r>
        <w:r>
          <w:t>26</w:t>
        </w:r>
        <w:r>
          <w:fldChar w:fldCharType="end"/>
        </w:r>
      </w:hyperlink>
    </w:p>
    <w:p w14:paraId="204F788F" w14:textId="77777777" w:rsidR="00C04B10" w:rsidRDefault="001148AB">
      <w:pPr>
        <w:pStyle w:val="TOC2"/>
        <w:tabs>
          <w:tab w:val="right" w:leader="dot" w:pos="10627"/>
        </w:tabs>
      </w:pPr>
      <w:hyperlink w:anchor="_Toc33">
        <w:r>
          <w:t>Shortlist</w:t>
        </w:r>
        <w:r>
          <w:tab/>
        </w:r>
        <w:r>
          <w:fldChar w:fldCharType="begin"/>
        </w:r>
        <w:r>
          <w:instrText>PAGEREF _Toc33 \h</w:instrText>
        </w:r>
        <w:r>
          <w:fldChar w:fldCharType="separate"/>
        </w:r>
        <w:r>
          <w:t>27</w:t>
        </w:r>
        <w:r>
          <w:fldChar w:fldCharType="end"/>
        </w:r>
      </w:hyperlink>
    </w:p>
    <w:p w14:paraId="23D0DB85" w14:textId="77777777" w:rsidR="00C04B10" w:rsidRDefault="001148AB">
      <w:pPr>
        <w:pStyle w:val="TOC2"/>
        <w:tabs>
          <w:tab w:val="right" w:leader="dot" w:pos="10627"/>
        </w:tabs>
      </w:pPr>
      <w:hyperlink w:anchor="_Toc34">
        <w:r>
          <w:t>DNA features</w:t>
        </w:r>
        <w:r>
          <w:tab/>
        </w:r>
        <w:r>
          <w:fldChar w:fldCharType="begin"/>
        </w:r>
        <w:r>
          <w:instrText>PAGEREF _Toc34 \h</w:instrText>
        </w:r>
        <w:r>
          <w:fldChar w:fldCharType="separate"/>
        </w:r>
        <w:r>
          <w:t>28</w:t>
        </w:r>
        <w:r>
          <w:fldChar w:fldCharType="end"/>
        </w:r>
      </w:hyperlink>
    </w:p>
    <w:p w14:paraId="1E82416E" w14:textId="77777777" w:rsidR="00C04B10" w:rsidRDefault="001148AB">
      <w:pPr>
        <w:pStyle w:val="TOC2"/>
        <w:tabs>
          <w:tab w:val="right" w:leader="dot" w:pos="10627"/>
        </w:tabs>
      </w:pPr>
      <w:hyperlink w:anchor="_Toc35">
        <w:r>
          <w:t>Brochure comparisons</w:t>
        </w:r>
        <w:r>
          <w:tab/>
        </w:r>
        <w:r>
          <w:fldChar w:fldCharType="begin"/>
        </w:r>
        <w:r>
          <w:instrText>PAGEREF _Toc35 \h</w:instrText>
        </w:r>
        <w:r>
          <w:fldChar w:fldCharType="separate"/>
        </w:r>
        <w:r>
          <w:t>29</w:t>
        </w:r>
        <w:r>
          <w:fldChar w:fldCharType="end"/>
        </w:r>
      </w:hyperlink>
    </w:p>
    <w:p w14:paraId="0614D0B6" w14:textId="77777777" w:rsidR="00C04B10" w:rsidRDefault="001148AB">
      <w:pPr>
        <w:pStyle w:val="TOC1"/>
      </w:pPr>
      <w:hyperlink w:anchor="_Toc36">
        <w:r>
          <w:t>Notes</w:t>
        </w:r>
        <w:r>
          <w:tab/>
        </w:r>
        <w:r>
          <w:fldChar w:fldCharType="begin"/>
        </w:r>
        <w:r>
          <w:instrText>PAGEREF _Toc36 \h</w:instrText>
        </w:r>
        <w:r>
          <w:fldChar w:fldCharType="separate"/>
        </w:r>
        <w:r>
          <w:t>32</w:t>
        </w:r>
        <w:r>
          <w:fldChar w:fldCharType="end"/>
        </w:r>
      </w:hyperlink>
    </w:p>
    <w:p w14:paraId="67978EFC" w14:textId="77777777" w:rsidR="00C04B10" w:rsidRDefault="001148AB">
      <w:r>
        <w:fldChar w:fldCharType="end"/>
      </w:r>
      <w:r>
        <w:t xml:space="preserve"> </w:t>
      </w:r>
    </w:p>
    <w:p w14:paraId="3C555494" w14:textId="77777777" w:rsidR="00C04B10" w:rsidRDefault="001148AB">
      <w:pPr>
        <w:pStyle w:val="DefaqtoBody"/>
        <w:sectPr w:rsidR="00C04B10">
          <w:headerReference w:type="default" r:id="rId24"/>
          <w:footerReference w:type="default" r:id="rId25"/>
          <w:pgSz w:w="11907" w:h="16839" w:code="9"/>
          <w:pgMar w:top="709" w:right="640" w:bottom="376" w:left="640" w:header="200" w:footer="200" w:gutter="0"/>
          <w:cols w:space="708"/>
          <w:docGrid w:linePitch="360"/>
        </w:sectPr>
      </w:pPr>
      <w:r>
        <w:rPr>
          <w:u w:color="000000"/>
        </w:rPr>
        <w:t>In using this report you acknowledge that nothing in this report is, or shall be deemed to constitute, financial, investment or other advice or a recommendation or endorsement by Defaqto in respect of any product or service referred to herein. Your financial adviser, rather than Defaqto, will provide any such advice, recommendation or endorsement.</w:t>
      </w:r>
    </w:p>
    <w:p w14:paraId="309A9559" w14:textId="77777777" w:rsidR="00C04B10" w:rsidRDefault="001148AB">
      <w:pPr>
        <w:pStyle w:val="DefaqtoHeading1"/>
      </w:pPr>
      <w:bookmarkStart w:id="5" w:name="_Toc2"/>
      <w:r>
        <w:lastRenderedPageBreak/>
        <w:t>Risk profile</w:t>
      </w:r>
      <w:bookmarkEnd w:id="5"/>
    </w:p>
    <w:p w14:paraId="35603A2B" w14:textId="77777777" w:rsidR="00C04B10" w:rsidRDefault="001148AB">
      <w:pPr>
        <w:pStyle w:val="DefaqtoIntroText"/>
      </w:pPr>
      <w:r>
        <w:rPr>
          <w:u w:color="000000"/>
        </w:rPr>
        <w:t>This section details how we reached an agreed risk level for this goal. It covers factors including your natural attitude to risk, capacity for loss and required return; factors used when selecting the types of investments and determining suitability.</w:t>
      </w:r>
    </w:p>
    <w:p w14:paraId="47A45E5C" w14:textId="77777777" w:rsidR="00C04B10" w:rsidRDefault="001148AB">
      <w:pPr>
        <w:pStyle w:val="DefaqtoHeading2"/>
      </w:pPr>
      <w:bookmarkStart w:id="6" w:name="_Toc3"/>
      <w:r>
        <w:rPr>
          <w:b/>
          <w:bCs/>
          <w:u w:color="000000"/>
        </w:rPr>
        <w:t>How are risk levels used to create suitable investment portfolios?</w:t>
      </w:r>
      <w:bookmarkEnd w:id="6"/>
    </w:p>
    <w:p w14:paraId="07C4C7FE" w14:textId="77777777" w:rsidR="00C04B10" w:rsidRDefault="001148AB">
      <w:pPr>
        <w:pStyle w:val="DefaqtoBody"/>
      </w:pPr>
      <w:r>
        <w:rPr>
          <w:u w:color="000000"/>
        </w:rPr>
        <w:t>The natural risk level, which is ascertained from the psychometric attitude to risk questionnaire score, is used as a starting point to discuss the actual level of risk you are willing and able to take to meet your specific investment objective.</w:t>
      </w:r>
    </w:p>
    <w:p w14:paraId="23390336" w14:textId="77777777" w:rsidR="00C04B10" w:rsidRDefault="001148AB">
      <w:pPr>
        <w:pStyle w:val="DefaqtoBody"/>
      </w:pPr>
      <w:r>
        <w:rPr>
          <w:u w:color="000000"/>
        </w:rPr>
        <w:t>In the discussion we had, you were shown a projection, based initially on your natural risk level, investment amount, target and desired time horizon. We then discussed this projection and altered any factor, including the risk level, until we agreed that the right balance had been achieved. This resulted in an agreed risk level for the investment.</w:t>
      </w:r>
    </w:p>
    <w:p w14:paraId="5D3D0156" w14:textId="77777777" w:rsidR="00C04B10" w:rsidRDefault="001148AB">
      <w:pPr>
        <w:pStyle w:val="DefaqtoBody"/>
      </w:pPr>
      <w:r>
        <w:rPr>
          <w:u w:color="000000"/>
        </w:rPr>
        <w:t xml:space="preserve">To project the potential outcomes, each risk level is mapped to a collection of asset classes designed to expose you to an appropriate level of risk. Projections are produced by passing the asset class breakdown for the selected risk level to a stochastic engine that uses modelling provided by Hymans Robertson to project the future performance of the combination of asset classes. </w:t>
      </w:r>
    </w:p>
    <w:p w14:paraId="08692E77" w14:textId="77777777" w:rsidR="00C04B10" w:rsidRDefault="001148AB">
      <w:pPr>
        <w:pStyle w:val="DefaqtoBody"/>
      </w:pPr>
      <w:r>
        <w:rPr>
          <w:u w:color="000000"/>
        </w:rPr>
        <w:t>By using these projections and discussions, we came to an agreed risk level for your specific investment objective. A portfolio will be built to meet your agreed risk level.</w:t>
      </w:r>
    </w:p>
    <w:p w14:paraId="46284620" w14:textId="77777777" w:rsidR="00C04B10" w:rsidRDefault="001148AB">
      <w:pPr>
        <w:pStyle w:val="DefaqtoBody"/>
      </w:pPr>
      <w:r>
        <w:rPr>
          <w:u w:color="000000"/>
        </w:rPr>
        <w:t>A summary of the results of this process is documented below.</w:t>
      </w:r>
    </w:p>
    <w:p w14:paraId="12170AA0" w14:textId="77777777" w:rsidR="00C04B10" w:rsidRDefault="001148AB">
      <w:r>
        <w:br w:type="page"/>
      </w:r>
    </w:p>
    <w:p w14:paraId="18FF5D2A" w14:textId="77777777" w:rsidR="00C04B10" w:rsidRDefault="001148AB">
      <w:pPr>
        <w:pStyle w:val="DefaqtoHeading2"/>
      </w:pPr>
      <w:bookmarkStart w:id="7" w:name="_Toc4"/>
      <w:r>
        <w:rPr>
          <w:u w:color="000000"/>
        </w:rPr>
        <w:lastRenderedPageBreak/>
        <w:t>Agreed risk level</w:t>
      </w:r>
      <w:bookmarkEnd w:id="7"/>
    </w:p>
    <w:p w14:paraId="17A5E136" w14:textId="77777777" w:rsidR="00C04B10" w:rsidRDefault="001148AB">
      <w:pPr>
        <w:pStyle w:val="DefaqtoBody"/>
      </w:pPr>
      <w:r>
        <w:rPr>
          <w:u w:color="000000"/>
        </w:rPr>
        <w:t xml:space="preserve">Following an interactive discussion, and considering your natural attitude to risk, capacity for loss and required return for your goal, we agreed a risk level. </w:t>
      </w:r>
    </w:p>
    <w:tbl>
      <w:tblPr>
        <w:tblStyle w:val="DefaqtoTable-Plain"/>
        <w:tblW w:w="5000" w:type="pct"/>
        <w:tblLook w:val="01E0" w:firstRow="1" w:lastRow="1" w:firstColumn="1" w:lastColumn="1" w:noHBand="0" w:noVBand="0"/>
      </w:tblPr>
      <w:tblGrid>
        <w:gridCol w:w="2596"/>
        <w:gridCol w:w="222"/>
        <w:gridCol w:w="7799"/>
      </w:tblGrid>
      <w:tr w:rsidR="00C04B10" w14:paraId="65270CA4" w14:textId="77777777">
        <w:tc>
          <w:tcPr>
            <w:tcW w:w="1250" w:type="pct"/>
            <w:tcBorders>
              <w:top w:val="inset" w:sz="8" w:space="0" w:color="B0A7CF"/>
              <w:left w:val="inset" w:sz="8" w:space="0" w:color="B0A7CF"/>
              <w:bottom w:val="nil"/>
              <w:right w:val="inset" w:sz="8" w:space="0" w:color="B0A7CF"/>
            </w:tcBorders>
            <w:shd w:val="clear" w:color="auto" w:fill="FFFFFF"/>
            <w:vAlign w:val="center"/>
          </w:tcPr>
          <w:p w14:paraId="51BD9CFF" w14:textId="77777777" w:rsidR="00C04B10" w:rsidRDefault="001148AB">
            <w:pPr>
              <w:pStyle w:val="DefaqtoTableBody2"/>
              <w:jc w:val="center"/>
            </w:pPr>
            <w:r>
              <w:rPr>
                <w:b/>
                <w:bCs/>
                <w:sz w:val="36"/>
                <w:szCs w:val="36"/>
              </w:rPr>
              <w:t>4</w:t>
            </w:r>
            <w:r>
              <w:br/>
            </w:r>
            <w:r>
              <w:br/>
            </w:r>
            <w:r>
              <w:rPr>
                <w:b/>
                <w:bCs/>
                <w:sz w:val="24"/>
                <w:szCs w:val="24"/>
              </w:rPr>
              <w:t>Cautious Balanced</w:t>
            </w:r>
          </w:p>
        </w:tc>
        <w:tc>
          <w:tcPr>
            <w:tcW w:w="50" w:type="pct"/>
            <w:tcBorders>
              <w:bottom w:val="nil"/>
            </w:tcBorders>
          </w:tcPr>
          <w:p w14:paraId="723CCE4E" w14:textId="77777777" w:rsidR="00C04B10" w:rsidRDefault="001148AB">
            <w:pPr>
              <w:pStyle w:val="DefaqtoTableBody2"/>
            </w:pPr>
            <w:r>
              <w:t xml:space="preserve"> </w:t>
            </w:r>
          </w:p>
        </w:tc>
        <w:tc>
          <w:tcPr>
            <w:tcW w:w="3700" w:type="pct"/>
            <w:tcBorders>
              <w:bottom w:val="nil"/>
            </w:tcBorders>
          </w:tcPr>
          <w:p w14:paraId="21C38737" w14:textId="77777777" w:rsidR="00C04B10" w:rsidRDefault="001148AB">
            <w:pPr>
              <w:pStyle w:val="DefaqtoTableBody2"/>
            </w:pPr>
            <w:r>
              <w:rPr>
                <w:sz w:val="20"/>
                <w:szCs w:val="20"/>
              </w:rPr>
              <w:t xml:space="preserve">As a Cautious Balanced investor you tend to see yourself as quite a cautious person and are inclined to view risk negatively rather than as a source of opportunity.  If you have limited or moderate experience of investments and do not find financial matters particularly easy to understand then you may be suited to a Cautious Balanced approach to investing.  You may also be suited to this approach if you take some time to make investment decisions and tend to be somewhat anxious about those decisions.  As a </w:t>
            </w:r>
            <w:r>
              <w:rPr>
                <w:sz w:val="20"/>
                <w:szCs w:val="20"/>
              </w:rPr>
              <w:t>Cautious Balanced investor you are inclined to look for safer investments, although you may consider taking some risk in exchange for increased potential returns.</w:t>
            </w:r>
          </w:p>
        </w:tc>
      </w:tr>
    </w:tbl>
    <w:p w14:paraId="261CCA3E" w14:textId="77777777" w:rsidR="00C04B10" w:rsidRDefault="001148AB">
      <w:r>
        <w:t xml:space="preserve"> </w:t>
      </w:r>
    </w:p>
    <w:p w14:paraId="39877E1F" w14:textId="77777777" w:rsidR="00C04B10" w:rsidRDefault="001148AB">
      <w:pPr>
        <w:pStyle w:val="DefaqtoBody"/>
        <w:sectPr w:rsidR="00C04B10">
          <w:headerReference w:type="default" r:id="rId26"/>
          <w:footerReference w:type="default" r:id="rId27"/>
          <w:pgSz w:w="11907" w:h="16839" w:code="9"/>
          <w:pgMar w:top="709" w:right="640" w:bottom="376" w:left="640" w:header="200" w:footer="200" w:gutter="0"/>
          <w:cols w:space="708"/>
          <w:docGrid w:linePitch="360"/>
        </w:sectPr>
      </w:pPr>
      <w:r>
        <w:rPr>
          <w:u w:color="000000"/>
        </w:rPr>
        <w:t>client atr</w:t>
      </w:r>
    </w:p>
    <w:p w14:paraId="1DFE3DAF" w14:textId="77777777" w:rsidR="00C04B10" w:rsidRDefault="001148AB">
      <w:pPr>
        <w:pStyle w:val="DefaqtoHeading1"/>
      </w:pPr>
      <w:bookmarkStart w:id="8" w:name="_Toc5"/>
      <w:r>
        <w:rPr>
          <w:lang w:val="en-NZ"/>
        </w:rPr>
        <w:lastRenderedPageBreak/>
        <w:t>Investments</w:t>
      </w:r>
      <w:r>
        <w:rPr>
          <w:b/>
          <w:bCs/>
          <w:lang w:val="en-NZ"/>
        </w:rPr>
        <w:t xml:space="preserve"> </w:t>
      </w:r>
      <w:r>
        <w:t>selection</w:t>
      </w:r>
      <w:bookmarkEnd w:id="8"/>
    </w:p>
    <w:p w14:paraId="3D9134EC" w14:textId="77777777" w:rsidR="00C04B10" w:rsidRDefault="001148AB">
      <w:pPr>
        <w:pStyle w:val="DefaqtoIntroText"/>
      </w:pPr>
      <w:r>
        <w:rPr>
          <w:b/>
          <w:bCs/>
        </w:rPr>
        <w:t>Investment:</w:t>
      </w:r>
      <w:r>
        <w:t xml:space="preserve"> £79,000 then £0 monthly</w:t>
      </w:r>
    </w:p>
    <w:p w14:paraId="06A80D1E" w14:textId="77777777" w:rsidR="00C04B10" w:rsidRDefault="001148AB">
      <w:pPr>
        <w:pStyle w:val="DefaqtoIntroText"/>
      </w:pPr>
      <w:r>
        <w:t xml:space="preserve">This section of the report details the issues identified as being important to the selection of </w:t>
      </w:r>
      <w:r>
        <w:rPr>
          <w:lang w:val="en-NZ"/>
        </w:rPr>
        <w:t xml:space="preserve">investments </w:t>
      </w:r>
      <w:r>
        <w:t xml:space="preserve">and the other criteria used in selecting the most suitable </w:t>
      </w:r>
      <w:r>
        <w:rPr>
          <w:lang w:val="en-NZ"/>
        </w:rPr>
        <w:t>investment</w:t>
      </w:r>
      <w:r>
        <w:t>.</w:t>
      </w:r>
    </w:p>
    <w:p w14:paraId="780BE108" w14:textId="77777777" w:rsidR="00C04B10" w:rsidRDefault="001148AB">
      <w:pPr>
        <w:pStyle w:val="DefaqtoHeading2"/>
        <w:rPr>
          <w:lang w:val="en-NZ"/>
        </w:rPr>
      </w:pPr>
      <w:bookmarkStart w:id="9" w:name="_Toc6"/>
      <w:r>
        <w:t xml:space="preserve">Risk </w:t>
      </w:r>
      <w:r>
        <w:rPr>
          <w:lang w:val="en-NZ"/>
        </w:rPr>
        <w:t>Rated investments</w:t>
      </w:r>
      <w:bookmarkEnd w:id="9"/>
    </w:p>
    <w:p w14:paraId="7AC4E564" w14:textId="77777777" w:rsidR="00C04B10" w:rsidRDefault="00C04B10">
      <w:pPr>
        <w:pStyle w:val="Header"/>
        <w:tabs>
          <w:tab w:val="left" w:pos="4277"/>
          <w:tab w:val="right" w:pos="11186"/>
        </w:tabs>
      </w:pPr>
    </w:p>
    <w:p w14:paraId="6EA12656" w14:textId="77777777" w:rsidR="00C04B10" w:rsidRDefault="001148AB">
      <w:pPr>
        <w:pStyle w:val="DefaqtoBody"/>
      </w:pPr>
      <w:r>
        <w:t xml:space="preserve">The risk </w:t>
      </w:r>
      <w:r>
        <w:rPr>
          <w:lang w:val="en-NZ"/>
        </w:rPr>
        <w:t xml:space="preserve">rated funds </w:t>
      </w:r>
      <w:r>
        <w:t>selected were for the following mappings:</w:t>
      </w:r>
    </w:p>
    <w:tbl>
      <w:tblPr>
        <w:tblStyle w:val="DefaqtoTable-Plain"/>
        <w:tblW w:w="5000" w:type="pct"/>
        <w:tblLayout w:type="fixed"/>
        <w:tblLook w:val="01E0" w:firstRow="1" w:lastRow="1" w:firstColumn="1" w:lastColumn="1" w:noHBand="0" w:noVBand="0"/>
      </w:tblPr>
      <w:tblGrid>
        <w:gridCol w:w="2656"/>
        <w:gridCol w:w="240"/>
        <w:gridCol w:w="7726"/>
      </w:tblGrid>
      <w:tr w:rsidR="00C04B10" w14:paraId="040CCC36" w14:textId="77777777">
        <w:trPr>
          <w:trHeight w:val="1247"/>
        </w:trPr>
        <w:tc>
          <w:tcPr>
            <w:tcW w:w="1250" w:type="pct"/>
            <w:tcBorders>
              <w:top w:val="single" w:sz="4" w:space="0" w:color="B0A7CF"/>
              <w:left w:val="single" w:sz="4" w:space="0" w:color="B0A7CF"/>
              <w:bottom w:val="single" w:sz="4" w:space="0" w:color="B0A7CF"/>
              <w:right w:val="single" w:sz="4" w:space="0" w:color="B0A7CF"/>
            </w:tcBorders>
            <w:shd w:val="clear" w:color="auto" w:fill="FFFFFF"/>
            <w:tcMar>
              <w:top w:w="57" w:type="dxa"/>
              <w:bottom w:w="57" w:type="dxa"/>
            </w:tcMar>
            <w:vAlign w:val="center"/>
          </w:tcPr>
          <w:p w14:paraId="37489892" w14:textId="77777777" w:rsidR="00C04B10" w:rsidRDefault="001148AB">
            <w:pPr>
              <w:spacing w:before="60" w:after="60"/>
              <w:jc w:val="center"/>
              <w:rPr>
                <w:rFonts w:eastAsia="Cambria"/>
                <w:sz w:val="24"/>
                <w:szCs w:val="24"/>
                <w:lang w:eastAsia="en-US"/>
              </w:rPr>
            </w:pPr>
            <w:r>
              <w:rPr>
                <w:rFonts w:ascii="Poppins" w:hAnsi="Poppins" w:cs="Poppins"/>
                <w:b/>
                <w:bCs/>
                <w:sz w:val="48"/>
                <w:szCs w:val="48"/>
              </w:rPr>
              <w:t>4</w:t>
            </w:r>
          </w:p>
          <w:p w14:paraId="7711DF18" w14:textId="77777777" w:rsidR="00C04B10" w:rsidRDefault="001148AB">
            <w:pPr>
              <w:spacing w:before="60" w:after="60"/>
              <w:jc w:val="center"/>
              <w:rPr>
                <w:rStyle w:val="DefaqtoBodyChar"/>
                <w:rFonts w:cs="Poppins"/>
              </w:rPr>
            </w:pPr>
            <w:r>
              <w:rPr>
                <w:rStyle w:val="DefaqtoBodyChar"/>
                <w:rFonts w:cs="Poppins"/>
                <w:sz w:val="22"/>
                <w:szCs w:val="22"/>
              </w:rPr>
              <w:t>Cautious Balanced</w:t>
            </w:r>
          </w:p>
        </w:tc>
        <w:tc>
          <w:tcPr>
            <w:tcW w:w="113" w:type="pct"/>
            <w:tcBorders>
              <w:left w:val="single" w:sz="4" w:space="0" w:color="B0A7CF"/>
            </w:tcBorders>
          </w:tcPr>
          <w:p w14:paraId="03A8958E" w14:textId="77777777" w:rsidR="00C04B10" w:rsidRDefault="001148AB">
            <w:r>
              <w:t xml:space="preserve"> </w:t>
            </w:r>
          </w:p>
        </w:tc>
        <w:tc>
          <w:tcPr>
            <w:tcW w:w="3750" w:type="pct"/>
          </w:tcPr>
          <w:p w14:paraId="757E298C" w14:textId="77777777" w:rsidR="00C04B10" w:rsidRDefault="001148AB">
            <w:pPr>
              <w:pStyle w:val="DefaqtoTableBody2"/>
              <w:rPr>
                <w:sz w:val="20"/>
                <w:szCs w:val="20"/>
              </w:rPr>
            </w:pPr>
            <w:r>
              <w:rPr>
                <w:sz w:val="20"/>
                <w:szCs w:val="20"/>
              </w:rPr>
              <w:t>A risk rated multi asset investment of level 4 targets a moderate level of capital appreciation by investing in a multi-asset portfolio. Investment will be mainly in UK fixed interest securities, equities, in particular UK equities, and property. A moderate amount of volatility should be expected.</w:t>
            </w:r>
          </w:p>
        </w:tc>
      </w:tr>
    </w:tbl>
    <w:p w14:paraId="7A02D9E7" w14:textId="77777777" w:rsidR="00C04B10" w:rsidRDefault="00C04B10"/>
    <w:p w14:paraId="5A6E6C27" w14:textId="77777777" w:rsidR="00C04B10" w:rsidRDefault="00C04B10">
      <w:pPr>
        <w:pStyle w:val="DefaqtoBody"/>
        <w:rPr>
          <w:lang w:val="en-NZ"/>
        </w:rPr>
      </w:pPr>
    </w:p>
    <w:p w14:paraId="5937EA1C" w14:textId="77777777" w:rsidR="00C04B10" w:rsidRDefault="001148AB">
      <w:pPr>
        <w:pStyle w:val="DefaqtoHeading2"/>
      </w:pPr>
      <w:bookmarkStart w:id="10" w:name="_Toc7"/>
      <w:r>
        <w:t>Portfolio details</w:t>
      </w:r>
      <w:bookmarkEnd w:id="10"/>
    </w:p>
    <w:p w14:paraId="511D1B1F" w14:textId="77777777" w:rsidR="00C04B10" w:rsidRDefault="00C04B10">
      <w:pPr>
        <w:pStyle w:val="DefaqtoBody"/>
      </w:pPr>
    </w:p>
    <w:p w14:paraId="64A66421" w14:textId="77777777" w:rsidR="00C04B10" w:rsidRDefault="001148AB">
      <w:pPr>
        <w:pStyle w:val="DefaqtoHeading3"/>
      </w:pPr>
      <w:bookmarkStart w:id="11" w:name="_Toc3558327"/>
      <w:r>
        <w:t>Statistics</w:t>
      </w:r>
      <w:bookmarkEnd w:id="11"/>
    </w:p>
    <w:tbl>
      <w:tblPr>
        <w:tblW w:w="0" w:type="auto"/>
        <w:tblCellSpacing w:w="22" w:type="dxa"/>
        <w:tblBorders>
          <w:top w:val="nil"/>
          <w:left w:val="nil"/>
          <w:bottom w:val="nil"/>
          <w:right w:val="nil"/>
          <w:insideH w:val="nil"/>
          <w:insideV w:val="nil"/>
        </w:tblBorders>
        <w:tblLayout w:type="fixed"/>
        <w:tblCellMar>
          <w:top w:w="28" w:type="dxa"/>
          <w:bottom w:w="28" w:type="dxa"/>
        </w:tblCellMar>
        <w:tblLook w:val="04A0" w:firstRow="1" w:lastRow="0" w:firstColumn="1" w:lastColumn="0" w:noHBand="0" w:noVBand="1"/>
      </w:tblPr>
      <w:tblGrid>
        <w:gridCol w:w="2725"/>
      </w:tblGrid>
      <w:tr w:rsidR="00C04B10" w14:paraId="1054AD25" w14:textId="77777777">
        <w:trPr>
          <w:tblCellSpacing w:w="22" w:type="dxa"/>
        </w:trPr>
        <w:tc>
          <w:tcPr>
            <w:tcW w:w="2637" w:type="dxa"/>
            <w:tcBorders>
              <w:top w:val="single" w:sz="4" w:space="0" w:color="B0A7CF"/>
              <w:left w:val="single" w:sz="4" w:space="0" w:color="B0A7CF"/>
              <w:bottom w:val="single" w:sz="4" w:space="0" w:color="B0A7CF"/>
              <w:right w:val="single" w:sz="4" w:space="0" w:color="B0A7CF"/>
            </w:tcBorders>
            <w:shd w:val="clear" w:color="auto" w:fill="FFFFFF"/>
            <w:vAlign w:val="center"/>
            <w:hideMark/>
          </w:tcPr>
          <w:p w14:paraId="5E5C2718" w14:textId="77777777" w:rsidR="00C04B10" w:rsidRDefault="001148AB">
            <w:pPr>
              <w:pStyle w:val="DefaqtoBody"/>
              <w:spacing w:before="240" w:after="240"/>
              <w:jc w:val="center"/>
              <w:rPr>
                <w:rFonts w:cs="Poppins"/>
                <w:color w:val="000000"/>
                <w:sz w:val="20"/>
                <w:szCs w:val="20"/>
                <w:vertAlign w:val="superscript"/>
              </w:rPr>
            </w:pPr>
            <w:r>
              <w:rPr>
                <w:rFonts w:cs="Poppins"/>
                <w:b/>
                <w:bCs/>
                <w:sz w:val="48"/>
                <w:szCs w:val="48"/>
                <w:lang w:val="en-NZ"/>
              </w:rPr>
              <w:t>0.41%</w:t>
            </w:r>
            <w:r>
              <w:rPr>
                <w:rFonts w:cs="Poppins"/>
                <w:b/>
                <w:bCs/>
                <w:lang w:val="en-NZ"/>
              </w:rPr>
              <w:br/>
            </w:r>
            <w:r>
              <w:rPr>
                <w:rFonts w:cs="Poppins"/>
              </w:rPr>
              <w:t>Weighted AMC</w:t>
            </w:r>
            <w:r>
              <w:rPr>
                <w:rFonts w:cs="Poppins"/>
                <w:vertAlign w:val="superscript"/>
              </w:rPr>
              <w:t>[1]</w:t>
            </w:r>
          </w:p>
        </w:tc>
      </w:tr>
    </w:tbl>
    <w:p w14:paraId="1B832DB9" w14:textId="77777777" w:rsidR="00C04B10" w:rsidRDefault="00C04B10">
      <w:pPr>
        <w:pStyle w:val="Tag"/>
        <w:rPr>
          <w:rStyle w:val="DefaqtosmallprintChar"/>
          <w:rFonts w:ascii="Arial" w:eastAsia="Arial" w:hAnsi="Arial"/>
          <w:color w:val="000000"/>
          <w:sz w:val="20"/>
          <w:szCs w:val="20"/>
        </w:rPr>
      </w:pPr>
    </w:p>
    <w:p w14:paraId="127DDE6A" w14:textId="77777777" w:rsidR="00C04B10" w:rsidRDefault="001148AB">
      <w:pPr>
        <w:pStyle w:val="Defaqtosmallprint"/>
        <w:contextualSpacing/>
        <w:rPr>
          <w:rStyle w:val="DefaqtosmallprintChar"/>
          <w:rFonts w:ascii="Lucida Sans" w:hAnsi="Lucida Sans"/>
        </w:rPr>
      </w:pPr>
      <w:r>
        <w:rPr>
          <w:rStyle w:val="DefaqtosmallprintChar"/>
          <w:rFonts w:ascii="Lucida Sans" w:hAnsi="Lucida Sans"/>
          <w:noProof/>
        </w:rPr>
        <w:t>[1]</w:t>
      </w:r>
      <w:r>
        <w:rPr>
          <w:rStyle w:val="DefaqtosmallprintChar"/>
          <w:rFonts w:ascii="Lucida Sans" w:hAnsi="Lucida Sans"/>
        </w:rPr>
        <w:t xml:space="preserve"> Annual management charge – the annual fee charge by the fund management company to cover costs directly associated with managing your fund. This will not include all costs associated with the fund. </w:t>
      </w:r>
      <w:r>
        <w:rPr>
          <w:rStyle w:val="DefaqtosmallprintChar"/>
          <w:rFonts w:ascii="Lucida Sans" w:hAnsi="Lucida Sans"/>
        </w:rPr>
        <w:br/>
      </w:r>
    </w:p>
    <w:p w14:paraId="01CA3193" w14:textId="77777777" w:rsidR="00C04B10" w:rsidRDefault="001148AB">
      <w:pPr>
        <w:pStyle w:val="DefaqtoHeading3"/>
      </w:pPr>
      <w:bookmarkStart w:id="12" w:name="_Toc8"/>
      <w:r>
        <w:t>Investments</w:t>
      </w:r>
      <w:bookmarkEnd w:id="12"/>
    </w:p>
    <w:p w14:paraId="44DC7632" w14:textId="77777777" w:rsidR="00C04B10" w:rsidRDefault="001148AB">
      <w:pPr>
        <w:pStyle w:val="DefaqtoBody"/>
      </w:pPr>
      <w:r>
        <w:t xml:space="preserve">The client’s portfolio contains the following </w:t>
      </w:r>
      <w:r>
        <w:rPr>
          <w:lang w:val="en-NZ"/>
        </w:rPr>
        <w:t>investments</w:t>
      </w:r>
      <w:r>
        <w:t xml:space="preserve">: </w:t>
      </w:r>
    </w:p>
    <w:p w14:paraId="58AF32EF" w14:textId="77777777" w:rsidR="00C04B10" w:rsidRDefault="00C04B10"/>
    <w:tbl>
      <w:tblPr>
        <w:tblStyle w:val="DefaqtoTable"/>
        <w:tblW w:w="5000" w:type="pct"/>
        <w:tblLayout w:type="fixed"/>
        <w:tblLook w:val="0420" w:firstRow="1" w:lastRow="0" w:firstColumn="0" w:lastColumn="0" w:noHBand="0" w:noVBand="1"/>
      </w:tblPr>
      <w:tblGrid>
        <w:gridCol w:w="1649"/>
        <w:gridCol w:w="1680"/>
        <w:gridCol w:w="1680"/>
        <w:gridCol w:w="1548"/>
        <w:gridCol w:w="1548"/>
        <w:gridCol w:w="1546"/>
        <w:gridCol w:w="966"/>
      </w:tblGrid>
      <w:tr w:rsidR="00C04B10" w14:paraId="07CE0F50" w14:textId="77777777" w:rsidTr="00C04B10">
        <w:trPr>
          <w:cnfStyle w:val="100000000000" w:firstRow="1" w:lastRow="0" w:firstColumn="0" w:lastColumn="0" w:oddVBand="0" w:evenVBand="0" w:oddHBand="0" w:evenHBand="0" w:firstRowFirstColumn="0" w:firstRowLastColumn="0" w:lastRowFirstColumn="0" w:lastRowLastColumn="0"/>
          <w:trHeight w:val="432"/>
        </w:trPr>
        <w:tc>
          <w:tcPr>
            <w:tcW w:w="777" w:type="pct"/>
          </w:tcPr>
          <w:p w14:paraId="5441D257" w14:textId="77777777" w:rsidR="00C04B10" w:rsidRDefault="001148AB">
            <w:pPr>
              <w:pStyle w:val="DefaqtoTableBody2"/>
              <w:rPr>
                <w:b w:val="0"/>
                <w:bCs w:val="0"/>
              </w:rPr>
            </w:pPr>
            <w:r>
              <w:t>Investment</w:t>
            </w:r>
          </w:p>
        </w:tc>
        <w:tc>
          <w:tcPr>
            <w:tcW w:w="791" w:type="pct"/>
          </w:tcPr>
          <w:p w14:paraId="7C2F336F" w14:textId="77777777" w:rsidR="00C04B10" w:rsidRDefault="001148AB">
            <w:pPr>
              <w:pStyle w:val="DefaqtoTableBody2"/>
              <w:rPr>
                <w:b w:val="0"/>
                <w:bCs w:val="0"/>
              </w:rPr>
            </w:pPr>
            <w:r>
              <w:t>Provider</w:t>
            </w:r>
          </w:p>
        </w:tc>
        <w:tc>
          <w:tcPr>
            <w:tcW w:w="791" w:type="pct"/>
          </w:tcPr>
          <w:p w14:paraId="39D535BE" w14:textId="77777777" w:rsidR="00C04B10" w:rsidRDefault="001148AB">
            <w:pPr>
              <w:pStyle w:val="DefaqtoTableBody2"/>
              <w:rPr>
                <w:b w:val="0"/>
                <w:bCs w:val="0"/>
              </w:rPr>
            </w:pPr>
            <w:r>
              <w:t>ISIN</w:t>
            </w:r>
          </w:p>
        </w:tc>
        <w:tc>
          <w:tcPr>
            <w:tcW w:w="729" w:type="pct"/>
          </w:tcPr>
          <w:p w14:paraId="437B7CC9" w14:textId="77777777" w:rsidR="00C04B10" w:rsidRDefault="001148AB">
            <w:pPr>
              <w:pStyle w:val="DefaqtoTableBody2"/>
              <w:rPr>
                <w:b w:val="0"/>
                <w:bCs w:val="0"/>
              </w:rPr>
            </w:pPr>
            <w:r>
              <w:t>Risk controlled</w:t>
            </w:r>
          </w:p>
          <w:p w14:paraId="736EFEC9" w14:textId="77777777" w:rsidR="00C04B10" w:rsidRDefault="001148AB">
            <w:pPr>
              <w:pStyle w:val="DefaqtoTableBody2"/>
            </w:pPr>
            <w:r>
              <w:rPr>
                <w:vertAlign w:val="superscript"/>
              </w:rPr>
              <w:t>[2]</w:t>
            </w:r>
          </w:p>
        </w:tc>
        <w:tc>
          <w:tcPr>
            <w:tcW w:w="729" w:type="pct"/>
          </w:tcPr>
          <w:p w14:paraId="04316813" w14:textId="77777777" w:rsidR="00C04B10" w:rsidRDefault="001148AB">
            <w:pPr>
              <w:pStyle w:val="DefaqtoTableBody2"/>
              <w:jc w:val="center"/>
              <w:rPr>
                <w:b w:val="0"/>
                <w:bCs w:val="0"/>
              </w:rPr>
            </w:pPr>
            <w:r>
              <w:t>Diamond rating</w:t>
            </w:r>
            <w:r>
              <w:rPr>
                <w:vertAlign w:val="superscript"/>
              </w:rPr>
              <w:t xml:space="preserve"> [1]</w:t>
            </w:r>
          </w:p>
        </w:tc>
        <w:tc>
          <w:tcPr>
            <w:tcW w:w="728" w:type="pct"/>
          </w:tcPr>
          <w:p w14:paraId="76724889" w14:textId="77777777" w:rsidR="00C04B10" w:rsidRDefault="001148AB">
            <w:pPr>
              <w:pStyle w:val="DefaqtoTableBody2"/>
              <w:jc w:val="center"/>
              <w:rPr>
                <w:b w:val="0"/>
                <w:bCs w:val="0"/>
                <w:vertAlign w:val="superscript"/>
              </w:rPr>
            </w:pPr>
            <w:r>
              <w:t>Family diamond rating</w:t>
            </w:r>
            <w:r>
              <w:rPr>
                <w:vertAlign w:val="superscript"/>
              </w:rPr>
              <w:t xml:space="preserve"> [1]</w:t>
            </w:r>
          </w:p>
        </w:tc>
        <w:tc>
          <w:tcPr>
            <w:tcW w:w="456" w:type="pct"/>
          </w:tcPr>
          <w:p w14:paraId="1955B359" w14:textId="77777777" w:rsidR="00C04B10" w:rsidRDefault="001148AB">
            <w:pPr>
              <w:pStyle w:val="DefaqtoTableBody2"/>
              <w:jc w:val="right"/>
              <w:rPr>
                <w:b w:val="0"/>
                <w:bCs w:val="0"/>
              </w:rPr>
            </w:pPr>
            <w:r>
              <w:t>% Invested</w:t>
            </w:r>
          </w:p>
        </w:tc>
      </w:tr>
      <w:tr w:rsidR="00C04B10" w14:paraId="36870AA7" w14:textId="77777777" w:rsidTr="00C04B10">
        <w:trPr>
          <w:cnfStyle w:val="000000100000" w:firstRow="0" w:lastRow="0" w:firstColumn="0" w:lastColumn="0" w:oddVBand="0" w:evenVBand="0" w:oddHBand="1" w:evenHBand="0" w:firstRowFirstColumn="0" w:firstRowLastColumn="0" w:lastRowFirstColumn="0" w:lastRowLastColumn="0"/>
          <w:trHeight w:val="432"/>
        </w:trPr>
        <w:tc>
          <w:tcPr>
            <w:tcW w:w="777" w:type="pct"/>
          </w:tcPr>
          <w:p w14:paraId="072E2976" w14:textId="77777777" w:rsidR="00C04B10" w:rsidRDefault="001148AB">
            <w:pPr>
              <w:pStyle w:val="DefaqtoTableBody2"/>
            </w:pPr>
            <w:r>
              <w:t>Aviva Insured Funds Multi-asset Plus Fund II (GBP)</w:t>
            </w:r>
          </w:p>
        </w:tc>
        <w:tc>
          <w:tcPr>
            <w:tcW w:w="791" w:type="pct"/>
          </w:tcPr>
          <w:p w14:paraId="10F94C97" w14:textId="77777777" w:rsidR="00C04B10" w:rsidRDefault="001148AB">
            <w:pPr>
              <w:pStyle w:val="DefaqtoTableBody2"/>
            </w:pPr>
            <w:r>
              <w:t>Aviva Life &amp; Pensions UK Ltd</w:t>
            </w:r>
          </w:p>
        </w:tc>
        <w:tc>
          <w:tcPr>
            <w:tcW w:w="791" w:type="pct"/>
          </w:tcPr>
          <w:p w14:paraId="46FC0396" w14:textId="77777777" w:rsidR="00C04B10" w:rsidRDefault="001148AB">
            <w:pPr>
              <w:pStyle w:val="DefaqtoTableBody2"/>
            </w:pPr>
            <w:r>
              <w:t>GB00B8BV3X17</w:t>
            </w:r>
          </w:p>
        </w:tc>
        <w:tc>
          <w:tcPr>
            <w:tcW w:w="729" w:type="pct"/>
          </w:tcPr>
          <w:p w14:paraId="4D227D50" w14:textId="77777777" w:rsidR="00C04B10" w:rsidRDefault="001148AB">
            <w:pPr>
              <w:pStyle w:val="DefaqtoTableBody2"/>
            </w:pPr>
            <w:r>
              <w:pict w14:anchorId="7BDFBA27">
                <v:shape id="_x0000_i1029" type="#_x0000_t75" style="width:33pt;height:30pt;visibility:visible">
                  <v:imagedata r:id="rId28" o:title=""/>
                </v:shape>
              </w:pict>
            </w:r>
          </w:p>
        </w:tc>
        <w:tc>
          <w:tcPr>
            <w:tcW w:w="729" w:type="pct"/>
          </w:tcPr>
          <w:p w14:paraId="3F2E4E83" w14:textId="77777777" w:rsidR="00C04B10" w:rsidRDefault="001148AB">
            <w:pPr>
              <w:pStyle w:val="DefaqtoTableBody2"/>
              <w:jc w:val="center"/>
            </w:pPr>
            <w:r>
              <w:pict w14:anchorId="50F56B58">
                <v:shape id="_x0000_i1030" type="#_x0000_t75" style="width:.6pt;height:.6pt;visibility:visible">
                  <v:imagedata r:id="rId29" o:title=""/>
                </v:shape>
              </w:pict>
            </w:r>
            <w:r>
              <w:t>N/A</w:t>
            </w:r>
          </w:p>
        </w:tc>
        <w:tc>
          <w:tcPr>
            <w:tcW w:w="728" w:type="pct"/>
          </w:tcPr>
          <w:p w14:paraId="6E86D95E" w14:textId="77777777" w:rsidR="00C04B10" w:rsidRDefault="001148AB">
            <w:pPr>
              <w:pStyle w:val="DefaqtoTableBody2"/>
              <w:jc w:val="center"/>
            </w:pPr>
            <w:r>
              <w:pict w14:anchorId="7223EE80">
                <v:shape id="_x0000_i1031" type="#_x0000_t75" style="width:.6pt;height:.6pt;visibility:visible">
                  <v:imagedata r:id="rId29" o:title=""/>
                </v:shape>
              </w:pict>
            </w:r>
            <w:r>
              <w:t>N/A</w:t>
            </w:r>
          </w:p>
        </w:tc>
        <w:tc>
          <w:tcPr>
            <w:tcW w:w="456" w:type="pct"/>
          </w:tcPr>
          <w:p w14:paraId="464DECED" w14:textId="77777777" w:rsidR="00C04B10" w:rsidRDefault="001148AB">
            <w:pPr>
              <w:pStyle w:val="DefaqtoTableBody2"/>
              <w:jc w:val="right"/>
            </w:pPr>
            <w:r>
              <w:t>100.00</w:t>
            </w:r>
          </w:p>
        </w:tc>
      </w:tr>
    </w:tbl>
    <w:p w14:paraId="75B0783D" w14:textId="77777777" w:rsidR="00C04B10" w:rsidRDefault="001148AB">
      <w:pPr>
        <w:pStyle w:val="Defaqtosmallprint"/>
      </w:pPr>
      <w:r>
        <w:rPr>
          <w:b/>
          <w:bCs/>
        </w:rPr>
        <w:t>[1] Defaqto Diamond Rating</w:t>
      </w:r>
      <w:r>
        <w:rPr>
          <w:b/>
          <w:bCs/>
        </w:rPr>
        <w:br/>
      </w:r>
      <w:r>
        <w:t>Diamond Ratings give managed funds an independent rating of 1 to 5 based on a detailed and well-structured scoring process allowing advisers and their clients to see where they sit in the market in terms of fund performance and competitiveness in other key areas such as cost, scale, access and manager longevity. 1 indicates the lowest rating across the characteristics and features while 5 is the highest.</w:t>
      </w:r>
    </w:p>
    <w:p w14:paraId="0E01B89F" w14:textId="77777777" w:rsidR="00C04B10" w:rsidRDefault="001148AB">
      <w:pPr>
        <w:pStyle w:val="Defaqtosmallprint"/>
      </w:pPr>
      <w:r>
        <w:t>Fund Diamond Ratings cover Multi Manager Funds across the 4 relevant IA sectors (Mixed 0-35%, Mixed 20-60%, Mixed 40-85% and Flexible), Directly invested funds across the 4 relevant IA sectors (Mixed 0-35%, Mixed 20-60%, Mixed 40-85% and Flexible) and Index Trackers.</w:t>
      </w:r>
    </w:p>
    <w:p w14:paraId="731453FF" w14:textId="77777777" w:rsidR="00C04B10" w:rsidRDefault="001148AB">
      <w:pPr>
        <w:pStyle w:val="Defaqtosmallprint"/>
      </w:pPr>
      <w:r>
        <w:rPr>
          <w:rFonts w:cs="Arial"/>
        </w:rPr>
        <w:t>Fund Family Diamond Ratings are split into Risk Targeted and Risk Focused ‘universes’, with the individual funds coming from the following IA sectors: Mixed 0-35%, Mixed 20-60%, Mixed 40-85%, Flexible, Specialist and Unclassified.</w:t>
      </w:r>
      <w:r>
        <w:t xml:space="preserve"> </w:t>
      </w:r>
      <w:r>
        <w:br/>
      </w:r>
      <w:r>
        <w:br/>
        <w:t xml:space="preserve">MPS Diamond Ratings are quantitative ratings to help identify the most consistent portfolios in terms of 1 year discrete risk adjusted returns, over the preceding 5 year period. Ratings of 1 to 5 correspond to a portfolio’s respective quintile within the portfolio’s Defaqto MPS Comparator peer group. For example, a rating of 5 represents the top 20% of portfolios that have experienced the most consistent risk adjusted returns, over the preceding 5 years discrete period, within the Defaqto MPS Comparator </w:t>
      </w:r>
      <w:r>
        <w:t>peer group.</w:t>
      </w:r>
    </w:p>
    <w:p w14:paraId="6DE74C3A" w14:textId="77777777" w:rsidR="00C04B10" w:rsidRDefault="001148AB">
      <w:pPr>
        <w:pStyle w:val="Defaqtosmallprint"/>
        <w:rPr>
          <w:rFonts w:eastAsia="Cambria"/>
        </w:rPr>
      </w:pPr>
      <w:r>
        <w:rPr>
          <w:b/>
          <w:bCs/>
        </w:rPr>
        <w:t>[2] Risk Controlled</w:t>
      </w:r>
      <w:r>
        <w:rPr>
          <w:b/>
          <w:bCs/>
        </w:rPr>
        <w:br/>
      </w:r>
      <w:r>
        <w:t>Risk controlled funds have been mandated to adhere to the Defaqto risk score it has been mapped against.</w:t>
      </w:r>
    </w:p>
    <w:p w14:paraId="5D64512B" w14:textId="77777777" w:rsidR="00C04B10" w:rsidRDefault="00C04B10">
      <w:pPr>
        <w:pStyle w:val="Defaqtosmallprint"/>
        <w:rPr>
          <w:lang w:val="en-NZ"/>
        </w:rPr>
      </w:pPr>
    </w:p>
    <w:p w14:paraId="6C8AC173" w14:textId="77777777" w:rsidR="00C04B10" w:rsidRDefault="001148AB">
      <w:pPr>
        <w:pStyle w:val="DefaqtoHeading3"/>
      </w:pPr>
      <w:bookmarkStart w:id="13" w:name="_Toc9"/>
      <w:r>
        <w:t>Risk level</w:t>
      </w:r>
      <w:bookmarkEnd w:id="13"/>
    </w:p>
    <w:p w14:paraId="222C4906" w14:textId="77777777" w:rsidR="00C04B10" w:rsidRDefault="001148AB">
      <w:pPr>
        <w:pStyle w:val="DefaqtoBody"/>
      </w:pPr>
      <w:r>
        <w:rPr>
          <w:lang w:val="en-NZ"/>
        </w:rPr>
        <w:t>The client’s agreed risk level is 4. The risk mapping of the new portfolio is 4 which matches the client’s agreed risk level.</w:t>
      </w:r>
    </w:p>
    <w:p w14:paraId="17FA228E" w14:textId="77777777" w:rsidR="00C04B10" w:rsidRDefault="00C04B10">
      <w:pPr>
        <w:pStyle w:val="Tag"/>
        <w:sectPr w:rsidR="00C04B10">
          <w:headerReference w:type="default" r:id="rId30"/>
          <w:footerReference w:type="default" r:id="rId31"/>
          <w:pgSz w:w="11907" w:h="16839" w:code="9"/>
          <w:pgMar w:top="709" w:right="640" w:bottom="376" w:left="640" w:header="200" w:footer="200" w:gutter="0"/>
          <w:cols w:space="708"/>
          <w:docGrid w:linePitch="360"/>
        </w:sectPr>
      </w:pPr>
    </w:p>
    <w:p w14:paraId="720C5DFA" w14:textId="77777777" w:rsidR="00C04B10" w:rsidRDefault="001148AB">
      <w:pPr>
        <w:pStyle w:val="DefaqtoHeading3"/>
      </w:pPr>
      <w:bookmarkStart w:id="14" w:name="_Toc10"/>
      <w:r>
        <w:lastRenderedPageBreak/>
        <w:t>Combined cumulative investment performance graph</w:t>
      </w:r>
      <w:bookmarkEnd w:id="14"/>
    </w:p>
    <w:p w14:paraId="5F7E2918" w14:textId="77777777" w:rsidR="00C04B10" w:rsidRDefault="001148AB">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to the performance date 02 December 2025.</w:t>
      </w:r>
    </w:p>
    <w:p w14:paraId="05FB5F81" w14:textId="77777777" w:rsidR="00C04B10" w:rsidRDefault="001148AB">
      <w:r>
        <w:rPr>
          <w:noProof/>
        </w:rPr>
        <w:drawing>
          <wp:inline distT="0" distB="0" distL="0" distR="0" wp14:anchorId="6781950A" wp14:editId="713F9A3D">
            <wp:extent cx="6731000" cy="4533900"/>
            <wp:effectExtent l="0" t="0" r="0" b="0"/>
            <wp:docPr id="17" name="Picture 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2"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C04B10" w14:paraId="47E2BC79"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178B8CEA" w14:textId="77777777" w:rsidR="00C04B10" w:rsidRDefault="001148AB">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5FA9B78F"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Combined</w:t>
            </w:r>
          </w:p>
        </w:tc>
        <w:tc>
          <w:tcPr>
            <w:tcW w:w="250" w:type="pct"/>
            <w:tcBorders>
              <w:bottom w:val="single" w:sz="4" w:space="0" w:color="B0A7CF"/>
            </w:tcBorders>
          </w:tcPr>
          <w:p w14:paraId="0CF3DEE4" w14:textId="77777777" w:rsidR="00C04B10" w:rsidRDefault="001148AB">
            <w:pPr>
              <w:cnfStyle w:val="100000000000" w:firstRow="1" w:lastRow="0" w:firstColumn="0" w:lastColumn="0" w:oddVBand="0" w:evenVBand="0" w:oddHBand="0" w:evenHBand="0" w:firstRowFirstColumn="0" w:firstRowLastColumn="0" w:lastRowFirstColumn="0" w:lastRowLastColumn="0"/>
              <w:rPr>
                <w:lang w:eastAsia="en-GB"/>
              </w:rPr>
            </w:pPr>
            <w:r>
              <w:rPr>
                <w:b w:val="0"/>
                <w:bCs w:val="0"/>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02BA8090"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Benchmark : Risk Level 4 Benchmark (GBP)</w:t>
            </w:r>
          </w:p>
        </w:tc>
      </w:tr>
    </w:tbl>
    <w:p w14:paraId="60655595" w14:textId="77777777" w:rsidR="00C04B10" w:rsidRDefault="001148AB">
      <w:pPr>
        <w:pStyle w:val="DefaqtoBody"/>
      </w:pPr>
      <w:r>
        <w:rPr>
          <w:u w:color="000000"/>
        </w:rPr>
        <w:t xml:space="preserve"> </w:t>
      </w:r>
    </w:p>
    <w:p w14:paraId="2A912DFD" w14:textId="77777777" w:rsidR="00C04B10" w:rsidRDefault="001148AB">
      <w:pPr>
        <w:pStyle w:val="DefaqtoHeading3"/>
      </w:pPr>
      <w:bookmarkStart w:id="15" w:name="_Toc11"/>
      <w:r>
        <w:t>Combined cumulative investment performance table</w:t>
      </w:r>
      <w:bookmarkEnd w:id="15"/>
    </w:p>
    <w:p w14:paraId="1E9E1C3A" w14:textId="77777777" w:rsidR="00C04B10" w:rsidRDefault="001148AB">
      <w:pPr>
        <w:pStyle w:val="DefaqtoBody"/>
      </w:pPr>
      <w:r>
        <w:rPr>
          <w:u w:color="000000"/>
        </w:rPr>
        <w:t>The table shows the combined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C04B10" w14:paraId="2BF29097"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32ADA454" w14:textId="77777777" w:rsidR="00C04B10" w:rsidRDefault="001148AB">
            <w:pPr>
              <w:pStyle w:val="DefaqtoTableBody2"/>
            </w:pPr>
            <w:r>
              <w:t>FUND</w:t>
            </w:r>
          </w:p>
        </w:tc>
        <w:tc>
          <w:tcPr>
            <w:tcW w:w="400" w:type="pct"/>
          </w:tcPr>
          <w:p w14:paraId="4A85FA64"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10E399EF"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069523DE"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228DBE69"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32CE95EA"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3A5A0EB2"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C04B10" w14:paraId="2BD24F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3A1C71A" w14:textId="77777777" w:rsidR="00C04B10" w:rsidRDefault="001148AB">
            <w:pPr>
              <w:pStyle w:val="DefaqtoTableBody2"/>
            </w:pPr>
            <w:r>
              <w:t>Combined Performance (GBP)</w:t>
            </w:r>
          </w:p>
        </w:tc>
        <w:tc>
          <w:tcPr>
            <w:tcW w:w="0" w:type="auto"/>
          </w:tcPr>
          <w:p w14:paraId="405FE68B"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5.58</w:t>
            </w:r>
          </w:p>
        </w:tc>
        <w:tc>
          <w:tcPr>
            <w:tcW w:w="0" w:type="auto"/>
          </w:tcPr>
          <w:p w14:paraId="3A1C41E1"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12.61</w:t>
            </w:r>
          </w:p>
        </w:tc>
        <w:tc>
          <w:tcPr>
            <w:tcW w:w="0" w:type="auto"/>
          </w:tcPr>
          <w:p w14:paraId="69183757"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11.92</w:t>
            </w:r>
          </w:p>
        </w:tc>
        <w:tc>
          <w:tcPr>
            <w:tcW w:w="0" w:type="auto"/>
          </w:tcPr>
          <w:p w14:paraId="6110064E"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33.59</w:t>
            </w:r>
          </w:p>
        </w:tc>
        <w:tc>
          <w:tcPr>
            <w:tcW w:w="0" w:type="auto"/>
          </w:tcPr>
          <w:p w14:paraId="3ECEC849"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36.21</w:t>
            </w:r>
          </w:p>
        </w:tc>
        <w:tc>
          <w:tcPr>
            <w:tcW w:w="0" w:type="auto"/>
          </w:tcPr>
          <w:p w14:paraId="1DE66C38"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70.66</w:t>
            </w:r>
          </w:p>
        </w:tc>
      </w:tr>
    </w:tbl>
    <w:p w14:paraId="3E485813" w14:textId="77777777" w:rsidR="00C04B10" w:rsidRDefault="00C04B10">
      <w:pPr>
        <w:pStyle w:val="DefaqtoBody"/>
        <w:rPr>
          <w:noProof/>
          <w:lang w:val="en-NZ"/>
        </w:rPr>
      </w:pPr>
    </w:p>
    <w:p w14:paraId="7867A6C4" w14:textId="77777777" w:rsidR="00C04B10" w:rsidRDefault="00C04B10">
      <w:pPr>
        <w:pStyle w:val="DefaqtoBody"/>
        <w:rPr>
          <w:noProof/>
          <w:lang w:val="en-NZ"/>
        </w:rPr>
      </w:pPr>
    </w:p>
    <w:p w14:paraId="3B75B38D" w14:textId="77777777" w:rsidR="00C04B10" w:rsidRDefault="00C04B10">
      <w:pPr>
        <w:pStyle w:val="DefaqtoBody"/>
        <w:rPr>
          <w:noProof/>
          <w:lang w:val="en-NZ"/>
        </w:rPr>
        <w:sectPr w:rsidR="00C04B10">
          <w:headerReference w:type="default" r:id="rId33"/>
          <w:footerReference w:type="default" r:id="rId34"/>
          <w:pgSz w:w="11906" w:h="16838"/>
          <w:pgMar w:top="709" w:right="640" w:bottom="376" w:left="640" w:header="200" w:footer="200" w:gutter="0"/>
          <w:cols w:space="708"/>
          <w:docGrid w:linePitch="360"/>
        </w:sectPr>
      </w:pPr>
    </w:p>
    <w:p w14:paraId="2D75F5ED" w14:textId="77777777" w:rsidR="00C04B10" w:rsidRDefault="001148AB">
      <w:pPr>
        <w:pStyle w:val="DefaqtoHeading3"/>
      </w:pPr>
      <w:bookmarkStart w:id="16" w:name="_Toc12"/>
      <w:r>
        <w:lastRenderedPageBreak/>
        <w:t>Individual cumulative investment performance graph</w:t>
      </w:r>
      <w:bookmarkEnd w:id="16"/>
    </w:p>
    <w:p w14:paraId="21684670" w14:textId="77777777" w:rsidR="00C04B10" w:rsidRDefault="001148AB">
      <w:pPr>
        <w:pStyle w:val="DefaqtoBody"/>
      </w:pPr>
      <w:r>
        <w:rPr>
          <w:u w:color="000000"/>
        </w:rPr>
        <w:t>The chart shows an investment’s performance, calculated as NAV to NAV/Bid to Bid/Closing Price to Closing Price, with dividends/distributions reinvested, including the effect of ongoing costs and charges. These figures are calculated to the performance date 02 December 2025.</w:t>
      </w:r>
    </w:p>
    <w:p w14:paraId="3862F926" w14:textId="77777777" w:rsidR="00C04B10" w:rsidRDefault="001148AB">
      <w:r>
        <w:rPr>
          <w:noProof/>
        </w:rPr>
        <w:drawing>
          <wp:inline distT="0" distB="0" distL="0" distR="0" wp14:anchorId="300D0ECC" wp14:editId="7FFD6CAA">
            <wp:extent cx="6731000" cy="4533900"/>
            <wp:effectExtent l="0" t="0" r="0" b="0"/>
            <wp:docPr id="19" name="Picture 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5" cstate="print"/>
                    <a:stretch>
                      <a:fillRect/>
                    </a:stretch>
                  </pic:blipFill>
                  <pic:spPr>
                    <a:xfrm>
                      <a:off x="0" y="0"/>
                      <a:ext cx="6731000" cy="4533900"/>
                    </a:xfrm>
                    <a:prstGeom prst="rect">
                      <a:avLst/>
                    </a:prstGeom>
                  </pic:spPr>
                </pic:pic>
              </a:graphicData>
            </a:graphic>
          </wp:inline>
        </w:drawing>
      </w:r>
    </w:p>
    <w:tbl>
      <w:tblPr>
        <w:tblStyle w:val="DefaqtoTable"/>
        <w:tblW w:w="5000" w:type="pct"/>
        <w:tblLook w:val="01E0" w:firstRow="1" w:lastRow="1" w:firstColumn="1" w:lastColumn="1" w:noHBand="0" w:noVBand="0"/>
      </w:tblPr>
      <w:tblGrid>
        <w:gridCol w:w="578"/>
        <w:gridCol w:w="4761"/>
        <w:gridCol w:w="515"/>
        <w:gridCol w:w="4762"/>
      </w:tblGrid>
      <w:tr w:rsidR="00C04B10" w14:paraId="1755DB2E"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 w:type="pct"/>
            <w:tcBorders>
              <w:bottom w:val="single" w:sz="4" w:space="0" w:color="B0A7CF"/>
            </w:tcBorders>
          </w:tcPr>
          <w:p w14:paraId="47FD0510" w14:textId="77777777" w:rsidR="00C04B10" w:rsidRDefault="001148AB">
            <w:pPr>
              <w:rPr>
                <w:lang w:eastAsia="en-GB"/>
              </w:rPr>
            </w:pPr>
            <w:r>
              <w:rPr>
                <w:rFonts w:ascii="Poppins" w:eastAsia="Poppins" w:hAnsi="Poppins" w:cs="Poppins"/>
                <w:color w:val="F26065"/>
                <w:sz w:val="18"/>
                <w:szCs w:val="18"/>
                <w:lang w:eastAsia="en-GB"/>
              </w:rPr>
              <w:t>━━</w:t>
            </w:r>
            <w:r>
              <w:rPr>
                <w:rFonts w:ascii="Poppins" w:eastAsia="Poppins" w:hAnsi="Poppins" w:cs="Poppins"/>
                <w:b w:val="0"/>
                <w:bCs w:val="0"/>
                <w:color w:val="000000"/>
                <w:sz w:val="16"/>
                <w:szCs w:val="16"/>
                <w:lang w:eastAsia="en-GB"/>
              </w:rPr>
              <w:t xml:space="preserve">   </w:t>
            </w:r>
          </w:p>
        </w:tc>
        <w:tc>
          <w:tcPr>
            <w:tcW w:w="2250" w:type="pct"/>
            <w:tcBorders>
              <w:bottom w:val="single" w:sz="4" w:space="0" w:color="B0A7CF"/>
            </w:tcBorders>
          </w:tcPr>
          <w:p w14:paraId="50B823FB"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Aviva Insured Funds Multi-asset Plus Fund II (GBP)</w:t>
            </w:r>
          </w:p>
        </w:tc>
        <w:tc>
          <w:tcPr>
            <w:tcW w:w="250" w:type="pct"/>
            <w:tcBorders>
              <w:bottom w:val="single" w:sz="4" w:space="0" w:color="B0A7CF"/>
            </w:tcBorders>
          </w:tcPr>
          <w:p w14:paraId="434946F9" w14:textId="77777777" w:rsidR="00C04B10" w:rsidRDefault="00C04B10">
            <w:pPr>
              <w:pStyle w:val="DefaqtoTableBody2"/>
              <w:cnfStyle w:val="100000000000" w:firstRow="1" w:lastRow="0" w:firstColumn="0" w:lastColumn="0" w:oddVBand="0" w:evenVBand="0" w:oddHBand="0" w:evenHBand="0" w:firstRowFirstColumn="0" w:firstRowLastColumn="0" w:lastRowFirstColumn="0" w:lastRowLastColumn="0"/>
            </w:pPr>
          </w:p>
        </w:tc>
        <w:tc>
          <w:tcPr>
            <w:tcW w:w="2250" w:type="pct"/>
            <w:tcBorders>
              <w:bottom w:val="single" w:sz="4" w:space="0" w:color="B0A7CF"/>
            </w:tcBorders>
          </w:tcPr>
          <w:p w14:paraId="6D34A2C9" w14:textId="77777777" w:rsidR="00C04B10" w:rsidRDefault="00C04B10">
            <w:pPr>
              <w:pStyle w:val="DefaqtoTableBody2"/>
              <w:cnfStyle w:val="100000000000" w:firstRow="1" w:lastRow="0" w:firstColumn="0" w:lastColumn="0" w:oddVBand="0" w:evenVBand="0" w:oddHBand="0" w:evenHBand="0" w:firstRowFirstColumn="0" w:firstRowLastColumn="0" w:lastRowFirstColumn="0" w:lastRowLastColumn="0"/>
            </w:pPr>
          </w:p>
        </w:tc>
      </w:tr>
    </w:tbl>
    <w:p w14:paraId="53C62563" w14:textId="77777777" w:rsidR="00C04B10" w:rsidRDefault="001148AB">
      <w:pPr>
        <w:pStyle w:val="DefaqtoBody"/>
      </w:pPr>
      <w:r>
        <w:rPr>
          <w:u w:color="000000"/>
        </w:rPr>
        <w:t xml:space="preserve"> </w:t>
      </w:r>
    </w:p>
    <w:p w14:paraId="73953136" w14:textId="77777777" w:rsidR="00C04B10" w:rsidRDefault="001148AB">
      <w:pPr>
        <w:pStyle w:val="DefaqtoHeading3"/>
      </w:pPr>
      <w:bookmarkStart w:id="17" w:name="_Toc13"/>
      <w:r>
        <w:t>Individual cumulative investment performance table</w:t>
      </w:r>
      <w:bookmarkEnd w:id="17"/>
    </w:p>
    <w:p w14:paraId="3D8DD430" w14:textId="77777777" w:rsidR="00C04B10" w:rsidRDefault="001148AB">
      <w:pPr>
        <w:pStyle w:val="DefaqtoBody"/>
      </w:pPr>
      <w:r>
        <w:rPr>
          <w:u w:color="000000"/>
        </w:rPr>
        <w:t>The table shows an investment’s performance, calculated as NAV to NAV/Bid to Bid/Closing Price to Closing Price, with dividends/distributions reinvested, including the effect of ongoing costs and charges. These figures are calculated to the month end performance date 31 October 2025.</w:t>
      </w:r>
    </w:p>
    <w:tbl>
      <w:tblPr>
        <w:tblStyle w:val="DefaqtoTable"/>
        <w:tblW w:w="5000" w:type="pct"/>
        <w:tblLook w:val="01E0" w:firstRow="1" w:lastRow="1" w:firstColumn="1" w:lastColumn="1" w:noHBand="0" w:noVBand="0"/>
      </w:tblPr>
      <w:tblGrid>
        <w:gridCol w:w="5521"/>
        <w:gridCol w:w="850"/>
        <w:gridCol w:w="849"/>
        <w:gridCol w:w="849"/>
        <w:gridCol w:w="849"/>
        <w:gridCol w:w="849"/>
        <w:gridCol w:w="849"/>
      </w:tblGrid>
      <w:tr w:rsidR="00C04B10" w14:paraId="7121AC30"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0" w:type="pct"/>
          </w:tcPr>
          <w:p w14:paraId="0511FAC0" w14:textId="77777777" w:rsidR="00C04B10" w:rsidRDefault="001148AB">
            <w:pPr>
              <w:pStyle w:val="DefaqtoTableBody2"/>
            </w:pPr>
            <w:r>
              <w:t>FUND</w:t>
            </w:r>
          </w:p>
        </w:tc>
        <w:tc>
          <w:tcPr>
            <w:tcW w:w="400" w:type="pct"/>
          </w:tcPr>
          <w:p w14:paraId="1DCD4BE7"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3M</w:t>
            </w:r>
          </w:p>
        </w:tc>
        <w:tc>
          <w:tcPr>
            <w:tcW w:w="400" w:type="pct"/>
          </w:tcPr>
          <w:p w14:paraId="67E5A093"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6M</w:t>
            </w:r>
          </w:p>
        </w:tc>
        <w:tc>
          <w:tcPr>
            <w:tcW w:w="400" w:type="pct"/>
          </w:tcPr>
          <w:p w14:paraId="6F4E286D"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1YR</w:t>
            </w:r>
          </w:p>
        </w:tc>
        <w:tc>
          <w:tcPr>
            <w:tcW w:w="400" w:type="pct"/>
          </w:tcPr>
          <w:p w14:paraId="2471D58F"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3YR</w:t>
            </w:r>
          </w:p>
        </w:tc>
        <w:tc>
          <w:tcPr>
            <w:tcW w:w="400" w:type="pct"/>
          </w:tcPr>
          <w:p w14:paraId="3E1AA172"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5YR</w:t>
            </w:r>
          </w:p>
        </w:tc>
        <w:tc>
          <w:tcPr>
            <w:tcW w:w="400" w:type="pct"/>
          </w:tcPr>
          <w:p w14:paraId="1EB06BBB" w14:textId="77777777" w:rsidR="00C04B10" w:rsidRDefault="001148AB">
            <w:pPr>
              <w:pStyle w:val="DefaqtoTableBody2"/>
              <w:jc w:val="right"/>
              <w:cnfStyle w:val="100000000000" w:firstRow="1" w:lastRow="0" w:firstColumn="0" w:lastColumn="0" w:oddVBand="0" w:evenVBand="0" w:oddHBand="0" w:evenHBand="0" w:firstRowFirstColumn="0" w:firstRowLastColumn="0" w:lastRowFirstColumn="0" w:lastRowLastColumn="0"/>
            </w:pPr>
            <w:r>
              <w:t>10YR</w:t>
            </w:r>
          </w:p>
        </w:tc>
      </w:tr>
      <w:tr w:rsidR="00C04B10" w14:paraId="437D60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D7A3AD" w14:textId="77777777" w:rsidR="00C04B10" w:rsidRDefault="001148AB">
            <w:pPr>
              <w:pStyle w:val="DefaqtoTableBody2"/>
            </w:pPr>
            <w:r>
              <w:t>Aviva Insured Funds Multi-asset Plus Fund II (GBP)</w:t>
            </w:r>
          </w:p>
        </w:tc>
        <w:tc>
          <w:tcPr>
            <w:tcW w:w="0" w:type="auto"/>
          </w:tcPr>
          <w:p w14:paraId="72AEEF99"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5.58</w:t>
            </w:r>
          </w:p>
        </w:tc>
        <w:tc>
          <w:tcPr>
            <w:tcW w:w="0" w:type="auto"/>
          </w:tcPr>
          <w:p w14:paraId="3C2AB2EC"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12.61</w:t>
            </w:r>
          </w:p>
        </w:tc>
        <w:tc>
          <w:tcPr>
            <w:tcW w:w="0" w:type="auto"/>
          </w:tcPr>
          <w:p w14:paraId="4D1EE8C4"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11.92</w:t>
            </w:r>
          </w:p>
        </w:tc>
        <w:tc>
          <w:tcPr>
            <w:tcW w:w="0" w:type="auto"/>
          </w:tcPr>
          <w:p w14:paraId="35D489A9"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33.59</w:t>
            </w:r>
          </w:p>
        </w:tc>
        <w:tc>
          <w:tcPr>
            <w:tcW w:w="0" w:type="auto"/>
          </w:tcPr>
          <w:p w14:paraId="35B1E5CC"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36.21</w:t>
            </w:r>
          </w:p>
        </w:tc>
        <w:tc>
          <w:tcPr>
            <w:tcW w:w="0" w:type="auto"/>
          </w:tcPr>
          <w:p w14:paraId="04C98EF1" w14:textId="77777777" w:rsidR="00C04B10" w:rsidRDefault="001148AB">
            <w:pPr>
              <w:pStyle w:val="DefaqtoTableBody2"/>
              <w:jc w:val="right"/>
              <w:cnfStyle w:val="000000100000" w:firstRow="0" w:lastRow="0" w:firstColumn="0" w:lastColumn="0" w:oddVBand="0" w:evenVBand="0" w:oddHBand="1" w:evenHBand="0" w:firstRowFirstColumn="0" w:firstRowLastColumn="0" w:lastRowFirstColumn="0" w:lastRowLastColumn="0"/>
            </w:pPr>
            <w:r>
              <w:t>70.66</w:t>
            </w:r>
          </w:p>
        </w:tc>
      </w:tr>
    </w:tbl>
    <w:p w14:paraId="3BDDD51D" w14:textId="77777777" w:rsidR="00C04B10" w:rsidRDefault="00C04B10">
      <w:pPr>
        <w:pStyle w:val="DefaqtoBody"/>
        <w:rPr>
          <w:noProof/>
          <w:lang w:val="en-NZ"/>
        </w:rPr>
      </w:pPr>
    </w:p>
    <w:p w14:paraId="48458E6E" w14:textId="77777777" w:rsidR="00C04B10" w:rsidRDefault="00C04B10">
      <w:pPr>
        <w:pStyle w:val="DefaqtoBody"/>
        <w:rPr>
          <w:noProof/>
          <w:lang w:val="en-NZ"/>
        </w:rPr>
        <w:sectPr w:rsidR="00C04B10">
          <w:headerReference w:type="default" r:id="rId35"/>
          <w:footerReference w:type="default" r:id="rId36"/>
          <w:pgSz w:w="11906" w:h="16838"/>
          <w:pgMar w:top="709" w:right="640" w:bottom="376" w:left="640" w:header="200" w:footer="200" w:gutter="0"/>
          <w:cols w:space="708"/>
          <w:docGrid w:linePitch="360"/>
        </w:sectPr>
      </w:pPr>
    </w:p>
    <w:p w14:paraId="2F75E415" w14:textId="77777777" w:rsidR="00C04B10" w:rsidRDefault="001148AB">
      <w:pPr>
        <w:pStyle w:val="DefaqtoHeading3"/>
      </w:pPr>
      <w:bookmarkStart w:id="18" w:name="_Toc14"/>
      <w:bookmarkStart w:id="19" w:name="_Hlk137725032"/>
      <w:r>
        <w:lastRenderedPageBreak/>
        <w:t>Combined discrete investment performance graph</w:t>
      </w:r>
      <w:bookmarkEnd w:id="18"/>
    </w:p>
    <w:p w14:paraId="58BBD677" w14:textId="77777777" w:rsidR="00C04B10" w:rsidRDefault="001148AB">
      <w:pPr>
        <w:pStyle w:val="DefaqtoBody"/>
      </w:pPr>
      <w:r>
        <w:rPr>
          <w:u w:color="000000"/>
        </w:rPr>
        <w:t>The chart shows the combined investments performance, calculated as NAV to NAV/Bid to Bid/Closing Price to Closing Price, with dividends/distributions reinvested, including the effect of ongoing costs and charges. These figures are calculated for calendar years and/or the period within the current year specified.</w:t>
      </w:r>
    </w:p>
    <w:p w14:paraId="391F6F18" w14:textId="77777777" w:rsidR="00C04B10" w:rsidRDefault="001148AB">
      <w:r>
        <w:rPr>
          <w:noProof/>
        </w:rPr>
        <w:drawing>
          <wp:inline distT="0" distB="0" distL="0" distR="0" wp14:anchorId="383EBDAE" wp14:editId="59FF82DE">
            <wp:extent cx="6731000" cy="4533900"/>
            <wp:effectExtent l="0" t="0" r="0" b="0"/>
            <wp:docPr id="21" name="Picture 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7" cstate="print"/>
                    <a:stretch>
                      <a:fillRect/>
                    </a:stretch>
                  </pic:blipFill>
                  <pic:spPr>
                    <a:xfrm>
                      <a:off x="0" y="0"/>
                      <a:ext cx="6731000" cy="4533900"/>
                    </a:xfrm>
                    <a:prstGeom prst="rect">
                      <a:avLst/>
                    </a:prstGeom>
                  </pic:spPr>
                </pic:pic>
              </a:graphicData>
            </a:graphic>
          </wp:inline>
        </w:drawing>
      </w:r>
    </w:p>
    <w:bookmarkEnd w:id="19"/>
    <w:p w14:paraId="05F5B9B9" w14:textId="77777777" w:rsidR="00C04B10" w:rsidRDefault="00C04B10">
      <w:pPr>
        <w:pStyle w:val="DefaqtoBody"/>
        <w:rPr>
          <w:noProof/>
          <w:lang w:val="en-NZ"/>
        </w:rPr>
      </w:pPr>
    </w:p>
    <w:p w14:paraId="3EE2A50E" w14:textId="77777777" w:rsidR="00C04B10" w:rsidRDefault="001148AB">
      <w:pPr>
        <w:pStyle w:val="DefaqtoHeading3"/>
      </w:pPr>
      <w:bookmarkStart w:id="20" w:name="_Toc15"/>
      <w:r>
        <w:t>Combined discrete investment performance table</w:t>
      </w:r>
      <w:bookmarkEnd w:id="20"/>
    </w:p>
    <w:p w14:paraId="17E2E26E" w14:textId="77777777" w:rsidR="00C04B10" w:rsidRDefault="00C04B10">
      <w:pPr>
        <w:pStyle w:val="DefaqtoBody"/>
      </w:pP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C04B10" w14:paraId="68CA57E7"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76154F5A" w14:textId="77777777" w:rsidR="00C04B10" w:rsidRDefault="001148AB">
            <w:pPr>
              <w:pStyle w:val="DefaqtoTableBody2"/>
            </w:pPr>
            <w:r>
              <w:t>Fund</w:t>
            </w:r>
          </w:p>
        </w:tc>
        <w:tc>
          <w:tcPr>
            <w:tcW w:w="500" w:type="pct"/>
          </w:tcPr>
          <w:p w14:paraId="2A923525"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460D9340"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11D6CAAE"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782A332C"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05FA2782"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C04B10" w14:paraId="08BFDF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9B232B" w14:textId="77777777" w:rsidR="00C04B10" w:rsidRDefault="001148AB">
            <w:pPr>
              <w:pStyle w:val="DefaqtoTableBody2"/>
            </w:pPr>
            <w:r>
              <w:t>Combined Discrete Performance (GBP)</w:t>
            </w:r>
          </w:p>
        </w:tc>
        <w:tc>
          <w:tcPr>
            <w:tcW w:w="0" w:type="auto"/>
          </w:tcPr>
          <w:p w14:paraId="1BA0F1D4"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6.91</w:t>
            </w:r>
          </w:p>
        </w:tc>
        <w:tc>
          <w:tcPr>
            <w:tcW w:w="0" w:type="auto"/>
          </w:tcPr>
          <w:p w14:paraId="086A1741"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-8.73</w:t>
            </w:r>
          </w:p>
        </w:tc>
        <w:tc>
          <w:tcPr>
            <w:tcW w:w="0" w:type="auto"/>
          </w:tcPr>
          <w:p w14:paraId="690AC5CB"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8.13</w:t>
            </w:r>
          </w:p>
        </w:tc>
        <w:tc>
          <w:tcPr>
            <w:tcW w:w="0" w:type="auto"/>
          </w:tcPr>
          <w:p w14:paraId="5D52EAE4"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10.02</w:t>
            </w:r>
          </w:p>
        </w:tc>
        <w:tc>
          <w:tcPr>
            <w:tcW w:w="0" w:type="auto"/>
          </w:tcPr>
          <w:p w14:paraId="510A071E"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11.01</w:t>
            </w:r>
          </w:p>
        </w:tc>
      </w:tr>
    </w:tbl>
    <w:p w14:paraId="43DB837B" w14:textId="77777777" w:rsidR="00C04B10" w:rsidRDefault="00C04B10">
      <w:pPr>
        <w:pStyle w:val="DefaqtoBody"/>
        <w:rPr>
          <w:noProof/>
          <w:lang w:val="en-NZ"/>
        </w:rPr>
      </w:pPr>
    </w:p>
    <w:p w14:paraId="574FD628" w14:textId="77777777" w:rsidR="00C04B10" w:rsidRDefault="001148AB">
      <w:pPr>
        <w:pStyle w:val="DefaqtoHeading3"/>
      </w:pPr>
      <w:bookmarkStart w:id="21" w:name="_Toc16"/>
      <w:r>
        <w:lastRenderedPageBreak/>
        <w:t>Individual discrete investment performance table</w:t>
      </w:r>
      <w:bookmarkEnd w:id="21"/>
    </w:p>
    <w:p w14:paraId="2CD79985" w14:textId="77777777" w:rsidR="00C04B10" w:rsidRDefault="001148AB">
      <w:pPr>
        <w:pStyle w:val="DefaqtoBody"/>
      </w:pPr>
      <w:r>
        <w:rPr>
          <w:u w:color="000000"/>
        </w:rPr>
        <w:t>The table shows an investments performance, calculated as NAV to NAV/Bid to Bid/Closing Price to Closing Price, with dividends / distributions reinvested, including the effect of ongoing costs and charges. These figures are calculated for calendar years and / or the period within the current year specified.</w:t>
      </w:r>
    </w:p>
    <w:tbl>
      <w:tblPr>
        <w:tblStyle w:val="DefaqtoTable"/>
        <w:tblW w:w="5000" w:type="pct"/>
        <w:tblLook w:val="01E0" w:firstRow="1" w:lastRow="1" w:firstColumn="1" w:lastColumn="1" w:noHBand="0" w:noVBand="0"/>
      </w:tblPr>
      <w:tblGrid>
        <w:gridCol w:w="5307"/>
        <w:gridCol w:w="1061"/>
        <w:gridCol w:w="1062"/>
        <w:gridCol w:w="1062"/>
        <w:gridCol w:w="1062"/>
        <w:gridCol w:w="1062"/>
      </w:tblGrid>
      <w:tr w:rsidR="00C04B10" w14:paraId="461932F8"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00" w:type="pct"/>
          </w:tcPr>
          <w:p w14:paraId="662946C0" w14:textId="77777777" w:rsidR="00C04B10" w:rsidRDefault="001148AB">
            <w:pPr>
              <w:pStyle w:val="DefaqtoTableBody2"/>
            </w:pPr>
            <w:r>
              <w:t>Fund</w:t>
            </w:r>
          </w:p>
        </w:tc>
        <w:tc>
          <w:tcPr>
            <w:tcW w:w="500" w:type="pct"/>
          </w:tcPr>
          <w:p w14:paraId="588C1FDF"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2021</w:t>
            </w:r>
          </w:p>
        </w:tc>
        <w:tc>
          <w:tcPr>
            <w:tcW w:w="500" w:type="pct"/>
          </w:tcPr>
          <w:p w14:paraId="12AF8BFA"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2022</w:t>
            </w:r>
          </w:p>
        </w:tc>
        <w:tc>
          <w:tcPr>
            <w:tcW w:w="500" w:type="pct"/>
          </w:tcPr>
          <w:p w14:paraId="7399A0C0"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2023</w:t>
            </w:r>
          </w:p>
        </w:tc>
        <w:tc>
          <w:tcPr>
            <w:tcW w:w="500" w:type="pct"/>
          </w:tcPr>
          <w:p w14:paraId="67B8E906"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2024</w:t>
            </w:r>
          </w:p>
        </w:tc>
        <w:tc>
          <w:tcPr>
            <w:tcW w:w="500" w:type="pct"/>
          </w:tcPr>
          <w:p w14:paraId="3BD06E03"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YTD</w:t>
            </w:r>
          </w:p>
        </w:tc>
      </w:tr>
      <w:tr w:rsidR="00C04B10" w14:paraId="069F3C5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C531AE" w14:textId="77777777" w:rsidR="00C04B10" w:rsidRDefault="001148AB">
            <w:pPr>
              <w:pStyle w:val="DefaqtoTableBody2"/>
            </w:pPr>
            <w:r>
              <w:t>Aviva Insured Funds Multi-asset Plus Fund II</w:t>
            </w:r>
          </w:p>
        </w:tc>
        <w:tc>
          <w:tcPr>
            <w:tcW w:w="0" w:type="auto"/>
          </w:tcPr>
          <w:p w14:paraId="5B0FB507"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6.91</w:t>
            </w:r>
          </w:p>
        </w:tc>
        <w:tc>
          <w:tcPr>
            <w:tcW w:w="0" w:type="auto"/>
          </w:tcPr>
          <w:p w14:paraId="04A0BF10"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-8.73</w:t>
            </w:r>
          </w:p>
        </w:tc>
        <w:tc>
          <w:tcPr>
            <w:tcW w:w="0" w:type="auto"/>
          </w:tcPr>
          <w:p w14:paraId="25CE8369"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8.13</w:t>
            </w:r>
          </w:p>
        </w:tc>
        <w:tc>
          <w:tcPr>
            <w:tcW w:w="0" w:type="auto"/>
          </w:tcPr>
          <w:p w14:paraId="7E940844"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10.02</w:t>
            </w:r>
          </w:p>
        </w:tc>
        <w:tc>
          <w:tcPr>
            <w:tcW w:w="0" w:type="auto"/>
          </w:tcPr>
          <w:p w14:paraId="100E1097"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11.01</w:t>
            </w:r>
          </w:p>
        </w:tc>
      </w:tr>
    </w:tbl>
    <w:p w14:paraId="25D9792B" w14:textId="77777777" w:rsidR="00C04B10" w:rsidRDefault="00C04B10">
      <w:pPr>
        <w:pStyle w:val="DefaqtoBody"/>
        <w:rPr>
          <w:noProof/>
          <w:lang w:val="en-NZ"/>
        </w:rPr>
      </w:pPr>
    </w:p>
    <w:p w14:paraId="230A31A0" w14:textId="77777777" w:rsidR="00C04B10" w:rsidRDefault="00C04B10">
      <w:pPr>
        <w:rPr>
          <w:noProof/>
        </w:rPr>
        <w:sectPr w:rsidR="00C04B10">
          <w:headerReference w:type="default" r:id="rId38"/>
          <w:footerReference w:type="default" r:id="rId39"/>
          <w:pgSz w:w="11906" w:h="16838"/>
          <w:pgMar w:top="709" w:right="640" w:bottom="376" w:left="640" w:header="200" w:footer="200" w:gutter="0"/>
          <w:cols w:space="708"/>
          <w:docGrid w:linePitch="360"/>
        </w:sectPr>
      </w:pPr>
    </w:p>
    <w:p w14:paraId="591E9A25" w14:textId="77777777" w:rsidR="00C04B10" w:rsidRDefault="001148AB">
      <w:pPr>
        <w:pStyle w:val="DefaqtoHeading3"/>
      </w:pPr>
      <w:bookmarkStart w:id="22" w:name="_Toc17"/>
      <w:r>
        <w:lastRenderedPageBreak/>
        <w:t>Combined top ten holdings</w:t>
      </w:r>
      <w:bookmarkEnd w:id="22"/>
    </w:p>
    <w:p w14:paraId="060C612D" w14:textId="77777777" w:rsidR="00C04B10" w:rsidRDefault="001148AB">
      <w:pPr>
        <w:pStyle w:val="DefaqtoBody"/>
        <w:rPr>
          <w:noProof/>
          <w:lang w:val="en-NZ"/>
        </w:rPr>
      </w:pPr>
      <w:r>
        <w:rPr>
          <w:rFonts w:eastAsia="Poppins" w:cs="Poppins"/>
        </w:rPr>
        <w:t>The table shows the combined investments top ten holdings for the portfolio.</w:t>
      </w:r>
      <w:r>
        <w:br/>
      </w:r>
    </w:p>
    <w:tbl>
      <w:tblPr>
        <w:tblStyle w:val="DefaqtoTable"/>
        <w:tblW w:w="5000" w:type="pct"/>
        <w:tblCellSpacing w:w="-20" w:type="dxa"/>
        <w:tblCellMar>
          <w:top w:w="15" w:type="dxa"/>
          <w:left w:w="15" w:type="dxa"/>
          <w:bottom w:w="15" w:type="dxa"/>
          <w:right w:w="15" w:type="dxa"/>
        </w:tblCellMar>
        <w:tblLook w:val="04A0" w:firstRow="1" w:lastRow="0" w:firstColumn="1" w:lastColumn="0" w:noHBand="0" w:noVBand="1"/>
      </w:tblPr>
      <w:tblGrid>
        <w:gridCol w:w="8230"/>
        <w:gridCol w:w="2386"/>
      </w:tblGrid>
      <w:tr w:rsidR="00C04B10" w14:paraId="1C4C8AC6" w14:textId="77777777" w:rsidTr="00C04B10">
        <w:trPr>
          <w:cnfStyle w:val="100000000000" w:firstRow="1" w:lastRow="0" w:firstColumn="0" w:lastColumn="0" w:oddVBand="0" w:evenVBand="0" w:oddHBand="0"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3F8A5C2" w14:textId="77777777" w:rsidR="00C04B10" w:rsidRDefault="001148AB">
            <w:pPr>
              <w:spacing w:before="60" w:after="20"/>
            </w:pPr>
            <w:r>
              <w:rPr>
                <w:rFonts w:ascii="Poppins" w:eastAsia="Poppins" w:hAnsi="Poppins" w:cs="Poppins"/>
                <w:sz w:val="16"/>
                <w:szCs w:val="16"/>
              </w:rPr>
              <w:t>Name</w:t>
            </w:r>
          </w:p>
        </w:tc>
        <w:tc>
          <w:tcPr>
            <w:tcW w:w="0" w:type="auto"/>
            <w:tcMar>
              <w:left w:w="110" w:type="dxa"/>
              <w:right w:w="110" w:type="dxa"/>
            </w:tcMar>
          </w:tcPr>
          <w:p w14:paraId="14FBD5FA" w14:textId="77777777" w:rsidR="00C04B10" w:rsidRDefault="001148AB">
            <w:pPr>
              <w:spacing w:before="60" w:after="20"/>
              <w:jc w:val="right"/>
              <w:cnfStyle w:val="100000000000" w:firstRow="1" w:lastRow="0" w:firstColumn="0" w:lastColumn="0" w:oddVBand="0" w:evenVBand="0" w:oddHBand="0" w:evenHBand="0" w:firstRowFirstColumn="0" w:firstRowLastColumn="0" w:lastRowFirstColumn="0" w:lastRowLastColumn="0"/>
            </w:pPr>
            <w:r>
              <w:rPr>
                <w:rFonts w:ascii="Poppins" w:eastAsia="Poppins" w:hAnsi="Poppins" w:cs="Poppins"/>
                <w:sz w:val="16"/>
                <w:szCs w:val="16"/>
              </w:rPr>
              <w:t>Portfolio %</w:t>
            </w:r>
          </w:p>
        </w:tc>
      </w:tr>
      <w:tr w:rsidR="00C04B10" w14:paraId="790D22A9" w14:textId="77777777" w:rsidTr="00C04B1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3F749530" w14:textId="77777777" w:rsidR="00C04B10" w:rsidRDefault="001148AB">
            <w:pPr>
              <w:spacing w:before="60" w:after="20"/>
            </w:pPr>
            <w:r>
              <w:rPr>
                <w:rFonts w:ascii="Poppins" w:eastAsia="Poppins" w:hAnsi="Poppins" w:cs="Poppins"/>
                <w:sz w:val="16"/>
                <w:szCs w:val="16"/>
              </w:rPr>
              <w:t>AI North Amer Eq Core FoF Acc</w:t>
            </w:r>
          </w:p>
        </w:tc>
        <w:tc>
          <w:tcPr>
            <w:tcW w:w="0" w:type="auto"/>
            <w:tcMar>
              <w:left w:w="110" w:type="dxa"/>
              <w:right w:w="110" w:type="dxa"/>
            </w:tcMar>
          </w:tcPr>
          <w:p w14:paraId="768C224F" w14:textId="77777777" w:rsidR="00C04B10" w:rsidRDefault="001148AB">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22.87</w:t>
            </w:r>
          </w:p>
        </w:tc>
      </w:tr>
      <w:tr w:rsidR="00C04B10" w14:paraId="1FAE6B5A" w14:textId="77777777" w:rsidTr="00C04B1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7F7B83E" w14:textId="77777777" w:rsidR="00C04B10" w:rsidRDefault="001148AB">
            <w:pPr>
              <w:spacing w:before="60" w:after="20"/>
            </w:pPr>
            <w:r>
              <w:rPr>
                <w:rFonts w:ascii="Poppins" w:eastAsia="Poppins" w:hAnsi="Poppins" w:cs="Poppins"/>
                <w:sz w:val="16"/>
                <w:szCs w:val="16"/>
              </w:rPr>
              <w:t>Aviva Investors Global Sov Bd Zh GBP Acc</w:t>
            </w:r>
          </w:p>
        </w:tc>
        <w:tc>
          <w:tcPr>
            <w:tcW w:w="0" w:type="auto"/>
            <w:tcMar>
              <w:left w:w="110" w:type="dxa"/>
              <w:right w:w="110" w:type="dxa"/>
            </w:tcMar>
          </w:tcPr>
          <w:p w14:paraId="4563C5F7" w14:textId="77777777" w:rsidR="00C04B10" w:rsidRDefault="001148AB">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12.53</w:t>
            </w:r>
          </w:p>
        </w:tc>
      </w:tr>
      <w:tr w:rsidR="00C04B10" w14:paraId="277BFBBC" w14:textId="77777777" w:rsidTr="00C04B1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01590E47" w14:textId="77777777" w:rsidR="00C04B10" w:rsidRDefault="001148AB">
            <w:pPr>
              <w:spacing w:before="60" w:after="20"/>
            </w:pPr>
            <w:r>
              <w:rPr>
                <w:rFonts w:ascii="Poppins" w:eastAsia="Poppins" w:hAnsi="Poppins" w:cs="Poppins"/>
                <w:sz w:val="16"/>
                <w:szCs w:val="16"/>
              </w:rPr>
              <w:t>Aviva Investors Multi-asset Core II D</w:t>
            </w:r>
          </w:p>
        </w:tc>
        <w:tc>
          <w:tcPr>
            <w:tcW w:w="0" w:type="auto"/>
            <w:tcMar>
              <w:left w:w="110" w:type="dxa"/>
              <w:right w:w="110" w:type="dxa"/>
            </w:tcMar>
          </w:tcPr>
          <w:p w14:paraId="50855E35" w14:textId="77777777" w:rsidR="00C04B10" w:rsidRDefault="001148AB">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9.78</w:t>
            </w:r>
          </w:p>
        </w:tc>
      </w:tr>
      <w:tr w:rsidR="00C04B10" w14:paraId="03257723" w14:textId="77777777" w:rsidTr="00C04B1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5A75307D" w14:textId="77777777" w:rsidR="00C04B10" w:rsidRDefault="001148AB">
            <w:pPr>
              <w:spacing w:before="60" w:after="20"/>
            </w:pPr>
            <w:r>
              <w:rPr>
                <w:rFonts w:ascii="Poppins" w:eastAsia="Poppins" w:hAnsi="Poppins" w:cs="Poppins"/>
                <w:sz w:val="16"/>
                <w:szCs w:val="16"/>
              </w:rPr>
              <w:t>Aviva Investors Gl InvmGrdCorpBd Zyh£Acc</w:t>
            </w:r>
          </w:p>
        </w:tc>
        <w:tc>
          <w:tcPr>
            <w:tcW w:w="0" w:type="auto"/>
            <w:tcMar>
              <w:left w:w="110" w:type="dxa"/>
              <w:right w:w="110" w:type="dxa"/>
            </w:tcMar>
          </w:tcPr>
          <w:p w14:paraId="5CD21967" w14:textId="77777777" w:rsidR="00C04B10" w:rsidRDefault="001148AB">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6.13</w:t>
            </w:r>
          </w:p>
        </w:tc>
      </w:tr>
      <w:tr w:rsidR="00C04B10" w14:paraId="26E9BD36" w14:textId="77777777" w:rsidTr="00C04B1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4F5830B6" w14:textId="77777777" w:rsidR="00C04B10" w:rsidRDefault="001148AB">
            <w:pPr>
              <w:spacing w:before="60" w:after="20"/>
            </w:pPr>
            <w:r>
              <w:rPr>
                <w:rFonts w:ascii="Poppins" w:eastAsia="Poppins" w:hAnsi="Poppins" w:cs="Poppins"/>
                <w:sz w:val="16"/>
                <w:szCs w:val="16"/>
              </w:rPr>
              <w:t>Aviva Investors Stlg Lqudty 9 GBP Inc</w:t>
            </w:r>
          </w:p>
        </w:tc>
        <w:tc>
          <w:tcPr>
            <w:tcW w:w="0" w:type="auto"/>
            <w:tcMar>
              <w:left w:w="110" w:type="dxa"/>
              <w:right w:w="110" w:type="dxa"/>
            </w:tcMar>
          </w:tcPr>
          <w:p w14:paraId="05519C67" w14:textId="77777777" w:rsidR="00C04B10" w:rsidRDefault="001148AB">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5.44</w:t>
            </w:r>
          </w:p>
        </w:tc>
      </w:tr>
      <w:tr w:rsidR="00C04B10" w14:paraId="7AC63E4B" w14:textId="77777777" w:rsidTr="00C04B1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700C9762" w14:textId="77777777" w:rsidR="00C04B10" w:rsidRDefault="001148AB">
            <w:pPr>
              <w:spacing w:before="60" w:after="20"/>
            </w:pPr>
            <w:r>
              <w:rPr>
                <w:rFonts w:ascii="Poppins" w:eastAsia="Poppins" w:hAnsi="Poppins" w:cs="Poppins"/>
                <w:sz w:val="16"/>
                <w:szCs w:val="16"/>
              </w:rPr>
              <w:t>Aviva Investors Mlt-Strat Trgt Ret 5£Acc</w:t>
            </w:r>
          </w:p>
        </w:tc>
        <w:tc>
          <w:tcPr>
            <w:tcW w:w="0" w:type="auto"/>
            <w:tcMar>
              <w:left w:w="110" w:type="dxa"/>
              <w:right w:w="110" w:type="dxa"/>
            </w:tcMar>
          </w:tcPr>
          <w:p w14:paraId="2E18717B" w14:textId="77777777" w:rsidR="00C04B10" w:rsidRDefault="001148AB">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4.86</w:t>
            </w:r>
          </w:p>
        </w:tc>
      </w:tr>
      <w:tr w:rsidR="00C04B10" w14:paraId="75E6785B" w14:textId="77777777" w:rsidTr="00C04B1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250AF72" w14:textId="77777777" w:rsidR="00C04B10" w:rsidRDefault="001148AB">
            <w:pPr>
              <w:spacing w:before="60" w:after="20"/>
            </w:pPr>
            <w:r>
              <w:rPr>
                <w:rFonts w:ascii="Poppins" w:eastAsia="Poppins" w:hAnsi="Poppins" w:cs="Poppins"/>
                <w:sz w:val="16"/>
                <w:szCs w:val="16"/>
              </w:rPr>
              <w:t>AI Europe Eq Ex UK Core FoF Acc</w:t>
            </w:r>
          </w:p>
        </w:tc>
        <w:tc>
          <w:tcPr>
            <w:tcW w:w="0" w:type="auto"/>
            <w:tcMar>
              <w:left w:w="110" w:type="dxa"/>
              <w:right w:w="110" w:type="dxa"/>
            </w:tcMar>
          </w:tcPr>
          <w:p w14:paraId="0C6766FC" w14:textId="77777777" w:rsidR="00C04B10" w:rsidRDefault="001148AB">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4.41</w:t>
            </w:r>
          </w:p>
        </w:tc>
      </w:tr>
      <w:tr w:rsidR="00C04B10" w14:paraId="7A2E7251" w14:textId="77777777" w:rsidTr="00C04B1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25A43EB6" w14:textId="77777777" w:rsidR="00C04B10" w:rsidRDefault="001148AB">
            <w:pPr>
              <w:spacing w:before="60" w:after="20"/>
            </w:pPr>
            <w:r>
              <w:rPr>
                <w:rFonts w:ascii="Poppins" w:eastAsia="Poppins" w:hAnsi="Poppins" w:cs="Poppins"/>
                <w:sz w:val="16"/>
                <w:szCs w:val="16"/>
              </w:rPr>
              <w:t>United States Treasury Notes 1.875%</w:t>
            </w:r>
          </w:p>
        </w:tc>
        <w:tc>
          <w:tcPr>
            <w:tcW w:w="0" w:type="auto"/>
            <w:tcMar>
              <w:left w:w="110" w:type="dxa"/>
              <w:right w:w="110" w:type="dxa"/>
            </w:tcMar>
          </w:tcPr>
          <w:p w14:paraId="29068524" w14:textId="77777777" w:rsidR="00C04B10" w:rsidRDefault="001148AB">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4.21</w:t>
            </w:r>
          </w:p>
        </w:tc>
      </w:tr>
      <w:tr w:rsidR="00C04B10" w14:paraId="2579C2F8" w14:textId="77777777" w:rsidTr="00C04B10">
        <w:trPr>
          <w:cnfStyle w:val="000000100000" w:firstRow="0" w:lastRow="0" w:firstColumn="0" w:lastColumn="0" w:oddVBand="0" w:evenVBand="0" w:oddHBand="1" w:evenHBand="0"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62E48F20" w14:textId="77777777" w:rsidR="00C04B10" w:rsidRDefault="001148AB">
            <w:pPr>
              <w:spacing w:before="60" w:after="20"/>
            </w:pPr>
            <w:r>
              <w:rPr>
                <w:rFonts w:ascii="Poppins" w:eastAsia="Poppins" w:hAnsi="Poppins" w:cs="Poppins"/>
                <w:sz w:val="16"/>
                <w:szCs w:val="16"/>
              </w:rPr>
              <w:t>AI Global Climate Credit Zh GBP</w:t>
            </w:r>
          </w:p>
        </w:tc>
        <w:tc>
          <w:tcPr>
            <w:tcW w:w="0" w:type="auto"/>
            <w:tcMar>
              <w:left w:w="110" w:type="dxa"/>
              <w:right w:w="110" w:type="dxa"/>
            </w:tcMar>
          </w:tcPr>
          <w:p w14:paraId="7553A8A5" w14:textId="77777777" w:rsidR="00C04B10" w:rsidRDefault="001148AB">
            <w:pPr>
              <w:spacing w:before="60" w:after="20"/>
              <w:jc w:val="right"/>
              <w:cnfStyle w:val="000000100000" w:firstRow="0" w:lastRow="0" w:firstColumn="0" w:lastColumn="0" w:oddVBand="0" w:evenVBand="0" w:oddHBand="1" w:evenHBand="0" w:firstRowFirstColumn="0" w:firstRowLastColumn="0" w:lastRowFirstColumn="0" w:lastRowLastColumn="0"/>
            </w:pPr>
            <w:r>
              <w:rPr>
                <w:rFonts w:ascii="Poppins" w:eastAsia="Poppins" w:hAnsi="Poppins" w:cs="Poppins"/>
                <w:sz w:val="16"/>
                <w:szCs w:val="16"/>
              </w:rPr>
              <w:t>4.08</w:t>
            </w:r>
          </w:p>
        </w:tc>
      </w:tr>
      <w:tr w:rsidR="00C04B10" w14:paraId="728E3455" w14:textId="77777777" w:rsidTr="00C04B10">
        <w:trPr>
          <w:cnfStyle w:val="000000010000" w:firstRow="0" w:lastRow="0" w:firstColumn="0" w:lastColumn="0" w:oddVBand="0" w:evenVBand="0" w:oddHBand="0" w:evenHBand="1" w:firstRowFirstColumn="0" w:firstRowLastColumn="0" w:lastRowFirstColumn="0" w:lastRowLastColumn="0"/>
          <w:tblCellSpacing w:w="-20" w:type="dxa"/>
        </w:trPr>
        <w:tc>
          <w:tcPr>
            <w:cnfStyle w:val="001000000000" w:firstRow="0" w:lastRow="0" w:firstColumn="1" w:lastColumn="0" w:oddVBand="0" w:evenVBand="0" w:oddHBand="0" w:evenHBand="0" w:firstRowFirstColumn="0" w:firstRowLastColumn="0" w:lastRowFirstColumn="0" w:lastRowLastColumn="0"/>
            <w:tcW w:w="0" w:type="auto"/>
            <w:tcMar>
              <w:left w:w="110" w:type="dxa"/>
              <w:right w:w="110" w:type="dxa"/>
            </w:tcMar>
          </w:tcPr>
          <w:p w14:paraId="4B3975D7" w14:textId="77777777" w:rsidR="00C04B10" w:rsidRDefault="001148AB">
            <w:pPr>
              <w:spacing w:before="60" w:after="20"/>
            </w:pPr>
            <w:r>
              <w:rPr>
                <w:rFonts w:ascii="Poppins" w:eastAsia="Poppins" w:hAnsi="Poppins" w:cs="Poppins"/>
                <w:sz w:val="16"/>
                <w:szCs w:val="16"/>
              </w:rPr>
              <w:t>Euro Schatz Future Dec 25</w:t>
            </w:r>
          </w:p>
        </w:tc>
        <w:tc>
          <w:tcPr>
            <w:tcW w:w="0" w:type="auto"/>
            <w:tcMar>
              <w:left w:w="110" w:type="dxa"/>
              <w:right w:w="110" w:type="dxa"/>
            </w:tcMar>
          </w:tcPr>
          <w:p w14:paraId="766A9976" w14:textId="77777777" w:rsidR="00C04B10" w:rsidRDefault="001148AB">
            <w:pPr>
              <w:spacing w:before="60" w:after="20"/>
              <w:jc w:val="right"/>
              <w:cnfStyle w:val="000000010000" w:firstRow="0" w:lastRow="0" w:firstColumn="0" w:lastColumn="0" w:oddVBand="0" w:evenVBand="0" w:oddHBand="0" w:evenHBand="1" w:firstRowFirstColumn="0" w:firstRowLastColumn="0" w:lastRowFirstColumn="0" w:lastRowLastColumn="0"/>
            </w:pPr>
            <w:r>
              <w:rPr>
                <w:rFonts w:ascii="Poppins" w:eastAsia="Poppins" w:hAnsi="Poppins" w:cs="Poppins"/>
                <w:sz w:val="16"/>
                <w:szCs w:val="16"/>
              </w:rPr>
              <w:t>-3.35</w:t>
            </w:r>
          </w:p>
        </w:tc>
      </w:tr>
    </w:tbl>
    <w:p w14:paraId="547A9371" w14:textId="77777777" w:rsidR="00C04B10" w:rsidRDefault="001148AB">
      <w:pPr>
        <w:spacing w:after="280" w:afterAutospacing="1"/>
        <w:sectPr w:rsidR="00C04B10">
          <w:headerReference w:type="default" r:id="rId40"/>
          <w:footerReference w:type="default" r:id="rId41"/>
          <w:pgSz w:w="11906" w:h="16838"/>
          <w:pgMar w:top="709" w:right="640" w:bottom="376" w:left="640" w:header="200" w:footer="200" w:gutter="0"/>
          <w:cols w:space="708"/>
          <w:docGrid w:linePitch="360"/>
        </w:sectPr>
      </w:pPr>
      <w:r>
        <w:rPr>
          <w:noProof/>
          <w:lang w:val="en-NZ"/>
        </w:rPr>
        <w:br/>
      </w:r>
    </w:p>
    <w:p w14:paraId="7D774BE9" w14:textId="77777777" w:rsidR="00C04B10" w:rsidRDefault="001148AB">
      <w:pPr>
        <w:pStyle w:val="DefaqtoHeading3"/>
        <w:rPr>
          <w:lang w:val="en-GB"/>
        </w:rPr>
      </w:pPr>
      <w:bookmarkStart w:id="23" w:name="_Toc18"/>
      <w:r>
        <w:lastRenderedPageBreak/>
        <w:t>Asset allocation</w:t>
      </w:r>
      <w:bookmarkEnd w:id="23"/>
    </w:p>
    <w:p w14:paraId="64A81F21" w14:textId="77777777" w:rsidR="00C04B10" w:rsidRDefault="00C04B10">
      <w:pPr>
        <w:pStyle w:val="DefaqtoBody"/>
        <w:rPr>
          <w:noProof/>
          <w:lang w:val="en-NZ"/>
        </w:rPr>
      </w:pPr>
    </w:p>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4275"/>
        <w:gridCol w:w="6351"/>
      </w:tblGrid>
      <w:tr w:rsidR="00C04B10" w14:paraId="32142876" w14:textId="77777777">
        <w:trPr>
          <w:tblCellSpacing w:w="15" w:type="dxa"/>
        </w:trPr>
        <w:tc>
          <w:tcPr>
            <w:tcW w:w="1000" w:type="pct"/>
          </w:tcPr>
          <w:p w14:paraId="20BF2E00" w14:textId="77777777" w:rsidR="00C04B10" w:rsidRDefault="001148AB">
            <w:pPr>
              <w:spacing w:after="0"/>
            </w:pPr>
            <w:r>
              <w:pict w14:anchorId="3A4C6381">
                <v:shape id="_x0000_i1036" type="#_x0000_t75" style="width:210pt;height:210pt;visibility:visible">
                  <v:imagedata r:id="rId14" o:title=""/>
                </v:shape>
              </w:pict>
            </w:r>
            <w:r>
              <w:rPr>
                <w:rFonts w:ascii="Poppins" w:eastAsia="Poppins" w:hAnsi="Poppins" w:cs="Poppins"/>
                <w:sz w:val="16"/>
                <w:szCs w:val="16"/>
              </w:rPr>
              <w:t xml:space="preserve"> </w:t>
            </w:r>
          </w:p>
        </w:tc>
        <w:tc>
          <w:tcPr>
            <w:tcW w:w="0" w:type="auto"/>
          </w:tcPr>
          <w:tbl>
            <w:tblPr>
              <w:tblW w:w="5000" w:type="pct"/>
              <w:tblCellSpacing w:w="15" w:type="dxa"/>
              <w:tblBorders>
                <w:top w:val="nil"/>
                <w:left w:val="nil"/>
                <w:bottom w:val="nil"/>
                <w:right w:val="nil"/>
                <w:insideH w:val="nil"/>
                <w:insideV w:val="nil"/>
              </w:tblBorders>
              <w:tblCellMar>
                <w:top w:w="15" w:type="dxa"/>
                <w:left w:w="15" w:type="dxa"/>
                <w:bottom w:w="15" w:type="dxa"/>
                <w:right w:w="15" w:type="dxa"/>
              </w:tblCellMar>
              <w:tblLook w:val="04A0" w:firstRow="1" w:lastRow="0" w:firstColumn="1" w:lastColumn="0" w:noHBand="0" w:noVBand="1"/>
            </w:tblPr>
            <w:tblGrid>
              <w:gridCol w:w="242"/>
              <w:gridCol w:w="3916"/>
              <w:gridCol w:w="701"/>
              <w:gridCol w:w="701"/>
              <w:gridCol w:w="716"/>
            </w:tblGrid>
            <w:tr w:rsidR="00C04B10" w14:paraId="0B6526BD" w14:textId="77777777">
              <w:trPr>
                <w:trHeight w:val="400"/>
                <w:tblCellSpacing w:w="15" w:type="dxa"/>
              </w:trPr>
              <w:tc>
                <w:tcPr>
                  <w:tcW w:w="120" w:type="dxa"/>
                  <w:gridSpan w:val="2"/>
                  <w:tcBorders>
                    <w:bottom w:val="single" w:sz="4" w:space="0" w:color="000000"/>
                  </w:tcBorders>
                </w:tcPr>
                <w:p w14:paraId="615476E3" w14:textId="77777777" w:rsidR="00C04B10" w:rsidRDefault="001148AB">
                  <w:pPr>
                    <w:spacing w:after="0" w:line="240" w:lineRule="auto"/>
                  </w:pPr>
                  <w:r>
                    <w:rPr>
                      <w:rFonts w:ascii="Poppins" w:eastAsia="Poppins" w:hAnsi="Poppins" w:cs="Poppins"/>
                      <w:b/>
                      <w:bCs/>
                      <w:sz w:val="16"/>
                      <w:szCs w:val="16"/>
                    </w:rPr>
                    <w:t>ASSET ALLOCATION</w:t>
                  </w:r>
                </w:p>
              </w:tc>
              <w:tc>
                <w:tcPr>
                  <w:tcW w:w="550" w:type="pct"/>
                  <w:tcBorders>
                    <w:bottom w:val="single" w:sz="4" w:space="0" w:color="000000"/>
                  </w:tcBorders>
                </w:tcPr>
                <w:p w14:paraId="0061C7D9" w14:textId="77777777" w:rsidR="00C04B10" w:rsidRDefault="001148AB">
                  <w:pPr>
                    <w:spacing w:after="0" w:line="240" w:lineRule="auto"/>
                    <w:jc w:val="right"/>
                  </w:pPr>
                  <w:r>
                    <w:rPr>
                      <w:rFonts w:ascii="Poppins" w:eastAsia="Poppins" w:hAnsi="Poppins" w:cs="Poppins"/>
                      <w:b/>
                      <w:bCs/>
                      <w:sz w:val="16"/>
                      <w:szCs w:val="16"/>
                    </w:rPr>
                    <w:t xml:space="preserve">NET %⁽¹⁾ </w:t>
                  </w:r>
                </w:p>
              </w:tc>
              <w:tc>
                <w:tcPr>
                  <w:tcW w:w="550" w:type="pct"/>
                  <w:tcBorders>
                    <w:bottom w:val="single" w:sz="4" w:space="0" w:color="000000"/>
                  </w:tcBorders>
                </w:tcPr>
                <w:p w14:paraId="423C7A17" w14:textId="77777777" w:rsidR="00C04B10" w:rsidRDefault="001148AB">
                  <w:pPr>
                    <w:spacing w:after="0" w:line="240" w:lineRule="auto"/>
                    <w:jc w:val="right"/>
                  </w:pPr>
                  <w:r>
                    <w:rPr>
                      <w:rFonts w:ascii="Poppins" w:eastAsia="Poppins" w:hAnsi="Poppins" w:cs="Poppins"/>
                      <w:b/>
                      <w:bCs/>
                      <w:sz w:val="16"/>
                      <w:szCs w:val="16"/>
                    </w:rPr>
                    <w:t>SHORT %</w:t>
                  </w:r>
                </w:p>
              </w:tc>
              <w:tc>
                <w:tcPr>
                  <w:tcW w:w="550" w:type="pct"/>
                  <w:tcBorders>
                    <w:bottom w:val="single" w:sz="4" w:space="0" w:color="000000"/>
                  </w:tcBorders>
                </w:tcPr>
                <w:p w14:paraId="2524AF48" w14:textId="77777777" w:rsidR="00C04B10" w:rsidRDefault="001148AB">
                  <w:pPr>
                    <w:spacing w:after="0" w:line="240" w:lineRule="auto"/>
                    <w:jc w:val="right"/>
                  </w:pPr>
                  <w:r>
                    <w:rPr>
                      <w:rFonts w:ascii="Poppins" w:eastAsia="Poppins" w:hAnsi="Poppins" w:cs="Poppins"/>
                      <w:b/>
                      <w:bCs/>
                      <w:sz w:val="16"/>
                      <w:szCs w:val="16"/>
                    </w:rPr>
                    <w:t>LONG %</w:t>
                  </w:r>
                </w:p>
              </w:tc>
            </w:tr>
            <w:tr w:rsidR="00C04B10" w14:paraId="7748B5A1" w14:textId="77777777">
              <w:trPr>
                <w:tblCellSpacing w:w="15" w:type="dxa"/>
              </w:trPr>
              <w:tc>
                <w:tcPr>
                  <w:tcW w:w="0" w:type="auto"/>
                  <w:vAlign w:val="center"/>
                </w:tcPr>
                <w:p w14:paraId="428BE25F" w14:textId="77777777" w:rsidR="00C04B10" w:rsidRDefault="001148AB">
                  <w:pPr>
                    <w:spacing w:after="0" w:line="240" w:lineRule="auto"/>
                  </w:pPr>
                  <w:r>
                    <w:rPr>
                      <w:rFonts w:ascii="Wingdings" w:eastAsia="Wingdings" w:hAnsi="Wingdings" w:cs="Wingdings"/>
                      <w:color w:val="A0A5A9"/>
                      <w:sz w:val="16"/>
                      <w:szCs w:val="16"/>
                    </w:rPr>
                    <w:t>l</w:t>
                  </w:r>
                </w:p>
              </w:tc>
              <w:tc>
                <w:tcPr>
                  <w:tcW w:w="0" w:type="auto"/>
                  <w:vAlign w:val="center"/>
                </w:tcPr>
                <w:p w14:paraId="0B783BD1" w14:textId="77777777" w:rsidR="00C04B10" w:rsidRDefault="001148AB">
                  <w:pPr>
                    <w:spacing w:after="0" w:line="240" w:lineRule="auto"/>
                  </w:pPr>
                  <w:r>
                    <w:rPr>
                      <w:rFonts w:ascii="Poppins" w:eastAsia="Poppins" w:hAnsi="Poppins" w:cs="Poppins"/>
                      <w:sz w:val="16"/>
                      <w:szCs w:val="16"/>
                    </w:rPr>
                    <w:t>Global (ex-UK) Fixed Income</w:t>
                  </w:r>
                </w:p>
              </w:tc>
              <w:tc>
                <w:tcPr>
                  <w:tcW w:w="550" w:type="pct"/>
                  <w:vAlign w:val="center"/>
                </w:tcPr>
                <w:p w14:paraId="1E9B8A95" w14:textId="77777777" w:rsidR="00C04B10" w:rsidRDefault="001148AB">
                  <w:pPr>
                    <w:spacing w:after="0" w:line="240" w:lineRule="auto"/>
                    <w:jc w:val="right"/>
                  </w:pPr>
                  <w:r>
                    <w:rPr>
                      <w:rFonts w:ascii="Poppins" w:eastAsia="Poppins" w:hAnsi="Poppins" w:cs="Poppins"/>
                      <w:sz w:val="16"/>
                      <w:szCs w:val="16"/>
                    </w:rPr>
                    <w:t>33.43</w:t>
                  </w:r>
                </w:p>
              </w:tc>
              <w:tc>
                <w:tcPr>
                  <w:tcW w:w="550" w:type="pct"/>
                  <w:vAlign w:val="center"/>
                </w:tcPr>
                <w:p w14:paraId="50203ECF" w14:textId="77777777" w:rsidR="00C04B10" w:rsidRDefault="001148AB">
                  <w:pPr>
                    <w:spacing w:after="0" w:line="240" w:lineRule="auto"/>
                    <w:jc w:val="right"/>
                  </w:pPr>
                  <w:r>
                    <w:rPr>
                      <w:rFonts w:ascii="Poppins" w:eastAsia="Poppins" w:hAnsi="Poppins" w:cs="Poppins"/>
                      <w:sz w:val="16"/>
                      <w:szCs w:val="16"/>
                    </w:rPr>
                    <w:t>-5.54</w:t>
                  </w:r>
                </w:p>
              </w:tc>
              <w:tc>
                <w:tcPr>
                  <w:tcW w:w="550" w:type="pct"/>
                  <w:vAlign w:val="center"/>
                </w:tcPr>
                <w:p w14:paraId="00166C63" w14:textId="77777777" w:rsidR="00C04B10" w:rsidRDefault="001148AB">
                  <w:pPr>
                    <w:spacing w:after="0" w:line="240" w:lineRule="auto"/>
                    <w:jc w:val="right"/>
                  </w:pPr>
                  <w:r>
                    <w:rPr>
                      <w:rFonts w:ascii="Poppins" w:eastAsia="Poppins" w:hAnsi="Poppins" w:cs="Poppins"/>
                      <w:sz w:val="16"/>
                      <w:szCs w:val="16"/>
                    </w:rPr>
                    <w:t>38.97</w:t>
                  </w:r>
                </w:p>
              </w:tc>
            </w:tr>
            <w:tr w:rsidR="00C04B10" w14:paraId="5CEEB437" w14:textId="77777777">
              <w:trPr>
                <w:tblCellSpacing w:w="15" w:type="dxa"/>
              </w:trPr>
              <w:tc>
                <w:tcPr>
                  <w:tcW w:w="0" w:type="auto"/>
                  <w:vAlign w:val="center"/>
                </w:tcPr>
                <w:p w14:paraId="3B6CCD03" w14:textId="77777777" w:rsidR="00C04B10" w:rsidRDefault="001148AB">
                  <w:pPr>
                    <w:spacing w:after="0" w:line="240" w:lineRule="auto"/>
                  </w:pPr>
                  <w:r>
                    <w:rPr>
                      <w:rFonts w:ascii="Wingdings" w:eastAsia="Wingdings" w:hAnsi="Wingdings" w:cs="Wingdings"/>
                      <w:color w:val="8E44AD"/>
                      <w:sz w:val="16"/>
                      <w:szCs w:val="16"/>
                    </w:rPr>
                    <w:t>l</w:t>
                  </w:r>
                </w:p>
              </w:tc>
              <w:tc>
                <w:tcPr>
                  <w:tcW w:w="0" w:type="auto"/>
                  <w:vAlign w:val="center"/>
                </w:tcPr>
                <w:p w14:paraId="5801C661" w14:textId="77777777" w:rsidR="00C04B10" w:rsidRDefault="001148AB">
                  <w:pPr>
                    <w:spacing w:after="0" w:line="240" w:lineRule="auto"/>
                  </w:pPr>
                  <w:r>
                    <w:rPr>
                      <w:rFonts w:ascii="Poppins" w:eastAsia="Poppins" w:hAnsi="Poppins" w:cs="Poppins"/>
                      <w:sz w:val="16"/>
                      <w:szCs w:val="16"/>
                    </w:rPr>
                    <w:t>North America Equity</w:t>
                  </w:r>
                </w:p>
              </w:tc>
              <w:tc>
                <w:tcPr>
                  <w:tcW w:w="550" w:type="pct"/>
                  <w:vAlign w:val="center"/>
                </w:tcPr>
                <w:p w14:paraId="57244C5B" w14:textId="77777777" w:rsidR="00C04B10" w:rsidRDefault="001148AB">
                  <w:pPr>
                    <w:spacing w:after="0" w:line="240" w:lineRule="auto"/>
                    <w:jc w:val="right"/>
                  </w:pPr>
                  <w:r>
                    <w:rPr>
                      <w:rFonts w:ascii="Poppins" w:eastAsia="Poppins" w:hAnsi="Poppins" w:cs="Poppins"/>
                      <w:sz w:val="16"/>
                      <w:szCs w:val="16"/>
                    </w:rPr>
                    <w:t>28.95</w:t>
                  </w:r>
                </w:p>
              </w:tc>
              <w:tc>
                <w:tcPr>
                  <w:tcW w:w="550" w:type="pct"/>
                  <w:vAlign w:val="center"/>
                </w:tcPr>
                <w:p w14:paraId="26922616"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4FCBEA77" w14:textId="77777777" w:rsidR="00C04B10" w:rsidRDefault="001148AB">
                  <w:pPr>
                    <w:spacing w:after="0" w:line="240" w:lineRule="auto"/>
                    <w:jc w:val="right"/>
                  </w:pPr>
                  <w:r>
                    <w:rPr>
                      <w:rFonts w:ascii="Poppins" w:eastAsia="Poppins" w:hAnsi="Poppins" w:cs="Poppins"/>
                      <w:sz w:val="16"/>
                      <w:szCs w:val="16"/>
                    </w:rPr>
                    <w:t>28.95</w:t>
                  </w:r>
                </w:p>
              </w:tc>
            </w:tr>
            <w:tr w:rsidR="00C04B10" w14:paraId="36C55970" w14:textId="77777777">
              <w:trPr>
                <w:tblCellSpacing w:w="15" w:type="dxa"/>
              </w:trPr>
              <w:tc>
                <w:tcPr>
                  <w:tcW w:w="0" w:type="auto"/>
                  <w:vAlign w:val="center"/>
                </w:tcPr>
                <w:p w14:paraId="4C848BC7" w14:textId="77777777" w:rsidR="00C04B10" w:rsidRDefault="001148AB">
                  <w:pPr>
                    <w:spacing w:after="0" w:line="240" w:lineRule="auto"/>
                  </w:pPr>
                  <w:r>
                    <w:rPr>
                      <w:rFonts w:ascii="Wingdings" w:eastAsia="Wingdings" w:hAnsi="Wingdings" w:cs="Wingdings"/>
                      <w:color w:val="3FC6D4"/>
                      <w:sz w:val="16"/>
                      <w:szCs w:val="16"/>
                    </w:rPr>
                    <w:t>l</w:t>
                  </w:r>
                </w:p>
              </w:tc>
              <w:tc>
                <w:tcPr>
                  <w:tcW w:w="0" w:type="auto"/>
                  <w:vAlign w:val="center"/>
                </w:tcPr>
                <w:p w14:paraId="13F33D6B" w14:textId="77777777" w:rsidR="00C04B10" w:rsidRDefault="001148AB">
                  <w:pPr>
                    <w:spacing w:after="0" w:line="240" w:lineRule="auto"/>
                  </w:pPr>
                  <w:r>
                    <w:rPr>
                      <w:rFonts w:ascii="Poppins" w:eastAsia="Poppins" w:hAnsi="Poppins" w:cs="Poppins"/>
                      <w:sz w:val="16"/>
                      <w:szCs w:val="16"/>
                    </w:rPr>
                    <w:t>Europe (ex-UK) Equity</w:t>
                  </w:r>
                </w:p>
              </w:tc>
              <w:tc>
                <w:tcPr>
                  <w:tcW w:w="550" w:type="pct"/>
                  <w:vAlign w:val="center"/>
                </w:tcPr>
                <w:p w14:paraId="7587E977" w14:textId="77777777" w:rsidR="00C04B10" w:rsidRDefault="001148AB">
                  <w:pPr>
                    <w:spacing w:after="0" w:line="240" w:lineRule="auto"/>
                    <w:jc w:val="right"/>
                  </w:pPr>
                  <w:r>
                    <w:rPr>
                      <w:rFonts w:ascii="Poppins" w:eastAsia="Poppins" w:hAnsi="Poppins" w:cs="Poppins"/>
                      <w:sz w:val="16"/>
                      <w:szCs w:val="16"/>
                    </w:rPr>
                    <w:t>6.99</w:t>
                  </w:r>
                </w:p>
              </w:tc>
              <w:tc>
                <w:tcPr>
                  <w:tcW w:w="550" w:type="pct"/>
                  <w:vAlign w:val="center"/>
                </w:tcPr>
                <w:p w14:paraId="7A1471E3"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7D6214D0" w14:textId="77777777" w:rsidR="00C04B10" w:rsidRDefault="001148AB">
                  <w:pPr>
                    <w:spacing w:after="0" w:line="240" w:lineRule="auto"/>
                    <w:jc w:val="right"/>
                  </w:pPr>
                  <w:r>
                    <w:rPr>
                      <w:rFonts w:ascii="Poppins" w:eastAsia="Poppins" w:hAnsi="Poppins" w:cs="Poppins"/>
                      <w:sz w:val="16"/>
                      <w:szCs w:val="16"/>
                    </w:rPr>
                    <w:t>6.99</w:t>
                  </w:r>
                </w:p>
              </w:tc>
            </w:tr>
            <w:tr w:rsidR="00C04B10" w14:paraId="21433128" w14:textId="77777777">
              <w:trPr>
                <w:tblCellSpacing w:w="15" w:type="dxa"/>
              </w:trPr>
              <w:tc>
                <w:tcPr>
                  <w:tcW w:w="0" w:type="auto"/>
                  <w:vAlign w:val="center"/>
                </w:tcPr>
                <w:p w14:paraId="4C04EA7D" w14:textId="77777777" w:rsidR="00C04B10" w:rsidRDefault="001148AB">
                  <w:pPr>
                    <w:spacing w:after="0" w:line="240" w:lineRule="auto"/>
                  </w:pPr>
                  <w:r>
                    <w:rPr>
                      <w:rFonts w:ascii="Wingdings" w:eastAsia="Wingdings" w:hAnsi="Wingdings" w:cs="Wingdings"/>
                      <w:color w:val="A1D6B5"/>
                      <w:sz w:val="16"/>
                      <w:szCs w:val="16"/>
                    </w:rPr>
                    <w:t>l</w:t>
                  </w:r>
                </w:p>
              </w:tc>
              <w:tc>
                <w:tcPr>
                  <w:tcW w:w="0" w:type="auto"/>
                  <w:vAlign w:val="center"/>
                </w:tcPr>
                <w:p w14:paraId="73A49E37" w14:textId="77777777" w:rsidR="00C04B10" w:rsidRDefault="001148AB">
                  <w:pPr>
                    <w:spacing w:after="0" w:line="240" w:lineRule="auto"/>
                  </w:pPr>
                  <w:r>
                    <w:rPr>
                      <w:rFonts w:ascii="Poppins" w:eastAsia="Poppins" w:hAnsi="Poppins" w:cs="Poppins"/>
                      <w:sz w:val="16"/>
                      <w:szCs w:val="16"/>
                    </w:rPr>
                    <w:t>Other</w:t>
                  </w:r>
                </w:p>
              </w:tc>
              <w:tc>
                <w:tcPr>
                  <w:tcW w:w="550" w:type="pct"/>
                  <w:vAlign w:val="center"/>
                </w:tcPr>
                <w:p w14:paraId="0D5697E6" w14:textId="77777777" w:rsidR="00C04B10" w:rsidRDefault="001148AB">
                  <w:pPr>
                    <w:spacing w:after="0" w:line="240" w:lineRule="auto"/>
                    <w:jc w:val="right"/>
                  </w:pPr>
                  <w:r>
                    <w:rPr>
                      <w:rFonts w:ascii="Poppins" w:eastAsia="Poppins" w:hAnsi="Poppins" w:cs="Poppins"/>
                      <w:sz w:val="16"/>
                      <w:szCs w:val="16"/>
                    </w:rPr>
                    <w:t>4.95</w:t>
                  </w:r>
                </w:p>
              </w:tc>
              <w:tc>
                <w:tcPr>
                  <w:tcW w:w="550" w:type="pct"/>
                  <w:vAlign w:val="center"/>
                </w:tcPr>
                <w:p w14:paraId="4E0E0608" w14:textId="77777777" w:rsidR="00C04B10" w:rsidRDefault="001148AB">
                  <w:pPr>
                    <w:spacing w:after="0" w:line="240" w:lineRule="auto"/>
                    <w:jc w:val="right"/>
                  </w:pPr>
                  <w:r>
                    <w:rPr>
                      <w:rFonts w:ascii="Poppins" w:eastAsia="Poppins" w:hAnsi="Poppins" w:cs="Poppins"/>
                      <w:sz w:val="16"/>
                      <w:szCs w:val="16"/>
                    </w:rPr>
                    <w:t>-64.73</w:t>
                  </w:r>
                </w:p>
              </w:tc>
              <w:tc>
                <w:tcPr>
                  <w:tcW w:w="550" w:type="pct"/>
                  <w:vAlign w:val="center"/>
                </w:tcPr>
                <w:p w14:paraId="0B0A3295" w14:textId="77777777" w:rsidR="00C04B10" w:rsidRDefault="001148AB">
                  <w:pPr>
                    <w:spacing w:after="0" w:line="240" w:lineRule="auto"/>
                    <w:jc w:val="right"/>
                  </w:pPr>
                  <w:r>
                    <w:rPr>
                      <w:rFonts w:ascii="Poppins" w:eastAsia="Poppins" w:hAnsi="Poppins" w:cs="Poppins"/>
                      <w:sz w:val="16"/>
                      <w:szCs w:val="16"/>
                    </w:rPr>
                    <w:t>69.68</w:t>
                  </w:r>
                </w:p>
              </w:tc>
            </w:tr>
            <w:tr w:rsidR="00C04B10" w14:paraId="6E2DC7C0" w14:textId="77777777">
              <w:trPr>
                <w:tblCellSpacing w:w="15" w:type="dxa"/>
              </w:trPr>
              <w:tc>
                <w:tcPr>
                  <w:tcW w:w="0" w:type="auto"/>
                  <w:vAlign w:val="center"/>
                </w:tcPr>
                <w:p w14:paraId="29C199C2" w14:textId="77777777" w:rsidR="00C04B10" w:rsidRDefault="001148AB">
                  <w:pPr>
                    <w:spacing w:after="0" w:line="240" w:lineRule="auto"/>
                  </w:pPr>
                  <w:r>
                    <w:rPr>
                      <w:rFonts w:ascii="Wingdings" w:eastAsia="Wingdings" w:hAnsi="Wingdings" w:cs="Wingdings"/>
                      <w:color w:val="6B4723"/>
                      <w:sz w:val="16"/>
                      <w:szCs w:val="16"/>
                    </w:rPr>
                    <w:t>l</w:t>
                  </w:r>
                </w:p>
              </w:tc>
              <w:tc>
                <w:tcPr>
                  <w:tcW w:w="0" w:type="auto"/>
                  <w:vAlign w:val="center"/>
                </w:tcPr>
                <w:p w14:paraId="0334733C" w14:textId="77777777" w:rsidR="00C04B10" w:rsidRDefault="001148AB">
                  <w:pPr>
                    <w:spacing w:after="0" w:line="240" w:lineRule="auto"/>
                  </w:pPr>
                  <w:r>
                    <w:rPr>
                      <w:rFonts w:ascii="Poppins" w:eastAsia="Poppins" w:hAnsi="Poppins" w:cs="Poppins"/>
                      <w:sz w:val="16"/>
                      <w:szCs w:val="16"/>
                    </w:rPr>
                    <w:t>Absolute Return</w:t>
                  </w:r>
                </w:p>
              </w:tc>
              <w:tc>
                <w:tcPr>
                  <w:tcW w:w="550" w:type="pct"/>
                  <w:vAlign w:val="center"/>
                </w:tcPr>
                <w:p w14:paraId="0E356A6A" w14:textId="77777777" w:rsidR="00C04B10" w:rsidRDefault="001148AB">
                  <w:pPr>
                    <w:spacing w:after="0" w:line="240" w:lineRule="auto"/>
                    <w:jc w:val="right"/>
                  </w:pPr>
                  <w:r>
                    <w:rPr>
                      <w:rFonts w:ascii="Poppins" w:eastAsia="Poppins" w:hAnsi="Poppins" w:cs="Poppins"/>
                      <w:sz w:val="16"/>
                      <w:szCs w:val="16"/>
                    </w:rPr>
                    <w:t>4.94</w:t>
                  </w:r>
                </w:p>
              </w:tc>
              <w:tc>
                <w:tcPr>
                  <w:tcW w:w="550" w:type="pct"/>
                  <w:vAlign w:val="center"/>
                </w:tcPr>
                <w:p w14:paraId="32401F08"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60F33B10" w14:textId="77777777" w:rsidR="00C04B10" w:rsidRDefault="001148AB">
                  <w:pPr>
                    <w:spacing w:after="0" w:line="240" w:lineRule="auto"/>
                    <w:jc w:val="right"/>
                  </w:pPr>
                  <w:r>
                    <w:rPr>
                      <w:rFonts w:ascii="Poppins" w:eastAsia="Poppins" w:hAnsi="Poppins" w:cs="Poppins"/>
                      <w:sz w:val="16"/>
                      <w:szCs w:val="16"/>
                    </w:rPr>
                    <w:t>4.94</w:t>
                  </w:r>
                </w:p>
              </w:tc>
            </w:tr>
            <w:tr w:rsidR="00C04B10" w14:paraId="654ECBC2" w14:textId="77777777">
              <w:trPr>
                <w:tblCellSpacing w:w="15" w:type="dxa"/>
              </w:trPr>
              <w:tc>
                <w:tcPr>
                  <w:tcW w:w="0" w:type="auto"/>
                  <w:vAlign w:val="center"/>
                </w:tcPr>
                <w:p w14:paraId="6D550303" w14:textId="77777777" w:rsidR="00C04B10" w:rsidRDefault="001148AB">
                  <w:pPr>
                    <w:spacing w:after="0" w:line="240" w:lineRule="auto"/>
                  </w:pPr>
                  <w:r>
                    <w:rPr>
                      <w:rFonts w:ascii="Wingdings" w:eastAsia="Wingdings" w:hAnsi="Wingdings" w:cs="Wingdings"/>
                      <w:color w:val="C0392B"/>
                      <w:sz w:val="16"/>
                      <w:szCs w:val="16"/>
                    </w:rPr>
                    <w:t>l</w:t>
                  </w:r>
                </w:p>
              </w:tc>
              <w:tc>
                <w:tcPr>
                  <w:tcW w:w="0" w:type="auto"/>
                  <w:vAlign w:val="center"/>
                </w:tcPr>
                <w:p w14:paraId="71618A70" w14:textId="77777777" w:rsidR="00C04B10" w:rsidRDefault="001148AB">
                  <w:pPr>
                    <w:spacing w:after="0" w:line="240" w:lineRule="auto"/>
                  </w:pPr>
                  <w:r>
                    <w:rPr>
                      <w:rFonts w:ascii="Poppins" w:eastAsia="Poppins" w:hAnsi="Poppins" w:cs="Poppins"/>
                      <w:sz w:val="16"/>
                      <w:szCs w:val="16"/>
                    </w:rPr>
                    <w:t>UK Corporate Bonds</w:t>
                  </w:r>
                </w:p>
              </w:tc>
              <w:tc>
                <w:tcPr>
                  <w:tcW w:w="550" w:type="pct"/>
                  <w:vAlign w:val="center"/>
                </w:tcPr>
                <w:p w14:paraId="4608F0BC" w14:textId="77777777" w:rsidR="00C04B10" w:rsidRDefault="001148AB">
                  <w:pPr>
                    <w:spacing w:after="0" w:line="240" w:lineRule="auto"/>
                    <w:jc w:val="right"/>
                  </w:pPr>
                  <w:r>
                    <w:rPr>
                      <w:rFonts w:ascii="Poppins" w:eastAsia="Poppins" w:hAnsi="Poppins" w:cs="Poppins"/>
                      <w:sz w:val="16"/>
                      <w:szCs w:val="16"/>
                    </w:rPr>
                    <w:t>4.58</w:t>
                  </w:r>
                </w:p>
              </w:tc>
              <w:tc>
                <w:tcPr>
                  <w:tcW w:w="550" w:type="pct"/>
                  <w:vAlign w:val="center"/>
                </w:tcPr>
                <w:p w14:paraId="6008347C"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35D2713C" w14:textId="77777777" w:rsidR="00C04B10" w:rsidRDefault="001148AB">
                  <w:pPr>
                    <w:spacing w:after="0" w:line="240" w:lineRule="auto"/>
                    <w:jc w:val="right"/>
                  </w:pPr>
                  <w:r>
                    <w:rPr>
                      <w:rFonts w:ascii="Poppins" w:eastAsia="Poppins" w:hAnsi="Poppins" w:cs="Poppins"/>
                      <w:sz w:val="16"/>
                      <w:szCs w:val="16"/>
                    </w:rPr>
                    <w:t>4.58</w:t>
                  </w:r>
                </w:p>
              </w:tc>
            </w:tr>
            <w:tr w:rsidR="00C04B10" w14:paraId="381198E2" w14:textId="77777777">
              <w:trPr>
                <w:tblCellSpacing w:w="15" w:type="dxa"/>
              </w:trPr>
              <w:tc>
                <w:tcPr>
                  <w:tcW w:w="0" w:type="auto"/>
                  <w:vAlign w:val="center"/>
                </w:tcPr>
                <w:p w14:paraId="1AEBBDD3" w14:textId="77777777" w:rsidR="00C04B10" w:rsidRDefault="001148AB">
                  <w:pPr>
                    <w:spacing w:after="0" w:line="240" w:lineRule="auto"/>
                  </w:pPr>
                  <w:r>
                    <w:rPr>
                      <w:rFonts w:ascii="Wingdings" w:eastAsia="Wingdings" w:hAnsi="Wingdings" w:cs="Wingdings"/>
                      <w:color w:val="D35400"/>
                      <w:sz w:val="16"/>
                      <w:szCs w:val="16"/>
                    </w:rPr>
                    <w:t>l</w:t>
                  </w:r>
                </w:p>
              </w:tc>
              <w:tc>
                <w:tcPr>
                  <w:tcW w:w="0" w:type="auto"/>
                  <w:vAlign w:val="center"/>
                </w:tcPr>
                <w:p w14:paraId="60DE1427" w14:textId="77777777" w:rsidR="00C04B10" w:rsidRDefault="001148AB">
                  <w:pPr>
                    <w:spacing w:after="0" w:line="240" w:lineRule="auto"/>
                  </w:pPr>
                  <w:r>
                    <w:rPr>
                      <w:rFonts w:ascii="Poppins" w:eastAsia="Poppins" w:hAnsi="Poppins" w:cs="Poppins"/>
                      <w:sz w:val="16"/>
                      <w:szCs w:val="16"/>
                    </w:rPr>
                    <w:t>UK Government Bonds</w:t>
                  </w:r>
                </w:p>
              </w:tc>
              <w:tc>
                <w:tcPr>
                  <w:tcW w:w="550" w:type="pct"/>
                  <w:vAlign w:val="center"/>
                </w:tcPr>
                <w:p w14:paraId="42B80777" w14:textId="77777777" w:rsidR="00C04B10" w:rsidRDefault="001148AB">
                  <w:pPr>
                    <w:spacing w:after="0" w:line="240" w:lineRule="auto"/>
                    <w:jc w:val="right"/>
                  </w:pPr>
                  <w:r>
                    <w:rPr>
                      <w:rFonts w:ascii="Poppins" w:eastAsia="Poppins" w:hAnsi="Poppins" w:cs="Poppins"/>
                      <w:sz w:val="16"/>
                      <w:szCs w:val="16"/>
                    </w:rPr>
                    <w:t>3.58</w:t>
                  </w:r>
                </w:p>
              </w:tc>
              <w:tc>
                <w:tcPr>
                  <w:tcW w:w="550" w:type="pct"/>
                  <w:vAlign w:val="center"/>
                </w:tcPr>
                <w:p w14:paraId="29033E44"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7C788EF7" w14:textId="77777777" w:rsidR="00C04B10" w:rsidRDefault="001148AB">
                  <w:pPr>
                    <w:spacing w:after="0" w:line="240" w:lineRule="auto"/>
                    <w:jc w:val="right"/>
                  </w:pPr>
                  <w:r>
                    <w:rPr>
                      <w:rFonts w:ascii="Poppins" w:eastAsia="Poppins" w:hAnsi="Poppins" w:cs="Poppins"/>
                      <w:sz w:val="16"/>
                      <w:szCs w:val="16"/>
                    </w:rPr>
                    <w:t>3.58</w:t>
                  </w:r>
                </w:p>
              </w:tc>
            </w:tr>
            <w:tr w:rsidR="00C04B10" w14:paraId="6D0C1854" w14:textId="77777777">
              <w:trPr>
                <w:tblCellSpacing w:w="15" w:type="dxa"/>
              </w:trPr>
              <w:tc>
                <w:tcPr>
                  <w:tcW w:w="0" w:type="auto"/>
                  <w:vAlign w:val="center"/>
                </w:tcPr>
                <w:p w14:paraId="1622F962" w14:textId="77777777" w:rsidR="00C04B10" w:rsidRDefault="001148AB">
                  <w:pPr>
                    <w:spacing w:after="0" w:line="240" w:lineRule="auto"/>
                  </w:pPr>
                  <w:r>
                    <w:rPr>
                      <w:rFonts w:ascii="Wingdings" w:eastAsia="Wingdings" w:hAnsi="Wingdings" w:cs="Wingdings"/>
                      <w:color w:val="16A085"/>
                      <w:sz w:val="16"/>
                      <w:szCs w:val="16"/>
                    </w:rPr>
                    <w:t>l</w:t>
                  </w:r>
                </w:p>
              </w:tc>
              <w:tc>
                <w:tcPr>
                  <w:tcW w:w="0" w:type="auto"/>
                  <w:vAlign w:val="center"/>
                </w:tcPr>
                <w:p w14:paraId="56C5F1ED" w14:textId="77777777" w:rsidR="00C04B10" w:rsidRDefault="001148AB">
                  <w:pPr>
                    <w:spacing w:after="0" w:line="240" w:lineRule="auto"/>
                  </w:pPr>
                  <w:r>
                    <w:rPr>
                      <w:rFonts w:ascii="Poppins" w:eastAsia="Poppins" w:hAnsi="Poppins" w:cs="Poppins"/>
                      <w:sz w:val="16"/>
                      <w:szCs w:val="16"/>
                    </w:rPr>
                    <w:t>Japan Equity</w:t>
                  </w:r>
                </w:p>
              </w:tc>
              <w:tc>
                <w:tcPr>
                  <w:tcW w:w="550" w:type="pct"/>
                  <w:vAlign w:val="center"/>
                </w:tcPr>
                <w:p w14:paraId="02DEFC53" w14:textId="77777777" w:rsidR="00C04B10" w:rsidRDefault="001148AB">
                  <w:pPr>
                    <w:spacing w:after="0" w:line="240" w:lineRule="auto"/>
                    <w:jc w:val="right"/>
                  </w:pPr>
                  <w:r>
                    <w:rPr>
                      <w:rFonts w:ascii="Poppins" w:eastAsia="Poppins" w:hAnsi="Poppins" w:cs="Poppins"/>
                      <w:sz w:val="16"/>
                      <w:szCs w:val="16"/>
                    </w:rPr>
                    <w:t>2.18</w:t>
                  </w:r>
                </w:p>
              </w:tc>
              <w:tc>
                <w:tcPr>
                  <w:tcW w:w="550" w:type="pct"/>
                  <w:vAlign w:val="center"/>
                </w:tcPr>
                <w:p w14:paraId="3F82ACDB"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132E29F3" w14:textId="77777777" w:rsidR="00C04B10" w:rsidRDefault="001148AB">
                  <w:pPr>
                    <w:spacing w:after="0" w:line="240" w:lineRule="auto"/>
                    <w:jc w:val="right"/>
                  </w:pPr>
                  <w:r>
                    <w:rPr>
                      <w:rFonts w:ascii="Poppins" w:eastAsia="Poppins" w:hAnsi="Poppins" w:cs="Poppins"/>
                      <w:sz w:val="16"/>
                      <w:szCs w:val="16"/>
                    </w:rPr>
                    <w:t>2.18</w:t>
                  </w:r>
                </w:p>
              </w:tc>
            </w:tr>
            <w:tr w:rsidR="00C04B10" w14:paraId="531AF850" w14:textId="77777777">
              <w:trPr>
                <w:tblCellSpacing w:w="15" w:type="dxa"/>
              </w:trPr>
              <w:tc>
                <w:tcPr>
                  <w:tcW w:w="0" w:type="auto"/>
                  <w:vAlign w:val="center"/>
                </w:tcPr>
                <w:p w14:paraId="040E528B" w14:textId="77777777" w:rsidR="00C04B10" w:rsidRDefault="001148AB">
                  <w:pPr>
                    <w:spacing w:after="0" w:line="240" w:lineRule="auto"/>
                  </w:pPr>
                  <w:r>
                    <w:rPr>
                      <w:rFonts w:ascii="Wingdings" w:eastAsia="Wingdings" w:hAnsi="Wingdings" w:cs="Wingdings"/>
                      <w:color w:val="2CABFF"/>
                      <w:sz w:val="16"/>
                      <w:szCs w:val="16"/>
                    </w:rPr>
                    <w:t>l</w:t>
                  </w:r>
                </w:p>
              </w:tc>
              <w:tc>
                <w:tcPr>
                  <w:tcW w:w="0" w:type="auto"/>
                  <w:vAlign w:val="center"/>
                </w:tcPr>
                <w:p w14:paraId="34815412" w14:textId="77777777" w:rsidR="00C04B10" w:rsidRDefault="001148AB">
                  <w:pPr>
                    <w:spacing w:after="0" w:line="240" w:lineRule="auto"/>
                  </w:pPr>
                  <w:r>
                    <w:rPr>
                      <w:rFonts w:ascii="Poppins" w:eastAsia="Poppins" w:hAnsi="Poppins" w:cs="Poppins"/>
                      <w:sz w:val="16"/>
                      <w:szCs w:val="16"/>
                    </w:rPr>
                    <w:t>Cash - Short Term Money Market</w:t>
                  </w:r>
                </w:p>
              </w:tc>
              <w:tc>
                <w:tcPr>
                  <w:tcW w:w="550" w:type="pct"/>
                  <w:vAlign w:val="center"/>
                </w:tcPr>
                <w:p w14:paraId="60830B82" w14:textId="77777777" w:rsidR="00C04B10" w:rsidRDefault="001148AB">
                  <w:pPr>
                    <w:spacing w:after="0" w:line="240" w:lineRule="auto"/>
                    <w:jc w:val="right"/>
                  </w:pPr>
                  <w:r>
                    <w:rPr>
                      <w:rFonts w:ascii="Poppins" w:eastAsia="Poppins" w:hAnsi="Poppins" w:cs="Poppins"/>
                      <w:sz w:val="16"/>
                      <w:szCs w:val="16"/>
                    </w:rPr>
                    <w:t>2.13</w:t>
                  </w:r>
                </w:p>
              </w:tc>
              <w:tc>
                <w:tcPr>
                  <w:tcW w:w="550" w:type="pct"/>
                  <w:vAlign w:val="center"/>
                </w:tcPr>
                <w:p w14:paraId="1E5D5352" w14:textId="77777777" w:rsidR="00C04B10" w:rsidRDefault="001148AB">
                  <w:pPr>
                    <w:spacing w:after="0" w:line="240" w:lineRule="auto"/>
                    <w:jc w:val="right"/>
                  </w:pPr>
                  <w:r>
                    <w:rPr>
                      <w:rFonts w:ascii="Poppins" w:eastAsia="Poppins" w:hAnsi="Poppins" w:cs="Poppins"/>
                      <w:sz w:val="16"/>
                      <w:szCs w:val="16"/>
                    </w:rPr>
                    <w:t>-5.80</w:t>
                  </w:r>
                </w:p>
              </w:tc>
              <w:tc>
                <w:tcPr>
                  <w:tcW w:w="550" w:type="pct"/>
                  <w:vAlign w:val="center"/>
                </w:tcPr>
                <w:p w14:paraId="7D522323" w14:textId="77777777" w:rsidR="00C04B10" w:rsidRDefault="001148AB">
                  <w:pPr>
                    <w:spacing w:after="0" w:line="240" w:lineRule="auto"/>
                    <w:jc w:val="right"/>
                  </w:pPr>
                  <w:r>
                    <w:rPr>
                      <w:rFonts w:ascii="Poppins" w:eastAsia="Poppins" w:hAnsi="Poppins" w:cs="Poppins"/>
                      <w:sz w:val="16"/>
                      <w:szCs w:val="16"/>
                    </w:rPr>
                    <w:t>7.93</w:t>
                  </w:r>
                </w:p>
              </w:tc>
            </w:tr>
            <w:tr w:rsidR="00C04B10" w14:paraId="6359440B" w14:textId="77777777">
              <w:trPr>
                <w:tblCellSpacing w:w="15" w:type="dxa"/>
              </w:trPr>
              <w:tc>
                <w:tcPr>
                  <w:tcW w:w="0" w:type="auto"/>
                  <w:vAlign w:val="center"/>
                </w:tcPr>
                <w:p w14:paraId="4CB505FB" w14:textId="77777777" w:rsidR="00C04B10" w:rsidRDefault="001148AB">
                  <w:pPr>
                    <w:spacing w:after="0" w:line="240" w:lineRule="auto"/>
                  </w:pPr>
                  <w:r>
                    <w:rPr>
                      <w:rFonts w:ascii="Wingdings" w:eastAsia="Wingdings" w:hAnsi="Wingdings" w:cs="Wingdings"/>
                      <w:color w:val="F39C12"/>
                      <w:sz w:val="16"/>
                      <w:szCs w:val="16"/>
                    </w:rPr>
                    <w:t>l</w:t>
                  </w:r>
                </w:p>
              </w:tc>
              <w:tc>
                <w:tcPr>
                  <w:tcW w:w="0" w:type="auto"/>
                  <w:vAlign w:val="center"/>
                </w:tcPr>
                <w:p w14:paraId="57B33DC2" w14:textId="77777777" w:rsidR="00C04B10" w:rsidRDefault="001148AB">
                  <w:pPr>
                    <w:spacing w:after="0" w:line="240" w:lineRule="auto"/>
                  </w:pPr>
                  <w:r>
                    <w:rPr>
                      <w:rFonts w:ascii="Poppins" w:eastAsia="Poppins" w:hAnsi="Poppins" w:cs="Poppins"/>
                      <w:sz w:val="16"/>
                      <w:szCs w:val="16"/>
                    </w:rPr>
                    <w:t>Developed Pacific (ex-Japan) Equity</w:t>
                  </w:r>
                </w:p>
              </w:tc>
              <w:tc>
                <w:tcPr>
                  <w:tcW w:w="550" w:type="pct"/>
                  <w:vAlign w:val="center"/>
                </w:tcPr>
                <w:p w14:paraId="12551193" w14:textId="77777777" w:rsidR="00C04B10" w:rsidRDefault="001148AB">
                  <w:pPr>
                    <w:spacing w:after="0" w:line="240" w:lineRule="auto"/>
                    <w:jc w:val="right"/>
                  </w:pPr>
                  <w:r>
                    <w:rPr>
                      <w:rFonts w:ascii="Poppins" w:eastAsia="Poppins" w:hAnsi="Poppins" w:cs="Poppins"/>
                      <w:sz w:val="16"/>
                      <w:szCs w:val="16"/>
                    </w:rPr>
                    <w:t>2.12</w:t>
                  </w:r>
                </w:p>
              </w:tc>
              <w:tc>
                <w:tcPr>
                  <w:tcW w:w="550" w:type="pct"/>
                  <w:vAlign w:val="center"/>
                </w:tcPr>
                <w:p w14:paraId="648FDC90"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7E0D67EF" w14:textId="77777777" w:rsidR="00C04B10" w:rsidRDefault="001148AB">
                  <w:pPr>
                    <w:spacing w:after="0" w:line="240" w:lineRule="auto"/>
                    <w:jc w:val="right"/>
                  </w:pPr>
                  <w:r>
                    <w:rPr>
                      <w:rFonts w:ascii="Poppins" w:eastAsia="Poppins" w:hAnsi="Poppins" w:cs="Poppins"/>
                      <w:sz w:val="16"/>
                      <w:szCs w:val="16"/>
                    </w:rPr>
                    <w:t>2.12</w:t>
                  </w:r>
                </w:p>
              </w:tc>
            </w:tr>
            <w:tr w:rsidR="00C04B10" w14:paraId="2D040BAD" w14:textId="77777777">
              <w:trPr>
                <w:tblCellSpacing w:w="15" w:type="dxa"/>
              </w:trPr>
              <w:tc>
                <w:tcPr>
                  <w:tcW w:w="0" w:type="auto"/>
                  <w:vAlign w:val="center"/>
                </w:tcPr>
                <w:p w14:paraId="72943C86" w14:textId="77777777" w:rsidR="00C04B10" w:rsidRDefault="001148AB">
                  <w:pPr>
                    <w:spacing w:after="0" w:line="240" w:lineRule="auto"/>
                  </w:pPr>
                  <w:r>
                    <w:rPr>
                      <w:rFonts w:ascii="Wingdings" w:eastAsia="Wingdings" w:hAnsi="Wingdings" w:cs="Wingdings"/>
                      <w:color w:val="727E7E"/>
                      <w:sz w:val="16"/>
                      <w:szCs w:val="16"/>
                    </w:rPr>
                    <w:t>l</w:t>
                  </w:r>
                </w:p>
              </w:tc>
              <w:tc>
                <w:tcPr>
                  <w:tcW w:w="0" w:type="auto"/>
                  <w:vAlign w:val="center"/>
                </w:tcPr>
                <w:p w14:paraId="3BE2DB6A" w14:textId="77777777" w:rsidR="00C04B10" w:rsidRDefault="001148AB">
                  <w:pPr>
                    <w:spacing w:after="0" w:line="240" w:lineRule="auto"/>
                  </w:pPr>
                  <w:r>
                    <w:rPr>
                      <w:rFonts w:ascii="Poppins" w:eastAsia="Poppins" w:hAnsi="Poppins" w:cs="Poppins"/>
                      <w:sz w:val="16"/>
                      <w:szCs w:val="16"/>
                    </w:rPr>
                    <w:t>Emerging Markets Equity</w:t>
                  </w:r>
                </w:p>
              </w:tc>
              <w:tc>
                <w:tcPr>
                  <w:tcW w:w="550" w:type="pct"/>
                  <w:vAlign w:val="center"/>
                </w:tcPr>
                <w:p w14:paraId="0908395E" w14:textId="77777777" w:rsidR="00C04B10" w:rsidRDefault="001148AB">
                  <w:pPr>
                    <w:spacing w:after="0" w:line="240" w:lineRule="auto"/>
                    <w:jc w:val="right"/>
                  </w:pPr>
                  <w:r>
                    <w:rPr>
                      <w:rFonts w:ascii="Poppins" w:eastAsia="Poppins" w:hAnsi="Poppins" w:cs="Poppins"/>
                      <w:sz w:val="16"/>
                      <w:szCs w:val="16"/>
                    </w:rPr>
                    <w:t>2.09</w:t>
                  </w:r>
                </w:p>
              </w:tc>
              <w:tc>
                <w:tcPr>
                  <w:tcW w:w="550" w:type="pct"/>
                  <w:vAlign w:val="center"/>
                </w:tcPr>
                <w:p w14:paraId="1B8D860B"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1F5C24FF" w14:textId="77777777" w:rsidR="00C04B10" w:rsidRDefault="001148AB">
                  <w:pPr>
                    <w:spacing w:after="0" w:line="240" w:lineRule="auto"/>
                    <w:jc w:val="right"/>
                  </w:pPr>
                  <w:r>
                    <w:rPr>
                      <w:rFonts w:ascii="Poppins" w:eastAsia="Poppins" w:hAnsi="Poppins" w:cs="Poppins"/>
                      <w:sz w:val="16"/>
                      <w:szCs w:val="16"/>
                    </w:rPr>
                    <w:t>2.09</w:t>
                  </w:r>
                </w:p>
              </w:tc>
            </w:tr>
            <w:tr w:rsidR="00C04B10" w14:paraId="766B4508" w14:textId="77777777">
              <w:trPr>
                <w:tblCellSpacing w:w="15" w:type="dxa"/>
              </w:trPr>
              <w:tc>
                <w:tcPr>
                  <w:tcW w:w="0" w:type="auto"/>
                  <w:vAlign w:val="center"/>
                </w:tcPr>
                <w:p w14:paraId="0F40B8CD" w14:textId="77777777" w:rsidR="00C04B10" w:rsidRDefault="001148AB">
                  <w:pPr>
                    <w:spacing w:after="0" w:line="240" w:lineRule="auto"/>
                  </w:pPr>
                  <w:r>
                    <w:rPr>
                      <w:rFonts w:ascii="Wingdings" w:eastAsia="Wingdings" w:hAnsi="Wingdings" w:cs="Wingdings"/>
                      <w:color w:val="E95F7A"/>
                      <w:sz w:val="16"/>
                      <w:szCs w:val="16"/>
                    </w:rPr>
                    <w:t>l</w:t>
                  </w:r>
                </w:p>
              </w:tc>
              <w:tc>
                <w:tcPr>
                  <w:tcW w:w="0" w:type="auto"/>
                  <w:vAlign w:val="center"/>
                </w:tcPr>
                <w:p w14:paraId="40FE58DB" w14:textId="77777777" w:rsidR="00C04B10" w:rsidRDefault="001148AB">
                  <w:pPr>
                    <w:spacing w:after="0" w:line="240" w:lineRule="auto"/>
                  </w:pPr>
                  <w:r>
                    <w:rPr>
                      <w:rFonts w:ascii="Poppins" w:eastAsia="Poppins" w:hAnsi="Poppins" w:cs="Poppins"/>
                      <w:sz w:val="16"/>
                      <w:szCs w:val="16"/>
                    </w:rPr>
                    <w:t>Commodities</w:t>
                  </w:r>
                </w:p>
              </w:tc>
              <w:tc>
                <w:tcPr>
                  <w:tcW w:w="550" w:type="pct"/>
                  <w:vAlign w:val="center"/>
                </w:tcPr>
                <w:p w14:paraId="78A38EDD" w14:textId="77777777" w:rsidR="00C04B10" w:rsidRDefault="001148AB">
                  <w:pPr>
                    <w:spacing w:after="0" w:line="240" w:lineRule="auto"/>
                    <w:jc w:val="right"/>
                  </w:pPr>
                  <w:r>
                    <w:rPr>
                      <w:rFonts w:ascii="Poppins" w:eastAsia="Poppins" w:hAnsi="Poppins" w:cs="Poppins"/>
                      <w:sz w:val="16"/>
                      <w:szCs w:val="16"/>
                    </w:rPr>
                    <w:t>2.03</w:t>
                  </w:r>
                </w:p>
              </w:tc>
              <w:tc>
                <w:tcPr>
                  <w:tcW w:w="550" w:type="pct"/>
                  <w:vAlign w:val="center"/>
                </w:tcPr>
                <w:p w14:paraId="35ACB52A"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3DAECFEB" w14:textId="77777777" w:rsidR="00C04B10" w:rsidRDefault="001148AB">
                  <w:pPr>
                    <w:spacing w:after="0" w:line="240" w:lineRule="auto"/>
                    <w:jc w:val="right"/>
                  </w:pPr>
                  <w:r>
                    <w:rPr>
                      <w:rFonts w:ascii="Poppins" w:eastAsia="Poppins" w:hAnsi="Poppins" w:cs="Poppins"/>
                      <w:sz w:val="16"/>
                      <w:szCs w:val="16"/>
                    </w:rPr>
                    <w:t>2.03</w:t>
                  </w:r>
                </w:p>
              </w:tc>
            </w:tr>
            <w:tr w:rsidR="00C04B10" w14:paraId="2C4BAA97" w14:textId="77777777">
              <w:trPr>
                <w:tblCellSpacing w:w="15" w:type="dxa"/>
              </w:trPr>
              <w:tc>
                <w:tcPr>
                  <w:tcW w:w="0" w:type="auto"/>
                  <w:vAlign w:val="center"/>
                </w:tcPr>
                <w:p w14:paraId="0C443BDF" w14:textId="77777777" w:rsidR="00C04B10" w:rsidRDefault="001148AB">
                  <w:pPr>
                    <w:spacing w:after="0" w:line="240" w:lineRule="auto"/>
                  </w:pPr>
                  <w:r>
                    <w:rPr>
                      <w:rFonts w:ascii="Wingdings" w:eastAsia="Wingdings" w:hAnsi="Wingdings" w:cs="Wingdings"/>
                      <w:color w:val="FFE382"/>
                      <w:sz w:val="16"/>
                      <w:szCs w:val="16"/>
                    </w:rPr>
                    <w:t>l</w:t>
                  </w:r>
                </w:p>
              </w:tc>
              <w:tc>
                <w:tcPr>
                  <w:tcW w:w="0" w:type="auto"/>
                  <w:vAlign w:val="center"/>
                </w:tcPr>
                <w:p w14:paraId="30B98625" w14:textId="77777777" w:rsidR="00C04B10" w:rsidRDefault="001148AB">
                  <w:pPr>
                    <w:spacing w:after="0" w:line="240" w:lineRule="auto"/>
                  </w:pPr>
                  <w:r>
                    <w:rPr>
                      <w:rFonts w:ascii="Poppins" w:eastAsia="Poppins" w:hAnsi="Poppins" w:cs="Poppins"/>
                      <w:sz w:val="16"/>
                      <w:szCs w:val="16"/>
                    </w:rPr>
                    <w:t>UK Equity</w:t>
                  </w:r>
                </w:p>
              </w:tc>
              <w:tc>
                <w:tcPr>
                  <w:tcW w:w="550" w:type="pct"/>
                  <w:vAlign w:val="center"/>
                </w:tcPr>
                <w:p w14:paraId="585C12C1" w14:textId="77777777" w:rsidR="00C04B10" w:rsidRDefault="001148AB">
                  <w:pPr>
                    <w:spacing w:after="0" w:line="240" w:lineRule="auto"/>
                    <w:jc w:val="right"/>
                  </w:pPr>
                  <w:r>
                    <w:rPr>
                      <w:rFonts w:ascii="Poppins" w:eastAsia="Poppins" w:hAnsi="Poppins" w:cs="Poppins"/>
                      <w:sz w:val="16"/>
                      <w:szCs w:val="16"/>
                    </w:rPr>
                    <w:t>2.02</w:t>
                  </w:r>
                </w:p>
              </w:tc>
              <w:tc>
                <w:tcPr>
                  <w:tcW w:w="550" w:type="pct"/>
                  <w:vAlign w:val="center"/>
                </w:tcPr>
                <w:p w14:paraId="5F4863BB"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7726F32B" w14:textId="77777777" w:rsidR="00C04B10" w:rsidRDefault="001148AB">
                  <w:pPr>
                    <w:spacing w:after="0" w:line="240" w:lineRule="auto"/>
                    <w:jc w:val="right"/>
                  </w:pPr>
                  <w:r>
                    <w:rPr>
                      <w:rFonts w:ascii="Poppins" w:eastAsia="Poppins" w:hAnsi="Poppins" w:cs="Poppins"/>
                      <w:sz w:val="16"/>
                      <w:szCs w:val="16"/>
                    </w:rPr>
                    <w:t>2.02</w:t>
                  </w:r>
                </w:p>
              </w:tc>
            </w:tr>
            <w:tr w:rsidR="00C04B10" w14:paraId="1E022A6A" w14:textId="77777777">
              <w:trPr>
                <w:tblCellSpacing w:w="15" w:type="dxa"/>
              </w:trPr>
              <w:tc>
                <w:tcPr>
                  <w:tcW w:w="0" w:type="auto"/>
                  <w:vAlign w:val="center"/>
                </w:tcPr>
                <w:p w14:paraId="6DDC20F8" w14:textId="77777777" w:rsidR="00C04B10" w:rsidRDefault="001148AB">
                  <w:pPr>
                    <w:spacing w:after="0" w:line="240" w:lineRule="auto"/>
                  </w:pPr>
                  <w:r>
                    <w:rPr>
                      <w:rFonts w:ascii="Wingdings" w:eastAsia="Wingdings" w:hAnsi="Wingdings" w:cs="Wingdings"/>
                      <w:color w:val="2C3E50"/>
                      <w:sz w:val="16"/>
                      <w:szCs w:val="16"/>
                    </w:rPr>
                    <w:t>l</w:t>
                  </w:r>
                </w:p>
              </w:tc>
              <w:tc>
                <w:tcPr>
                  <w:tcW w:w="0" w:type="auto"/>
                  <w:vAlign w:val="center"/>
                </w:tcPr>
                <w:p w14:paraId="30E9BA30" w14:textId="77777777" w:rsidR="00C04B10" w:rsidRDefault="001148AB">
                  <w:pPr>
                    <w:spacing w:after="0" w:line="240" w:lineRule="auto"/>
                  </w:pPr>
                  <w:r>
                    <w:rPr>
                      <w:rFonts w:ascii="Poppins" w:eastAsia="Poppins" w:hAnsi="Poppins" w:cs="Poppins"/>
                      <w:sz w:val="16"/>
                      <w:szCs w:val="16"/>
                    </w:rPr>
                    <w:t>Global Property</w:t>
                  </w:r>
                </w:p>
              </w:tc>
              <w:tc>
                <w:tcPr>
                  <w:tcW w:w="550" w:type="pct"/>
                  <w:vAlign w:val="center"/>
                </w:tcPr>
                <w:p w14:paraId="11989317" w14:textId="77777777" w:rsidR="00C04B10" w:rsidRDefault="001148AB">
                  <w:pPr>
                    <w:spacing w:after="0" w:line="240" w:lineRule="auto"/>
                    <w:jc w:val="right"/>
                  </w:pPr>
                  <w:r>
                    <w:rPr>
                      <w:rFonts w:ascii="Poppins" w:eastAsia="Poppins" w:hAnsi="Poppins" w:cs="Poppins"/>
                      <w:sz w:val="16"/>
                      <w:szCs w:val="16"/>
                    </w:rPr>
                    <w:t>0.02</w:t>
                  </w:r>
                </w:p>
              </w:tc>
              <w:tc>
                <w:tcPr>
                  <w:tcW w:w="550" w:type="pct"/>
                  <w:vAlign w:val="center"/>
                </w:tcPr>
                <w:p w14:paraId="254F900E" w14:textId="77777777" w:rsidR="00C04B10" w:rsidRDefault="001148AB">
                  <w:pPr>
                    <w:spacing w:after="0" w:line="240" w:lineRule="auto"/>
                    <w:jc w:val="right"/>
                  </w:pPr>
                  <w:r>
                    <w:rPr>
                      <w:rFonts w:ascii="Poppins" w:eastAsia="Poppins" w:hAnsi="Poppins" w:cs="Poppins"/>
                      <w:sz w:val="16"/>
                      <w:szCs w:val="16"/>
                    </w:rPr>
                    <w:t>0.00</w:t>
                  </w:r>
                </w:p>
              </w:tc>
              <w:tc>
                <w:tcPr>
                  <w:tcW w:w="550" w:type="pct"/>
                  <w:vAlign w:val="center"/>
                </w:tcPr>
                <w:p w14:paraId="7856337D" w14:textId="77777777" w:rsidR="00C04B10" w:rsidRDefault="001148AB">
                  <w:pPr>
                    <w:spacing w:after="0" w:line="240" w:lineRule="auto"/>
                    <w:jc w:val="right"/>
                  </w:pPr>
                  <w:r>
                    <w:rPr>
                      <w:rFonts w:ascii="Poppins" w:eastAsia="Poppins" w:hAnsi="Poppins" w:cs="Poppins"/>
                      <w:sz w:val="16"/>
                      <w:szCs w:val="16"/>
                    </w:rPr>
                    <w:t>0.02</w:t>
                  </w:r>
                </w:p>
              </w:tc>
            </w:tr>
          </w:tbl>
          <w:p w14:paraId="5421DC7A" w14:textId="77777777" w:rsidR="00C04B10" w:rsidRDefault="00C04B10">
            <w:pPr>
              <w:spacing w:after="0"/>
            </w:pPr>
          </w:p>
        </w:tc>
      </w:tr>
      <w:tr w:rsidR="00C04B10" w14:paraId="062A1FB1" w14:textId="77777777">
        <w:trPr>
          <w:tblCellSpacing w:w="15" w:type="dxa"/>
        </w:trPr>
        <w:tc>
          <w:tcPr>
            <w:tcW w:w="0" w:type="auto"/>
            <w:gridSpan w:val="2"/>
          </w:tcPr>
          <w:p w14:paraId="4A60FF2C" w14:textId="77777777" w:rsidR="00C04B10" w:rsidRDefault="001148AB">
            <w:pPr>
              <w:spacing w:after="0"/>
            </w:pPr>
            <w:r>
              <w:rPr>
                <w:rFonts w:ascii="Poppins" w:eastAsia="Poppins" w:hAnsi="Poppins" w:cs="Poppins"/>
                <w:sz w:val="16"/>
                <w:szCs w:val="16"/>
              </w:rPr>
              <w:t>⁽</w:t>
            </w:r>
            <w:r>
              <w:rPr>
                <w:rFonts w:ascii="Poppins" w:eastAsia="Poppins" w:hAnsi="Poppins" w:cs="Poppins"/>
                <w:sz w:val="16"/>
                <w:szCs w:val="16"/>
              </w:rPr>
              <w:t>¹⁾ Due to rounding there may be a discrepancy between the Long/Short % and the Net %.</w:t>
            </w:r>
          </w:p>
        </w:tc>
      </w:tr>
    </w:tbl>
    <w:p w14:paraId="190E8193" w14:textId="77777777" w:rsidR="00C04B10" w:rsidRDefault="00C04B10">
      <w:pPr>
        <w:spacing w:after="280" w:afterAutospacing="1"/>
        <w:sectPr w:rsidR="00C04B10">
          <w:headerReference w:type="default" r:id="rId42"/>
          <w:footerReference w:type="default" r:id="rId43"/>
          <w:pgSz w:w="11906" w:h="16838"/>
          <w:pgMar w:top="709" w:right="640" w:bottom="376" w:left="640" w:header="200" w:footer="200" w:gutter="0"/>
          <w:cols w:space="708"/>
          <w:docGrid w:linePitch="360"/>
        </w:sectPr>
      </w:pPr>
    </w:p>
    <w:p w14:paraId="5C8DA7B0" w14:textId="77777777" w:rsidR="00C04B10" w:rsidRDefault="001148AB">
      <w:pPr>
        <w:pStyle w:val="DefaqtoHeading2"/>
      </w:pPr>
      <w:bookmarkStart w:id="24" w:name="_Toc3558338"/>
      <w:r>
        <w:lastRenderedPageBreak/>
        <w:t>Filters</w:t>
      </w:r>
      <w:bookmarkEnd w:id="24"/>
    </w:p>
    <w:p w14:paraId="4166E91F" w14:textId="77777777" w:rsidR="00C04B10" w:rsidRDefault="001148AB">
      <w:pPr>
        <w:pStyle w:val="DefaqtoBody"/>
      </w:pPr>
      <w:r>
        <w:t xml:space="preserve">The following are the criteria applied to select the most suitable investments. </w:t>
      </w:r>
    </w:p>
    <w:p w14:paraId="240A3077" w14:textId="77777777" w:rsidR="00C04B10" w:rsidRDefault="00C04B10">
      <w:pPr>
        <w:spacing w:line="240" w:lineRule="auto"/>
      </w:pPr>
    </w:p>
    <w:tbl>
      <w:tblPr>
        <w:tblStyle w:val="Custom1"/>
        <w:tblW w:w="0" w:type="auto"/>
        <w:tblLook w:val="04A0" w:firstRow="1" w:lastRow="0" w:firstColumn="1" w:lastColumn="0" w:noHBand="0" w:noVBand="1"/>
      </w:tblPr>
      <w:tblGrid>
        <w:gridCol w:w="2117"/>
        <w:gridCol w:w="8329"/>
      </w:tblGrid>
      <w:tr w:rsidR="00C04B10" w14:paraId="1031F191"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35F215C8" w14:textId="77777777" w:rsidR="00C04B10" w:rsidRDefault="001148AB">
            <w:pPr>
              <w:pStyle w:val="DefaqtoTableBody2"/>
            </w:pPr>
            <w:r>
              <w:t>Investment(s)</w:t>
            </w:r>
          </w:p>
        </w:tc>
        <w:tc>
          <w:tcPr>
            <w:tcW w:w="8329" w:type="dxa"/>
          </w:tcPr>
          <w:p w14:paraId="233A5740"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Aviva Insured Funds Multi-asset Plus Fund II (GBP)</w:t>
            </w:r>
          </w:p>
        </w:tc>
      </w:tr>
      <w:tr w:rsidR="00C04B10" w14:paraId="3C078845"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670D0DCE" w14:textId="77777777" w:rsidR="00C04B10" w:rsidRDefault="001148AB">
            <w:pPr>
              <w:pStyle w:val="DefaqtoTableBody2"/>
            </w:pPr>
            <w:r>
              <w:t>Panel</w:t>
            </w:r>
          </w:p>
        </w:tc>
        <w:tc>
          <w:tcPr>
            <w:tcW w:w="8329" w:type="dxa"/>
          </w:tcPr>
          <w:p w14:paraId="7AD798A2"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TFAS</w:t>
            </w:r>
          </w:p>
        </w:tc>
      </w:tr>
      <w:tr w:rsidR="00C04B10" w14:paraId="30570399"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08039E01" w14:textId="77777777" w:rsidR="00C04B10" w:rsidRDefault="001148AB">
            <w:pPr>
              <w:pStyle w:val="DefaqtoTableBody2"/>
            </w:pPr>
            <w:r>
              <w:t>Filter settings</w:t>
            </w:r>
          </w:p>
        </w:tc>
        <w:tc>
          <w:tcPr>
            <w:tcW w:w="8329" w:type="dxa"/>
          </w:tcPr>
          <w:p w14:paraId="0DD1452A"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Currency is GBP</w:t>
            </w:r>
          </w:p>
        </w:tc>
      </w:tr>
      <w:tr w:rsidR="00C04B10" w14:paraId="7DD4A96C"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7" w:type="dxa"/>
          </w:tcPr>
          <w:p w14:paraId="1531C5EC" w14:textId="77777777" w:rsidR="00C04B10" w:rsidRDefault="001148AB">
            <w:pPr>
              <w:pStyle w:val="DefaqtoTableBody2"/>
            </w:pPr>
            <w:r>
              <w:t>Sort settings</w:t>
            </w:r>
          </w:p>
        </w:tc>
        <w:tc>
          <w:tcPr>
            <w:tcW w:w="8329" w:type="dxa"/>
          </w:tcPr>
          <w:p w14:paraId="3182B132"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None Applied</w:t>
            </w:r>
          </w:p>
        </w:tc>
      </w:tr>
    </w:tbl>
    <w:p w14:paraId="62748167" w14:textId="77777777" w:rsidR="00C04B10" w:rsidRDefault="001148AB">
      <w:pPr>
        <w:spacing w:line="240" w:lineRule="auto"/>
        <w:rPr>
          <w:color w:val="808080"/>
          <w:lang w:val="en-NZ"/>
        </w:rPr>
      </w:pPr>
      <w:r>
        <w:rPr>
          <w:color w:val="808080"/>
          <w:lang w:val="en-NZ"/>
        </w:rPr>
        <w:br/>
      </w:r>
    </w:p>
    <w:p w14:paraId="2A953F49" w14:textId="77777777" w:rsidR="00C04B10" w:rsidRDefault="00C04B10">
      <w:pPr>
        <w:pStyle w:val="Defaqtosmallprint"/>
      </w:pPr>
    </w:p>
    <w:p w14:paraId="3AA99874" w14:textId="77777777" w:rsidR="00C04B10" w:rsidRDefault="001148AB">
      <w:pPr>
        <w:pStyle w:val="DefaqtoHeading2"/>
      </w:pPr>
      <w:bookmarkStart w:id="25" w:name="_Toc3558339"/>
      <w:r>
        <w:t>Shortlist</w:t>
      </w:r>
      <w:bookmarkEnd w:id="25"/>
    </w:p>
    <w:p w14:paraId="174A782E" w14:textId="77777777" w:rsidR="00C04B10" w:rsidRDefault="001148AB">
      <w:pPr>
        <w:pStyle w:val="DefaqtoBody"/>
      </w:pPr>
      <w:r>
        <w:rPr>
          <w:lang w:val="en-NZ"/>
        </w:rPr>
        <w:t>8</w:t>
      </w:r>
      <w:r>
        <w:t xml:space="preserve"> </w:t>
      </w:r>
      <w:r>
        <w:rPr>
          <w:noProof/>
        </w:rPr>
        <w:t>investments</w:t>
      </w:r>
      <w:r>
        <w:t xml:space="preserve"> from a total of </w:t>
      </w:r>
      <w:r>
        <w:rPr>
          <w:lang w:val="en-NZ"/>
        </w:rPr>
        <w:t>8</w:t>
      </w:r>
      <w:r>
        <w:t xml:space="preserve"> risk level  </w:t>
      </w:r>
      <w:r>
        <w:rPr>
          <w:noProof/>
        </w:rPr>
        <w:t>investments</w:t>
      </w:r>
      <w:r>
        <w:t>, as rated by Defaqto, matched the filters applied.</w:t>
      </w:r>
    </w:p>
    <w:tbl>
      <w:tblPr>
        <w:tblStyle w:val="DefaqtoTable"/>
        <w:tblW w:w="5000" w:type="pct"/>
        <w:tblLayout w:type="fixed"/>
        <w:tblLook w:val="0420" w:firstRow="1" w:lastRow="0" w:firstColumn="0" w:lastColumn="0" w:noHBand="0" w:noVBand="1"/>
      </w:tblPr>
      <w:tblGrid>
        <w:gridCol w:w="3739"/>
        <w:gridCol w:w="2773"/>
        <w:gridCol w:w="1827"/>
        <w:gridCol w:w="1175"/>
        <w:gridCol w:w="1102"/>
      </w:tblGrid>
      <w:tr w:rsidR="00C04B10" w14:paraId="22455469" w14:textId="77777777" w:rsidTr="00C04B10">
        <w:trPr>
          <w:cnfStyle w:val="100000000000" w:firstRow="1" w:lastRow="0" w:firstColumn="0" w:lastColumn="0" w:oddVBand="0" w:evenVBand="0" w:oddHBand="0" w:evenHBand="0" w:firstRowFirstColumn="0" w:firstRowLastColumn="0" w:lastRowFirstColumn="0" w:lastRowLastColumn="0"/>
          <w:trHeight w:val="432"/>
        </w:trPr>
        <w:tc>
          <w:tcPr>
            <w:tcW w:w="3684" w:type="dxa"/>
            <w:hideMark/>
          </w:tcPr>
          <w:p w14:paraId="1EF12E9E" w14:textId="77777777" w:rsidR="00C04B10" w:rsidRDefault="001148AB">
            <w:pPr>
              <w:pStyle w:val="DefaqtoTableBody2"/>
              <w:rPr>
                <w:b w:val="0"/>
                <w:bCs w:val="0"/>
              </w:rPr>
            </w:pPr>
            <w:r>
              <w:t>Investment</w:t>
            </w:r>
          </w:p>
        </w:tc>
        <w:tc>
          <w:tcPr>
            <w:tcW w:w="2731" w:type="dxa"/>
            <w:hideMark/>
          </w:tcPr>
          <w:p w14:paraId="259615D4" w14:textId="77777777" w:rsidR="00C04B10" w:rsidRDefault="001148AB">
            <w:pPr>
              <w:pStyle w:val="DefaqtoTableBody2"/>
              <w:rPr>
                <w:b w:val="0"/>
                <w:bCs w:val="0"/>
              </w:rPr>
            </w:pPr>
            <w:r>
              <w:t>Provider</w:t>
            </w:r>
          </w:p>
        </w:tc>
        <w:tc>
          <w:tcPr>
            <w:tcW w:w="1799" w:type="dxa"/>
            <w:hideMark/>
          </w:tcPr>
          <w:p w14:paraId="09D022DC" w14:textId="77777777" w:rsidR="00C04B10" w:rsidRDefault="001148AB">
            <w:pPr>
              <w:pStyle w:val="DefaqtoTableBody2"/>
              <w:rPr>
                <w:b w:val="0"/>
                <w:bCs w:val="0"/>
              </w:rPr>
            </w:pPr>
            <w:r>
              <w:t>ISIN</w:t>
            </w:r>
          </w:p>
        </w:tc>
        <w:tc>
          <w:tcPr>
            <w:tcW w:w="1157" w:type="dxa"/>
          </w:tcPr>
          <w:p w14:paraId="10D61848" w14:textId="77777777" w:rsidR="00C04B10" w:rsidRDefault="001148AB">
            <w:pPr>
              <w:pStyle w:val="DefaqtoTableBody2"/>
              <w:rPr>
                <w:b w:val="0"/>
                <w:bCs w:val="0"/>
              </w:rPr>
            </w:pPr>
            <w:r>
              <w:t>Risk controlled</w:t>
            </w:r>
          </w:p>
        </w:tc>
        <w:tc>
          <w:tcPr>
            <w:tcW w:w="1085" w:type="dxa"/>
            <w:hideMark/>
          </w:tcPr>
          <w:p w14:paraId="006E4B24" w14:textId="77777777" w:rsidR="00C04B10" w:rsidRDefault="001148AB">
            <w:pPr>
              <w:pStyle w:val="DefaqtoTableBody2"/>
              <w:jc w:val="center"/>
              <w:rPr>
                <w:b w:val="0"/>
                <w:bCs w:val="0"/>
              </w:rPr>
            </w:pPr>
            <w:r>
              <w:t>Diamond rating</w:t>
            </w:r>
          </w:p>
        </w:tc>
      </w:tr>
      <w:tr w:rsidR="00C04B10" w14:paraId="66C16D85" w14:textId="77777777" w:rsidTr="00C04B1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58C3F9B0" w14:textId="77777777" w:rsidR="00C04B10" w:rsidRDefault="001148AB">
            <w:pPr>
              <w:pStyle w:val="DefaqtoTableBody2"/>
            </w:pPr>
            <w:r>
              <w:t>Aviva Investors Multi-asset Plus Fund II Class 2 GBP Acc</w:t>
            </w:r>
          </w:p>
        </w:tc>
        <w:tc>
          <w:tcPr>
            <w:tcW w:w="2731" w:type="dxa"/>
          </w:tcPr>
          <w:p w14:paraId="714ECD75" w14:textId="77777777" w:rsidR="00C04B10" w:rsidRDefault="001148AB">
            <w:pPr>
              <w:pStyle w:val="DefaqtoTableBody2"/>
            </w:pPr>
            <w:r>
              <w:t>Aviva Investors UK Fund Services Limited</w:t>
            </w:r>
          </w:p>
        </w:tc>
        <w:tc>
          <w:tcPr>
            <w:tcW w:w="1799" w:type="dxa"/>
          </w:tcPr>
          <w:p w14:paraId="772CF50A" w14:textId="77777777" w:rsidR="00C04B10" w:rsidRDefault="001148AB">
            <w:pPr>
              <w:pStyle w:val="DefaqtoTableBody2"/>
            </w:pPr>
            <w:r>
              <w:t>GB00B7JRQQ84</w:t>
            </w:r>
          </w:p>
        </w:tc>
        <w:tc>
          <w:tcPr>
            <w:tcW w:w="1157" w:type="dxa"/>
          </w:tcPr>
          <w:p w14:paraId="12C1846F" w14:textId="77777777" w:rsidR="00C04B10" w:rsidRDefault="001148AB">
            <w:pPr>
              <w:pStyle w:val="DefaqtoTableBody2"/>
            </w:pPr>
            <w:r>
              <w:pict w14:anchorId="1F921213">
                <v:shape id="_x0000_i1038" type="#_x0000_t75" style="width:33pt;height:30pt;visibility:visible">
                  <v:imagedata r:id="rId28" o:title=""/>
                </v:shape>
              </w:pict>
            </w:r>
          </w:p>
        </w:tc>
        <w:tc>
          <w:tcPr>
            <w:tcW w:w="1085" w:type="dxa"/>
          </w:tcPr>
          <w:p w14:paraId="25025D49" w14:textId="77777777" w:rsidR="00C04B10" w:rsidRDefault="001148AB">
            <w:pPr>
              <w:pStyle w:val="DefaqtoTableBody2"/>
              <w:jc w:val="center"/>
            </w:pPr>
            <w:r>
              <w:pict w14:anchorId="41CC1DF2">
                <v:shape id="_x0000_i1039" type="#_x0000_t75" style="width:.6pt;height:.6pt;visibility:visible">
                  <v:imagedata r:id="rId29" o:title=""/>
                </v:shape>
              </w:pict>
            </w:r>
            <w:r>
              <w:t>N/A</w:t>
            </w:r>
          </w:p>
        </w:tc>
      </w:tr>
      <w:tr w:rsidR="00C04B10" w14:paraId="0F521E3B" w14:textId="77777777" w:rsidTr="00C04B1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25936368" w14:textId="77777777" w:rsidR="00C04B10" w:rsidRDefault="001148AB">
            <w:pPr>
              <w:pStyle w:val="DefaqtoTableBody2"/>
            </w:pPr>
            <w:r>
              <w:t>CT Sustainable Universal MAP Cautious C Acc</w:t>
            </w:r>
          </w:p>
        </w:tc>
        <w:tc>
          <w:tcPr>
            <w:tcW w:w="2731" w:type="dxa"/>
          </w:tcPr>
          <w:p w14:paraId="22594953" w14:textId="77777777" w:rsidR="00C04B10" w:rsidRDefault="001148AB">
            <w:pPr>
              <w:pStyle w:val="DefaqtoTableBody2"/>
            </w:pPr>
            <w:r>
              <w:t>Columbia Threadneedle Fund Management Limited</w:t>
            </w:r>
          </w:p>
        </w:tc>
        <w:tc>
          <w:tcPr>
            <w:tcW w:w="1799" w:type="dxa"/>
          </w:tcPr>
          <w:p w14:paraId="565EC600" w14:textId="77777777" w:rsidR="00C04B10" w:rsidRDefault="001148AB">
            <w:pPr>
              <w:pStyle w:val="DefaqtoTableBody2"/>
            </w:pPr>
            <w:r>
              <w:t>GB00BKV44647</w:t>
            </w:r>
          </w:p>
        </w:tc>
        <w:tc>
          <w:tcPr>
            <w:tcW w:w="1157" w:type="dxa"/>
          </w:tcPr>
          <w:p w14:paraId="0CDEC778" w14:textId="77777777" w:rsidR="00C04B10" w:rsidRDefault="001148AB">
            <w:pPr>
              <w:pStyle w:val="DefaqtoTableBody2"/>
            </w:pPr>
            <w:r>
              <w:pict w14:anchorId="4EA5ABD9">
                <v:shape id="_x0000_i1040" type="#_x0000_t75" style="width:33pt;height:30pt;visibility:visible">
                  <v:imagedata r:id="rId28" o:title=""/>
                </v:shape>
              </w:pict>
            </w:r>
          </w:p>
        </w:tc>
        <w:tc>
          <w:tcPr>
            <w:tcW w:w="1085" w:type="dxa"/>
          </w:tcPr>
          <w:p w14:paraId="5996F56C" w14:textId="77777777" w:rsidR="00C04B10" w:rsidRDefault="001148AB">
            <w:pPr>
              <w:pStyle w:val="DefaqtoTableBody2"/>
              <w:jc w:val="center"/>
            </w:pPr>
            <w:r>
              <w:pict w14:anchorId="44BE82FE">
                <v:shape id="_x0000_i1041" type="#_x0000_t75" style="width:.6pt;height:.6pt;visibility:visible">
                  <v:imagedata r:id="rId29" o:title=""/>
                </v:shape>
              </w:pict>
            </w:r>
            <w:r>
              <w:t>N/A</w:t>
            </w:r>
          </w:p>
        </w:tc>
      </w:tr>
      <w:tr w:rsidR="00C04B10" w14:paraId="07B25DA7" w14:textId="77777777" w:rsidTr="00C04B1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5C5E89C9" w14:textId="77777777" w:rsidR="00C04B10" w:rsidRDefault="001148AB">
            <w:pPr>
              <w:pStyle w:val="DefaqtoTableBody2"/>
            </w:pPr>
            <w:r>
              <w:t>CT Universal MAP Cautious Fund C Acc</w:t>
            </w:r>
          </w:p>
        </w:tc>
        <w:tc>
          <w:tcPr>
            <w:tcW w:w="2731" w:type="dxa"/>
          </w:tcPr>
          <w:p w14:paraId="31D8C162" w14:textId="77777777" w:rsidR="00C04B10" w:rsidRDefault="001148AB">
            <w:pPr>
              <w:pStyle w:val="DefaqtoTableBody2"/>
            </w:pPr>
            <w:r>
              <w:t>Columbia Threadneedle Fund Management Limited</w:t>
            </w:r>
          </w:p>
        </w:tc>
        <w:tc>
          <w:tcPr>
            <w:tcW w:w="1799" w:type="dxa"/>
          </w:tcPr>
          <w:p w14:paraId="637F8C83" w14:textId="77777777" w:rsidR="00C04B10" w:rsidRDefault="001148AB">
            <w:pPr>
              <w:pStyle w:val="DefaqtoTableBody2"/>
            </w:pPr>
            <w:r>
              <w:t>GB00BF99VY38</w:t>
            </w:r>
          </w:p>
        </w:tc>
        <w:tc>
          <w:tcPr>
            <w:tcW w:w="1157" w:type="dxa"/>
          </w:tcPr>
          <w:p w14:paraId="2F3E7B79" w14:textId="77777777" w:rsidR="00C04B10" w:rsidRDefault="001148AB">
            <w:pPr>
              <w:pStyle w:val="DefaqtoTableBody2"/>
            </w:pPr>
            <w:r>
              <w:pict w14:anchorId="5BB417F9">
                <v:shape id="_x0000_i1042" type="#_x0000_t75" style="width:33pt;height:30pt;visibility:visible">
                  <v:imagedata r:id="rId28" o:title=""/>
                </v:shape>
              </w:pict>
            </w:r>
          </w:p>
        </w:tc>
        <w:tc>
          <w:tcPr>
            <w:tcW w:w="1085" w:type="dxa"/>
          </w:tcPr>
          <w:p w14:paraId="0B138A6E" w14:textId="77777777" w:rsidR="00C04B10" w:rsidRDefault="001148AB">
            <w:pPr>
              <w:pStyle w:val="DefaqtoTableBody2"/>
              <w:jc w:val="center"/>
            </w:pPr>
            <w:r>
              <w:pict w14:anchorId="27089329">
                <v:shape id="_x0000_i1043" type="#_x0000_t75" style="width:.6pt;height:.6pt;visibility:visible">
                  <v:imagedata r:id="rId29" o:title=""/>
                </v:shape>
              </w:pict>
            </w:r>
            <w:r>
              <w:t>N/A</w:t>
            </w:r>
          </w:p>
        </w:tc>
      </w:tr>
      <w:tr w:rsidR="00C04B10" w14:paraId="3BCE555C" w14:textId="77777777" w:rsidTr="00C04B1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60BF9247" w14:textId="77777777" w:rsidR="00C04B10" w:rsidRDefault="001148AB">
            <w:pPr>
              <w:pStyle w:val="DefaqtoTableBody2"/>
            </w:pPr>
            <w:r>
              <w:t>HSBC Global Strategy Conservative Portfolio AC</w:t>
            </w:r>
          </w:p>
        </w:tc>
        <w:tc>
          <w:tcPr>
            <w:tcW w:w="2731" w:type="dxa"/>
          </w:tcPr>
          <w:p w14:paraId="305B99FE" w14:textId="77777777" w:rsidR="00C04B10" w:rsidRDefault="001148AB">
            <w:pPr>
              <w:pStyle w:val="DefaqtoTableBody2"/>
            </w:pPr>
            <w:r>
              <w:t>HSBC Asset Management (Fund Services UK) Limited</w:t>
            </w:r>
          </w:p>
        </w:tc>
        <w:tc>
          <w:tcPr>
            <w:tcW w:w="1799" w:type="dxa"/>
          </w:tcPr>
          <w:p w14:paraId="452F63D7" w14:textId="77777777" w:rsidR="00C04B10" w:rsidRDefault="001148AB">
            <w:pPr>
              <w:pStyle w:val="DefaqtoTableBody2"/>
            </w:pPr>
            <w:r>
              <w:t>GB00BYVXBK29</w:t>
            </w:r>
          </w:p>
        </w:tc>
        <w:tc>
          <w:tcPr>
            <w:tcW w:w="1157" w:type="dxa"/>
          </w:tcPr>
          <w:p w14:paraId="4615FC48" w14:textId="77777777" w:rsidR="00C04B10" w:rsidRDefault="001148AB">
            <w:pPr>
              <w:pStyle w:val="DefaqtoTableBody2"/>
            </w:pPr>
            <w:r>
              <w:pict w14:anchorId="0F024E5C">
                <v:shape id="_x0000_i1044" type="#_x0000_t75" style="width:.6pt;height:.6pt;visibility:visible">
                  <v:imagedata r:id="rId29" o:title=""/>
                </v:shape>
              </w:pict>
            </w:r>
          </w:p>
        </w:tc>
        <w:tc>
          <w:tcPr>
            <w:tcW w:w="1085" w:type="dxa"/>
          </w:tcPr>
          <w:p w14:paraId="547C3371" w14:textId="77777777" w:rsidR="00C04B10" w:rsidRDefault="001148AB">
            <w:pPr>
              <w:pStyle w:val="DefaqtoTableBody2"/>
              <w:jc w:val="center"/>
            </w:pPr>
            <w:r>
              <w:pict w14:anchorId="6684D751">
                <v:shape id="_x0000_i1045" type="#_x0000_t75" style="width:.6pt;height:.6pt;visibility:visible">
                  <v:imagedata r:id="rId29" o:title=""/>
                </v:shape>
              </w:pict>
            </w:r>
            <w:r>
              <w:t>N/A</w:t>
            </w:r>
          </w:p>
        </w:tc>
      </w:tr>
      <w:tr w:rsidR="00C04B10" w14:paraId="74D98130" w14:textId="77777777" w:rsidTr="00C04B1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75AD860E" w14:textId="77777777" w:rsidR="00C04B10" w:rsidRDefault="001148AB">
            <w:pPr>
              <w:pStyle w:val="DefaqtoTableBody2"/>
            </w:pPr>
            <w:r>
              <w:t>Liontrust Sustainable Future Cautious Managed Fund Class 2 Net Income</w:t>
            </w:r>
          </w:p>
        </w:tc>
        <w:tc>
          <w:tcPr>
            <w:tcW w:w="2731" w:type="dxa"/>
          </w:tcPr>
          <w:p w14:paraId="1CFCCCE9" w14:textId="77777777" w:rsidR="00C04B10" w:rsidRDefault="001148AB">
            <w:pPr>
              <w:pStyle w:val="DefaqtoTableBody2"/>
            </w:pPr>
            <w:r>
              <w:t>Liontrust Fund Partners LLP</w:t>
            </w:r>
          </w:p>
        </w:tc>
        <w:tc>
          <w:tcPr>
            <w:tcW w:w="1799" w:type="dxa"/>
          </w:tcPr>
          <w:p w14:paraId="294DCA02" w14:textId="77777777" w:rsidR="00C04B10" w:rsidRDefault="001148AB">
            <w:pPr>
              <w:pStyle w:val="DefaqtoTableBody2"/>
            </w:pPr>
            <w:r>
              <w:t>GB00BMN90304</w:t>
            </w:r>
          </w:p>
        </w:tc>
        <w:tc>
          <w:tcPr>
            <w:tcW w:w="1157" w:type="dxa"/>
          </w:tcPr>
          <w:p w14:paraId="284B6D85" w14:textId="77777777" w:rsidR="00C04B10" w:rsidRDefault="001148AB">
            <w:pPr>
              <w:pStyle w:val="DefaqtoTableBody2"/>
            </w:pPr>
            <w:r>
              <w:pict w14:anchorId="11452B99">
                <v:shape id="_x0000_i1046" type="#_x0000_t75" style="width:.6pt;height:.6pt;visibility:visible">
                  <v:imagedata r:id="rId29" o:title=""/>
                </v:shape>
              </w:pict>
            </w:r>
          </w:p>
        </w:tc>
        <w:tc>
          <w:tcPr>
            <w:tcW w:w="1085" w:type="dxa"/>
          </w:tcPr>
          <w:p w14:paraId="70B54308" w14:textId="77777777" w:rsidR="00C04B10" w:rsidRDefault="001148AB">
            <w:pPr>
              <w:pStyle w:val="DefaqtoTableBody2"/>
              <w:jc w:val="center"/>
            </w:pPr>
            <w:r>
              <w:pict w14:anchorId="25A65903">
                <v:shape id="_x0000_i1047" type="#_x0000_t75" style="width:31.8pt;height:13.2pt;visibility:visible">
                  <v:imagedata r:id="rId44" o:title=""/>
                </v:shape>
              </w:pict>
            </w:r>
          </w:p>
        </w:tc>
      </w:tr>
      <w:tr w:rsidR="00C04B10" w14:paraId="35CFC9F8" w14:textId="77777777" w:rsidTr="00C04B1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573E153B" w14:textId="77777777" w:rsidR="00C04B10" w:rsidRDefault="001148AB">
            <w:pPr>
              <w:pStyle w:val="DefaqtoTableBody2"/>
            </w:pPr>
            <w:r>
              <w:t>Vanguard LifeStrategy 40% Equity Fund A Acc</w:t>
            </w:r>
          </w:p>
        </w:tc>
        <w:tc>
          <w:tcPr>
            <w:tcW w:w="2731" w:type="dxa"/>
          </w:tcPr>
          <w:p w14:paraId="03C16FF3" w14:textId="77777777" w:rsidR="00C04B10" w:rsidRDefault="001148AB">
            <w:pPr>
              <w:pStyle w:val="DefaqtoTableBody2"/>
            </w:pPr>
            <w:r>
              <w:t>Vanguard Investments UK, Limited</w:t>
            </w:r>
          </w:p>
        </w:tc>
        <w:tc>
          <w:tcPr>
            <w:tcW w:w="1799" w:type="dxa"/>
          </w:tcPr>
          <w:p w14:paraId="2EF065E4" w14:textId="77777777" w:rsidR="00C04B10" w:rsidRDefault="001148AB">
            <w:pPr>
              <w:pStyle w:val="DefaqtoTableBody2"/>
            </w:pPr>
            <w:r>
              <w:t>GB00B3ZHN960</w:t>
            </w:r>
          </w:p>
        </w:tc>
        <w:tc>
          <w:tcPr>
            <w:tcW w:w="1157" w:type="dxa"/>
          </w:tcPr>
          <w:p w14:paraId="5781A089" w14:textId="77777777" w:rsidR="00C04B10" w:rsidRDefault="001148AB">
            <w:pPr>
              <w:pStyle w:val="DefaqtoTableBody2"/>
            </w:pPr>
            <w:r>
              <w:pict w14:anchorId="79B1860D">
                <v:shape id="_x0000_i1048" type="#_x0000_t75" style="width:.6pt;height:.6pt;visibility:visible">
                  <v:imagedata r:id="rId29" o:title=""/>
                </v:shape>
              </w:pict>
            </w:r>
          </w:p>
        </w:tc>
        <w:tc>
          <w:tcPr>
            <w:tcW w:w="1085" w:type="dxa"/>
          </w:tcPr>
          <w:p w14:paraId="22F89744" w14:textId="77777777" w:rsidR="00C04B10" w:rsidRDefault="001148AB">
            <w:pPr>
              <w:pStyle w:val="DefaqtoTableBody2"/>
              <w:jc w:val="center"/>
            </w:pPr>
            <w:r>
              <w:pict w14:anchorId="2A70A93E">
                <v:shape id="_x0000_i1049" type="#_x0000_t75" style="width:31.8pt;height:13.2pt;visibility:visible">
                  <v:imagedata r:id="rId44" o:title=""/>
                </v:shape>
              </w:pict>
            </w:r>
          </w:p>
        </w:tc>
      </w:tr>
      <w:tr w:rsidR="00C04B10" w14:paraId="72507A2E" w14:textId="77777777" w:rsidTr="00C04B10">
        <w:trPr>
          <w:cnfStyle w:val="000000100000" w:firstRow="0" w:lastRow="0" w:firstColumn="0" w:lastColumn="0" w:oddVBand="0" w:evenVBand="0" w:oddHBand="1" w:evenHBand="0" w:firstRowFirstColumn="0" w:firstRowLastColumn="0" w:lastRowFirstColumn="0" w:lastRowLastColumn="0"/>
          <w:trHeight w:val="432"/>
        </w:trPr>
        <w:tc>
          <w:tcPr>
            <w:tcW w:w="3684" w:type="dxa"/>
          </w:tcPr>
          <w:p w14:paraId="7F8406C2" w14:textId="77777777" w:rsidR="00C04B10" w:rsidRDefault="001148AB">
            <w:pPr>
              <w:pStyle w:val="DefaqtoTableBody2"/>
            </w:pPr>
            <w:r>
              <w:t>Aviva Insured Funds Multi-asset Plus Fund II</w:t>
            </w:r>
          </w:p>
        </w:tc>
        <w:tc>
          <w:tcPr>
            <w:tcW w:w="2731" w:type="dxa"/>
          </w:tcPr>
          <w:p w14:paraId="07042E40" w14:textId="77777777" w:rsidR="00C04B10" w:rsidRDefault="001148AB">
            <w:pPr>
              <w:pStyle w:val="DefaqtoTableBody2"/>
            </w:pPr>
            <w:r>
              <w:t>Aviva Life &amp; Pensions UK Ltd</w:t>
            </w:r>
          </w:p>
        </w:tc>
        <w:tc>
          <w:tcPr>
            <w:tcW w:w="1799" w:type="dxa"/>
          </w:tcPr>
          <w:p w14:paraId="466F04C6" w14:textId="77777777" w:rsidR="00C04B10" w:rsidRDefault="001148AB">
            <w:pPr>
              <w:pStyle w:val="DefaqtoTableBody2"/>
            </w:pPr>
            <w:r>
              <w:t>GB00B8BV3X17</w:t>
            </w:r>
          </w:p>
        </w:tc>
        <w:tc>
          <w:tcPr>
            <w:tcW w:w="1157" w:type="dxa"/>
          </w:tcPr>
          <w:p w14:paraId="2C16EA43" w14:textId="77777777" w:rsidR="00C04B10" w:rsidRDefault="001148AB">
            <w:pPr>
              <w:pStyle w:val="DefaqtoTableBody2"/>
            </w:pPr>
            <w:r>
              <w:pict w14:anchorId="3F198791">
                <v:shape id="_x0000_i1050" type="#_x0000_t75" style="width:33pt;height:30pt;visibility:visible">
                  <v:imagedata r:id="rId28" o:title=""/>
                </v:shape>
              </w:pict>
            </w:r>
          </w:p>
        </w:tc>
        <w:tc>
          <w:tcPr>
            <w:tcW w:w="1085" w:type="dxa"/>
          </w:tcPr>
          <w:p w14:paraId="0625C703" w14:textId="77777777" w:rsidR="00C04B10" w:rsidRDefault="001148AB">
            <w:pPr>
              <w:pStyle w:val="DefaqtoTableBody2"/>
              <w:jc w:val="center"/>
            </w:pPr>
            <w:r>
              <w:pict w14:anchorId="5172898F">
                <v:shape id="_x0000_i1051" type="#_x0000_t75" style="width:.6pt;height:.6pt;visibility:visible">
                  <v:imagedata r:id="rId29" o:title=""/>
                </v:shape>
              </w:pict>
            </w:r>
            <w:r>
              <w:t>N/A</w:t>
            </w:r>
          </w:p>
        </w:tc>
      </w:tr>
      <w:tr w:rsidR="00C04B10" w14:paraId="0F3C188A" w14:textId="77777777" w:rsidTr="00C04B10">
        <w:trPr>
          <w:cnfStyle w:val="000000010000" w:firstRow="0" w:lastRow="0" w:firstColumn="0" w:lastColumn="0" w:oddVBand="0" w:evenVBand="0" w:oddHBand="0" w:evenHBand="1" w:firstRowFirstColumn="0" w:firstRowLastColumn="0" w:lastRowFirstColumn="0" w:lastRowLastColumn="0"/>
          <w:trHeight w:val="432"/>
        </w:trPr>
        <w:tc>
          <w:tcPr>
            <w:tcW w:w="3684" w:type="dxa"/>
          </w:tcPr>
          <w:p w14:paraId="146C2A7A" w14:textId="77777777" w:rsidR="00C04B10" w:rsidRDefault="001148AB">
            <w:pPr>
              <w:pStyle w:val="DefaqtoTableBody2"/>
            </w:pPr>
            <w:r>
              <w:t>Aviva/Liontrust Sustainable Future Cautious Managed S14 Pension</w:t>
            </w:r>
          </w:p>
        </w:tc>
        <w:tc>
          <w:tcPr>
            <w:tcW w:w="2731" w:type="dxa"/>
          </w:tcPr>
          <w:p w14:paraId="14A6563A" w14:textId="77777777" w:rsidR="00C04B10" w:rsidRDefault="001148AB">
            <w:pPr>
              <w:pStyle w:val="DefaqtoTableBody2"/>
            </w:pPr>
            <w:r>
              <w:t>Aviva Life &amp; Pensions UK Ltd</w:t>
            </w:r>
          </w:p>
        </w:tc>
        <w:tc>
          <w:tcPr>
            <w:tcW w:w="1799" w:type="dxa"/>
          </w:tcPr>
          <w:p w14:paraId="4C46A29F" w14:textId="77777777" w:rsidR="00C04B10" w:rsidRDefault="001148AB">
            <w:pPr>
              <w:pStyle w:val="DefaqtoTableBody2"/>
            </w:pPr>
            <w:r>
              <w:t>GB00BKKZPV01</w:t>
            </w:r>
          </w:p>
        </w:tc>
        <w:tc>
          <w:tcPr>
            <w:tcW w:w="1157" w:type="dxa"/>
          </w:tcPr>
          <w:p w14:paraId="4CD98667" w14:textId="77777777" w:rsidR="00C04B10" w:rsidRDefault="001148AB">
            <w:pPr>
              <w:pStyle w:val="DefaqtoTableBody2"/>
            </w:pPr>
            <w:r>
              <w:pict w14:anchorId="32142285">
                <v:shape id="_x0000_i1052" type="#_x0000_t75" style="width:.6pt;height:.6pt;visibility:visible">
                  <v:imagedata r:id="rId29" o:title=""/>
                </v:shape>
              </w:pict>
            </w:r>
          </w:p>
        </w:tc>
        <w:tc>
          <w:tcPr>
            <w:tcW w:w="1085" w:type="dxa"/>
          </w:tcPr>
          <w:p w14:paraId="5005F2B0" w14:textId="77777777" w:rsidR="00C04B10" w:rsidRDefault="001148AB">
            <w:pPr>
              <w:pStyle w:val="DefaqtoTableBody2"/>
              <w:jc w:val="center"/>
            </w:pPr>
            <w:r>
              <w:pict w14:anchorId="497D0D8D">
                <v:shape id="_x0000_i1053" type="#_x0000_t75" style="width:.6pt;height:.6pt;visibility:visible">
                  <v:imagedata r:id="rId29" o:title=""/>
                </v:shape>
              </w:pict>
            </w:r>
            <w:r>
              <w:t>N/A</w:t>
            </w:r>
          </w:p>
        </w:tc>
      </w:tr>
    </w:tbl>
    <w:p w14:paraId="0F862E5E" w14:textId="77777777" w:rsidR="00C04B10" w:rsidRDefault="00C04B10">
      <w:pPr>
        <w:sectPr w:rsidR="00C04B10">
          <w:headerReference w:type="default" r:id="rId45"/>
          <w:footerReference w:type="default" r:id="rId46"/>
          <w:pgSz w:w="11906" w:h="16838"/>
          <w:pgMar w:top="709" w:right="640" w:bottom="376" w:left="640" w:header="200" w:footer="200" w:gutter="0"/>
          <w:cols w:space="708"/>
          <w:docGrid w:linePitch="360"/>
        </w:sectPr>
      </w:pPr>
    </w:p>
    <w:p w14:paraId="29AD8386" w14:textId="77777777" w:rsidR="00C04B10" w:rsidRDefault="001148AB">
      <w:pPr>
        <w:pStyle w:val="DefaqtoHeading2"/>
      </w:pPr>
      <w:bookmarkStart w:id="26" w:name="_Toc3558340"/>
      <w:r>
        <w:lastRenderedPageBreak/>
        <w:t>Supplementary research</w:t>
      </w:r>
      <w:bookmarkEnd w:id="26"/>
    </w:p>
    <w:p w14:paraId="009B6813" w14:textId="77777777" w:rsidR="00C04B10" w:rsidRDefault="00C04B10">
      <w:pPr>
        <w:pStyle w:val="Tag"/>
        <w:rPr>
          <w:sz w:val="24"/>
          <w:szCs w:val="24"/>
        </w:rPr>
        <w:sectPr w:rsidR="00C04B10">
          <w:headerReference w:type="default" r:id="rId47"/>
          <w:footerReference w:type="default" r:id="rId48"/>
          <w:pgSz w:w="11906" w:h="16838"/>
          <w:pgMar w:top="709" w:right="640" w:bottom="376" w:left="640" w:header="200" w:footer="200" w:gutter="0"/>
          <w:cols w:space="708"/>
          <w:docGrid w:linePitch="360"/>
        </w:sectPr>
      </w:pPr>
    </w:p>
    <w:p w14:paraId="64F463D0" w14:textId="77777777" w:rsidR="00C04B10" w:rsidRDefault="001148AB">
      <w:pPr>
        <w:pStyle w:val="DefaqtoHeading3"/>
      </w:pPr>
      <w:bookmarkStart w:id="27" w:name="_Toc3558344"/>
      <w:r>
        <w:lastRenderedPageBreak/>
        <w:t>Data comparisons</w:t>
      </w:r>
      <w:bookmarkEnd w:id="27"/>
    </w:p>
    <w:p w14:paraId="0EA60446" w14:textId="77777777" w:rsidR="00C04B10" w:rsidRDefault="001148AB">
      <w:pPr>
        <w:pStyle w:val="DefaqtoHeading4"/>
        <w:rPr>
          <w:noProof/>
        </w:rPr>
      </w:pPr>
      <w:r>
        <w:rPr>
          <w:noProof/>
        </w:rPr>
        <w:t>Data Compare 03/12/2025 11:07</w:t>
      </w:r>
    </w:p>
    <w:tbl>
      <w:tblPr>
        <w:tblStyle w:val="DefaqtoTable"/>
        <w:tblW w:w="5000" w:type="pct"/>
        <w:tblLook w:val="04A0" w:firstRow="1" w:lastRow="0" w:firstColumn="1" w:lastColumn="0" w:noHBand="0" w:noVBand="1"/>
      </w:tblPr>
      <w:tblGrid>
        <w:gridCol w:w="3110"/>
        <w:gridCol w:w="3110"/>
        <w:gridCol w:w="3111"/>
        <w:gridCol w:w="3111"/>
        <w:gridCol w:w="3111"/>
      </w:tblGrid>
      <w:tr w:rsidR="00C04B10" w14:paraId="49CFDEEF"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nil"/>
              <w:left w:val="nil"/>
              <w:right w:val="single" w:sz="18" w:space="0" w:color="614FA0"/>
            </w:tcBorders>
          </w:tcPr>
          <w:p w14:paraId="11FEAAFA" w14:textId="77777777" w:rsidR="00C04B10" w:rsidRDefault="001148AB">
            <w:pPr>
              <w:pStyle w:val="DefaqtoTableBody2"/>
              <w:rPr>
                <w:rFonts w:eastAsia="Poppins" w:cs="Poppins"/>
              </w:rPr>
            </w:pPr>
            <w:r>
              <w:rPr>
                <w:rFonts w:eastAsia="Poppins" w:cs="Poppins"/>
              </w:rPr>
              <w:t xml:space="preserve"> </w:t>
            </w:r>
          </w:p>
        </w:tc>
        <w:tc>
          <w:tcPr>
            <w:tcW w:w="1000" w:type="pct"/>
          </w:tcPr>
          <w:p w14:paraId="71F1FF7A"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Aviva Insured Funds Multi-asset Plus Fund II</w:t>
            </w:r>
          </w:p>
        </w:tc>
        <w:tc>
          <w:tcPr>
            <w:tcW w:w="1000" w:type="pct"/>
          </w:tcPr>
          <w:p w14:paraId="6BE2D02C"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CT Universal MAP Cautious Fund C Acc</w:t>
            </w:r>
          </w:p>
        </w:tc>
        <w:tc>
          <w:tcPr>
            <w:tcW w:w="1000" w:type="pct"/>
          </w:tcPr>
          <w:p w14:paraId="775914B4"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HSBC Global Strategy Conservative Portfolio AC</w:t>
            </w:r>
          </w:p>
        </w:tc>
        <w:tc>
          <w:tcPr>
            <w:tcW w:w="1000" w:type="pct"/>
          </w:tcPr>
          <w:p w14:paraId="2F7C2CCF"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Vanguard LifeStrategy 40% Equity Fund A Acc</w:t>
            </w:r>
          </w:p>
        </w:tc>
      </w:tr>
      <w:tr w:rsidR="00C04B10" w14:paraId="07809442"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6A85994" w14:textId="77777777" w:rsidR="00C04B10" w:rsidRDefault="001148AB">
            <w:pPr>
              <w:pStyle w:val="DefaqtoTableBody2"/>
              <w:rPr>
                <w:rFonts w:eastAsia="Poppins" w:cs="Poppins"/>
              </w:rPr>
            </w:pPr>
            <w:r>
              <w:rPr>
                <w:rFonts w:eastAsia="Poppins" w:cs="Poppins"/>
                <w:b/>
                <w:bCs/>
              </w:rPr>
              <w:t>ISIN</w:t>
            </w:r>
          </w:p>
        </w:tc>
        <w:tc>
          <w:tcPr>
            <w:tcW w:w="1000" w:type="pct"/>
          </w:tcPr>
          <w:p w14:paraId="43816C0A"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GB00B8BV3X17</w:t>
            </w:r>
          </w:p>
        </w:tc>
        <w:tc>
          <w:tcPr>
            <w:tcW w:w="1000" w:type="pct"/>
          </w:tcPr>
          <w:p w14:paraId="571A9D57"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GB00BF99VY38</w:t>
            </w:r>
          </w:p>
        </w:tc>
        <w:tc>
          <w:tcPr>
            <w:tcW w:w="1000" w:type="pct"/>
          </w:tcPr>
          <w:p w14:paraId="3312E70D"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GB00BYVXBK29</w:t>
            </w:r>
          </w:p>
        </w:tc>
        <w:tc>
          <w:tcPr>
            <w:tcW w:w="1000" w:type="pct"/>
          </w:tcPr>
          <w:p w14:paraId="7736AC65"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GB00B3ZHN960</w:t>
            </w:r>
          </w:p>
        </w:tc>
      </w:tr>
      <w:tr w:rsidR="00C04B10" w14:paraId="74594994"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AC45B4D" w14:textId="77777777" w:rsidR="00C04B10" w:rsidRDefault="001148AB">
            <w:pPr>
              <w:pStyle w:val="DefaqtoTableBody2"/>
              <w:rPr>
                <w:rFonts w:eastAsia="Poppins" w:cs="Poppins"/>
              </w:rPr>
            </w:pPr>
            <w:r>
              <w:rPr>
                <w:rFonts w:eastAsia="Poppins" w:cs="Poppins"/>
                <w:b/>
                <w:bCs/>
              </w:rPr>
              <w:t>Defaqto Risk Rating</w:t>
            </w:r>
          </w:p>
        </w:tc>
        <w:tc>
          <w:tcPr>
            <w:tcW w:w="1000" w:type="pct"/>
          </w:tcPr>
          <w:p w14:paraId="09EF8313"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44842B2C"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1D790476"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46ACF5AA"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r>
      <w:tr w:rsidR="00C04B10" w14:paraId="3308EFA2"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068B644" w14:textId="77777777" w:rsidR="00C04B10" w:rsidRDefault="001148AB">
            <w:pPr>
              <w:pStyle w:val="DefaqtoTableBody2"/>
              <w:rPr>
                <w:rFonts w:eastAsia="Poppins" w:cs="Poppins"/>
              </w:rPr>
            </w:pPr>
            <w:r>
              <w:rPr>
                <w:rFonts w:eastAsia="Poppins" w:cs="Poppins"/>
                <w:b/>
                <w:bCs/>
              </w:rPr>
              <w:t>Multi Asset</w:t>
            </w:r>
          </w:p>
        </w:tc>
        <w:tc>
          <w:tcPr>
            <w:tcW w:w="1000" w:type="pct"/>
          </w:tcPr>
          <w:p w14:paraId="6C252026"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674F3CA6"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65D6AD67"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77C74758"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r>
      <w:tr w:rsidR="00C04B10" w14:paraId="2DD4648E"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78DDECA5" w14:textId="77777777" w:rsidR="00C04B10" w:rsidRDefault="001148AB">
            <w:pPr>
              <w:pStyle w:val="DefaqtoTableBody2"/>
              <w:rPr>
                <w:rFonts w:eastAsia="Poppins" w:cs="Poppins"/>
              </w:rPr>
            </w:pPr>
            <w:r>
              <w:rPr>
                <w:rFonts w:eastAsia="Poppins" w:cs="Poppins"/>
                <w:b/>
                <w:bCs/>
              </w:rPr>
              <w:t>Stock Selection</w:t>
            </w:r>
          </w:p>
        </w:tc>
        <w:tc>
          <w:tcPr>
            <w:tcW w:w="1000" w:type="pct"/>
          </w:tcPr>
          <w:p w14:paraId="74CC6B20"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Active</w:t>
            </w:r>
          </w:p>
        </w:tc>
        <w:tc>
          <w:tcPr>
            <w:tcW w:w="1000" w:type="pct"/>
          </w:tcPr>
          <w:p w14:paraId="6136AE1F"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Active</w:t>
            </w:r>
          </w:p>
        </w:tc>
        <w:tc>
          <w:tcPr>
            <w:tcW w:w="1000" w:type="pct"/>
          </w:tcPr>
          <w:p w14:paraId="09C2D313"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Passive</w:t>
            </w:r>
          </w:p>
        </w:tc>
        <w:tc>
          <w:tcPr>
            <w:tcW w:w="1000" w:type="pct"/>
          </w:tcPr>
          <w:p w14:paraId="12284464"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Passive</w:t>
            </w:r>
          </w:p>
        </w:tc>
      </w:tr>
      <w:tr w:rsidR="00C04B10" w14:paraId="077DA8E9"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48226637" w14:textId="77777777" w:rsidR="00C04B10" w:rsidRDefault="001148AB">
            <w:pPr>
              <w:pStyle w:val="DefaqtoTableBody2"/>
              <w:rPr>
                <w:rFonts w:eastAsia="Poppins" w:cs="Poppins"/>
              </w:rPr>
            </w:pPr>
            <w:r>
              <w:rPr>
                <w:rFonts w:eastAsia="Poppins" w:cs="Poppins"/>
                <w:b/>
                <w:bCs/>
              </w:rPr>
              <w:t>5 Yr Cum. Return</w:t>
            </w:r>
          </w:p>
        </w:tc>
        <w:tc>
          <w:tcPr>
            <w:tcW w:w="1000" w:type="pct"/>
          </w:tcPr>
          <w:p w14:paraId="6AB82285"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36.21%</w:t>
            </w:r>
          </w:p>
        </w:tc>
        <w:tc>
          <w:tcPr>
            <w:tcW w:w="1000" w:type="pct"/>
          </w:tcPr>
          <w:p w14:paraId="351140A7"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31.28%</w:t>
            </w:r>
          </w:p>
        </w:tc>
        <w:tc>
          <w:tcPr>
            <w:tcW w:w="1000" w:type="pct"/>
          </w:tcPr>
          <w:p w14:paraId="71EA1591"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25.90%</w:t>
            </w:r>
          </w:p>
        </w:tc>
        <w:tc>
          <w:tcPr>
            <w:tcW w:w="1000" w:type="pct"/>
          </w:tcPr>
          <w:p w14:paraId="3C4A3FC8"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21.49%</w:t>
            </w:r>
          </w:p>
        </w:tc>
      </w:tr>
      <w:tr w:rsidR="00C04B10" w14:paraId="473A27E7"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7AC5B088" w14:textId="77777777" w:rsidR="00C04B10" w:rsidRDefault="001148AB">
            <w:pPr>
              <w:pStyle w:val="DefaqtoTableBody2"/>
              <w:rPr>
                <w:rFonts w:eastAsia="Poppins" w:cs="Poppins"/>
              </w:rPr>
            </w:pPr>
            <w:r>
              <w:rPr>
                <w:rFonts w:eastAsia="Poppins" w:cs="Poppins"/>
                <w:b/>
                <w:bCs/>
              </w:rPr>
              <w:t>10 Yr Cum. Return</w:t>
            </w:r>
          </w:p>
        </w:tc>
        <w:tc>
          <w:tcPr>
            <w:tcW w:w="1000" w:type="pct"/>
          </w:tcPr>
          <w:p w14:paraId="0D1252F6"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70.66%</w:t>
            </w:r>
          </w:p>
        </w:tc>
        <w:tc>
          <w:tcPr>
            <w:tcW w:w="1000" w:type="pct"/>
          </w:tcPr>
          <w:p w14:paraId="13055D18"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4FD11E43"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2482C131"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66.95%</w:t>
            </w:r>
          </w:p>
        </w:tc>
      </w:tr>
      <w:tr w:rsidR="00C04B10" w14:paraId="68FC504C"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1D199E1D" w14:textId="77777777" w:rsidR="00C04B10" w:rsidRDefault="001148AB">
            <w:pPr>
              <w:pStyle w:val="DefaqtoTableBody2"/>
              <w:rPr>
                <w:rFonts w:eastAsia="Poppins" w:cs="Poppins"/>
              </w:rPr>
            </w:pPr>
            <w:r>
              <w:rPr>
                <w:rFonts w:eastAsia="Poppins" w:cs="Poppins"/>
                <w:b/>
                <w:bCs/>
              </w:rPr>
              <w:t>5 Yr Volatility</w:t>
            </w:r>
          </w:p>
        </w:tc>
        <w:tc>
          <w:tcPr>
            <w:tcW w:w="1000" w:type="pct"/>
          </w:tcPr>
          <w:p w14:paraId="7AD3862A"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6.46</w:t>
            </w:r>
          </w:p>
        </w:tc>
        <w:tc>
          <w:tcPr>
            <w:tcW w:w="1000" w:type="pct"/>
          </w:tcPr>
          <w:p w14:paraId="1FCEEBFA"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6.9</w:t>
            </w:r>
          </w:p>
        </w:tc>
        <w:tc>
          <w:tcPr>
            <w:tcW w:w="1000" w:type="pct"/>
          </w:tcPr>
          <w:p w14:paraId="603F8CE4"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6.38</w:t>
            </w:r>
          </w:p>
        </w:tc>
        <w:tc>
          <w:tcPr>
            <w:tcW w:w="1000" w:type="pct"/>
          </w:tcPr>
          <w:p w14:paraId="010CF414"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7.25</w:t>
            </w:r>
          </w:p>
        </w:tc>
      </w:tr>
      <w:tr w:rsidR="00C04B10" w14:paraId="771674DC"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32A153D2" w14:textId="77777777" w:rsidR="00C04B10" w:rsidRDefault="001148AB">
            <w:pPr>
              <w:pStyle w:val="DefaqtoTableBody2"/>
              <w:rPr>
                <w:rFonts w:eastAsia="Poppins" w:cs="Poppins"/>
              </w:rPr>
            </w:pPr>
            <w:r>
              <w:rPr>
                <w:rFonts w:eastAsia="Poppins" w:cs="Poppins"/>
                <w:b/>
                <w:bCs/>
              </w:rPr>
              <w:t>10 Yr Volatility</w:t>
            </w:r>
          </w:p>
        </w:tc>
        <w:tc>
          <w:tcPr>
            <w:tcW w:w="1000" w:type="pct"/>
          </w:tcPr>
          <w:p w14:paraId="721966EB"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6.76</w:t>
            </w:r>
          </w:p>
        </w:tc>
        <w:tc>
          <w:tcPr>
            <w:tcW w:w="1000" w:type="pct"/>
          </w:tcPr>
          <w:p w14:paraId="538E3816"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120A816E"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38141FD8"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6.55</w:t>
            </w:r>
          </w:p>
        </w:tc>
      </w:tr>
      <w:tr w:rsidR="00C04B10" w14:paraId="18D76955"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338E227F" w14:textId="77777777" w:rsidR="00C04B10" w:rsidRDefault="001148AB">
            <w:pPr>
              <w:pStyle w:val="DefaqtoTableBody2"/>
              <w:rPr>
                <w:rFonts w:eastAsia="Poppins" w:cs="Poppins"/>
              </w:rPr>
            </w:pPr>
            <w:r>
              <w:rPr>
                <w:rFonts w:eastAsia="Poppins" w:cs="Poppins"/>
                <w:b/>
                <w:bCs/>
              </w:rPr>
              <w:t>AMC</w:t>
            </w:r>
          </w:p>
        </w:tc>
        <w:tc>
          <w:tcPr>
            <w:tcW w:w="1000" w:type="pct"/>
          </w:tcPr>
          <w:p w14:paraId="6ECE1E4D"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0.41%</w:t>
            </w:r>
          </w:p>
        </w:tc>
        <w:tc>
          <w:tcPr>
            <w:tcW w:w="1000" w:type="pct"/>
          </w:tcPr>
          <w:p w14:paraId="746D6AB4"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0.29%</w:t>
            </w:r>
          </w:p>
        </w:tc>
        <w:tc>
          <w:tcPr>
            <w:tcW w:w="1000" w:type="pct"/>
          </w:tcPr>
          <w:p w14:paraId="24A3699D"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0.10%</w:t>
            </w:r>
          </w:p>
        </w:tc>
        <w:tc>
          <w:tcPr>
            <w:tcW w:w="1000" w:type="pct"/>
          </w:tcPr>
          <w:p w14:paraId="2C176701"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0.22%</w:t>
            </w:r>
          </w:p>
        </w:tc>
      </w:tr>
      <w:tr w:rsidR="00C04B10" w14:paraId="3CF3FC76"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1AF09ECC" w14:textId="77777777" w:rsidR="00C04B10" w:rsidRDefault="001148AB">
            <w:pPr>
              <w:pStyle w:val="DefaqtoTableBody2"/>
              <w:rPr>
                <w:rFonts w:eastAsia="Poppins" w:cs="Poppins"/>
              </w:rPr>
            </w:pPr>
            <w:r>
              <w:rPr>
                <w:rFonts w:eastAsia="Poppins" w:cs="Poppins"/>
                <w:b/>
                <w:bCs/>
              </w:rPr>
              <w:t>Ongoing Charges</w:t>
            </w:r>
          </w:p>
        </w:tc>
        <w:tc>
          <w:tcPr>
            <w:tcW w:w="1000" w:type="pct"/>
          </w:tcPr>
          <w:p w14:paraId="1C08C570"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178B1E8D"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0.29%</w:t>
            </w:r>
          </w:p>
        </w:tc>
        <w:tc>
          <w:tcPr>
            <w:tcW w:w="1000" w:type="pct"/>
          </w:tcPr>
          <w:p w14:paraId="4F1FB7ED"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0.21%</w:t>
            </w:r>
          </w:p>
        </w:tc>
        <w:tc>
          <w:tcPr>
            <w:tcW w:w="1000" w:type="pct"/>
          </w:tcPr>
          <w:p w14:paraId="0EDFDB7D"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0.22%</w:t>
            </w:r>
          </w:p>
        </w:tc>
      </w:tr>
    </w:tbl>
    <w:p w14:paraId="77292197" w14:textId="77777777" w:rsidR="00C04B10" w:rsidRDefault="001148AB">
      <w:pPr>
        <w:pStyle w:val="DefaqtoHeading4"/>
        <w:rPr>
          <w:noProof/>
        </w:rPr>
      </w:pPr>
      <w:r>
        <w:rPr>
          <w:noProof/>
        </w:rPr>
        <w:br/>
        <w:t>Data Compare 03/12/2025 11:09</w:t>
      </w:r>
    </w:p>
    <w:tbl>
      <w:tblPr>
        <w:tblStyle w:val="DefaqtoTable"/>
        <w:tblW w:w="5000" w:type="pct"/>
        <w:tblLook w:val="04A0" w:firstRow="1" w:lastRow="0" w:firstColumn="1" w:lastColumn="0" w:noHBand="0" w:noVBand="1"/>
      </w:tblPr>
      <w:tblGrid>
        <w:gridCol w:w="3110"/>
        <w:gridCol w:w="3110"/>
        <w:gridCol w:w="3111"/>
        <w:gridCol w:w="3111"/>
        <w:gridCol w:w="3111"/>
      </w:tblGrid>
      <w:tr w:rsidR="00C04B10" w14:paraId="7031376D" w14:textId="77777777" w:rsidTr="00C0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top w:val="nil"/>
              <w:left w:val="nil"/>
              <w:right w:val="single" w:sz="18" w:space="0" w:color="614FA0"/>
            </w:tcBorders>
          </w:tcPr>
          <w:p w14:paraId="7FFA9F2E" w14:textId="77777777" w:rsidR="00C04B10" w:rsidRDefault="001148AB">
            <w:pPr>
              <w:pStyle w:val="DefaqtoTableBody2"/>
              <w:rPr>
                <w:rFonts w:eastAsia="Poppins" w:cs="Poppins"/>
              </w:rPr>
            </w:pPr>
            <w:r>
              <w:rPr>
                <w:rFonts w:eastAsia="Poppins" w:cs="Poppins"/>
              </w:rPr>
              <w:t xml:space="preserve"> </w:t>
            </w:r>
          </w:p>
        </w:tc>
        <w:tc>
          <w:tcPr>
            <w:tcW w:w="1000" w:type="pct"/>
          </w:tcPr>
          <w:p w14:paraId="4CB99555"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Aviva Insured Funds Multi-asset Plus Fund II</w:t>
            </w:r>
          </w:p>
        </w:tc>
        <w:tc>
          <w:tcPr>
            <w:tcW w:w="1000" w:type="pct"/>
          </w:tcPr>
          <w:p w14:paraId="06A2ADD5"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CT Universal MAP Cautious Fund C Acc</w:t>
            </w:r>
          </w:p>
        </w:tc>
        <w:tc>
          <w:tcPr>
            <w:tcW w:w="1000" w:type="pct"/>
          </w:tcPr>
          <w:p w14:paraId="29F37097"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HSBC Global Strategy Conservative Portfolio AC</w:t>
            </w:r>
          </w:p>
        </w:tc>
        <w:tc>
          <w:tcPr>
            <w:tcW w:w="1000" w:type="pct"/>
          </w:tcPr>
          <w:p w14:paraId="7B330AC6" w14:textId="77777777" w:rsidR="00C04B10" w:rsidRDefault="001148AB">
            <w:pPr>
              <w:pStyle w:val="DefaqtoTableBody2"/>
              <w:jc w:val="center"/>
              <w:cnfStyle w:val="100000000000" w:firstRow="1" w:lastRow="0" w:firstColumn="0" w:lastColumn="0" w:oddVBand="0" w:evenVBand="0" w:oddHBand="0" w:evenHBand="0" w:firstRowFirstColumn="0" w:firstRowLastColumn="0" w:lastRowFirstColumn="0" w:lastRowLastColumn="0"/>
              <w:rPr>
                <w:rFonts w:eastAsia="Poppins" w:cs="Poppins"/>
              </w:rPr>
            </w:pPr>
            <w:r>
              <w:rPr>
                <w:rFonts w:eastAsia="Poppins" w:cs="Poppins"/>
              </w:rPr>
              <w:t>Vanguard LifeStrategy 40% Equity Fund A Acc</w:t>
            </w:r>
          </w:p>
        </w:tc>
      </w:tr>
      <w:tr w:rsidR="00C04B10" w14:paraId="38DAB223"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B284736" w14:textId="77777777" w:rsidR="00C04B10" w:rsidRDefault="001148AB">
            <w:pPr>
              <w:pStyle w:val="DefaqtoTableBody2"/>
              <w:rPr>
                <w:rFonts w:eastAsia="Poppins" w:cs="Poppins"/>
              </w:rPr>
            </w:pPr>
            <w:r>
              <w:rPr>
                <w:rFonts w:eastAsia="Poppins" w:cs="Poppins"/>
                <w:b/>
                <w:bCs/>
              </w:rPr>
              <w:t>ISIN</w:t>
            </w:r>
          </w:p>
        </w:tc>
        <w:tc>
          <w:tcPr>
            <w:tcW w:w="1000" w:type="pct"/>
          </w:tcPr>
          <w:p w14:paraId="4340AAC6"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GB00B8BV3X17</w:t>
            </w:r>
          </w:p>
        </w:tc>
        <w:tc>
          <w:tcPr>
            <w:tcW w:w="1000" w:type="pct"/>
          </w:tcPr>
          <w:p w14:paraId="22E444B3"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GB00BF99VY38</w:t>
            </w:r>
          </w:p>
        </w:tc>
        <w:tc>
          <w:tcPr>
            <w:tcW w:w="1000" w:type="pct"/>
          </w:tcPr>
          <w:p w14:paraId="2A2C478B"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GB00BYVXBK29</w:t>
            </w:r>
          </w:p>
        </w:tc>
        <w:tc>
          <w:tcPr>
            <w:tcW w:w="1000" w:type="pct"/>
          </w:tcPr>
          <w:p w14:paraId="7FC16207"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GB00B3ZHN960</w:t>
            </w:r>
          </w:p>
        </w:tc>
      </w:tr>
      <w:tr w:rsidR="00C04B10" w14:paraId="129BDB49"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38F0AB7A" w14:textId="77777777" w:rsidR="00C04B10" w:rsidRDefault="001148AB">
            <w:pPr>
              <w:pStyle w:val="DefaqtoTableBody2"/>
              <w:rPr>
                <w:rFonts w:eastAsia="Poppins" w:cs="Poppins"/>
              </w:rPr>
            </w:pPr>
            <w:r>
              <w:rPr>
                <w:rFonts w:eastAsia="Poppins" w:cs="Poppins"/>
                <w:b/>
                <w:bCs/>
              </w:rPr>
              <w:t>Defaqto Risk Rating</w:t>
            </w:r>
          </w:p>
        </w:tc>
        <w:tc>
          <w:tcPr>
            <w:tcW w:w="1000" w:type="pct"/>
          </w:tcPr>
          <w:p w14:paraId="03EF3B18"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0BBABE0C"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161979ED"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c>
          <w:tcPr>
            <w:tcW w:w="1000" w:type="pct"/>
          </w:tcPr>
          <w:p w14:paraId="6A6728F9"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4</w:t>
            </w:r>
          </w:p>
        </w:tc>
      </w:tr>
      <w:tr w:rsidR="00C04B10" w14:paraId="53BD4FF9"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0038388B" w14:textId="77777777" w:rsidR="00C04B10" w:rsidRDefault="001148AB">
            <w:pPr>
              <w:pStyle w:val="DefaqtoTableBody2"/>
              <w:rPr>
                <w:rFonts w:eastAsia="Poppins" w:cs="Poppins"/>
              </w:rPr>
            </w:pPr>
            <w:r>
              <w:rPr>
                <w:rFonts w:eastAsia="Poppins" w:cs="Poppins"/>
                <w:b/>
                <w:bCs/>
              </w:rPr>
              <w:t>Multi Asset</w:t>
            </w:r>
          </w:p>
        </w:tc>
        <w:tc>
          <w:tcPr>
            <w:tcW w:w="1000" w:type="pct"/>
          </w:tcPr>
          <w:p w14:paraId="07DDE8BE"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673675FF"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2F59AFF7"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c>
          <w:tcPr>
            <w:tcW w:w="1000" w:type="pct"/>
          </w:tcPr>
          <w:p w14:paraId="1EC05659"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Yes</w:t>
            </w:r>
          </w:p>
        </w:tc>
      </w:tr>
      <w:tr w:rsidR="00C04B10" w14:paraId="4E080C4C"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0B1F3C7" w14:textId="77777777" w:rsidR="00C04B10" w:rsidRDefault="001148AB">
            <w:pPr>
              <w:pStyle w:val="DefaqtoTableBody2"/>
              <w:rPr>
                <w:rFonts w:eastAsia="Poppins" w:cs="Poppins"/>
              </w:rPr>
            </w:pPr>
            <w:r>
              <w:rPr>
                <w:rFonts w:eastAsia="Poppins" w:cs="Poppins"/>
                <w:b/>
                <w:bCs/>
              </w:rPr>
              <w:t>Stock Selection</w:t>
            </w:r>
          </w:p>
        </w:tc>
        <w:tc>
          <w:tcPr>
            <w:tcW w:w="1000" w:type="pct"/>
          </w:tcPr>
          <w:p w14:paraId="65E1D77B"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Active</w:t>
            </w:r>
          </w:p>
        </w:tc>
        <w:tc>
          <w:tcPr>
            <w:tcW w:w="1000" w:type="pct"/>
          </w:tcPr>
          <w:p w14:paraId="241480BF"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Active</w:t>
            </w:r>
          </w:p>
        </w:tc>
        <w:tc>
          <w:tcPr>
            <w:tcW w:w="1000" w:type="pct"/>
          </w:tcPr>
          <w:p w14:paraId="419BEAEA"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Passive</w:t>
            </w:r>
          </w:p>
        </w:tc>
        <w:tc>
          <w:tcPr>
            <w:tcW w:w="1000" w:type="pct"/>
          </w:tcPr>
          <w:p w14:paraId="158FF072"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Passive</w:t>
            </w:r>
          </w:p>
        </w:tc>
      </w:tr>
      <w:tr w:rsidR="00C04B10" w14:paraId="4945FE84"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25CC9302" w14:textId="77777777" w:rsidR="00C04B10" w:rsidRDefault="001148AB">
            <w:pPr>
              <w:pStyle w:val="DefaqtoTableBody2"/>
              <w:rPr>
                <w:rFonts w:eastAsia="Poppins" w:cs="Poppins"/>
              </w:rPr>
            </w:pPr>
            <w:r>
              <w:rPr>
                <w:rFonts w:eastAsia="Poppins" w:cs="Poppins"/>
                <w:b/>
                <w:bCs/>
              </w:rPr>
              <w:t>5 Yr Cum. Return</w:t>
            </w:r>
          </w:p>
        </w:tc>
        <w:tc>
          <w:tcPr>
            <w:tcW w:w="1000" w:type="pct"/>
          </w:tcPr>
          <w:p w14:paraId="34306D92"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36.21%</w:t>
            </w:r>
          </w:p>
        </w:tc>
        <w:tc>
          <w:tcPr>
            <w:tcW w:w="1000" w:type="pct"/>
          </w:tcPr>
          <w:p w14:paraId="40E85C92"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31.28%</w:t>
            </w:r>
          </w:p>
        </w:tc>
        <w:tc>
          <w:tcPr>
            <w:tcW w:w="1000" w:type="pct"/>
          </w:tcPr>
          <w:p w14:paraId="2D342169"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25.90%</w:t>
            </w:r>
          </w:p>
        </w:tc>
        <w:tc>
          <w:tcPr>
            <w:tcW w:w="1000" w:type="pct"/>
          </w:tcPr>
          <w:p w14:paraId="43F280DA"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21.49%</w:t>
            </w:r>
          </w:p>
        </w:tc>
      </w:tr>
      <w:tr w:rsidR="00C04B10" w14:paraId="2D6088B0"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1D41E732" w14:textId="77777777" w:rsidR="00C04B10" w:rsidRDefault="001148AB">
            <w:pPr>
              <w:pStyle w:val="DefaqtoTableBody2"/>
              <w:rPr>
                <w:rFonts w:eastAsia="Poppins" w:cs="Poppins"/>
              </w:rPr>
            </w:pPr>
            <w:r>
              <w:rPr>
                <w:rFonts w:eastAsia="Poppins" w:cs="Poppins"/>
                <w:b/>
                <w:bCs/>
              </w:rPr>
              <w:lastRenderedPageBreak/>
              <w:t>10 Yr Cum. Return</w:t>
            </w:r>
          </w:p>
        </w:tc>
        <w:tc>
          <w:tcPr>
            <w:tcW w:w="1000" w:type="pct"/>
          </w:tcPr>
          <w:p w14:paraId="044F2975"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70.66%</w:t>
            </w:r>
          </w:p>
        </w:tc>
        <w:tc>
          <w:tcPr>
            <w:tcW w:w="1000" w:type="pct"/>
          </w:tcPr>
          <w:p w14:paraId="6BF61B22"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5B7BD8F1"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393E7D7A"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66.95%</w:t>
            </w:r>
          </w:p>
        </w:tc>
      </w:tr>
      <w:tr w:rsidR="00C04B10" w14:paraId="25F22A3B"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6B6899D5" w14:textId="77777777" w:rsidR="00C04B10" w:rsidRDefault="001148AB">
            <w:pPr>
              <w:pStyle w:val="DefaqtoTableBody2"/>
              <w:rPr>
                <w:rFonts w:eastAsia="Poppins" w:cs="Poppins"/>
              </w:rPr>
            </w:pPr>
            <w:r>
              <w:rPr>
                <w:rFonts w:eastAsia="Poppins" w:cs="Poppins"/>
                <w:b/>
                <w:bCs/>
              </w:rPr>
              <w:t>5 Yr Volatility</w:t>
            </w:r>
          </w:p>
        </w:tc>
        <w:tc>
          <w:tcPr>
            <w:tcW w:w="1000" w:type="pct"/>
          </w:tcPr>
          <w:p w14:paraId="26E26EAD"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6.46</w:t>
            </w:r>
          </w:p>
        </w:tc>
        <w:tc>
          <w:tcPr>
            <w:tcW w:w="1000" w:type="pct"/>
          </w:tcPr>
          <w:p w14:paraId="57BCA4B5"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6.9</w:t>
            </w:r>
          </w:p>
        </w:tc>
        <w:tc>
          <w:tcPr>
            <w:tcW w:w="1000" w:type="pct"/>
          </w:tcPr>
          <w:p w14:paraId="7B07A6FE"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6.38</w:t>
            </w:r>
          </w:p>
        </w:tc>
        <w:tc>
          <w:tcPr>
            <w:tcW w:w="1000" w:type="pct"/>
          </w:tcPr>
          <w:p w14:paraId="6F9E460C"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7.25</w:t>
            </w:r>
          </w:p>
        </w:tc>
      </w:tr>
      <w:tr w:rsidR="00C04B10" w14:paraId="55A02149"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564AD440" w14:textId="77777777" w:rsidR="00C04B10" w:rsidRDefault="001148AB">
            <w:pPr>
              <w:pStyle w:val="DefaqtoTableBody2"/>
              <w:rPr>
                <w:rFonts w:eastAsia="Poppins" w:cs="Poppins"/>
              </w:rPr>
            </w:pPr>
            <w:r>
              <w:rPr>
                <w:rFonts w:eastAsia="Poppins" w:cs="Poppins"/>
                <w:b/>
                <w:bCs/>
              </w:rPr>
              <w:t>10 Yr Volatility</w:t>
            </w:r>
          </w:p>
        </w:tc>
        <w:tc>
          <w:tcPr>
            <w:tcW w:w="1000" w:type="pct"/>
          </w:tcPr>
          <w:p w14:paraId="0FBD8BA5"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6.76</w:t>
            </w:r>
          </w:p>
        </w:tc>
        <w:tc>
          <w:tcPr>
            <w:tcW w:w="1000" w:type="pct"/>
          </w:tcPr>
          <w:p w14:paraId="75A2FE19"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08FAF807"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1F09CA3C"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6.55</w:t>
            </w:r>
          </w:p>
        </w:tc>
      </w:tr>
      <w:tr w:rsidR="00C04B10" w14:paraId="4BA426F7"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7B29BDEA" w14:textId="77777777" w:rsidR="00C04B10" w:rsidRDefault="001148AB">
            <w:pPr>
              <w:pStyle w:val="DefaqtoTableBody2"/>
              <w:rPr>
                <w:rFonts w:eastAsia="Poppins" w:cs="Poppins"/>
              </w:rPr>
            </w:pPr>
            <w:r>
              <w:rPr>
                <w:rFonts w:eastAsia="Poppins" w:cs="Poppins"/>
                <w:b/>
                <w:bCs/>
              </w:rPr>
              <w:t>AMC</w:t>
            </w:r>
          </w:p>
        </w:tc>
        <w:tc>
          <w:tcPr>
            <w:tcW w:w="1000" w:type="pct"/>
          </w:tcPr>
          <w:p w14:paraId="0B67B664"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0.41%</w:t>
            </w:r>
          </w:p>
        </w:tc>
        <w:tc>
          <w:tcPr>
            <w:tcW w:w="1000" w:type="pct"/>
          </w:tcPr>
          <w:p w14:paraId="24CCE1E3"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0.29%</w:t>
            </w:r>
          </w:p>
        </w:tc>
        <w:tc>
          <w:tcPr>
            <w:tcW w:w="1000" w:type="pct"/>
          </w:tcPr>
          <w:p w14:paraId="630286D9"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0.10%</w:t>
            </w:r>
          </w:p>
        </w:tc>
        <w:tc>
          <w:tcPr>
            <w:tcW w:w="1000" w:type="pct"/>
          </w:tcPr>
          <w:p w14:paraId="72FC1450" w14:textId="77777777" w:rsidR="00C04B10" w:rsidRDefault="001148AB">
            <w:pPr>
              <w:pStyle w:val="DefaqtoTableBody2"/>
              <w:jc w:val="center"/>
              <w:cnfStyle w:val="000000100000" w:firstRow="0" w:lastRow="0" w:firstColumn="0" w:lastColumn="0" w:oddVBand="0" w:evenVBand="0" w:oddHBand="1" w:evenHBand="0" w:firstRowFirstColumn="0" w:firstRowLastColumn="0" w:lastRowFirstColumn="0" w:lastRowLastColumn="0"/>
              <w:rPr>
                <w:rFonts w:eastAsia="Poppins" w:cs="Poppins"/>
              </w:rPr>
            </w:pPr>
            <w:r>
              <w:rPr>
                <w:rFonts w:eastAsia="Poppins" w:cs="Poppins"/>
              </w:rPr>
              <w:t>0.22%</w:t>
            </w:r>
          </w:p>
        </w:tc>
      </w:tr>
      <w:tr w:rsidR="00C04B10" w14:paraId="615DD213" w14:textId="77777777" w:rsidTr="00C04B1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18" w:space="0" w:color="614FA0"/>
            </w:tcBorders>
          </w:tcPr>
          <w:p w14:paraId="7377ACC4" w14:textId="77777777" w:rsidR="00C04B10" w:rsidRDefault="001148AB">
            <w:pPr>
              <w:pStyle w:val="DefaqtoTableBody2"/>
              <w:rPr>
                <w:rFonts w:eastAsia="Poppins" w:cs="Poppins"/>
              </w:rPr>
            </w:pPr>
            <w:r>
              <w:rPr>
                <w:rFonts w:eastAsia="Poppins" w:cs="Poppins"/>
                <w:b/>
                <w:bCs/>
              </w:rPr>
              <w:t>Ongoing Charges</w:t>
            </w:r>
          </w:p>
        </w:tc>
        <w:tc>
          <w:tcPr>
            <w:tcW w:w="1000" w:type="pct"/>
          </w:tcPr>
          <w:p w14:paraId="512BCFA4" w14:textId="77777777" w:rsidR="00C04B10" w:rsidRDefault="00C04B10">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p>
        </w:tc>
        <w:tc>
          <w:tcPr>
            <w:tcW w:w="1000" w:type="pct"/>
          </w:tcPr>
          <w:p w14:paraId="18C9AAE9"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0.29%</w:t>
            </w:r>
          </w:p>
        </w:tc>
        <w:tc>
          <w:tcPr>
            <w:tcW w:w="1000" w:type="pct"/>
          </w:tcPr>
          <w:p w14:paraId="0BAE6871"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0.21%</w:t>
            </w:r>
          </w:p>
        </w:tc>
        <w:tc>
          <w:tcPr>
            <w:tcW w:w="1000" w:type="pct"/>
          </w:tcPr>
          <w:p w14:paraId="3CE96894" w14:textId="77777777" w:rsidR="00C04B10" w:rsidRDefault="001148AB">
            <w:pPr>
              <w:pStyle w:val="DefaqtoTableBody2"/>
              <w:jc w:val="center"/>
              <w:cnfStyle w:val="000000010000" w:firstRow="0" w:lastRow="0" w:firstColumn="0" w:lastColumn="0" w:oddVBand="0" w:evenVBand="0" w:oddHBand="0" w:evenHBand="1" w:firstRowFirstColumn="0" w:firstRowLastColumn="0" w:lastRowFirstColumn="0" w:lastRowLastColumn="0"/>
              <w:rPr>
                <w:rFonts w:eastAsia="Poppins" w:cs="Poppins"/>
              </w:rPr>
            </w:pPr>
            <w:r>
              <w:rPr>
                <w:rFonts w:eastAsia="Poppins" w:cs="Poppins"/>
              </w:rPr>
              <w:t>0.22%</w:t>
            </w:r>
          </w:p>
        </w:tc>
      </w:tr>
    </w:tbl>
    <w:p w14:paraId="67511AB6" w14:textId="77777777" w:rsidR="00C04B10" w:rsidRDefault="001148AB">
      <w:pPr>
        <w:pStyle w:val="DefaqtoHeading4"/>
        <w:rPr>
          <w:noProof/>
        </w:rPr>
      </w:pPr>
      <w:r>
        <w:rPr>
          <w:noProof/>
        </w:rPr>
        <w:br/>
      </w:r>
    </w:p>
    <w:p w14:paraId="2D7AA2F7" w14:textId="77777777" w:rsidR="00C04B10" w:rsidRDefault="00C04B10">
      <w:pPr>
        <w:rPr>
          <w:lang w:eastAsia="en-US"/>
        </w:rPr>
      </w:pPr>
    </w:p>
    <w:p w14:paraId="54CAB851" w14:textId="77777777" w:rsidR="00C04B10" w:rsidRDefault="00C04B10">
      <w:pPr>
        <w:rPr>
          <w:lang w:eastAsia="en-US"/>
        </w:rPr>
        <w:sectPr w:rsidR="00C04B10">
          <w:headerReference w:type="default" r:id="rId49"/>
          <w:footerReference w:type="default" r:id="rId50"/>
          <w:pgSz w:w="16838" w:h="11906" w:orient="landscape"/>
          <w:pgMar w:top="709" w:right="640" w:bottom="376" w:left="640" w:header="200" w:footer="200" w:gutter="0"/>
          <w:cols w:space="708"/>
          <w:docGrid w:linePitch="360"/>
        </w:sectPr>
      </w:pPr>
    </w:p>
    <w:p w14:paraId="000DEC6C" w14:textId="77777777" w:rsidR="00C04B10" w:rsidRDefault="00C04B10">
      <w:pPr>
        <w:pStyle w:val="Defaqtosmallprint"/>
        <w:rPr>
          <w:lang w:val="en-NZ"/>
        </w:rPr>
      </w:pPr>
    </w:p>
    <w:p w14:paraId="31339B6A" w14:textId="77777777" w:rsidR="00C04B10" w:rsidRDefault="00C04B10">
      <w:pPr>
        <w:pStyle w:val="Defaqtosmallprint"/>
        <w:rPr>
          <w:lang w:val="en-NZ"/>
        </w:rPr>
      </w:pPr>
    </w:p>
    <w:p w14:paraId="23DE037C" w14:textId="77777777" w:rsidR="00C04B10" w:rsidRDefault="001148AB">
      <w:pPr>
        <w:pStyle w:val="Defaqtosmallprint"/>
        <w:rPr>
          <w:rFonts w:cs="Arial"/>
        </w:rPr>
      </w:pPr>
      <w:r>
        <w:rPr>
          <w:rFonts w:cs="Arial"/>
        </w:rPr>
        <w:t xml:space="preserve">The funds data used within Defaqto Engage is sourced from Morningstar UK. </w:t>
      </w:r>
    </w:p>
    <w:p w14:paraId="17386239" w14:textId="77777777" w:rsidR="00C04B10" w:rsidRDefault="001148AB">
      <w:pPr>
        <w:pStyle w:val="Defaqtosmallprint"/>
        <w:rPr>
          <w:rFonts w:cs="Arial"/>
        </w:rPr>
      </w:pPr>
      <w:r>
        <w:rPr>
          <w:rFonts w:cs="Arial"/>
          <w:b/>
          <w:bCs/>
        </w:rPr>
        <w:t>Morningstar UK Data Disclaimer</w:t>
      </w:r>
      <w:r>
        <w:rPr>
          <w:rFonts w:cs="Arial"/>
          <w:b/>
          <w:bCs/>
        </w:rPr>
        <w:br/>
      </w:r>
      <w:r>
        <w:rPr>
          <w:rFonts w:cs="Arial"/>
        </w:rPr>
        <w:t>The data and calculations contained herein are: (i) proprietary to Morningstar; (ii) not warranted to be accurate, complete or timely; and (iii) provided to you by Defaqto Engage at your own risk. You agree that neither Morningstar nor Defaqto Engage is responsible for any damages or losses arising from any use of this information and that the information must not be relied upon by you, the user, without appropriate verification. Morningstar and Defaqto Engage inform you as follows: (i) no investment decis</w:t>
      </w:r>
      <w:r>
        <w:rPr>
          <w:rFonts w:cs="Arial"/>
        </w:rPr>
        <w:t>ion should be made in relation to any of the information provided other than on the advice of a professional financial adviser; (ii) past performance is no guarantee of future results; and (iii) the value and income derived from investments can go down as well as up.</w:t>
      </w:r>
    </w:p>
    <w:p w14:paraId="691CE4B2" w14:textId="77777777" w:rsidR="00C04B10" w:rsidRDefault="001148AB">
      <w:pPr>
        <w:pStyle w:val="Defaqtosmallprint"/>
        <w:rPr>
          <w:rFonts w:cs="Arial"/>
        </w:rPr>
      </w:pPr>
      <w:r>
        <w:rPr>
          <w:rFonts w:cs="Arial"/>
        </w:rPr>
        <w:t xml:space="preserve">Data and Calculations: © </w:t>
      </w:r>
      <w:r>
        <w:rPr>
          <w:noProof/>
          <w:lang w:val="en-NZ"/>
        </w:rPr>
        <w:t>2025</w:t>
      </w:r>
      <w:r>
        <w:rPr>
          <w:lang w:val="en-NZ"/>
        </w:rPr>
        <w:t xml:space="preserve"> </w:t>
      </w:r>
      <w:r>
        <w:rPr>
          <w:rFonts w:cs="Arial"/>
        </w:rPr>
        <w:t xml:space="preserve"> Morningstar UK. All Rights Reserved.</w:t>
      </w:r>
    </w:p>
    <w:p w14:paraId="147E5F27" w14:textId="77777777" w:rsidR="00C04B10" w:rsidRDefault="00C04B10">
      <w:pPr>
        <w:rPr>
          <w:lang w:eastAsia="en-US"/>
        </w:rPr>
      </w:pPr>
    </w:p>
    <w:p w14:paraId="4F151084" w14:textId="77777777" w:rsidR="00C04B10" w:rsidRDefault="00C04B10">
      <w:pPr>
        <w:rPr>
          <w:lang w:eastAsia="en-US"/>
        </w:rPr>
      </w:pPr>
    </w:p>
    <w:p w14:paraId="76277E61" w14:textId="77777777" w:rsidR="00C04B10" w:rsidRDefault="00C04B10">
      <w:pPr>
        <w:rPr>
          <w:lang w:eastAsia="en-US"/>
        </w:rPr>
      </w:pPr>
    </w:p>
    <w:p w14:paraId="642834B0" w14:textId="77777777" w:rsidR="00C04B10" w:rsidRDefault="00C04B10">
      <w:pPr>
        <w:rPr>
          <w:lang w:eastAsia="en-US"/>
        </w:rPr>
      </w:pPr>
    </w:p>
    <w:p w14:paraId="757A420A" w14:textId="77777777" w:rsidR="00C04B10" w:rsidRDefault="00C04B10">
      <w:pPr>
        <w:rPr>
          <w:lang w:eastAsia="en-US"/>
        </w:rPr>
      </w:pPr>
    </w:p>
    <w:p w14:paraId="6E446E5E" w14:textId="77777777" w:rsidR="00C04B10" w:rsidRDefault="00C04B10">
      <w:pPr>
        <w:rPr>
          <w:lang w:eastAsia="en-US"/>
        </w:rPr>
      </w:pPr>
    </w:p>
    <w:p w14:paraId="524B0C5A" w14:textId="77777777" w:rsidR="00C04B10" w:rsidRDefault="00C04B10">
      <w:pPr>
        <w:rPr>
          <w:lang w:eastAsia="en-US"/>
        </w:rPr>
      </w:pPr>
    </w:p>
    <w:p w14:paraId="2425AA72" w14:textId="77777777" w:rsidR="00C04B10" w:rsidRDefault="00C04B10">
      <w:pPr>
        <w:rPr>
          <w:lang w:eastAsia="en-US"/>
        </w:rPr>
      </w:pPr>
    </w:p>
    <w:p w14:paraId="54089168" w14:textId="77777777" w:rsidR="00C04B10" w:rsidRDefault="00C04B10">
      <w:pPr>
        <w:rPr>
          <w:lang w:eastAsia="en-US"/>
        </w:rPr>
      </w:pPr>
    </w:p>
    <w:p w14:paraId="67BF333F" w14:textId="77777777" w:rsidR="00C04B10" w:rsidRDefault="00C04B10">
      <w:pPr>
        <w:rPr>
          <w:lang w:eastAsia="en-US"/>
        </w:rPr>
      </w:pPr>
    </w:p>
    <w:p w14:paraId="2D1DEA61" w14:textId="77777777" w:rsidR="00C04B10" w:rsidRDefault="00C04B10">
      <w:pPr>
        <w:rPr>
          <w:lang w:eastAsia="en-US"/>
        </w:rPr>
      </w:pPr>
    </w:p>
    <w:p w14:paraId="6FB553B1" w14:textId="77777777" w:rsidR="00C04B10" w:rsidRDefault="00C04B10">
      <w:pPr>
        <w:rPr>
          <w:lang w:eastAsia="en-US"/>
        </w:rPr>
      </w:pPr>
    </w:p>
    <w:p w14:paraId="1A589FF2" w14:textId="77777777" w:rsidR="00C04B10" w:rsidRDefault="00C04B10">
      <w:pPr>
        <w:rPr>
          <w:lang w:eastAsia="en-US"/>
        </w:rPr>
      </w:pPr>
    </w:p>
    <w:p w14:paraId="54FCB718" w14:textId="77777777" w:rsidR="00C04B10" w:rsidRDefault="00C04B10">
      <w:pPr>
        <w:rPr>
          <w:lang w:eastAsia="en-US"/>
        </w:rPr>
      </w:pPr>
    </w:p>
    <w:p w14:paraId="7E08E5B0" w14:textId="77777777" w:rsidR="00C04B10" w:rsidRDefault="00C04B10">
      <w:pPr>
        <w:rPr>
          <w:lang w:eastAsia="en-US"/>
        </w:rPr>
      </w:pPr>
    </w:p>
    <w:p w14:paraId="36608634" w14:textId="77777777" w:rsidR="00C04B10" w:rsidRDefault="00C04B10">
      <w:pPr>
        <w:rPr>
          <w:lang w:eastAsia="en-US"/>
        </w:rPr>
      </w:pPr>
    </w:p>
    <w:p w14:paraId="300936B5" w14:textId="77777777" w:rsidR="00C04B10" w:rsidRDefault="00C04B10">
      <w:pPr>
        <w:rPr>
          <w:lang w:eastAsia="en-US"/>
        </w:rPr>
      </w:pPr>
    </w:p>
    <w:p w14:paraId="6C8491F9" w14:textId="77777777" w:rsidR="00C04B10" w:rsidRDefault="00C04B10">
      <w:pPr>
        <w:rPr>
          <w:lang w:eastAsia="en-US"/>
        </w:rPr>
      </w:pPr>
    </w:p>
    <w:p w14:paraId="34E0DD97" w14:textId="77777777" w:rsidR="00C04B10" w:rsidRDefault="00C04B10">
      <w:pPr>
        <w:rPr>
          <w:lang w:eastAsia="en-US"/>
        </w:rPr>
      </w:pPr>
    </w:p>
    <w:p w14:paraId="31A1C57E" w14:textId="77777777" w:rsidR="00C04B10" w:rsidRDefault="00C04B10">
      <w:pPr>
        <w:rPr>
          <w:lang w:eastAsia="en-US"/>
        </w:rPr>
      </w:pPr>
    </w:p>
    <w:p w14:paraId="2622523C" w14:textId="77777777" w:rsidR="00C04B10" w:rsidRDefault="00C04B10">
      <w:pPr>
        <w:rPr>
          <w:lang w:eastAsia="en-US"/>
        </w:rPr>
      </w:pPr>
    </w:p>
    <w:p w14:paraId="0DB98B03" w14:textId="77777777" w:rsidR="00C04B10" w:rsidRDefault="00C04B10">
      <w:pPr>
        <w:rPr>
          <w:lang w:eastAsia="en-US"/>
        </w:rPr>
      </w:pPr>
    </w:p>
    <w:p w14:paraId="2216A2F2" w14:textId="77777777" w:rsidR="00C04B10" w:rsidRDefault="001148AB">
      <w:pPr>
        <w:tabs>
          <w:tab w:val="left" w:pos="985"/>
        </w:tabs>
        <w:rPr>
          <w:rFonts w:ascii="Arial" w:eastAsia="Arial" w:hAnsi="Arial" w:cs="Times New Roman"/>
          <w:b/>
          <w:bCs/>
          <w:color w:val="FF0000"/>
          <w:sz w:val="28"/>
          <w:szCs w:val="28"/>
          <w:lang w:eastAsia="en-US"/>
        </w:rPr>
      </w:pPr>
      <w:r>
        <w:rPr>
          <w:rFonts w:ascii="Arial" w:eastAsia="Arial" w:hAnsi="Arial" w:cs="Times New Roman"/>
          <w:b/>
          <w:bCs/>
          <w:color w:val="FF0000"/>
          <w:sz w:val="28"/>
          <w:szCs w:val="28"/>
          <w:lang w:eastAsia="en-US"/>
        </w:rPr>
        <w:tab/>
      </w:r>
    </w:p>
    <w:p w14:paraId="5975E1DF" w14:textId="77777777" w:rsidR="00C04B10" w:rsidRDefault="00C04B10">
      <w:pPr>
        <w:rPr>
          <w:lang w:eastAsia="en-US"/>
        </w:rPr>
        <w:sectPr w:rsidR="00C04B10">
          <w:headerReference w:type="default" r:id="rId51"/>
          <w:footerReference w:type="default" r:id="rId52"/>
          <w:pgSz w:w="11906" w:h="16838"/>
          <w:pgMar w:top="709" w:right="640" w:bottom="376" w:left="640" w:header="200" w:footer="200" w:gutter="0"/>
          <w:cols w:space="720"/>
          <w:docGrid w:linePitch="360"/>
        </w:sectPr>
      </w:pPr>
    </w:p>
    <w:p w14:paraId="1A671E8D" w14:textId="77777777" w:rsidR="00C04B10" w:rsidRDefault="001148AB">
      <w:pPr>
        <w:pStyle w:val="DefaqtoHeading1"/>
      </w:pPr>
      <w:bookmarkStart w:id="28" w:name="_Toc19"/>
      <w:r>
        <w:lastRenderedPageBreak/>
        <w:t>Product selection</w:t>
      </w:r>
      <w:bookmarkEnd w:id="28"/>
    </w:p>
    <w:p w14:paraId="010BC857" w14:textId="77777777" w:rsidR="00C04B10" w:rsidRDefault="001148AB">
      <w:pPr>
        <w:pStyle w:val="DefaqtoIntroText"/>
      </w:pPr>
      <w:r>
        <w:rPr>
          <w:u w:color="000000"/>
        </w:rPr>
        <w:t>This section details the issues identified as being important to the selection of a product and the other criteria used in selecting the most suitable product.</w:t>
      </w:r>
    </w:p>
    <w:p w14:paraId="3C115F2A" w14:textId="77777777" w:rsidR="00C04B10" w:rsidRDefault="001148AB">
      <w:pPr>
        <w:pStyle w:val="DefaqtoHeading2"/>
      </w:pPr>
      <w:bookmarkStart w:id="29" w:name="_Toc20"/>
      <w:r>
        <w:t>Selected Research Area</w:t>
      </w:r>
      <w:bookmarkEnd w:id="29"/>
    </w:p>
    <w:p w14:paraId="017C9286" w14:textId="77777777" w:rsidR="00C04B10" w:rsidRDefault="001148AB">
      <w:pPr>
        <w:pStyle w:val="DefaqtoBody"/>
      </w:pPr>
      <w:r>
        <w:rPr>
          <w:u w:color="000000"/>
        </w:rPr>
        <w:t>The selected research area is Personal Pension Plan</w:t>
      </w:r>
    </w:p>
    <w:p w14:paraId="230DC977" w14:textId="77777777" w:rsidR="00C04B10" w:rsidRDefault="001148AB">
      <w:pPr>
        <w:pStyle w:val="DefaqtoHeading2"/>
      </w:pPr>
      <w:bookmarkStart w:id="30" w:name="_Toc21"/>
      <w:r>
        <w:t>Recommended Product</w:t>
      </w:r>
      <w:bookmarkEnd w:id="30"/>
    </w:p>
    <w:p w14:paraId="62F6A934" w14:textId="77777777" w:rsidR="00C04B10" w:rsidRDefault="001148AB">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C04B10" w14:paraId="058350B5"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2BC62677" w14:textId="77777777" w:rsidR="00C04B10" w:rsidRDefault="001148AB">
            <w:pPr>
              <w:pStyle w:val="DefaqtoTableBody2"/>
            </w:pPr>
            <w:r>
              <w:t>Product / Provider</w:t>
            </w:r>
          </w:p>
        </w:tc>
        <w:tc>
          <w:tcPr>
            <w:tcW w:w="3750" w:type="pct"/>
          </w:tcPr>
          <w:p w14:paraId="6BBE7B0B"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Pension Portfolio - Choice</w:t>
            </w:r>
            <w:r>
              <w:br/>
              <w:t>Aviva Life &amp; Pensions UK Limited</w:t>
            </w:r>
          </w:p>
        </w:tc>
      </w:tr>
      <w:tr w:rsidR="00C04B10" w14:paraId="51BA5B5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BBDF09" w14:textId="77777777" w:rsidR="00C04B10" w:rsidRDefault="001148AB">
            <w:pPr>
              <w:pStyle w:val="DefaqtoTableBody2"/>
            </w:pPr>
            <w:r>
              <w:t>Product type</w:t>
            </w:r>
          </w:p>
        </w:tc>
        <w:tc>
          <w:tcPr>
            <w:tcW w:w="0" w:type="auto"/>
          </w:tcPr>
          <w:p w14:paraId="57682759"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Pension Portfolio - Choice</w:t>
            </w:r>
          </w:p>
        </w:tc>
      </w:tr>
      <w:tr w:rsidR="00C04B10" w14:paraId="41E803F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4E3865" w14:textId="77777777" w:rsidR="00C04B10" w:rsidRDefault="001148AB">
            <w:pPr>
              <w:pStyle w:val="DefaqtoTableBody2"/>
            </w:pPr>
            <w:r>
              <w:t>Profile</w:t>
            </w:r>
          </w:p>
        </w:tc>
        <w:tc>
          <w:tcPr>
            <w:tcW w:w="0" w:type="auto"/>
          </w:tcPr>
          <w:p w14:paraId="54D67233"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to 18 million (as at 31st December 2020) customers in their core markets (UK &amp; Ireland Life, General Insurance: UK &amp; Ireland, General Insurance: Canada). </w:t>
            </w:r>
            <w:r>
              <w:br/>
            </w:r>
            <w:r>
              <w:br/>
            </w:r>
          </w:p>
        </w:tc>
      </w:tr>
    </w:tbl>
    <w:p w14:paraId="7CEC003A" w14:textId="77777777" w:rsidR="00C04B10" w:rsidRDefault="00C04B10">
      <w:pPr>
        <w:sectPr w:rsidR="00C04B10">
          <w:headerReference w:type="default" r:id="rId53"/>
          <w:footerReference w:type="default" r:id="rId54"/>
          <w:pgSz w:w="11907" w:h="16839" w:code="9"/>
          <w:pgMar w:top="709" w:right="640" w:bottom="376" w:left="640" w:header="200" w:footer="200" w:gutter="0"/>
          <w:cols w:space="708"/>
          <w:docGrid w:linePitch="360"/>
        </w:sectPr>
      </w:pPr>
    </w:p>
    <w:p w14:paraId="04D19C72" w14:textId="77777777" w:rsidR="00C04B10" w:rsidRDefault="001148AB">
      <w:pPr>
        <w:pStyle w:val="DefaqtoHeading2"/>
      </w:pPr>
      <w:bookmarkStart w:id="31" w:name="_Toc22"/>
      <w:r>
        <w:lastRenderedPageBreak/>
        <w:t>Panel</w:t>
      </w:r>
      <w:bookmarkEnd w:id="31"/>
    </w:p>
    <w:p w14:paraId="786B8020" w14:textId="77777777" w:rsidR="00C04B10" w:rsidRDefault="001148AB">
      <w:pPr>
        <w:pStyle w:val="DefaqtoBody"/>
      </w:pPr>
      <w:r>
        <w:rPr>
          <w:u w:color="000000"/>
        </w:rPr>
        <w:t>The Whole of Market has been used in the product selection.</w:t>
      </w:r>
    </w:p>
    <w:p w14:paraId="4F1F4D1A" w14:textId="77777777" w:rsidR="00C04B10" w:rsidRDefault="001148AB">
      <w:pPr>
        <w:pStyle w:val="DefaqtoHeading2"/>
      </w:pPr>
      <w:bookmarkStart w:id="32" w:name="_Toc23"/>
      <w:r>
        <w:t>Template</w:t>
      </w:r>
      <w:bookmarkEnd w:id="32"/>
    </w:p>
    <w:p w14:paraId="7EDDB37C" w14:textId="77777777" w:rsidR="00C04B10" w:rsidRDefault="001148AB">
      <w:pPr>
        <w:pStyle w:val="DefaqtoBody"/>
      </w:pPr>
      <w:r>
        <w:rPr>
          <w:u w:color="000000"/>
        </w:rPr>
        <w:t>No template has been used in the product selection.</w:t>
      </w:r>
    </w:p>
    <w:p w14:paraId="1A3BA279" w14:textId="77777777" w:rsidR="00C04B10" w:rsidRDefault="001148AB">
      <w:pPr>
        <w:pStyle w:val="DefaqtoHeading2"/>
      </w:pPr>
      <w:bookmarkStart w:id="33" w:name="_Toc24"/>
      <w:r>
        <w:t>Filters</w:t>
      </w:r>
      <w:bookmarkEnd w:id="33"/>
    </w:p>
    <w:p w14:paraId="7CD4AA56" w14:textId="77777777" w:rsidR="00C04B10" w:rsidRDefault="001148AB">
      <w:pPr>
        <w:pStyle w:val="DefaqtoBody"/>
      </w:pPr>
      <w:r>
        <w:rPr>
          <w:u w:color="000000"/>
        </w:rPr>
        <w:t>The table below lists the filters applied and the feature value for the recommended product.</w:t>
      </w:r>
    </w:p>
    <w:tbl>
      <w:tblPr>
        <w:tblStyle w:val="DefaqtoTable"/>
        <w:tblW w:w="5000" w:type="pct"/>
        <w:tblLook w:val="01E0" w:firstRow="1" w:lastRow="1" w:firstColumn="1" w:lastColumn="1" w:noHBand="0" w:noVBand="0"/>
      </w:tblPr>
      <w:tblGrid>
        <w:gridCol w:w="2870"/>
        <w:gridCol w:w="5428"/>
        <w:gridCol w:w="2319"/>
      </w:tblGrid>
      <w:tr w:rsidR="00C04B10" w14:paraId="43C0D00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978FCB" w14:textId="77777777" w:rsidR="00C04B10" w:rsidRDefault="001148AB">
            <w:pPr>
              <w:pStyle w:val="DefaqtoTableBody2"/>
            </w:pPr>
            <w:r>
              <w:t>Feature</w:t>
            </w:r>
          </w:p>
        </w:tc>
        <w:tc>
          <w:tcPr>
            <w:tcW w:w="0" w:type="auto"/>
          </w:tcPr>
          <w:p w14:paraId="22741D9D"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5BA0D2B8"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C04B10" w14:paraId="4FE6374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6F8BD88" w14:textId="77777777" w:rsidR="00C04B10" w:rsidRDefault="001148AB">
            <w:pPr>
              <w:pStyle w:val="DefaqtoTableBody2"/>
            </w:pPr>
            <w:r>
              <w:t>AKG Financial Strength</w:t>
            </w:r>
          </w:p>
        </w:tc>
        <w:tc>
          <w:tcPr>
            <w:tcW w:w="0" w:type="auto"/>
          </w:tcPr>
          <w:p w14:paraId="1F8BFE53"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 xml:space="preserve">DNA 5 - A rating of 'A' denotes superior financial strength </w:t>
            </w:r>
            <w:r>
              <w:br/>
              <w:t xml:space="preserve">DNA 4 - A rating of 'B+' denotes very strong financial strength </w:t>
            </w:r>
            <w:r>
              <w:br/>
            </w:r>
          </w:p>
        </w:tc>
        <w:tc>
          <w:tcPr>
            <w:tcW w:w="0" w:type="auto"/>
          </w:tcPr>
          <w:p w14:paraId="58A8698D"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B+</w:t>
            </w:r>
          </w:p>
        </w:tc>
      </w:tr>
      <w:tr w:rsidR="00C04B10" w14:paraId="02DFB82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DE3EF65" w14:textId="77777777" w:rsidR="00C04B10" w:rsidRDefault="001148AB">
            <w:pPr>
              <w:pStyle w:val="DefaqtoTableBody2"/>
            </w:pPr>
            <w:r>
              <w:t>Service Satisfaction Score (%)</w:t>
            </w:r>
          </w:p>
        </w:tc>
        <w:tc>
          <w:tcPr>
            <w:tcW w:w="0" w:type="auto"/>
          </w:tcPr>
          <w:p w14:paraId="3C63C38B"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DNA 5 - Very high satisfaction levels</w:t>
            </w:r>
            <w:r>
              <w:br/>
              <w:t>DNA 4 - High satisfaction levels</w:t>
            </w:r>
            <w:r>
              <w:br/>
            </w:r>
          </w:p>
        </w:tc>
        <w:tc>
          <w:tcPr>
            <w:tcW w:w="0" w:type="auto"/>
          </w:tcPr>
          <w:p w14:paraId="5A517AC5"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79</w:t>
            </w:r>
          </w:p>
        </w:tc>
      </w:tr>
      <w:tr w:rsidR="00C04B10" w14:paraId="72532C1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BA868D0" w14:textId="77777777" w:rsidR="00C04B10" w:rsidRDefault="001148AB">
            <w:pPr>
              <w:pStyle w:val="DefaqtoTableBody2"/>
            </w:pPr>
            <w:r>
              <w:t>Online Valuations Access</w:t>
            </w:r>
          </w:p>
        </w:tc>
        <w:tc>
          <w:tcPr>
            <w:tcW w:w="0" w:type="auto"/>
          </w:tcPr>
          <w:p w14:paraId="66C9D9B1"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DNA 5 - Online valuations available to both client and adviser</w:t>
            </w:r>
            <w:r>
              <w:br/>
            </w:r>
          </w:p>
        </w:tc>
        <w:tc>
          <w:tcPr>
            <w:tcW w:w="0" w:type="auto"/>
          </w:tcPr>
          <w:p w14:paraId="68B13BE2"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client,adviser</w:t>
            </w:r>
          </w:p>
        </w:tc>
      </w:tr>
      <w:tr w:rsidR="00C04B10" w14:paraId="112566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D0144C" w14:textId="77777777" w:rsidR="00C04B10" w:rsidRDefault="001148AB">
            <w:pPr>
              <w:pStyle w:val="DefaqtoTableBody2"/>
            </w:pPr>
            <w:r>
              <w:t>FAD (Flexi Access Drawdown)</w:t>
            </w:r>
          </w:p>
        </w:tc>
        <w:tc>
          <w:tcPr>
            <w:tcW w:w="0" w:type="auto"/>
          </w:tcPr>
          <w:p w14:paraId="78A797A0"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DNA 5 - Flexi access drawdown facility available</w:t>
            </w:r>
            <w:r>
              <w:br/>
            </w:r>
          </w:p>
        </w:tc>
        <w:tc>
          <w:tcPr>
            <w:tcW w:w="0" w:type="auto"/>
          </w:tcPr>
          <w:p w14:paraId="5070C43E"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Yes</w:t>
            </w:r>
          </w:p>
        </w:tc>
      </w:tr>
      <w:tr w:rsidR="00C04B10" w14:paraId="1120647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2E3A0A0" w14:textId="77777777" w:rsidR="00C04B10" w:rsidRDefault="001148AB">
            <w:pPr>
              <w:pStyle w:val="DefaqtoTableBody2"/>
            </w:pPr>
            <w:r>
              <w:t>Uncrystallised Funds Pension Lump Sum</w:t>
            </w:r>
          </w:p>
        </w:tc>
        <w:tc>
          <w:tcPr>
            <w:tcW w:w="0" w:type="auto"/>
          </w:tcPr>
          <w:p w14:paraId="519601E6"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DNA 5 - Uncrystallised Funds Pension Lump Sum facility available</w:t>
            </w:r>
            <w:r>
              <w:br/>
            </w:r>
          </w:p>
        </w:tc>
        <w:tc>
          <w:tcPr>
            <w:tcW w:w="0" w:type="auto"/>
          </w:tcPr>
          <w:p w14:paraId="02D3C45A"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Yes</w:t>
            </w:r>
          </w:p>
        </w:tc>
      </w:tr>
      <w:tr w:rsidR="00C04B10" w14:paraId="3888248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2BB3D25" w14:textId="77777777" w:rsidR="00C04B10" w:rsidRDefault="001148AB">
            <w:pPr>
              <w:pStyle w:val="DefaqtoTableBody2"/>
            </w:pPr>
            <w:r>
              <w:t>Death Benefit Dependant</w:t>
            </w:r>
          </w:p>
        </w:tc>
        <w:tc>
          <w:tcPr>
            <w:tcW w:w="0" w:type="auto"/>
          </w:tcPr>
          <w:p w14:paraId="04256DFE"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DNA 5 - Dependants receive both lump sum and drawdown upon the client's death</w:t>
            </w:r>
            <w:r>
              <w:br/>
            </w:r>
          </w:p>
        </w:tc>
        <w:tc>
          <w:tcPr>
            <w:tcW w:w="0" w:type="auto"/>
          </w:tcPr>
          <w:p w14:paraId="2AF94992"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lump sum,drawdown</w:t>
            </w:r>
          </w:p>
        </w:tc>
      </w:tr>
      <w:tr w:rsidR="00C04B10" w14:paraId="2A90EAB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EE3B9D" w14:textId="77777777" w:rsidR="00C04B10" w:rsidRDefault="001148AB">
            <w:pPr>
              <w:pStyle w:val="DefaqtoTableBody2"/>
            </w:pPr>
            <w:r>
              <w:t>Death Benefit Nominee</w:t>
            </w:r>
          </w:p>
        </w:tc>
        <w:tc>
          <w:tcPr>
            <w:tcW w:w="0" w:type="auto"/>
          </w:tcPr>
          <w:p w14:paraId="2371D772"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DNA 5 - Nominees receive both lump sum and drawdown upon the client's death</w:t>
            </w:r>
            <w:r>
              <w:br/>
            </w:r>
          </w:p>
        </w:tc>
        <w:tc>
          <w:tcPr>
            <w:tcW w:w="0" w:type="auto"/>
          </w:tcPr>
          <w:p w14:paraId="6162E8FC"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lump sum,drawdown</w:t>
            </w:r>
          </w:p>
        </w:tc>
      </w:tr>
      <w:tr w:rsidR="00C04B10" w14:paraId="296624B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88EF75" w14:textId="77777777" w:rsidR="00C04B10" w:rsidRDefault="001148AB">
            <w:pPr>
              <w:pStyle w:val="DefaqtoTableBody2"/>
            </w:pPr>
            <w:r>
              <w:t>Death Benefit Successor</w:t>
            </w:r>
          </w:p>
        </w:tc>
        <w:tc>
          <w:tcPr>
            <w:tcW w:w="0" w:type="auto"/>
          </w:tcPr>
          <w:p w14:paraId="64571CD7"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DNA 5 - Successors receive both lump sum and drawdown upon the client's death</w:t>
            </w:r>
            <w:r>
              <w:br/>
            </w:r>
          </w:p>
        </w:tc>
        <w:tc>
          <w:tcPr>
            <w:tcW w:w="0" w:type="auto"/>
          </w:tcPr>
          <w:p w14:paraId="7CFA4CED"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lump sum,drawdown</w:t>
            </w:r>
          </w:p>
        </w:tc>
      </w:tr>
    </w:tbl>
    <w:p w14:paraId="4E9B942A" w14:textId="77777777" w:rsidR="00C04B10" w:rsidRDefault="00C04B10">
      <w:pPr>
        <w:sectPr w:rsidR="00C04B10">
          <w:headerReference w:type="default" r:id="rId55"/>
          <w:footerReference w:type="default" r:id="rId56"/>
          <w:pgSz w:w="11907" w:h="16839" w:code="9"/>
          <w:pgMar w:top="709" w:right="640" w:bottom="376" w:left="640" w:header="200" w:footer="200" w:gutter="0"/>
          <w:cols w:space="708"/>
          <w:docGrid w:linePitch="360"/>
        </w:sectPr>
      </w:pPr>
    </w:p>
    <w:p w14:paraId="418FE99F" w14:textId="77777777" w:rsidR="00C04B10" w:rsidRDefault="001148AB">
      <w:pPr>
        <w:pStyle w:val="DefaqtoHeading2"/>
      </w:pPr>
      <w:bookmarkStart w:id="34" w:name="_Toc25"/>
      <w:r>
        <w:lastRenderedPageBreak/>
        <w:t>Shortlist</w:t>
      </w:r>
      <w:bookmarkEnd w:id="34"/>
    </w:p>
    <w:p w14:paraId="490254D9" w14:textId="77777777" w:rsidR="00C04B10" w:rsidRDefault="001148AB">
      <w:pPr>
        <w:pStyle w:val="DefaqtoBody"/>
      </w:pPr>
      <w:r>
        <w:rPr>
          <w:u w:color="000000"/>
        </w:rPr>
        <w:t>2 products from a total of 56 matched the filters applied.</w:t>
      </w:r>
    </w:p>
    <w:tbl>
      <w:tblPr>
        <w:tblStyle w:val="DefaqtoTable"/>
        <w:tblW w:w="5000" w:type="pct"/>
        <w:tblLook w:val="01E0" w:firstRow="1" w:lastRow="1" w:firstColumn="1" w:lastColumn="1" w:noHBand="0" w:noVBand="0"/>
      </w:tblPr>
      <w:tblGrid>
        <w:gridCol w:w="2935"/>
        <w:gridCol w:w="3535"/>
        <w:gridCol w:w="4147"/>
      </w:tblGrid>
      <w:tr w:rsidR="00C04B10" w14:paraId="0191D1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7DEBBC" w14:textId="77777777" w:rsidR="00C04B10" w:rsidRDefault="001148AB">
            <w:pPr>
              <w:pStyle w:val="DefaqtoTableBody2"/>
            </w:pPr>
            <w:r>
              <w:t>Product name</w:t>
            </w:r>
          </w:p>
        </w:tc>
        <w:tc>
          <w:tcPr>
            <w:tcW w:w="0" w:type="auto"/>
          </w:tcPr>
          <w:p w14:paraId="6EC98281"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43A08EC4"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C04B10" w14:paraId="575E7BB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1CA687" w14:textId="77777777" w:rsidR="00C04B10" w:rsidRDefault="001148AB">
            <w:pPr>
              <w:pStyle w:val="DefaqtoTableBody2"/>
            </w:pPr>
            <w:r>
              <w:t>Pension Portfolio - Choice</w:t>
            </w:r>
          </w:p>
        </w:tc>
        <w:tc>
          <w:tcPr>
            <w:tcW w:w="0" w:type="auto"/>
          </w:tcPr>
          <w:p w14:paraId="302D7804"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Aviva Life &amp; Pensions UK Limited</w:t>
            </w:r>
          </w:p>
        </w:tc>
        <w:tc>
          <w:tcPr>
            <w:tcW w:w="0" w:type="auto"/>
          </w:tcPr>
          <w:p w14:paraId="5B61F0C4"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r w:rsidR="00C04B10" w14:paraId="11FCF8A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BC5C77" w14:textId="77777777" w:rsidR="00C04B10" w:rsidRDefault="001148AB">
            <w:pPr>
              <w:pStyle w:val="DefaqtoTableBody2"/>
            </w:pPr>
            <w:r>
              <w:t>Pension Portfolio - Core</w:t>
            </w:r>
          </w:p>
        </w:tc>
        <w:tc>
          <w:tcPr>
            <w:tcW w:w="0" w:type="auto"/>
          </w:tcPr>
          <w:p w14:paraId="7B342448"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Aviva Life &amp; Pensions UK Limited</w:t>
            </w:r>
          </w:p>
        </w:tc>
        <w:tc>
          <w:tcPr>
            <w:tcW w:w="0" w:type="auto"/>
          </w:tcPr>
          <w:p w14:paraId="1A60E34E"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No DNA applied</w:t>
            </w:r>
          </w:p>
        </w:tc>
      </w:tr>
    </w:tbl>
    <w:p w14:paraId="30DB3BC4" w14:textId="77777777" w:rsidR="00C04B10" w:rsidRDefault="00C04B10">
      <w:pPr>
        <w:sectPr w:rsidR="00C04B10">
          <w:headerReference w:type="default" r:id="rId57"/>
          <w:footerReference w:type="default" r:id="rId58"/>
          <w:pgSz w:w="11907" w:h="16839" w:code="9"/>
          <w:pgMar w:top="709" w:right="640" w:bottom="376" w:left="640" w:header="200" w:footer="200" w:gutter="0"/>
          <w:cols w:space="708"/>
          <w:docGrid w:linePitch="360"/>
        </w:sectPr>
      </w:pPr>
    </w:p>
    <w:p w14:paraId="65908AAB" w14:textId="77777777" w:rsidR="00C04B10" w:rsidRDefault="001148AB">
      <w:pPr>
        <w:pStyle w:val="DefaqtoHeading2"/>
      </w:pPr>
      <w:bookmarkStart w:id="35" w:name="_Toc26"/>
      <w:r>
        <w:lastRenderedPageBreak/>
        <w:t>DNA features</w:t>
      </w:r>
      <w:bookmarkEnd w:id="35"/>
    </w:p>
    <w:p w14:paraId="7524B25C" w14:textId="77777777" w:rsidR="00C04B10" w:rsidRDefault="001148AB">
      <w:pPr>
        <w:pStyle w:val="DefaqtoBody"/>
      </w:pPr>
      <w:r>
        <w:rPr>
          <w:u w:color="000000"/>
        </w:rPr>
        <w:t>Quantitative benchmarking enabling detailed product feature analysis</w:t>
      </w:r>
    </w:p>
    <w:p w14:paraId="1BDB7760" w14:textId="77777777" w:rsidR="00C04B10" w:rsidRDefault="001148AB">
      <w:pPr>
        <w:pStyle w:val="DefaqtoBody"/>
      </w:pPr>
      <w:r>
        <w:rPr>
          <w:u w:color="000000"/>
        </w:rPr>
        <w:t>Defaqto’s unique quantitative Data Numerical Analysis (DNA) helps you benchmark products based on the features they offer.</w:t>
      </w:r>
    </w:p>
    <w:p w14:paraId="4D7F4C68" w14:textId="77777777" w:rsidR="00C04B10" w:rsidRDefault="001148AB">
      <w:pPr>
        <w:pStyle w:val="DefaqtoBody"/>
      </w:pPr>
      <w:r>
        <w:rPr>
          <w:u w:color="000000"/>
        </w:rPr>
        <w:t>A value is applied to each feature within a product, helping you filter out products with features that are unsuitable for your client.</w:t>
      </w:r>
    </w:p>
    <w:p w14:paraId="27A303E8" w14:textId="77777777" w:rsidR="00C04B10" w:rsidRDefault="001148AB">
      <w:pPr>
        <w:pStyle w:val="DefaqtoBody"/>
        <w:sectPr w:rsidR="00C04B10">
          <w:headerReference w:type="default" r:id="rId59"/>
          <w:footerReference w:type="default" r:id="rId60"/>
          <w:pgSz w:w="11907" w:h="16839" w:code="9"/>
          <w:pgMar w:top="709" w:right="640" w:bottom="376" w:left="640" w:header="200" w:footer="200" w:gutter="0"/>
          <w:cols w:space="708"/>
          <w:docGrid w:linePitch="360"/>
        </w:sectPr>
      </w:pPr>
      <w:r>
        <w:rPr>
          <w:u w:color="000000"/>
        </w:rPr>
        <w:t>No Product DNA analysis was carried out.</w:t>
      </w:r>
    </w:p>
    <w:p w14:paraId="33D991C1" w14:textId="77777777" w:rsidR="00C04B10" w:rsidRDefault="001148AB">
      <w:pPr>
        <w:pStyle w:val="DefaqtoHeading2"/>
      </w:pPr>
      <w:bookmarkStart w:id="36" w:name="_Toc27"/>
      <w:r>
        <w:lastRenderedPageBreak/>
        <w:t>Brochure comparisons</w:t>
      </w:r>
      <w:bookmarkEnd w:id="36"/>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3111"/>
        <w:gridCol w:w="12442"/>
      </w:tblGrid>
      <w:tr w:rsidR="00C04B10" w14:paraId="16C71D81" w14:textId="77777777" w:rsidTr="00C04B10">
        <w:trPr>
          <w:tblHeader/>
          <w:tblCellSpacing w:w="0" w:type="dxa"/>
        </w:trPr>
        <w:tc>
          <w:tcPr>
            <w:tcW w:w="1000" w:type="pct"/>
            <w:vMerge w:val="restart"/>
            <w:tcBorders>
              <w:top w:val="single" w:sz="2" w:space="0" w:color="000000"/>
              <w:left w:val="single" w:sz="2" w:space="0" w:color="000000"/>
              <w:bottom w:val="single" w:sz="2" w:space="0" w:color="000000"/>
              <w:right w:val="single" w:sz="2" w:space="0" w:color="000000"/>
            </w:tcBorders>
            <w:shd w:val="clear" w:color="auto" w:fill="E4E4E4"/>
          </w:tcPr>
          <w:p w14:paraId="3CB974FA" w14:textId="77777777" w:rsidR="00C04B10" w:rsidRDefault="00C04B10"/>
        </w:tc>
        <w:tc>
          <w:tcPr>
            <w:tcW w:w="4500" w:type="pct"/>
            <w:tcBorders>
              <w:top w:val="single" w:sz="2" w:space="0" w:color="000000"/>
              <w:left w:val="single" w:sz="2" w:space="0" w:color="000000"/>
              <w:bottom w:val="single" w:sz="2" w:space="0" w:color="000000"/>
              <w:right w:val="single" w:sz="2" w:space="0" w:color="000000"/>
            </w:tcBorders>
            <w:shd w:val="clear" w:color="auto" w:fill="E4E4E4"/>
          </w:tcPr>
          <w:p w14:paraId="31C968D2" w14:textId="77777777" w:rsidR="00C04B10" w:rsidRDefault="001148AB">
            <w:r>
              <w:rPr>
                <w:b/>
                <w:bCs/>
                <w:color w:val="000000"/>
                <w:sz w:val="16"/>
                <w:szCs w:val="16"/>
              </w:rPr>
              <w:t>Pension Portfolio - Choice</w:t>
            </w:r>
          </w:p>
        </w:tc>
      </w:tr>
      <w:tr w:rsidR="00C04B10" w14:paraId="7E179F84" w14:textId="77777777" w:rsidTr="00C04B10">
        <w:trPr>
          <w:tblHeader/>
          <w:tblCellSpacing w:w="0" w:type="dxa"/>
        </w:trPr>
        <w:tc>
          <w:tcPr>
            <w:tcW w:w="0" w:type="auto"/>
            <w:vMerge/>
            <w:tcBorders>
              <w:top w:val="single" w:sz="2" w:space="0" w:color="000000"/>
              <w:left w:val="single" w:sz="2" w:space="0" w:color="000000"/>
              <w:bottom w:val="single" w:sz="2" w:space="0" w:color="000000"/>
              <w:right w:val="single" w:sz="2" w:space="0" w:color="000000"/>
            </w:tcBorders>
          </w:tcPr>
          <w:p w14:paraId="6FC38FD6" w14:textId="77777777" w:rsidR="00C04B10" w:rsidRDefault="00C04B10"/>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3C720ADD" w14:textId="77777777" w:rsidR="00C04B10" w:rsidRDefault="001148AB">
            <w:r>
              <w:rPr>
                <w:color w:val="000000"/>
                <w:sz w:val="16"/>
                <w:szCs w:val="16"/>
              </w:rPr>
              <w:t>Aviva Life &amp; Pensions UK Limited</w:t>
            </w:r>
          </w:p>
        </w:tc>
      </w:tr>
      <w:tr w:rsidR="00C04B10" w14:paraId="48C93D7B"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6B4F85FC" w14:textId="77777777" w:rsidR="00C04B10" w:rsidRDefault="001148AB">
            <w:pPr>
              <w:spacing w:after="0"/>
              <w:rPr>
                <w:rFonts w:ascii="Poppins" w:eastAsia="Poppins" w:hAnsi="Poppins" w:cs="Poppins"/>
                <w:color w:val="392388"/>
              </w:rPr>
            </w:pPr>
            <w:r>
              <w:rPr>
                <w:b/>
                <w:bCs/>
                <w:color w:val="000000"/>
                <w:sz w:val="16"/>
                <w:szCs w:val="16"/>
              </w:rPr>
              <w:t>Financial strength rating provided by AKG</w:t>
            </w:r>
          </w:p>
        </w:tc>
        <w:tc>
          <w:tcPr>
            <w:tcW w:w="0" w:type="auto"/>
            <w:tcBorders>
              <w:top w:val="single" w:sz="2" w:space="0" w:color="000000"/>
              <w:left w:val="single" w:sz="2" w:space="0" w:color="000000"/>
              <w:bottom w:val="single" w:sz="2" w:space="0" w:color="000000"/>
              <w:right w:val="single" w:sz="2" w:space="0" w:color="000000"/>
            </w:tcBorders>
            <w:vAlign w:val="top"/>
          </w:tcPr>
          <w:p w14:paraId="64D3F846" w14:textId="77777777" w:rsidR="00C04B10" w:rsidRDefault="001148AB">
            <w:pPr>
              <w:spacing w:after="0"/>
              <w:rPr>
                <w:rFonts w:ascii="Poppins" w:eastAsia="Poppins" w:hAnsi="Poppins" w:cs="Poppins"/>
                <w:color w:val="392388"/>
              </w:rPr>
            </w:pPr>
            <w:r>
              <w:rPr>
                <w:color w:val="000000"/>
                <w:sz w:val="16"/>
                <w:szCs w:val="16"/>
              </w:rPr>
              <w:t xml:space="preserve">AKG Actuaries &amp; Consultants Ltd, specialists in this field, have allocated a rating factor of A, B+, B, B-, C or D to each company dependent on its financial strength. </w:t>
            </w:r>
            <w:r>
              <w:br/>
            </w:r>
            <w:r>
              <w:br/>
            </w:r>
            <w:r>
              <w:rPr>
                <w:color w:val="000000"/>
                <w:sz w:val="16"/>
                <w:szCs w:val="16"/>
              </w:rPr>
              <w:t xml:space="preserve">This company is rated B+. </w:t>
            </w:r>
            <w:r>
              <w:br/>
            </w:r>
            <w:r>
              <w:br/>
            </w:r>
            <w:r>
              <w:rPr>
                <w:color w:val="000000"/>
                <w:sz w:val="16"/>
                <w:szCs w:val="16"/>
              </w:rPr>
              <w:t xml:space="preserve">A rating of 'A' denotes superior financial strength </w:t>
            </w:r>
            <w:r>
              <w:br/>
            </w:r>
            <w:r>
              <w:rPr>
                <w:color w:val="000000"/>
                <w:sz w:val="16"/>
                <w:szCs w:val="16"/>
              </w:rPr>
              <w:t xml:space="preserve">A rating of 'B+' denotes very strong financial strength </w:t>
            </w:r>
            <w:r>
              <w:br/>
            </w:r>
            <w:r>
              <w:rPr>
                <w:color w:val="000000"/>
                <w:sz w:val="16"/>
                <w:szCs w:val="16"/>
              </w:rPr>
              <w:t xml:space="preserve">A rating of 'B' denotes strong financial strength </w:t>
            </w:r>
            <w:r>
              <w:br/>
            </w:r>
            <w:r>
              <w:rPr>
                <w:color w:val="000000"/>
                <w:sz w:val="16"/>
                <w:szCs w:val="16"/>
              </w:rPr>
              <w:t xml:space="preserve">A rating of 'B-' denotes effective financial strength </w:t>
            </w:r>
            <w:r>
              <w:br/>
            </w:r>
            <w:r>
              <w:rPr>
                <w:color w:val="000000"/>
                <w:sz w:val="16"/>
                <w:szCs w:val="16"/>
              </w:rPr>
              <w:t xml:space="preserve">A rating of 'C' denotes challenged financial strength </w:t>
            </w:r>
            <w:r>
              <w:br/>
            </w:r>
            <w:r>
              <w:rPr>
                <w:color w:val="000000"/>
                <w:sz w:val="16"/>
                <w:szCs w:val="16"/>
              </w:rPr>
              <w:t xml:space="preserve">A rating of 'D' denotes very challenged financial strength. </w:t>
            </w:r>
            <w:r>
              <w:br/>
            </w:r>
            <w:r>
              <w:br/>
            </w:r>
            <w:r>
              <w:rPr>
                <w:color w:val="000000"/>
                <w:sz w:val="16"/>
                <w:szCs w:val="16"/>
              </w:rPr>
              <w:t>These ratings are the results of analysis of a range of key criteria, such as size, free assets, parentage, distribution image and reputation within the IFA market, expenses level</w:t>
            </w:r>
            <w:r>
              <w:rPr>
                <w:color w:val="000000"/>
                <w:sz w:val="16"/>
                <w:szCs w:val="16"/>
              </w:rPr>
              <w:t xml:space="preserve">s, market share and profitability. </w:t>
            </w:r>
            <w:r>
              <w:br/>
            </w:r>
            <w:r>
              <w:br/>
            </w:r>
            <w:r>
              <w:rPr>
                <w:color w:val="000000"/>
                <w:sz w:val="16"/>
                <w:szCs w:val="16"/>
              </w:rPr>
              <w:t xml:space="preserve">AKG publish three financial strength report series or 'peer groups'. Each of these peer groups uses different criteria and weightings to arrive at a financial strength rating. </w:t>
            </w:r>
            <w:r>
              <w:br/>
            </w:r>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6153"/>
              <w:gridCol w:w="6153"/>
            </w:tblGrid>
            <w:tr w:rsidR="00C04B10" w14:paraId="21C70031" w14:textId="77777777" w:rsidTr="00C04B10">
              <w:trPr>
                <w:tblCellSpacing w:w="0" w:type="dxa"/>
              </w:trPr>
              <w:tc>
                <w:tcPr>
                  <w:tcW w:w="2500" w:type="pct"/>
                  <w:tcBorders>
                    <w:top w:val="single" w:sz="2" w:space="0" w:color="000000"/>
                    <w:left w:val="single" w:sz="2" w:space="0" w:color="000000"/>
                    <w:bottom w:val="single" w:sz="2" w:space="0" w:color="000000"/>
                    <w:right w:val="single" w:sz="2" w:space="0" w:color="000000"/>
                  </w:tcBorders>
                  <w:shd w:val="clear" w:color="auto" w:fill="E4E4E4"/>
                </w:tcPr>
                <w:p w14:paraId="32E88CA4" w14:textId="77777777" w:rsidR="00C04B10" w:rsidRDefault="001148AB">
                  <w:r>
                    <w:rPr>
                      <w:b/>
                      <w:bCs/>
                      <w:color w:val="000000"/>
                      <w:sz w:val="16"/>
                      <w:szCs w:val="16"/>
                    </w:rPr>
                    <w:t>Rating Type</w:t>
                  </w:r>
                </w:p>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1E68490B" w14:textId="77777777" w:rsidR="00C04B10" w:rsidRDefault="001148AB">
                  <w:r>
                    <w:rPr>
                      <w:b/>
                      <w:bCs/>
                      <w:color w:val="000000"/>
                      <w:sz w:val="16"/>
                      <w:szCs w:val="16"/>
                    </w:rPr>
                    <w:t>Description</w:t>
                  </w:r>
                </w:p>
              </w:tc>
            </w:tr>
            <w:tr w:rsidR="00C04B10" w14:paraId="32BE1736"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6A5F1F6E" w14:textId="77777777" w:rsidR="00C04B10" w:rsidRDefault="001148AB">
                  <w:pPr>
                    <w:spacing w:after="0"/>
                    <w:rPr>
                      <w:rFonts w:ascii="Poppins" w:eastAsia="Poppins" w:hAnsi="Poppins" w:cs="Poppins"/>
                      <w:color w:val="392388"/>
                    </w:rPr>
                  </w:pPr>
                  <w:r>
                    <w:rPr>
                      <w:color w:val="000000"/>
                      <w:sz w:val="16"/>
                      <w:szCs w:val="16"/>
                    </w:rPr>
                    <w:t>UK</w:t>
                  </w:r>
                </w:p>
              </w:tc>
              <w:tc>
                <w:tcPr>
                  <w:tcW w:w="0" w:type="auto"/>
                  <w:tcBorders>
                    <w:top w:val="single" w:sz="2" w:space="0" w:color="000000"/>
                    <w:left w:val="single" w:sz="2" w:space="0" w:color="000000"/>
                    <w:bottom w:val="single" w:sz="2" w:space="0" w:color="000000"/>
                    <w:right w:val="single" w:sz="2" w:space="0" w:color="000000"/>
                  </w:tcBorders>
                  <w:vAlign w:val="top"/>
                </w:tcPr>
                <w:p w14:paraId="5E45B1AD" w14:textId="77777777" w:rsidR="00C04B10" w:rsidRDefault="001148AB">
                  <w:pPr>
                    <w:spacing w:after="0"/>
                    <w:rPr>
                      <w:rFonts w:ascii="Poppins" w:eastAsia="Poppins" w:hAnsi="Poppins" w:cs="Poppins"/>
                      <w:color w:val="392388"/>
                    </w:rPr>
                  </w:pPr>
                  <w:r>
                    <w:rPr>
                      <w:color w:val="000000"/>
                      <w:sz w:val="16"/>
                      <w:szCs w:val="16"/>
                    </w:rPr>
                    <w:t>The UK rating rates life offices and non-life office SIPP providers. Defaqto displays these ratings across its life, pension and investment product tables.</w:t>
                  </w:r>
                </w:p>
              </w:tc>
            </w:tr>
            <w:tr w:rsidR="00C04B10" w14:paraId="6857D791"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418D3288" w14:textId="77777777" w:rsidR="00C04B10" w:rsidRDefault="001148AB">
                  <w:pPr>
                    <w:spacing w:after="0"/>
                    <w:rPr>
                      <w:rFonts w:ascii="Poppins" w:eastAsia="Poppins" w:hAnsi="Poppins" w:cs="Poppins"/>
                      <w:color w:val="392388"/>
                    </w:rPr>
                  </w:pPr>
                  <w:r>
                    <w:rPr>
                      <w:color w:val="000000"/>
                      <w:sz w:val="16"/>
                      <w:szCs w:val="16"/>
                    </w:rPr>
                    <w:t>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60D862EC" w14:textId="77777777" w:rsidR="00C04B10" w:rsidRDefault="001148AB">
                  <w:pPr>
                    <w:spacing w:after="0"/>
                    <w:rPr>
                      <w:rFonts w:ascii="Poppins" w:eastAsia="Poppins" w:hAnsi="Poppins" w:cs="Poppins"/>
                      <w:color w:val="392388"/>
                    </w:rPr>
                  </w:pPr>
                  <w:r>
                    <w:rPr>
                      <w:color w:val="000000"/>
                      <w:sz w:val="16"/>
                      <w:szCs w:val="16"/>
                    </w:rPr>
                    <w:t>The platform rating rates operators offering platforms. It does not rate the product wrapper itself. Defaqto displays this rating on its platform table.</w:t>
                  </w:r>
                </w:p>
              </w:tc>
            </w:tr>
            <w:tr w:rsidR="00C04B10" w14:paraId="23A13BB2"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0CF5BBBB" w14:textId="77777777" w:rsidR="00C04B10" w:rsidRDefault="001148AB">
                  <w:pPr>
                    <w:spacing w:after="0"/>
                    <w:rPr>
                      <w:rFonts w:ascii="Poppins" w:eastAsia="Poppins" w:hAnsi="Poppins" w:cs="Poppins"/>
                      <w:color w:val="392388"/>
                    </w:rPr>
                  </w:pPr>
                  <w:r>
                    <w:rPr>
                      <w:color w:val="000000"/>
                      <w:sz w:val="16"/>
                      <w:szCs w:val="16"/>
                    </w:rPr>
                    <w:t>DFM</w:t>
                  </w:r>
                </w:p>
              </w:tc>
              <w:tc>
                <w:tcPr>
                  <w:tcW w:w="0" w:type="auto"/>
                  <w:tcBorders>
                    <w:top w:val="single" w:sz="2" w:space="0" w:color="000000"/>
                    <w:left w:val="single" w:sz="2" w:space="0" w:color="000000"/>
                    <w:bottom w:val="single" w:sz="2" w:space="0" w:color="000000"/>
                    <w:right w:val="single" w:sz="2" w:space="0" w:color="000000"/>
                  </w:tcBorders>
                  <w:vAlign w:val="top"/>
                </w:tcPr>
                <w:p w14:paraId="4A2FB78B" w14:textId="77777777" w:rsidR="00C04B10" w:rsidRDefault="001148AB">
                  <w:pPr>
                    <w:spacing w:after="0"/>
                    <w:rPr>
                      <w:rFonts w:ascii="Poppins" w:eastAsia="Poppins" w:hAnsi="Poppins" w:cs="Poppins"/>
                      <w:color w:val="392388"/>
                    </w:rPr>
                  </w:pPr>
                  <w:r>
                    <w:rPr>
                      <w:color w:val="000000"/>
                      <w:sz w:val="16"/>
                      <w:szCs w:val="16"/>
                    </w:rPr>
                    <w:t>The DFM rating rates the firms offering DFM solutions. It does not rate the solution itself. Defaqto displays this rating on its DFM table</w:t>
                  </w:r>
                </w:p>
              </w:tc>
            </w:tr>
            <w:tr w:rsidR="00C04B10" w14:paraId="3288FC1C"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7B7BDA3A" w14:textId="77777777" w:rsidR="00C04B10" w:rsidRDefault="001148AB">
                  <w:pPr>
                    <w:spacing w:after="0"/>
                    <w:rPr>
                      <w:rFonts w:ascii="Poppins" w:eastAsia="Poppins" w:hAnsi="Poppins" w:cs="Poppins"/>
                      <w:color w:val="392388"/>
                    </w:rPr>
                  </w:pPr>
                  <w:r>
                    <w:rPr>
                      <w:color w:val="000000"/>
                      <w:sz w:val="16"/>
                      <w:szCs w:val="16"/>
                    </w:rPr>
                    <w:t>Offshore</w:t>
                  </w:r>
                </w:p>
              </w:tc>
              <w:tc>
                <w:tcPr>
                  <w:tcW w:w="0" w:type="auto"/>
                  <w:tcBorders>
                    <w:top w:val="single" w:sz="2" w:space="0" w:color="000000"/>
                    <w:left w:val="single" w:sz="2" w:space="0" w:color="000000"/>
                    <w:bottom w:val="single" w:sz="2" w:space="0" w:color="000000"/>
                    <w:right w:val="single" w:sz="2" w:space="0" w:color="000000"/>
                  </w:tcBorders>
                  <w:vAlign w:val="top"/>
                </w:tcPr>
                <w:p w14:paraId="596FD69C" w14:textId="77777777" w:rsidR="00C04B10" w:rsidRDefault="001148AB">
                  <w:pPr>
                    <w:spacing w:after="0"/>
                    <w:rPr>
                      <w:rFonts w:ascii="Poppins" w:eastAsia="Poppins" w:hAnsi="Poppins" w:cs="Poppins"/>
                      <w:color w:val="392388"/>
                    </w:rPr>
                  </w:pPr>
                  <w:r>
                    <w:rPr>
                      <w:color w:val="000000"/>
                      <w:sz w:val="16"/>
                      <w:szCs w:val="16"/>
                    </w:rPr>
                    <w:t>The offshore rating rates providers offering offshore products. Defaqto displays this rating on its offshore investment product tables.</w:t>
                  </w:r>
                </w:p>
              </w:tc>
            </w:tr>
          </w:tbl>
          <w:p w14:paraId="4C3C850E" w14:textId="77777777" w:rsidR="00C04B10" w:rsidRDefault="001148AB">
            <w:pPr>
              <w:spacing w:after="0"/>
              <w:rPr>
                <w:rFonts w:ascii="Poppins" w:eastAsia="Poppins" w:hAnsi="Poppins" w:cs="Poppins"/>
                <w:color w:val="392388"/>
              </w:rPr>
            </w:pPr>
            <w:r>
              <w:br/>
            </w:r>
            <w:r>
              <w:rPr>
                <w:color w:val="000000"/>
                <w:sz w:val="16"/>
                <w:szCs w:val="16"/>
              </w:rPr>
              <w:t xml:space="preserve">For more information on how the ratings are applied, please refer to the Engage user guide and FAQs. </w:t>
            </w:r>
            <w:r>
              <w:br/>
            </w:r>
          </w:p>
        </w:tc>
      </w:tr>
      <w:tr w:rsidR="00C04B10" w14:paraId="7BE0C5DD"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6B4877E4" w14:textId="77777777" w:rsidR="00C04B10" w:rsidRDefault="001148AB">
            <w:pPr>
              <w:spacing w:after="0"/>
              <w:rPr>
                <w:rFonts w:ascii="Poppins" w:eastAsia="Poppins" w:hAnsi="Poppins" w:cs="Poppins"/>
                <w:color w:val="392388"/>
              </w:rPr>
            </w:pPr>
            <w:r>
              <w:rPr>
                <w:b/>
                <w:bCs/>
                <w:color w:val="000000"/>
                <w:sz w:val="16"/>
                <w:szCs w:val="16"/>
              </w:rPr>
              <w:t>Average Service Satisfaction Score</w:t>
            </w:r>
          </w:p>
        </w:tc>
        <w:tc>
          <w:tcPr>
            <w:tcW w:w="0" w:type="auto"/>
            <w:tcBorders>
              <w:top w:val="single" w:sz="2" w:space="0" w:color="000000"/>
              <w:left w:val="single" w:sz="2" w:space="0" w:color="000000"/>
              <w:bottom w:val="single" w:sz="2" w:space="0" w:color="000000"/>
              <w:right w:val="single" w:sz="2" w:space="0" w:color="000000"/>
            </w:tcBorders>
            <w:vAlign w:val="top"/>
          </w:tcPr>
          <w:p w14:paraId="562C485C" w14:textId="77777777" w:rsidR="00C04B10" w:rsidRDefault="001148AB">
            <w:pPr>
              <w:spacing w:after="0"/>
              <w:rPr>
                <w:rFonts w:ascii="Poppins" w:eastAsia="Poppins" w:hAnsi="Poppins" w:cs="Poppins"/>
                <w:color w:val="392388"/>
              </w:rPr>
            </w:pPr>
            <w:r>
              <w:rPr>
                <w:color w:val="000000"/>
                <w:sz w:val="16"/>
                <w:szCs w:val="16"/>
              </w:rPr>
              <w:t xml:space="preserve">79 </w:t>
            </w:r>
          </w:p>
        </w:tc>
      </w:tr>
      <w:tr w:rsidR="00C04B10" w14:paraId="1F25BD21"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7913A452" w14:textId="77777777" w:rsidR="00C04B10" w:rsidRDefault="001148AB">
            <w:pPr>
              <w:spacing w:after="0"/>
              <w:rPr>
                <w:rFonts w:ascii="Poppins" w:eastAsia="Poppins" w:hAnsi="Poppins" w:cs="Poppins"/>
                <w:color w:val="392388"/>
              </w:rPr>
            </w:pPr>
            <w:r>
              <w:rPr>
                <w:b/>
                <w:bCs/>
                <w:color w:val="000000"/>
                <w:sz w:val="16"/>
                <w:szCs w:val="16"/>
              </w:rPr>
              <w:t>Online Valuations Access</w:t>
            </w:r>
            <w:r>
              <w:br/>
            </w:r>
            <w:r>
              <w:rPr>
                <w:b/>
                <w:bCs/>
                <w:color w:val="000000"/>
                <w:sz w:val="16"/>
                <w:szCs w:val="16"/>
              </w:rPr>
              <w:t>Client and/or adviser may access online valuations</w:t>
            </w:r>
          </w:p>
        </w:tc>
        <w:tc>
          <w:tcPr>
            <w:tcW w:w="0" w:type="auto"/>
            <w:tcBorders>
              <w:top w:val="single" w:sz="2" w:space="0" w:color="000000"/>
              <w:left w:val="single" w:sz="2" w:space="0" w:color="000000"/>
              <w:bottom w:val="single" w:sz="2" w:space="0" w:color="000000"/>
              <w:right w:val="single" w:sz="2" w:space="0" w:color="000000"/>
            </w:tcBorders>
            <w:vAlign w:val="top"/>
          </w:tcPr>
          <w:p w14:paraId="0193D381" w14:textId="77777777" w:rsidR="00C04B10" w:rsidRDefault="001148AB">
            <w:pPr>
              <w:spacing w:after="0"/>
              <w:rPr>
                <w:rFonts w:ascii="Poppins" w:eastAsia="Poppins" w:hAnsi="Poppins" w:cs="Poppins"/>
                <w:color w:val="392388"/>
              </w:rPr>
            </w:pPr>
            <w:r>
              <w:rPr>
                <w:color w:val="000000"/>
                <w:sz w:val="16"/>
                <w:szCs w:val="16"/>
              </w:rPr>
              <w:t xml:space="preserve">client,adviser </w:t>
            </w:r>
          </w:p>
        </w:tc>
      </w:tr>
      <w:tr w:rsidR="00C04B10" w14:paraId="5C2D81C1"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05D5567D" w14:textId="77777777" w:rsidR="00C04B10" w:rsidRDefault="001148AB">
            <w:pPr>
              <w:spacing w:after="0"/>
              <w:rPr>
                <w:rFonts w:ascii="Poppins" w:eastAsia="Poppins" w:hAnsi="Poppins" w:cs="Poppins"/>
                <w:color w:val="392388"/>
              </w:rPr>
            </w:pPr>
            <w:r>
              <w:rPr>
                <w:b/>
                <w:bCs/>
                <w:color w:val="000000"/>
                <w:sz w:val="16"/>
                <w:szCs w:val="16"/>
              </w:rPr>
              <w:lastRenderedPageBreak/>
              <w:t>Flexi access drawdown available</w:t>
            </w:r>
            <w:r>
              <w:br/>
            </w:r>
            <w:r>
              <w:rPr>
                <w:b/>
                <w:bCs/>
                <w:color w:val="000000"/>
                <w:sz w:val="16"/>
                <w:szCs w:val="16"/>
              </w:rPr>
              <w:t>Flexi access drawdown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64639A90" w14:textId="77777777" w:rsidR="00C04B10" w:rsidRDefault="001148AB">
            <w:pPr>
              <w:spacing w:after="0"/>
              <w:rPr>
                <w:rFonts w:ascii="Poppins" w:eastAsia="Poppins" w:hAnsi="Poppins" w:cs="Poppins"/>
                <w:color w:val="392388"/>
              </w:rPr>
            </w:pPr>
            <w:r>
              <w:rPr>
                <w:color w:val="000000"/>
                <w:sz w:val="16"/>
                <w:szCs w:val="16"/>
              </w:rPr>
              <w:t xml:space="preserve">FAD is available </w:t>
            </w:r>
          </w:p>
        </w:tc>
      </w:tr>
      <w:tr w:rsidR="00C04B10" w14:paraId="7A62E25B"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58D7BFCC" w14:textId="77777777" w:rsidR="00C04B10" w:rsidRDefault="001148AB">
            <w:pPr>
              <w:spacing w:after="0"/>
              <w:rPr>
                <w:rFonts w:ascii="Poppins" w:eastAsia="Poppins" w:hAnsi="Poppins" w:cs="Poppins"/>
                <w:color w:val="392388"/>
              </w:rPr>
            </w:pPr>
            <w:r>
              <w:rPr>
                <w:b/>
                <w:bCs/>
                <w:color w:val="000000"/>
                <w:sz w:val="16"/>
                <w:szCs w:val="16"/>
              </w:rPr>
              <w:t>Uncrystallised Funds Pension Lump Sum available</w:t>
            </w:r>
            <w:r>
              <w:br/>
            </w:r>
            <w:r>
              <w:rPr>
                <w:b/>
                <w:bCs/>
                <w:color w:val="000000"/>
                <w:sz w:val="16"/>
                <w:szCs w:val="16"/>
              </w:rPr>
              <w:t>Uncrystallised Funds Pension Lump Sum facility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67E5EA85" w14:textId="77777777" w:rsidR="00C04B10" w:rsidRDefault="001148AB">
            <w:pPr>
              <w:spacing w:after="0"/>
              <w:rPr>
                <w:rFonts w:ascii="Poppins" w:eastAsia="Poppins" w:hAnsi="Poppins" w:cs="Poppins"/>
                <w:color w:val="392388"/>
              </w:rPr>
            </w:pPr>
            <w:r>
              <w:rPr>
                <w:color w:val="000000"/>
                <w:sz w:val="16"/>
                <w:szCs w:val="16"/>
              </w:rPr>
              <w:t>An UFPLS style payment can be made via FAD. Please refer to FAD for details.</w:t>
            </w:r>
          </w:p>
        </w:tc>
      </w:tr>
      <w:tr w:rsidR="00C04B10" w14:paraId="104E7FC0"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3E92A86E" w14:textId="77777777" w:rsidR="00C04B10" w:rsidRDefault="001148AB">
            <w:pPr>
              <w:spacing w:after="0"/>
              <w:rPr>
                <w:rFonts w:ascii="Poppins" w:eastAsia="Poppins" w:hAnsi="Poppins" w:cs="Poppins"/>
                <w:color w:val="392388"/>
              </w:rPr>
            </w:pPr>
            <w:r>
              <w:rPr>
                <w:b/>
                <w:bCs/>
                <w:color w:val="000000"/>
                <w:sz w:val="16"/>
                <w:szCs w:val="16"/>
              </w:rPr>
              <w:t>Death Benefit Dependant</w:t>
            </w:r>
            <w:r>
              <w:br/>
            </w:r>
            <w:r>
              <w:rPr>
                <w:b/>
                <w:bCs/>
                <w:color w:val="000000"/>
                <w:sz w:val="16"/>
                <w:szCs w:val="16"/>
              </w:rPr>
              <w:t>Types of benefit payment facilitated for dependants upon the death of the client</w:t>
            </w:r>
          </w:p>
        </w:tc>
        <w:tc>
          <w:tcPr>
            <w:tcW w:w="0" w:type="auto"/>
            <w:tcBorders>
              <w:top w:val="single" w:sz="2" w:space="0" w:color="000000"/>
              <w:left w:val="single" w:sz="2" w:space="0" w:color="000000"/>
              <w:bottom w:val="single" w:sz="2" w:space="0" w:color="000000"/>
              <w:right w:val="single" w:sz="2" w:space="0" w:color="000000"/>
            </w:tcBorders>
            <w:vAlign w:val="top"/>
          </w:tcPr>
          <w:p w14:paraId="1B54690B" w14:textId="77777777" w:rsidR="00C04B10" w:rsidRDefault="001148AB">
            <w:pPr>
              <w:spacing w:after="0"/>
              <w:rPr>
                <w:rFonts w:ascii="Poppins" w:eastAsia="Poppins" w:hAnsi="Poppins" w:cs="Poppins"/>
                <w:color w:val="392388"/>
              </w:rPr>
            </w:pPr>
            <w:r>
              <w:rPr>
                <w:color w:val="000000"/>
                <w:sz w:val="16"/>
                <w:szCs w:val="16"/>
              </w:rPr>
              <w:t xml:space="preserve">lump sum,drawdown </w:t>
            </w:r>
          </w:p>
        </w:tc>
      </w:tr>
      <w:tr w:rsidR="00C04B10" w14:paraId="1C508F6A"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E87976F" w14:textId="77777777" w:rsidR="00C04B10" w:rsidRDefault="001148AB">
            <w:pPr>
              <w:spacing w:after="0"/>
              <w:rPr>
                <w:rFonts w:ascii="Poppins" w:eastAsia="Poppins" w:hAnsi="Poppins" w:cs="Poppins"/>
                <w:color w:val="392388"/>
              </w:rPr>
            </w:pPr>
            <w:r>
              <w:rPr>
                <w:b/>
                <w:bCs/>
                <w:color w:val="000000"/>
                <w:sz w:val="16"/>
                <w:szCs w:val="16"/>
              </w:rPr>
              <w:t>Death Benefit Nominee</w:t>
            </w:r>
            <w:r>
              <w:br/>
            </w:r>
            <w:r>
              <w:rPr>
                <w:b/>
                <w:bCs/>
                <w:color w:val="000000"/>
                <w:sz w:val="16"/>
                <w:szCs w:val="16"/>
              </w:rPr>
              <w:t>Types of benefit payment facilitated for nominees upon the death of the client</w:t>
            </w:r>
          </w:p>
        </w:tc>
        <w:tc>
          <w:tcPr>
            <w:tcW w:w="0" w:type="auto"/>
            <w:tcBorders>
              <w:top w:val="single" w:sz="2" w:space="0" w:color="000000"/>
              <w:left w:val="single" w:sz="2" w:space="0" w:color="000000"/>
              <w:bottom w:val="single" w:sz="2" w:space="0" w:color="000000"/>
              <w:right w:val="single" w:sz="2" w:space="0" w:color="000000"/>
            </w:tcBorders>
            <w:vAlign w:val="top"/>
          </w:tcPr>
          <w:p w14:paraId="22C93705" w14:textId="77777777" w:rsidR="00C04B10" w:rsidRDefault="001148AB">
            <w:pPr>
              <w:spacing w:after="0"/>
              <w:rPr>
                <w:rFonts w:ascii="Poppins" w:eastAsia="Poppins" w:hAnsi="Poppins" w:cs="Poppins"/>
                <w:color w:val="392388"/>
              </w:rPr>
            </w:pPr>
            <w:r>
              <w:rPr>
                <w:color w:val="000000"/>
                <w:sz w:val="16"/>
                <w:szCs w:val="16"/>
              </w:rPr>
              <w:t xml:space="preserve">lump sum,drawdown </w:t>
            </w:r>
          </w:p>
        </w:tc>
      </w:tr>
      <w:tr w:rsidR="00C04B10" w14:paraId="577D74B0"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599A8BC1" w14:textId="77777777" w:rsidR="00C04B10" w:rsidRDefault="001148AB">
            <w:pPr>
              <w:spacing w:after="0"/>
              <w:rPr>
                <w:rFonts w:ascii="Poppins" w:eastAsia="Poppins" w:hAnsi="Poppins" w:cs="Poppins"/>
                <w:color w:val="392388"/>
              </w:rPr>
            </w:pPr>
            <w:r>
              <w:rPr>
                <w:b/>
                <w:bCs/>
                <w:color w:val="000000"/>
                <w:sz w:val="16"/>
                <w:szCs w:val="16"/>
              </w:rPr>
              <w:t>Death Benefit Successor</w:t>
            </w:r>
            <w:r>
              <w:br/>
            </w:r>
            <w:r>
              <w:rPr>
                <w:b/>
                <w:bCs/>
                <w:color w:val="000000"/>
                <w:sz w:val="16"/>
                <w:szCs w:val="16"/>
              </w:rPr>
              <w:t>Types of benefit payment facilitated for successors upon the death of the client</w:t>
            </w:r>
          </w:p>
        </w:tc>
        <w:tc>
          <w:tcPr>
            <w:tcW w:w="0" w:type="auto"/>
            <w:tcBorders>
              <w:top w:val="single" w:sz="2" w:space="0" w:color="000000"/>
              <w:left w:val="single" w:sz="2" w:space="0" w:color="000000"/>
              <w:bottom w:val="single" w:sz="2" w:space="0" w:color="000000"/>
              <w:right w:val="single" w:sz="2" w:space="0" w:color="000000"/>
            </w:tcBorders>
            <w:vAlign w:val="top"/>
          </w:tcPr>
          <w:p w14:paraId="18F05870" w14:textId="77777777" w:rsidR="00C04B10" w:rsidRDefault="001148AB">
            <w:pPr>
              <w:spacing w:after="0"/>
              <w:rPr>
                <w:rFonts w:ascii="Poppins" w:eastAsia="Poppins" w:hAnsi="Poppins" w:cs="Poppins"/>
                <w:color w:val="392388"/>
              </w:rPr>
            </w:pPr>
            <w:r>
              <w:rPr>
                <w:color w:val="000000"/>
                <w:sz w:val="16"/>
                <w:szCs w:val="16"/>
              </w:rPr>
              <w:t xml:space="preserve">lump sum,drawdown </w:t>
            </w:r>
          </w:p>
        </w:tc>
      </w:tr>
      <w:tr w:rsidR="00C04B10" w14:paraId="275AA916" w14:textId="77777777" w:rsidTr="00C04B10">
        <w:trPr>
          <w:tblCellSpacing w:w="0" w:type="dxa"/>
        </w:trPr>
        <w:tc>
          <w:tcPr>
            <w:tcW w:w="0" w:type="auto"/>
            <w:gridSpan w:val="2"/>
            <w:tcBorders>
              <w:top w:val="single" w:sz="2" w:space="0" w:color="000000"/>
            </w:tcBorders>
          </w:tcPr>
          <w:p w14:paraId="02F26007" w14:textId="77777777" w:rsidR="00C04B10" w:rsidRDefault="001148AB">
            <w:pPr>
              <w:spacing w:after="0"/>
              <w:jc w:val="center"/>
            </w:pPr>
            <w:r>
              <w:rPr>
                <w:rFonts w:ascii="Calibri Light" w:eastAsia="Calibri Light" w:hAnsi="Calibri Light" w:cs="Calibri Light"/>
              </w:rPr>
              <w:t>Brochure Comparison 03/12/2025 11:33</w:t>
            </w:r>
          </w:p>
        </w:tc>
      </w:tr>
    </w:tbl>
    <w:p w14:paraId="5C1581D7" w14:textId="77777777" w:rsidR="00C04B10" w:rsidRDefault="001148AB">
      <w:pPr>
        <w:sectPr w:rsidR="00C04B10">
          <w:headerReference w:type="default" r:id="rId61"/>
          <w:footerReference w:type="default" r:id="rId62"/>
          <w:pgSz w:w="16839" w:h="11907" w:orient="landscape" w:code="9"/>
          <w:pgMar w:top="709" w:right="640" w:bottom="376" w:left="640" w:header="200" w:footer="200" w:gutter="0"/>
          <w:cols w:space="708"/>
          <w:docGrid w:linePitch="360"/>
        </w:sectPr>
      </w:pPr>
      <w:r>
        <w:t xml:space="preserve"> </w:t>
      </w:r>
    </w:p>
    <w:p w14:paraId="40230593" w14:textId="77777777" w:rsidR="00C04B10" w:rsidRDefault="001148AB">
      <w:pPr>
        <w:pStyle w:val="DefaqtoHeading1"/>
      </w:pPr>
      <w:bookmarkStart w:id="37" w:name="_Toc28"/>
      <w:r>
        <w:lastRenderedPageBreak/>
        <w:t>Platform selection</w:t>
      </w:r>
      <w:bookmarkEnd w:id="37"/>
    </w:p>
    <w:p w14:paraId="1A99A488" w14:textId="77777777" w:rsidR="00C04B10" w:rsidRDefault="001148AB">
      <w:pPr>
        <w:pStyle w:val="DefaqtoIntroText"/>
      </w:pPr>
      <w:r>
        <w:rPr>
          <w:u w:color="000000"/>
        </w:rPr>
        <w:t>This section details the issues identified as being important to the selection of a platform and the other criteria used in selecting the most suitable platform.</w:t>
      </w:r>
    </w:p>
    <w:p w14:paraId="1349BDDD" w14:textId="77777777" w:rsidR="00C04B10" w:rsidRDefault="001148AB">
      <w:pPr>
        <w:pStyle w:val="DefaqtoHeading2"/>
      </w:pPr>
      <w:bookmarkStart w:id="38" w:name="_Toc29"/>
      <w:r>
        <w:t>Recommended Platform</w:t>
      </w:r>
      <w:bookmarkEnd w:id="38"/>
    </w:p>
    <w:p w14:paraId="0F059391" w14:textId="77777777" w:rsidR="00C04B10" w:rsidRDefault="001148AB">
      <w:pPr>
        <w:pStyle w:val="DefaqtoBody"/>
      </w:pPr>
      <w:r>
        <w:rPr>
          <w:u w:color="000000"/>
        </w:rPr>
        <w:t>No additional justification text has been entered</w:t>
      </w:r>
    </w:p>
    <w:tbl>
      <w:tblPr>
        <w:tblStyle w:val="Custom1"/>
        <w:tblW w:w="5000" w:type="pct"/>
        <w:tblLook w:val="01E0" w:firstRow="1" w:lastRow="1" w:firstColumn="1" w:lastColumn="1" w:noHBand="0" w:noVBand="0"/>
      </w:tblPr>
      <w:tblGrid>
        <w:gridCol w:w="2654"/>
        <w:gridCol w:w="7963"/>
      </w:tblGrid>
      <w:tr w:rsidR="00C04B10" w14:paraId="7F95AC85" w14:textId="77777777" w:rsidTr="00C04B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tcPr>
          <w:p w14:paraId="63FAD1B4" w14:textId="77777777" w:rsidR="00C04B10" w:rsidRDefault="001148AB">
            <w:pPr>
              <w:pStyle w:val="DefaqtoTableBody2"/>
            </w:pPr>
            <w:r>
              <w:t>Product / Provider</w:t>
            </w:r>
          </w:p>
        </w:tc>
        <w:tc>
          <w:tcPr>
            <w:tcW w:w="3750" w:type="pct"/>
          </w:tcPr>
          <w:p w14:paraId="284BD0CA"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Aviva Platform</w:t>
            </w:r>
            <w:r>
              <w:br/>
              <w:t>Aviva</w:t>
            </w:r>
          </w:p>
        </w:tc>
      </w:tr>
      <w:tr w:rsidR="00C04B10" w14:paraId="6643A82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087409" w14:textId="77777777" w:rsidR="00C04B10" w:rsidRDefault="001148AB">
            <w:pPr>
              <w:pStyle w:val="DefaqtoTableBody2"/>
            </w:pPr>
            <w:r>
              <w:t>Profile</w:t>
            </w:r>
          </w:p>
        </w:tc>
        <w:tc>
          <w:tcPr>
            <w:tcW w:w="0" w:type="auto"/>
          </w:tcPr>
          <w:p w14:paraId="5B5851B6" w14:textId="77777777" w:rsidR="00C04B10" w:rsidRDefault="001148AB">
            <w:pPr>
              <w:pStyle w:val="DefaqtoTableBody2"/>
              <w:cnfStyle w:val="000000010000" w:firstRow="0" w:lastRow="0" w:firstColumn="0" w:lastColumn="0" w:oddVBand="0" w:evenVBand="0" w:oddHBand="0" w:evenHBand="1" w:firstRowFirstColumn="0" w:firstRowLastColumn="0" w:lastRowFirstColumn="0" w:lastRowLastColumn="0"/>
            </w:pPr>
            <w:r>
              <w:t xml:space="preserve">Aviva is the largest insurance group in the UK is also a provider of life and pensions products to Europe.  </w:t>
            </w:r>
            <w:r>
              <w:br/>
            </w:r>
            <w:r>
              <w:br/>
              <w:t>The Aviva brand name was launched in July 2002. The group was formed by the merger of CGU and Norwich Union in 2000. CGU came from the merger of Commercial Union and General Accident in 1998.</w:t>
            </w:r>
            <w:r>
              <w:br/>
              <w:t xml:space="preserve"> </w:t>
            </w:r>
            <w:r>
              <w:br/>
              <w:t xml:space="preserve">Aviva provide savings, retirement and insurance. </w:t>
            </w:r>
            <w:r>
              <w:br/>
            </w:r>
            <w:r>
              <w:br/>
            </w:r>
          </w:p>
        </w:tc>
      </w:tr>
    </w:tbl>
    <w:p w14:paraId="4C96D5BB" w14:textId="77777777" w:rsidR="00C04B10" w:rsidRDefault="00C04B10">
      <w:pPr>
        <w:sectPr w:rsidR="00C04B10">
          <w:headerReference w:type="default" r:id="rId63"/>
          <w:footerReference w:type="default" r:id="rId64"/>
          <w:pgSz w:w="11907" w:h="16839" w:code="9"/>
          <w:pgMar w:top="709" w:right="640" w:bottom="376" w:left="640" w:header="200" w:footer="200" w:gutter="0"/>
          <w:cols w:space="708"/>
          <w:docGrid w:linePitch="360"/>
        </w:sectPr>
      </w:pPr>
    </w:p>
    <w:p w14:paraId="5192408C" w14:textId="77777777" w:rsidR="00C04B10" w:rsidRDefault="001148AB">
      <w:pPr>
        <w:pStyle w:val="DefaqtoHeading2"/>
      </w:pPr>
      <w:bookmarkStart w:id="39" w:name="_Toc30"/>
      <w:r>
        <w:lastRenderedPageBreak/>
        <w:t>Panel</w:t>
      </w:r>
      <w:bookmarkEnd w:id="39"/>
    </w:p>
    <w:p w14:paraId="72C31DFD" w14:textId="77777777" w:rsidR="00C04B10" w:rsidRDefault="001148AB">
      <w:pPr>
        <w:pStyle w:val="DefaqtoBody"/>
      </w:pPr>
      <w:r>
        <w:rPr>
          <w:u w:color="000000"/>
        </w:rPr>
        <w:t>The Whole of Market has been used in the platform selection.</w:t>
      </w:r>
    </w:p>
    <w:p w14:paraId="426258AA" w14:textId="77777777" w:rsidR="00C04B10" w:rsidRDefault="001148AB">
      <w:pPr>
        <w:pStyle w:val="DefaqtoHeading2"/>
      </w:pPr>
      <w:bookmarkStart w:id="40" w:name="_Toc31"/>
      <w:r>
        <w:t>Template</w:t>
      </w:r>
      <w:bookmarkEnd w:id="40"/>
    </w:p>
    <w:p w14:paraId="51F03F02" w14:textId="77777777" w:rsidR="00C04B10" w:rsidRDefault="001148AB">
      <w:pPr>
        <w:pStyle w:val="DefaqtoBody"/>
      </w:pPr>
      <w:r>
        <w:rPr>
          <w:u w:color="000000"/>
        </w:rPr>
        <w:t>No template has been used in the product selection.</w:t>
      </w:r>
    </w:p>
    <w:p w14:paraId="08AE13FC" w14:textId="77777777" w:rsidR="00C04B10" w:rsidRDefault="001148AB">
      <w:pPr>
        <w:pStyle w:val="DefaqtoHeading2"/>
      </w:pPr>
      <w:bookmarkStart w:id="41" w:name="_Toc32"/>
      <w:r>
        <w:t>Filters</w:t>
      </w:r>
      <w:bookmarkEnd w:id="41"/>
    </w:p>
    <w:p w14:paraId="19415F60" w14:textId="77777777" w:rsidR="00C04B10" w:rsidRDefault="001148AB">
      <w:pPr>
        <w:pStyle w:val="DefaqtoBody"/>
      </w:pPr>
      <w:r>
        <w:rPr>
          <w:u w:color="000000"/>
        </w:rPr>
        <w:t>The table below lists the filters applied and the feature value for the recommended platform.</w:t>
      </w:r>
    </w:p>
    <w:tbl>
      <w:tblPr>
        <w:tblStyle w:val="DefaqtoTable"/>
        <w:tblW w:w="5000" w:type="pct"/>
        <w:tblLook w:val="01E0" w:firstRow="1" w:lastRow="1" w:firstColumn="1" w:lastColumn="1" w:noHBand="0" w:noVBand="0"/>
      </w:tblPr>
      <w:tblGrid>
        <w:gridCol w:w="3204"/>
        <w:gridCol w:w="3205"/>
        <w:gridCol w:w="4208"/>
      </w:tblGrid>
      <w:tr w:rsidR="00C04B10" w14:paraId="569880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F49B85" w14:textId="77777777" w:rsidR="00C04B10" w:rsidRDefault="001148AB">
            <w:pPr>
              <w:pStyle w:val="DefaqtoTableBody2"/>
            </w:pPr>
            <w:r>
              <w:t>Feature</w:t>
            </w:r>
          </w:p>
        </w:tc>
        <w:tc>
          <w:tcPr>
            <w:tcW w:w="0" w:type="auto"/>
          </w:tcPr>
          <w:p w14:paraId="71FF3F9D"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Filter</w:t>
            </w:r>
          </w:p>
        </w:tc>
        <w:tc>
          <w:tcPr>
            <w:tcW w:w="0" w:type="auto"/>
          </w:tcPr>
          <w:p w14:paraId="68386571"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Recommended feature value</w:t>
            </w:r>
          </w:p>
        </w:tc>
      </w:tr>
      <w:tr w:rsidR="00C04B10" w14:paraId="672138D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37A66A3" w14:textId="77777777" w:rsidR="00C04B10" w:rsidRDefault="001148AB">
            <w:pPr>
              <w:pStyle w:val="DefaqtoTableBody2"/>
            </w:pPr>
            <w:r>
              <w:t>No filters were applied</w:t>
            </w:r>
          </w:p>
        </w:tc>
        <w:tc>
          <w:tcPr>
            <w:tcW w:w="0" w:type="auto"/>
          </w:tcPr>
          <w:p w14:paraId="79C053B4"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c>
          <w:tcPr>
            <w:tcW w:w="0" w:type="auto"/>
          </w:tcPr>
          <w:p w14:paraId="62580E15"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No filters were applied</w:t>
            </w:r>
          </w:p>
        </w:tc>
      </w:tr>
    </w:tbl>
    <w:p w14:paraId="008E313A" w14:textId="77777777" w:rsidR="00C04B10" w:rsidRDefault="00C04B10">
      <w:pPr>
        <w:sectPr w:rsidR="00C04B10">
          <w:headerReference w:type="default" r:id="rId65"/>
          <w:footerReference w:type="default" r:id="rId66"/>
          <w:pgSz w:w="11907" w:h="16839" w:code="9"/>
          <w:pgMar w:top="709" w:right="640" w:bottom="376" w:left="640" w:header="200" w:footer="200" w:gutter="0"/>
          <w:cols w:space="708"/>
          <w:docGrid w:linePitch="360"/>
        </w:sectPr>
      </w:pPr>
    </w:p>
    <w:p w14:paraId="6A033C7C" w14:textId="77777777" w:rsidR="00C04B10" w:rsidRDefault="001148AB">
      <w:pPr>
        <w:pStyle w:val="DefaqtoHeading2"/>
      </w:pPr>
      <w:bookmarkStart w:id="42" w:name="_Toc33"/>
      <w:r>
        <w:lastRenderedPageBreak/>
        <w:t>Shortlist</w:t>
      </w:r>
      <w:bookmarkEnd w:id="42"/>
    </w:p>
    <w:p w14:paraId="193446A7" w14:textId="77777777" w:rsidR="00C04B10" w:rsidRDefault="001148AB">
      <w:pPr>
        <w:pStyle w:val="DefaqtoBody"/>
      </w:pPr>
      <w:r>
        <w:rPr>
          <w:u w:color="000000"/>
        </w:rPr>
        <w:t>1 products from a total of 57 matched the filters applied.</w:t>
      </w:r>
    </w:p>
    <w:tbl>
      <w:tblPr>
        <w:tblStyle w:val="DefaqtoTable"/>
        <w:tblW w:w="5000" w:type="pct"/>
        <w:tblLook w:val="01E0" w:firstRow="1" w:lastRow="1" w:firstColumn="1" w:lastColumn="1" w:noHBand="0" w:noVBand="0"/>
      </w:tblPr>
      <w:tblGrid>
        <w:gridCol w:w="2441"/>
        <w:gridCol w:w="2521"/>
        <w:gridCol w:w="5655"/>
      </w:tblGrid>
      <w:tr w:rsidR="00C04B10" w14:paraId="56C9BAF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5873F4D" w14:textId="77777777" w:rsidR="00C04B10" w:rsidRDefault="001148AB">
            <w:pPr>
              <w:pStyle w:val="DefaqtoTableBody2"/>
            </w:pPr>
            <w:r>
              <w:t>Product name</w:t>
            </w:r>
          </w:p>
        </w:tc>
        <w:tc>
          <w:tcPr>
            <w:tcW w:w="0" w:type="auto"/>
          </w:tcPr>
          <w:p w14:paraId="30941D27"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Provider name</w:t>
            </w:r>
          </w:p>
        </w:tc>
        <w:tc>
          <w:tcPr>
            <w:tcW w:w="0" w:type="auto"/>
          </w:tcPr>
          <w:p w14:paraId="3D2F3324" w14:textId="77777777" w:rsidR="00C04B10" w:rsidRDefault="001148AB">
            <w:pPr>
              <w:pStyle w:val="DefaqtoTableBody2"/>
              <w:cnfStyle w:val="100000000000" w:firstRow="1" w:lastRow="0" w:firstColumn="0" w:lastColumn="0" w:oddVBand="0" w:evenVBand="0" w:oddHBand="0" w:evenHBand="0" w:firstRowFirstColumn="0" w:firstRowLastColumn="0" w:lastRowFirstColumn="0" w:lastRowLastColumn="0"/>
            </w:pPr>
            <w:r>
              <w:t>Total DNA for DNA features analysed</w:t>
            </w:r>
          </w:p>
        </w:tc>
      </w:tr>
      <w:tr w:rsidR="00C04B10" w14:paraId="1CD59CA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16ECED" w14:textId="77777777" w:rsidR="00C04B10" w:rsidRDefault="001148AB">
            <w:pPr>
              <w:pStyle w:val="DefaqtoTableBody2"/>
            </w:pPr>
            <w:r>
              <w:t>Aviva Platform</w:t>
            </w:r>
          </w:p>
        </w:tc>
        <w:tc>
          <w:tcPr>
            <w:tcW w:w="0" w:type="auto"/>
          </w:tcPr>
          <w:p w14:paraId="4E8C0D59"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Aviva</w:t>
            </w:r>
          </w:p>
        </w:tc>
        <w:tc>
          <w:tcPr>
            <w:tcW w:w="0" w:type="auto"/>
          </w:tcPr>
          <w:p w14:paraId="6DE8F395" w14:textId="77777777" w:rsidR="00C04B10" w:rsidRDefault="001148AB">
            <w:pPr>
              <w:pStyle w:val="DefaqtoTableBody2"/>
              <w:cnfStyle w:val="000000100000" w:firstRow="0" w:lastRow="0" w:firstColumn="0" w:lastColumn="0" w:oddVBand="0" w:evenVBand="0" w:oddHBand="1" w:evenHBand="0" w:firstRowFirstColumn="0" w:firstRowLastColumn="0" w:lastRowFirstColumn="0" w:lastRowLastColumn="0"/>
            </w:pPr>
            <w:r>
              <w:t>No DNA applied</w:t>
            </w:r>
          </w:p>
        </w:tc>
      </w:tr>
    </w:tbl>
    <w:p w14:paraId="49E89B4C" w14:textId="77777777" w:rsidR="00C04B10" w:rsidRDefault="00C04B10">
      <w:pPr>
        <w:sectPr w:rsidR="00C04B10">
          <w:headerReference w:type="default" r:id="rId67"/>
          <w:footerReference w:type="default" r:id="rId68"/>
          <w:pgSz w:w="11907" w:h="16839" w:code="9"/>
          <w:pgMar w:top="709" w:right="640" w:bottom="376" w:left="640" w:header="200" w:footer="200" w:gutter="0"/>
          <w:cols w:space="708"/>
          <w:docGrid w:linePitch="360"/>
        </w:sectPr>
      </w:pPr>
    </w:p>
    <w:p w14:paraId="7B9A9583" w14:textId="77777777" w:rsidR="00C04B10" w:rsidRDefault="001148AB">
      <w:pPr>
        <w:pStyle w:val="DefaqtoHeading2"/>
      </w:pPr>
      <w:bookmarkStart w:id="43" w:name="_Toc34"/>
      <w:r>
        <w:lastRenderedPageBreak/>
        <w:t>DNA features</w:t>
      </w:r>
      <w:bookmarkEnd w:id="43"/>
    </w:p>
    <w:p w14:paraId="7466B9CC" w14:textId="77777777" w:rsidR="00C04B10" w:rsidRDefault="001148AB">
      <w:pPr>
        <w:pStyle w:val="DefaqtoBody"/>
      </w:pPr>
      <w:r>
        <w:rPr>
          <w:u w:color="000000"/>
        </w:rPr>
        <w:t>Quantitative benchmarking enabling detailed product feature analysis</w:t>
      </w:r>
    </w:p>
    <w:p w14:paraId="23F2C704" w14:textId="77777777" w:rsidR="00C04B10" w:rsidRDefault="001148AB">
      <w:pPr>
        <w:pStyle w:val="DefaqtoBody"/>
      </w:pPr>
      <w:r>
        <w:rPr>
          <w:u w:color="000000"/>
        </w:rPr>
        <w:t>Defaqto’s unique quantitative Data Numerical Analysis (DNA) helps you benchmark products based on the features they offer.</w:t>
      </w:r>
    </w:p>
    <w:p w14:paraId="33C99A54" w14:textId="77777777" w:rsidR="00C04B10" w:rsidRDefault="001148AB">
      <w:pPr>
        <w:pStyle w:val="DefaqtoBody"/>
      </w:pPr>
      <w:r>
        <w:rPr>
          <w:u w:color="000000"/>
        </w:rPr>
        <w:t>A value is applied to each feature within a product, helping you filter out products with features that are unsuitable for your client.</w:t>
      </w:r>
    </w:p>
    <w:p w14:paraId="583252FE" w14:textId="77777777" w:rsidR="00C04B10" w:rsidRDefault="001148AB">
      <w:pPr>
        <w:pStyle w:val="DefaqtoBody"/>
        <w:sectPr w:rsidR="00C04B10">
          <w:headerReference w:type="default" r:id="rId69"/>
          <w:footerReference w:type="default" r:id="rId70"/>
          <w:pgSz w:w="11907" w:h="16839" w:code="9"/>
          <w:pgMar w:top="709" w:right="640" w:bottom="376" w:left="640" w:header="200" w:footer="200" w:gutter="0"/>
          <w:cols w:space="708"/>
          <w:docGrid w:linePitch="360"/>
        </w:sectPr>
      </w:pPr>
      <w:r>
        <w:rPr>
          <w:u w:color="000000"/>
        </w:rPr>
        <w:t>No Platform DNA analysis was carried out.</w:t>
      </w:r>
    </w:p>
    <w:p w14:paraId="1DA6C93F" w14:textId="77777777" w:rsidR="00C04B10" w:rsidRDefault="001148AB">
      <w:pPr>
        <w:pStyle w:val="DefaqtoHeading2"/>
      </w:pPr>
      <w:bookmarkStart w:id="44" w:name="_Toc35"/>
      <w:r>
        <w:lastRenderedPageBreak/>
        <w:t>Brochure comparisons</w:t>
      </w:r>
      <w:bookmarkEnd w:id="44"/>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3111"/>
        <w:gridCol w:w="12442"/>
      </w:tblGrid>
      <w:tr w:rsidR="00C04B10" w14:paraId="191CC159" w14:textId="77777777" w:rsidTr="00C04B10">
        <w:trPr>
          <w:tblHeader/>
          <w:tblCellSpacing w:w="0" w:type="dxa"/>
        </w:trPr>
        <w:tc>
          <w:tcPr>
            <w:tcW w:w="1000" w:type="pct"/>
            <w:vMerge w:val="restart"/>
            <w:tcBorders>
              <w:top w:val="single" w:sz="2" w:space="0" w:color="000000"/>
              <w:left w:val="single" w:sz="2" w:space="0" w:color="000000"/>
              <w:bottom w:val="single" w:sz="2" w:space="0" w:color="000000"/>
              <w:right w:val="single" w:sz="2" w:space="0" w:color="000000"/>
            </w:tcBorders>
            <w:shd w:val="clear" w:color="auto" w:fill="E4E4E4"/>
          </w:tcPr>
          <w:p w14:paraId="228329BD" w14:textId="77777777" w:rsidR="00C04B10" w:rsidRDefault="00C04B10"/>
        </w:tc>
        <w:tc>
          <w:tcPr>
            <w:tcW w:w="4500" w:type="pct"/>
            <w:tcBorders>
              <w:top w:val="single" w:sz="2" w:space="0" w:color="000000"/>
              <w:left w:val="single" w:sz="2" w:space="0" w:color="000000"/>
              <w:bottom w:val="single" w:sz="2" w:space="0" w:color="000000"/>
              <w:right w:val="single" w:sz="2" w:space="0" w:color="000000"/>
            </w:tcBorders>
            <w:shd w:val="clear" w:color="auto" w:fill="E4E4E4"/>
          </w:tcPr>
          <w:p w14:paraId="1CE505D0" w14:textId="77777777" w:rsidR="00C04B10" w:rsidRDefault="001148AB">
            <w:r>
              <w:rPr>
                <w:b/>
                <w:bCs/>
                <w:color w:val="000000"/>
                <w:sz w:val="16"/>
                <w:szCs w:val="16"/>
              </w:rPr>
              <w:t>Aviva Platform</w:t>
            </w:r>
          </w:p>
        </w:tc>
      </w:tr>
      <w:tr w:rsidR="00C04B10" w14:paraId="475EDAA2" w14:textId="77777777" w:rsidTr="00C04B10">
        <w:trPr>
          <w:tblHeader/>
          <w:tblCellSpacing w:w="0" w:type="dxa"/>
        </w:trPr>
        <w:tc>
          <w:tcPr>
            <w:tcW w:w="0" w:type="auto"/>
            <w:vMerge/>
            <w:tcBorders>
              <w:top w:val="single" w:sz="2" w:space="0" w:color="000000"/>
              <w:left w:val="single" w:sz="2" w:space="0" w:color="000000"/>
              <w:bottom w:val="single" w:sz="2" w:space="0" w:color="000000"/>
              <w:right w:val="single" w:sz="2" w:space="0" w:color="000000"/>
            </w:tcBorders>
          </w:tcPr>
          <w:p w14:paraId="7F32436D" w14:textId="77777777" w:rsidR="00C04B10" w:rsidRDefault="00C04B10"/>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4651B378" w14:textId="77777777" w:rsidR="00C04B10" w:rsidRDefault="001148AB">
            <w:r>
              <w:rPr>
                <w:color w:val="000000"/>
                <w:sz w:val="16"/>
                <w:szCs w:val="16"/>
              </w:rPr>
              <w:t>Aviva</w:t>
            </w:r>
          </w:p>
        </w:tc>
      </w:tr>
      <w:tr w:rsidR="00C04B10" w14:paraId="43FA53CF"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1CF6631A" w14:textId="77777777" w:rsidR="00C04B10" w:rsidRDefault="001148AB">
            <w:pPr>
              <w:spacing w:after="0"/>
              <w:rPr>
                <w:rFonts w:ascii="Poppins" w:eastAsia="Poppins" w:hAnsi="Poppins" w:cs="Poppins"/>
                <w:color w:val="392388"/>
              </w:rPr>
            </w:pPr>
            <w:r>
              <w:rPr>
                <w:b/>
                <w:bCs/>
                <w:color w:val="000000"/>
                <w:sz w:val="16"/>
                <w:szCs w:val="16"/>
              </w:rPr>
              <w:t>Platform Financial Strength Rating provided by AKG</w:t>
            </w:r>
            <w:r>
              <w:br/>
            </w:r>
            <w:r>
              <w:rPr>
                <w:b/>
                <w:bCs/>
                <w:color w:val="000000"/>
                <w:sz w:val="16"/>
                <w:szCs w:val="16"/>
              </w:rPr>
              <w:t>Platform Financial strength rating provided by AKG</w:t>
            </w:r>
          </w:p>
        </w:tc>
        <w:tc>
          <w:tcPr>
            <w:tcW w:w="0" w:type="auto"/>
            <w:tcBorders>
              <w:top w:val="single" w:sz="2" w:space="0" w:color="000000"/>
              <w:left w:val="single" w:sz="2" w:space="0" w:color="000000"/>
              <w:bottom w:val="single" w:sz="2" w:space="0" w:color="000000"/>
              <w:right w:val="single" w:sz="2" w:space="0" w:color="000000"/>
            </w:tcBorders>
            <w:vAlign w:val="top"/>
          </w:tcPr>
          <w:p w14:paraId="3344A5A7" w14:textId="77777777" w:rsidR="00C04B10" w:rsidRDefault="001148AB">
            <w:pPr>
              <w:spacing w:after="0"/>
              <w:rPr>
                <w:rFonts w:ascii="Poppins" w:eastAsia="Poppins" w:hAnsi="Poppins" w:cs="Poppins"/>
                <w:color w:val="392388"/>
              </w:rPr>
            </w:pPr>
            <w:r>
              <w:rPr>
                <w:color w:val="000000"/>
                <w:sz w:val="16"/>
                <w:szCs w:val="16"/>
              </w:rPr>
              <w:t xml:space="preserve">AKG Actuaries &amp; Consultants Ltd, specialists in this field, have allocated a rating factor of A, B+, B, B-, C or D to each company dependent on its financial strength. </w:t>
            </w:r>
            <w:r>
              <w:br/>
            </w:r>
            <w:r>
              <w:br/>
            </w:r>
            <w:r>
              <w:rPr>
                <w:color w:val="000000"/>
                <w:sz w:val="16"/>
                <w:szCs w:val="16"/>
              </w:rPr>
              <w:t xml:space="preserve">This company is rated A. </w:t>
            </w:r>
            <w:r>
              <w:br/>
            </w:r>
            <w:r>
              <w:br/>
            </w:r>
            <w:r>
              <w:rPr>
                <w:color w:val="000000"/>
                <w:sz w:val="16"/>
                <w:szCs w:val="16"/>
              </w:rPr>
              <w:t xml:space="preserve">A rating of 'A' denotes superior financial strength </w:t>
            </w:r>
            <w:r>
              <w:br/>
            </w:r>
            <w:r>
              <w:rPr>
                <w:color w:val="000000"/>
                <w:sz w:val="16"/>
                <w:szCs w:val="16"/>
              </w:rPr>
              <w:t xml:space="preserve">A rating of 'B+' denotes very strong financial strength </w:t>
            </w:r>
            <w:r>
              <w:br/>
            </w:r>
            <w:r>
              <w:rPr>
                <w:color w:val="000000"/>
                <w:sz w:val="16"/>
                <w:szCs w:val="16"/>
              </w:rPr>
              <w:t xml:space="preserve">A rating of 'B' denotes strong financial strength </w:t>
            </w:r>
            <w:r>
              <w:br/>
            </w:r>
            <w:r>
              <w:rPr>
                <w:color w:val="000000"/>
                <w:sz w:val="16"/>
                <w:szCs w:val="16"/>
              </w:rPr>
              <w:t xml:space="preserve">A rating of 'B-' denotes effective financial strength </w:t>
            </w:r>
            <w:r>
              <w:br/>
            </w:r>
            <w:r>
              <w:rPr>
                <w:color w:val="000000"/>
                <w:sz w:val="16"/>
                <w:szCs w:val="16"/>
              </w:rPr>
              <w:t xml:space="preserve">A rating of 'C' denotes challenged financial strength </w:t>
            </w:r>
            <w:r>
              <w:br/>
            </w:r>
            <w:r>
              <w:rPr>
                <w:color w:val="000000"/>
                <w:sz w:val="16"/>
                <w:szCs w:val="16"/>
              </w:rPr>
              <w:t xml:space="preserve">A rating of 'D' denotes very challenged financial strength. </w:t>
            </w:r>
            <w:r>
              <w:br/>
            </w:r>
            <w:r>
              <w:br/>
            </w:r>
            <w:r>
              <w:rPr>
                <w:color w:val="000000"/>
                <w:sz w:val="16"/>
                <w:szCs w:val="16"/>
              </w:rPr>
              <w:t xml:space="preserve">These ratings are the results of analysis of a range of key criteria, such as size, free assets, parentage, distribution image and reputation within the IFA market, expenses levels, market share and profitability. </w:t>
            </w:r>
            <w:r>
              <w:br/>
            </w:r>
            <w:r>
              <w:br/>
            </w:r>
            <w:r>
              <w:rPr>
                <w:color w:val="000000"/>
                <w:sz w:val="16"/>
                <w:szCs w:val="16"/>
              </w:rPr>
              <w:t>AKG publish three financial strength report series or 'peer groups'. Each of these peer groups uses different criteria and w</w:t>
            </w:r>
            <w:r>
              <w:rPr>
                <w:color w:val="000000"/>
                <w:sz w:val="16"/>
                <w:szCs w:val="16"/>
              </w:rPr>
              <w:t xml:space="preserve">eightings to arrive at a financial strength rating. </w:t>
            </w:r>
            <w:r>
              <w:br/>
            </w:r>
          </w:p>
          <w:tbl>
            <w:tblPr>
              <w:tblStyle w:val="DefaqtoTable"/>
              <w:tblW w:w="5000" w:type="pct"/>
              <w:tblCellSpacing w:w="0" w:type="dxa"/>
              <w:tblBorders>
                <w:top w:val="single" w:sz="2" w:space="0" w:color="000000"/>
                <w:left w:val="single" w:sz="2" w:space="0" w:color="000000"/>
                <w:bottom w:val="single" w:sz="2" w:space="0" w:color="000000"/>
                <w:right w:val="single" w:sz="2" w:space="0" w:color="000000"/>
                <w:insideH w:val="nil"/>
                <w:insideV w:val="nil"/>
              </w:tblBorders>
              <w:tblCellMar>
                <w:top w:w="60" w:type="dxa"/>
                <w:left w:w="60" w:type="dxa"/>
                <w:bottom w:w="60" w:type="dxa"/>
                <w:right w:w="60" w:type="dxa"/>
              </w:tblCellMar>
              <w:tblLook w:val="0600" w:firstRow="0" w:lastRow="0" w:firstColumn="0" w:lastColumn="0" w:noHBand="1" w:noVBand="1"/>
            </w:tblPr>
            <w:tblGrid>
              <w:gridCol w:w="6153"/>
              <w:gridCol w:w="6153"/>
            </w:tblGrid>
            <w:tr w:rsidR="00C04B10" w14:paraId="52EB4616" w14:textId="77777777" w:rsidTr="00C04B10">
              <w:trPr>
                <w:tblCellSpacing w:w="0" w:type="dxa"/>
              </w:trPr>
              <w:tc>
                <w:tcPr>
                  <w:tcW w:w="2500" w:type="pct"/>
                  <w:tcBorders>
                    <w:top w:val="single" w:sz="2" w:space="0" w:color="000000"/>
                    <w:left w:val="single" w:sz="2" w:space="0" w:color="000000"/>
                    <w:bottom w:val="single" w:sz="2" w:space="0" w:color="000000"/>
                    <w:right w:val="single" w:sz="2" w:space="0" w:color="000000"/>
                  </w:tcBorders>
                  <w:shd w:val="clear" w:color="auto" w:fill="E4E4E4"/>
                </w:tcPr>
                <w:p w14:paraId="6B93BCE6" w14:textId="77777777" w:rsidR="00C04B10" w:rsidRDefault="001148AB">
                  <w:r>
                    <w:rPr>
                      <w:b/>
                      <w:bCs/>
                      <w:color w:val="000000"/>
                      <w:sz w:val="16"/>
                      <w:szCs w:val="16"/>
                    </w:rPr>
                    <w:t>Rating Type</w:t>
                  </w:r>
                </w:p>
              </w:tc>
              <w:tc>
                <w:tcPr>
                  <w:tcW w:w="0" w:type="auto"/>
                  <w:tcBorders>
                    <w:top w:val="single" w:sz="2" w:space="0" w:color="000000"/>
                    <w:left w:val="single" w:sz="2" w:space="0" w:color="000000"/>
                    <w:bottom w:val="single" w:sz="2" w:space="0" w:color="000000"/>
                    <w:right w:val="single" w:sz="2" w:space="0" w:color="000000"/>
                  </w:tcBorders>
                  <w:shd w:val="clear" w:color="auto" w:fill="E4E4E4"/>
                </w:tcPr>
                <w:p w14:paraId="1DC2BD77" w14:textId="77777777" w:rsidR="00C04B10" w:rsidRDefault="001148AB">
                  <w:r>
                    <w:rPr>
                      <w:b/>
                      <w:bCs/>
                      <w:color w:val="000000"/>
                      <w:sz w:val="16"/>
                      <w:szCs w:val="16"/>
                    </w:rPr>
                    <w:t>Description</w:t>
                  </w:r>
                </w:p>
              </w:tc>
            </w:tr>
            <w:tr w:rsidR="00C04B10" w14:paraId="28DED34A"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26EC9B40" w14:textId="77777777" w:rsidR="00C04B10" w:rsidRDefault="001148AB">
                  <w:pPr>
                    <w:spacing w:after="0"/>
                    <w:rPr>
                      <w:rFonts w:ascii="Poppins" w:eastAsia="Poppins" w:hAnsi="Poppins" w:cs="Poppins"/>
                      <w:color w:val="392388"/>
                    </w:rPr>
                  </w:pPr>
                  <w:r>
                    <w:rPr>
                      <w:color w:val="000000"/>
                      <w:sz w:val="16"/>
                      <w:szCs w:val="16"/>
                    </w:rPr>
                    <w:t>UK</w:t>
                  </w:r>
                </w:p>
              </w:tc>
              <w:tc>
                <w:tcPr>
                  <w:tcW w:w="0" w:type="auto"/>
                  <w:tcBorders>
                    <w:top w:val="single" w:sz="2" w:space="0" w:color="000000"/>
                    <w:left w:val="single" w:sz="2" w:space="0" w:color="000000"/>
                    <w:bottom w:val="single" w:sz="2" w:space="0" w:color="000000"/>
                    <w:right w:val="single" w:sz="2" w:space="0" w:color="000000"/>
                  </w:tcBorders>
                  <w:vAlign w:val="top"/>
                </w:tcPr>
                <w:p w14:paraId="5E0CB73F" w14:textId="77777777" w:rsidR="00C04B10" w:rsidRDefault="001148AB">
                  <w:pPr>
                    <w:spacing w:after="0"/>
                    <w:rPr>
                      <w:rFonts w:ascii="Poppins" w:eastAsia="Poppins" w:hAnsi="Poppins" w:cs="Poppins"/>
                      <w:color w:val="392388"/>
                    </w:rPr>
                  </w:pPr>
                  <w:r>
                    <w:rPr>
                      <w:color w:val="000000"/>
                      <w:sz w:val="16"/>
                      <w:szCs w:val="16"/>
                    </w:rPr>
                    <w:t>The UK rating rates life offices and non-life office SIPP providers. Defaqto displays these ratings across its life, pension and investment product tables.</w:t>
                  </w:r>
                </w:p>
              </w:tc>
            </w:tr>
            <w:tr w:rsidR="00C04B10" w14:paraId="32431CEF"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075C8AD7" w14:textId="77777777" w:rsidR="00C04B10" w:rsidRDefault="001148AB">
                  <w:pPr>
                    <w:spacing w:after="0"/>
                    <w:rPr>
                      <w:rFonts w:ascii="Poppins" w:eastAsia="Poppins" w:hAnsi="Poppins" w:cs="Poppins"/>
                      <w:color w:val="392388"/>
                    </w:rPr>
                  </w:pPr>
                  <w:r>
                    <w:rPr>
                      <w:color w:val="000000"/>
                      <w:sz w:val="16"/>
                      <w:szCs w:val="16"/>
                    </w:rPr>
                    <w:t>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0446FC20" w14:textId="77777777" w:rsidR="00C04B10" w:rsidRDefault="001148AB">
                  <w:pPr>
                    <w:spacing w:after="0"/>
                    <w:rPr>
                      <w:rFonts w:ascii="Poppins" w:eastAsia="Poppins" w:hAnsi="Poppins" w:cs="Poppins"/>
                      <w:color w:val="392388"/>
                    </w:rPr>
                  </w:pPr>
                  <w:r>
                    <w:rPr>
                      <w:color w:val="000000"/>
                      <w:sz w:val="16"/>
                      <w:szCs w:val="16"/>
                    </w:rPr>
                    <w:t>The platform rating rates operators offering platforms. It does not rate the product wrapper itself. Defaqto displays this rating on its platform table.</w:t>
                  </w:r>
                </w:p>
              </w:tc>
            </w:tr>
            <w:tr w:rsidR="00C04B10" w14:paraId="2189535E"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53B9D756" w14:textId="77777777" w:rsidR="00C04B10" w:rsidRDefault="001148AB">
                  <w:pPr>
                    <w:spacing w:after="0"/>
                    <w:rPr>
                      <w:rFonts w:ascii="Poppins" w:eastAsia="Poppins" w:hAnsi="Poppins" w:cs="Poppins"/>
                      <w:color w:val="392388"/>
                    </w:rPr>
                  </w:pPr>
                  <w:r>
                    <w:rPr>
                      <w:color w:val="000000"/>
                      <w:sz w:val="16"/>
                      <w:szCs w:val="16"/>
                    </w:rPr>
                    <w:t>DFM</w:t>
                  </w:r>
                </w:p>
              </w:tc>
              <w:tc>
                <w:tcPr>
                  <w:tcW w:w="0" w:type="auto"/>
                  <w:tcBorders>
                    <w:top w:val="single" w:sz="2" w:space="0" w:color="000000"/>
                    <w:left w:val="single" w:sz="2" w:space="0" w:color="000000"/>
                    <w:bottom w:val="single" w:sz="2" w:space="0" w:color="000000"/>
                    <w:right w:val="single" w:sz="2" w:space="0" w:color="000000"/>
                  </w:tcBorders>
                  <w:vAlign w:val="top"/>
                </w:tcPr>
                <w:p w14:paraId="1B86E845" w14:textId="77777777" w:rsidR="00C04B10" w:rsidRDefault="001148AB">
                  <w:pPr>
                    <w:spacing w:after="0"/>
                    <w:rPr>
                      <w:rFonts w:ascii="Poppins" w:eastAsia="Poppins" w:hAnsi="Poppins" w:cs="Poppins"/>
                      <w:color w:val="392388"/>
                    </w:rPr>
                  </w:pPr>
                  <w:r>
                    <w:rPr>
                      <w:color w:val="000000"/>
                      <w:sz w:val="16"/>
                      <w:szCs w:val="16"/>
                    </w:rPr>
                    <w:t>The DFM rating rates the firms offering DFM solutions. It does not rate the solution itself. Defaqto displays this rating on its DFM table</w:t>
                  </w:r>
                </w:p>
              </w:tc>
            </w:tr>
            <w:tr w:rsidR="00C04B10" w14:paraId="7730E28B"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vAlign w:val="top"/>
                </w:tcPr>
                <w:p w14:paraId="2C500EBF" w14:textId="77777777" w:rsidR="00C04B10" w:rsidRDefault="001148AB">
                  <w:pPr>
                    <w:spacing w:after="0"/>
                    <w:rPr>
                      <w:rFonts w:ascii="Poppins" w:eastAsia="Poppins" w:hAnsi="Poppins" w:cs="Poppins"/>
                      <w:color w:val="392388"/>
                    </w:rPr>
                  </w:pPr>
                  <w:r>
                    <w:rPr>
                      <w:color w:val="000000"/>
                      <w:sz w:val="16"/>
                      <w:szCs w:val="16"/>
                    </w:rPr>
                    <w:t>Offshore</w:t>
                  </w:r>
                </w:p>
              </w:tc>
              <w:tc>
                <w:tcPr>
                  <w:tcW w:w="0" w:type="auto"/>
                  <w:tcBorders>
                    <w:top w:val="single" w:sz="2" w:space="0" w:color="000000"/>
                    <w:left w:val="single" w:sz="2" w:space="0" w:color="000000"/>
                    <w:bottom w:val="single" w:sz="2" w:space="0" w:color="000000"/>
                    <w:right w:val="single" w:sz="2" w:space="0" w:color="000000"/>
                  </w:tcBorders>
                  <w:vAlign w:val="top"/>
                </w:tcPr>
                <w:p w14:paraId="165287D0" w14:textId="77777777" w:rsidR="00C04B10" w:rsidRDefault="001148AB">
                  <w:pPr>
                    <w:spacing w:after="0"/>
                    <w:rPr>
                      <w:rFonts w:ascii="Poppins" w:eastAsia="Poppins" w:hAnsi="Poppins" w:cs="Poppins"/>
                      <w:color w:val="392388"/>
                    </w:rPr>
                  </w:pPr>
                  <w:r>
                    <w:rPr>
                      <w:color w:val="000000"/>
                      <w:sz w:val="16"/>
                      <w:szCs w:val="16"/>
                    </w:rPr>
                    <w:t>The offshore rating rates providers offering offshore products. Defaqto displays this rating on its offshore investment product tables.</w:t>
                  </w:r>
                </w:p>
              </w:tc>
            </w:tr>
          </w:tbl>
          <w:p w14:paraId="296FE03D" w14:textId="77777777" w:rsidR="00C04B10" w:rsidRDefault="001148AB">
            <w:pPr>
              <w:spacing w:after="0"/>
              <w:rPr>
                <w:rFonts w:ascii="Poppins" w:eastAsia="Poppins" w:hAnsi="Poppins" w:cs="Poppins"/>
                <w:color w:val="392388"/>
              </w:rPr>
            </w:pPr>
            <w:r>
              <w:br/>
            </w:r>
            <w:r>
              <w:rPr>
                <w:color w:val="000000"/>
                <w:sz w:val="16"/>
                <w:szCs w:val="16"/>
              </w:rPr>
              <w:t>For more information on how the ratings are applied, please refer to the Engage user guide and FAQs.</w:t>
            </w:r>
          </w:p>
        </w:tc>
      </w:tr>
      <w:tr w:rsidR="00C04B10" w14:paraId="7CF67618"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756E0942" w14:textId="77777777" w:rsidR="00C04B10" w:rsidRDefault="001148AB">
            <w:pPr>
              <w:spacing w:after="0"/>
              <w:rPr>
                <w:rFonts w:ascii="Poppins" w:eastAsia="Poppins" w:hAnsi="Poppins" w:cs="Poppins"/>
                <w:color w:val="392388"/>
              </w:rPr>
            </w:pPr>
            <w:r>
              <w:rPr>
                <w:b/>
                <w:bCs/>
                <w:color w:val="000000"/>
                <w:sz w:val="16"/>
                <w:szCs w:val="16"/>
              </w:rPr>
              <w:t>Weighted Satisfaction Scores</w:t>
            </w:r>
            <w:r>
              <w:br/>
            </w:r>
            <w:r>
              <w:rPr>
                <w:b/>
                <w:bCs/>
                <w:color w:val="000000"/>
                <w:sz w:val="16"/>
                <w:szCs w:val="16"/>
              </w:rPr>
              <w:t>This is the weighted satisfaction score achieved in the IFA Platform Star Rating survey</w:t>
            </w:r>
          </w:p>
        </w:tc>
        <w:tc>
          <w:tcPr>
            <w:tcW w:w="0" w:type="auto"/>
            <w:tcBorders>
              <w:top w:val="single" w:sz="2" w:space="0" w:color="000000"/>
              <w:left w:val="single" w:sz="2" w:space="0" w:color="000000"/>
              <w:bottom w:val="single" w:sz="2" w:space="0" w:color="000000"/>
              <w:right w:val="single" w:sz="2" w:space="0" w:color="000000"/>
            </w:tcBorders>
            <w:vAlign w:val="top"/>
          </w:tcPr>
          <w:p w14:paraId="196619BF" w14:textId="77777777" w:rsidR="00C04B10" w:rsidRDefault="001148AB">
            <w:pPr>
              <w:spacing w:after="0"/>
              <w:rPr>
                <w:rFonts w:ascii="Poppins" w:eastAsia="Poppins" w:hAnsi="Poppins" w:cs="Poppins"/>
                <w:color w:val="392388"/>
              </w:rPr>
            </w:pPr>
            <w:r>
              <w:rPr>
                <w:color w:val="000000"/>
                <w:sz w:val="16"/>
                <w:szCs w:val="16"/>
              </w:rPr>
              <w:t xml:space="preserve">81 </w:t>
            </w:r>
          </w:p>
        </w:tc>
      </w:tr>
      <w:tr w:rsidR="00C04B10" w14:paraId="31EC7171"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161D8263" w14:textId="77777777" w:rsidR="00C04B10" w:rsidRDefault="001148AB">
            <w:pPr>
              <w:spacing w:after="0"/>
              <w:rPr>
                <w:rFonts w:ascii="Poppins" w:eastAsia="Poppins" w:hAnsi="Poppins" w:cs="Poppins"/>
                <w:color w:val="392388"/>
              </w:rPr>
            </w:pPr>
            <w:r>
              <w:rPr>
                <w:b/>
                <w:bCs/>
                <w:color w:val="000000"/>
                <w:sz w:val="16"/>
                <w:szCs w:val="16"/>
              </w:rPr>
              <w:t>General Investment Account</w:t>
            </w:r>
            <w:r>
              <w:br/>
            </w:r>
            <w:r>
              <w:rPr>
                <w:b/>
                <w:bCs/>
                <w:color w:val="000000"/>
                <w:sz w:val="16"/>
                <w:szCs w:val="16"/>
              </w:rPr>
              <w:t xml:space="preserve">A general investment account facility, where </w:t>
            </w:r>
            <w:r>
              <w:rPr>
                <w:b/>
                <w:bCs/>
                <w:color w:val="000000"/>
                <w:sz w:val="16"/>
                <w:szCs w:val="16"/>
              </w:rPr>
              <w:lastRenderedPageBreak/>
              <w:t>the underlying investments are not product wrapped.</w:t>
            </w:r>
          </w:p>
        </w:tc>
        <w:tc>
          <w:tcPr>
            <w:tcW w:w="0" w:type="auto"/>
            <w:tcBorders>
              <w:top w:val="single" w:sz="2" w:space="0" w:color="000000"/>
              <w:left w:val="single" w:sz="2" w:space="0" w:color="000000"/>
              <w:bottom w:val="single" w:sz="2" w:space="0" w:color="000000"/>
              <w:right w:val="single" w:sz="2" w:space="0" w:color="000000"/>
            </w:tcBorders>
            <w:vAlign w:val="top"/>
          </w:tcPr>
          <w:p w14:paraId="051FD9A0" w14:textId="77777777" w:rsidR="00C04B10" w:rsidRDefault="001148AB">
            <w:pPr>
              <w:spacing w:after="0"/>
              <w:rPr>
                <w:rFonts w:ascii="Poppins" w:eastAsia="Poppins" w:hAnsi="Poppins" w:cs="Poppins"/>
                <w:color w:val="392388"/>
              </w:rPr>
            </w:pPr>
            <w:r>
              <w:rPr>
                <w:color w:val="000000"/>
                <w:sz w:val="16"/>
                <w:szCs w:val="16"/>
              </w:rPr>
              <w:lastRenderedPageBreak/>
              <w:t xml:space="preserve">A general investment account is available via the, 'Investment Portfolio'. The minimum investments are £50 per month or a single investment of £1,000. </w:t>
            </w:r>
          </w:p>
        </w:tc>
      </w:tr>
      <w:tr w:rsidR="00C04B10" w14:paraId="7F7E5A2C"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56C8DD3B" w14:textId="77777777" w:rsidR="00C04B10" w:rsidRDefault="001148AB">
            <w:pPr>
              <w:spacing w:after="0"/>
              <w:rPr>
                <w:rFonts w:ascii="Poppins" w:eastAsia="Poppins" w:hAnsi="Poppins" w:cs="Poppins"/>
                <w:color w:val="392388"/>
              </w:rPr>
            </w:pPr>
            <w:r>
              <w:rPr>
                <w:b/>
                <w:bCs/>
                <w:color w:val="000000"/>
                <w:sz w:val="16"/>
                <w:szCs w:val="16"/>
              </w:rPr>
              <w:t xml:space="preserve">ISA available </w:t>
            </w:r>
            <w:r>
              <w:br/>
            </w:r>
            <w:r>
              <w:rPr>
                <w:b/>
                <w:bCs/>
                <w:color w:val="000000"/>
                <w:sz w:val="16"/>
                <w:szCs w:val="16"/>
              </w:rPr>
              <w:t>ISAs available</w:t>
            </w:r>
          </w:p>
        </w:tc>
        <w:tc>
          <w:tcPr>
            <w:tcW w:w="0" w:type="auto"/>
            <w:tcBorders>
              <w:top w:val="single" w:sz="2" w:space="0" w:color="000000"/>
              <w:left w:val="single" w:sz="2" w:space="0" w:color="000000"/>
              <w:bottom w:val="single" w:sz="2" w:space="0" w:color="000000"/>
              <w:right w:val="single" w:sz="2" w:space="0" w:color="000000"/>
            </w:tcBorders>
            <w:vAlign w:val="top"/>
          </w:tcPr>
          <w:p w14:paraId="72DC10D3" w14:textId="77777777" w:rsidR="00C04B10" w:rsidRDefault="001148AB">
            <w:pPr>
              <w:spacing w:after="0"/>
              <w:rPr>
                <w:rFonts w:ascii="Poppins" w:eastAsia="Poppins" w:hAnsi="Poppins" w:cs="Poppins"/>
                <w:color w:val="392388"/>
              </w:rPr>
            </w:pPr>
            <w:r>
              <w:rPr>
                <w:color w:val="000000"/>
                <w:sz w:val="16"/>
                <w:szCs w:val="16"/>
              </w:rPr>
              <w:t xml:space="preserve">The ISA Portfolio is a Stocks &amp; Shares ISA provided by Aviva. </w:t>
            </w:r>
          </w:p>
        </w:tc>
      </w:tr>
      <w:tr w:rsidR="00C04B10" w14:paraId="1CC44FAE"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D563D00" w14:textId="77777777" w:rsidR="00C04B10" w:rsidRDefault="001148AB">
            <w:pPr>
              <w:spacing w:after="0"/>
              <w:rPr>
                <w:rFonts w:ascii="Poppins" w:eastAsia="Poppins" w:hAnsi="Poppins" w:cs="Poppins"/>
                <w:color w:val="392388"/>
              </w:rPr>
            </w:pPr>
            <w:r>
              <w:rPr>
                <w:b/>
                <w:bCs/>
                <w:color w:val="000000"/>
                <w:sz w:val="16"/>
                <w:szCs w:val="16"/>
              </w:rPr>
              <w:t>Personal Pension Plan or Self Invested Personal Pension Available</w:t>
            </w:r>
            <w:r>
              <w:br/>
            </w:r>
            <w:r>
              <w:rPr>
                <w:b/>
                <w:bCs/>
                <w:color w:val="000000"/>
                <w:sz w:val="16"/>
                <w:szCs w:val="16"/>
              </w:rPr>
              <w:t>Personal pension product (PPP or SIPP) available on the platform</w:t>
            </w:r>
          </w:p>
        </w:tc>
        <w:tc>
          <w:tcPr>
            <w:tcW w:w="0" w:type="auto"/>
            <w:tcBorders>
              <w:top w:val="single" w:sz="2" w:space="0" w:color="000000"/>
              <w:left w:val="single" w:sz="2" w:space="0" w:color="000000"/>
              <w:bottom w:val="single" w:sz="2" w:space="0" w:color="000000"/>
              <w:right w:val="single" w:sz="2" w:space="0" w:color="000000"/>
            </w:tcBorders>
            <w:vAlign w:val="top"/>
          </w:tcPr>
          <w:p w14:paraId="606EFBF2" w14:textId="77777777" w:rsidR="00C04B10" w:rsidRDefault="001148AB">
            <w:pPr>
              <w:spacing w:after="0"/>
              <w:rPr>
                <w:rFonts w:ascii="Poppins" w:eastAsia="Poppins" w:hAnsi="Poppins" w:cs="Poppins"/>
                <w:color w:val="392388"/>
              </w:rPr>
            </w:pPr>
            <w:r>
              <w:rPr>
                <w:color w:val="000000"/>
                <w:sz w:val="16"/>
                <w:szCs w:val="16"/>
              </w:rPr>
              <w:t xml:space="preserve">Yes. </w:t>
            </w:r>
          </w:p>
        </w:tc>
      </w:tr>
      <w:tr w:rsidR="00C04B10" w14:paraId="11ACBB48"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323174BE" w14:textId="77777777" w:rsidR="00C04B10" w:rsidRDefault="001148AB">
            <w:pPr>
              <w:spacing w:after="0"/>
              <w:rPr>
                <w:rFonts w:ascii="Poppins" w:eastAsia="Poppins" w:hAnsi="Poppins" w:cs="Poppins"/>
                <w:color w:val="392388"/>
              </w:rPr>
            </w:pPr>
            <w:r>
              <w:rPr>
                <w:b/>
                <w:bCs/>
                <w:color w:val="000000"/>
                <w:sz w:val="16"/>
                <w:szCs w:val="16"/>
              </w:rPr>
              <w:t>Online Client Valuations Available</w:t>
            </w:r>
            <w:r>
              <w:br/>
            </w:r>
            <w:r>
              <w:rPr>
                <w:b/>
                <w:bCs/>
                <w:color w:val="000000"/>
                <w:sz w:val="16"/>
                <w:szCs w:val="16"/>
              </w:rPr>
              <w:t>Platform provides clients valuations online</w:t>
            </w:r>
          </w:p>
        </w:tc>
        <w:tc>
          <w:tcPr>
            <w:tcW w:w="0" w:type="auto"/>
            <w:tcBorders>
              <w:top w:val="single" w:sz="2" w:space="0" w:color="000000"/>
              <w:left w:val="single" w:sz="2" w:space="0" w:color="000000"/>
              <w:bottom w:val="single" w:sz="2" w:space="0" w:color="000000"/>
              <w:right w:val="single" w:sz="2" w:space="0" w:color="000000"/>
            </w:tcBorders>
            <w:vAlign w:val="top"/>
          </w:tcPr>
          <w:p w14:paraId="2E586F25" w14:textId="77777777" w:rsidR="00C04B10" w:rsidRDefault="001148AB">
            <w:pPr>
              <w:spacing w:after="0"/>
              <w:rPr>
                <w:rFonts w:ascii="Poppins" w:eastAsia="Poppins" w:hAnsi="Poppins" w:cs="Poppins"/>
                <w:color w:val="392388"/>
              </w:rPr>
            </w:pPr>
            <w:r>
              <w:rPr>
                <w:color w:val="000000"/>
                <w:sz w:val="16"/>
                <w:szCs w:val="16"/>
              </w:rPr>
              <w:t xml:space="preserve">Online client valuations are available. </w:t>
            </w:r>
          </w:p>
        </w:tc>
      </w:tr>
      <w:tr w:rsidR="00C04B10" w14:paraId="65C99D1D"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2A996EA8" w14:textId="77777777" w:rsidR="00C04B10" w:rsidRDefault="001148AB">
            <w:pPr>
              <w:spacing w:after="0"/>
              <w:rPr>
                <w:rFonts w:ascii="Poppins" w:eastAsia="Poppins" w:hAnsi="Poppins" w:cs="Poppins"/>
                <w:color w:val="392388"/>
              </w:rPr>
            </w:pPr>
            <w:r>
              <w:rPr>
                <w:b/>
                <w:bCs/>
                <w:color w:val="000000"/>
                <w:sz w:val="16"/>
                <w:szCs w:val="16"/>
              </w:rPr>
              <w:t>Platform Access - Adviser</w:t>
            </w:r>
            <w:r>
              <w:br/>
            </w:r>
            <w:r>
              <w:rPr>
                <w:b/>
                <w:bCs/>
                <w:color w:val="000000"/>
                <w:sz w:val="16"/>
                <w:szCs w:val="16"/>
              </w:rPr>
              <w:t>Adviser can have platform access</w:t>
            </w:r>
          </w:p>
        </w:tc>
        <w:tc>
          <w:tcPr>
            <w:tcW w:w="0" w:type="auto"/>
            <w:tcBorders>
              <w:top w:val="single" w:sz="2" w:space="0" w:color="000000"/>
              <w:left w:val="single" w:sz="2" w:space="0" w:color="000000"/>
              <w:bottom w:val="single" w:sz="2" w:space="0" w:color="000000"/>
              <w:right w:val="single" w:sz="2" w:space="0" w:color="000000"/>
            </w:tcBorders>
            <w:vAlign w:val="top"/>
          </w:tcPr>
          <w:p w14:paraId="5B36F108" w14:textId="77777777" w:rsidR="00C04B10" w:rsidRDefault="001148AB">
            <w:pPr>
              <w:spacing w:after="0"/>
              <w:rPr>
                <w:rFonts w:ascii="Poppins" w:eastAsia="Poppins" w:hAnsi="Poppins" w:cs="Poppins"/>
                <w:color w:val="392388"/>
              </w:rPr>
            </w:pPr>
            <w:r>
              <w:rPr>
                <w:color w:val="000000"/>
                <w:sz w:val="16"/>
                <w:szCs w:val="16"/>
              </w:rPr>
              <w:t xml:space="preserve">Advisory firms can set different levels of online access at Corporate, Registered Individual, Principal, Administrator and Adviser levels. </w:t>
            </w:r>
            <w:r>
              <w:br/>
            </w:r>
            <w:r>
              <w:br/>
            </w:r>
            <w:r>
              <w:rPr>
                <w:color w:val="000000"/>
                <w:sz w:val="16"/>
                <w:szCs w:val="16"/>
              </w:rPr>
              <w:t xml:space="preserve">Aviva believes that individual firms should have the freedom to set their own access for the different levels within their organization. With this in mind the Aviva Platform allows the advisory firm to configure the access levels to meet its own requirements. </w:t>
            </w:r>
            <w:r>
              <w:br/>
            </w:r>
            <w:r>
              <w:br/>
            </w:r>
            <w:r>
              <w:rPr>
                <w:color w:val="000000"/>
                <w:sz w:val="16"/>
                <w:szCs w:val="16"/>
              </w:rPr>
              <w:t xml:space="preserve">The Aviva Platform offers the following functionality: </w:t>
            </w:r>
            <w:r>
              <w:br/>
            </w:r>
            <w:r>
              <w:br/>
            </w:r>
            <w:r>
              <w:rPr>
                <w:color w:val="000000"/>
                <w:sz w:val="16"/>
                <w:szCs w:val="16"/>
              </w:rPr>
              <w:t xml:space="preserve">Pre-sale online tools and analysers: </w:t>
            </w:r>
            <w:r>
              <w:br/>
            </w:r>
            <w:r>
              <w:rPr>
                <w:color w:val="000000"/>
                <w:sz w:val="16"/>
                <w:szCs w:val="16"/>
              </w:rPr>
              <w:t xml:space="preserve">- Fund research: allowing a detailed view of all of the funds on the platform, their performance and third party fund ratings </w:t>
            </w:r>
            <w:r>
              <w:br/>
            </w:r>
            <w:r>
              <w:rPr>
                <w:color w:val="000000"/>
                <w:sz w:val="16"/>
                <w:szCs w:val="16"/>
              </w:rPr>
              <w:t xml:space="preserve">- Fund charting: allowing </w:t>
            </w:r>
            <w:r>
              <w:rPr>
                <w:color w:val="000000"/>
                <w:sz w:val="16"/>
                <w:szCs w:val="16"/>
              </w:rPr>
              <w:t xml:space="preserve">the comparison of the performance of funds, sectors and indices </w:t>
            </w:r>
            <w:r>
              <w:br/>
            </w:r>
            <w:r>
              <w:rPr>
                <w:color w:val="000000"/>
                <w:sz w:val="16"/>
                <w:szCs w:val="16"/>
              </w:rPr>
              <w:t xml:space="preserve">- Fund documentation: including fund factsheets, reports and accounts and simplified prospectus documents </w:t>
            </w:r>
            <w:r>
              <w:br/>
            </w:r>
            <w:r>
              <w:rPr>
                <w:color w:val="000000"/>
                <w:sz w:val="16"/>
                <w:szCs w:val="16"/>
              </w:rPr>
              <w:t xml:space="preserve">- Illustrations: a regulatory requirement for all portfolios </w:t>
            </w:r>
            <w:r>
              <w:br/>
            </w:r>
            <w:r>
              <w:rPr>
                <w:color w:val="000000"/>
                <w:sz w:val="16"/>
                <w:szCs w:val="16"/>
              </w:rPr>
              <w:t xml:space="preserve">- Investment profiles: allowing easy and efficient creation and management of a range of model portfolios. </w:t>
            </w:r>
            <w:r>
              <w:br/>
            </w:r>
            <w:r>
              <w:br/>
            </w:r>
            <w:r>
              <w:rPr>
                <w:color w:val="000000"/>
                <w:sz w:val="16"/>
                <w:szCs w:val="16"/>
              </w:rPr>
              <w:t xml:space="preserve">Post-sale tools and analysers: </w:t>
            </w:r>
            <w:r>
              <w:br/>
            </w:r>
            <w:r>
              <w:rPr>
                <w:color w:val="000000"/>
                <w:sz w:val="16"/>
                <w:szCs w:val="16"/>
              </w:rPr>
              <w:t xml:space="preserve">- Current valuations: of portfolios online </w:t>
            </w:r>
            <w:r>
              <w:br/>
            </w:r>
            <w:r>
              <w:rPr>
                <w:color w:val="000000"/>
                <w:sz w:val="16"/>
                <w:szCs w:val="16"/>
              </w:rPr>
              <w:t xml:space="preserve">- Rebalancing: to re-instate the asset allocation on a range of frequencies </w:t>
            </w:r>
            <w:r>
              <w:br/>
            </w:r>
            <w:r>
              <w:rPr>
                <w:color w:val="000000"/>
                <w:sz w:val="16"/>
                <w:szCs w:val="16"/>
              </w:rPr>
              <w:t>- Bulk trading a</w:t>
            </w:r>
            <w:r>
              <w:rPr>
                <w:color w:val="000000"/>
                <w:sz w:val="16"/>
                <w:szCs w:val="16"/>
              </w:rPr>
              <w:t xml:space="preserve">nd bulk rebalancing: allowing efficient management of groups of clients </w:t>
            </w:r>
            <w:r>
              <w:br/>
            </w:r>
            <w:r>
              <w:rPr>
                <w:color w:val="000000"/>
                <w:sz w:val="16"/>
                <w:szCs w:val="16"/>
              </w:rPr>
              <w:t xml:space="preserve">- Detailed performance data: showing how investments have performed for specified time periods </w:t>
            </w:r>
            <w:r>
              <w:br/>
            </w:r>
            <w:r>
              <w:rPr>
                <w:color w:val="000000"/>
                <w:sz w:val="16"/>
                <w:szCs w:val="16"/>
              </w:rPr>
              <w:t xml:space="preserve">- Detailed fund data: breaking down portfolio information to individual fund level </w:t>
            </w:r>
            <w:r>
              <w:br/>
            </w:r>
            <w:r>
              <w:rPr>
                <w:color w:val="000000"/>
                <w:sz w:val="16"/>
                <w:szCs w:val="16"/>
              </w:rPr>
              <w:t xml:space="preserve">- Transaction information: showing all client portfolio transactions </w:t>
            </w:r>
            <w:r>
              <w:br/>
            </w:r>
            <w:r>
              <w:rPr>
                <w:color w:val="000000"/>
                <w:sz w:val="16"/>
                <w:szCs w:val="16"/>
              </w:rPr>
              <w:t xml:space="preserve">- Illustrations: for accumulation, income drawdown and estimated maturity values </w:t>
            </w:r>
            <w:r>
              <w:br/>
            </w:r>
            <w:r>
              <w:rPr>
                <w:color w:val="000000"/>
                <w:sz w:val="16"/>
                <w:szCs w:val="16"/>
              </w:rPr>
              <w:t>- Lifetime allowance usage: a report showing post-retirement client lifetime allowance usage in the current</w:t>
            </w:r>
            <w:r>
              <w:rPr>
                <w:color w:val="000000"/>
                <w:sz w:val="16"/>
                <w:szCs w:val="16"/>
              </w:rPr>
              <w:t xml:space="preserve"> year </w:t>
            </w:r>
            <w:r>
              <w:br/>
            </w:r>
            <w:r>
              <w:rPr>
                <w:color w:val="000000"/>
                <w:sz w:val="16"/>
                <w:szCs w:val="16"/>
              </w:rPr>
              <w:t xml:space="preserve">- Summary view of issued warnings: a report detailing the income warnings issued for clients </w:t>
            </w:r>
            <w:r>
              <w:br/>
            </w:r>
            <w:r>
              <w:rPr>
                <w:color w:val="000000"/>
                <w:sz w:val="16"/>
                <w:szCs w:val="16"/>
              </w:rPr>
              <w:t xml:space="preserve">- Available taxable income: a report showing clients available taxable income in the current year </w:t>
            </w:r>
            <w:r>
              <w:br/>
            </w:r>
            <w:r>
              <w:rPr>
                <w:color w:val="000000"/>
                <w:sz w:val="16"/>
                <w:szCs w:val="16"/>
              </w:rPr>
              <w:t xml:space="preserve">- Capital Gains calculator </w:t>
            </w:r>
            <w:r>
              <w:br/>
            </w:r>
            <w:r>
              <w:rPr>
                <w:color w:val="000000"/>
                <w:sz w:val="16"/>
                <w:szCs w:val="16"/>
              </w:rPr>
              <w:t xml:space="preserve">- Client review date: a report showing the next Government Actuaries Department income review date for post-retirement clients in Capped Drawdown </w:t>
            </w:r>
            <w:r>
              <w:br/>
            </w:r>
            <w:r>
              <w:rPr>
                <w:color w:val="000000"/>
                <w:sz w:val="16"/>
                <w:szCs w:val="16"/>
              </w:rPr>
              <w:t xml:space="preserve">- Client reporting: a report based on portfolios, valuations or transaction history. </w:t>
            </w:r>
            <w:r>
              <w:br/>
            </w:r>
            <w:r>
              <w:br/>
            </w:r>
            <w:r>
              <w:rPr>
                <w:color w:val="000000"/>
                <w:sz w:val="16"/>
                <w:szCs w:val="16"/>
              </w:rPr>
              <w:t xml:space="preserve">Client Access: </w:t>
            </w:r>
            <w:r>
              <w:br/>
            </w:r>
            <w:r>
              <w:rPr>
                <w:color w:val="000000"/>
                <w:sz w:val="16"/>
                <w:szCs w:val="16"/>
              </w:rPr>
              <w:t>- Clients can view valuations of t</w:t>
            </w:r>
            <w:r>
              <w:rPr>
                <w:color w:val="000000"/>
                <w:sz w:val="16"/>
                <w:szCs w:val="16"/>
              </w:rPr>
              <w:t xml:space="preserve">heir product portfolios and keep track of their investments. </w:t>
            </w:r>
            <w:r>
              <w:br/>
            </w:r>
            <w:r>
              <w:rPr>
                <w:color w:val="000000"/>
                <w:sz w:val="16"/>
                <w:szCs w:val="16"/>
              </w:rPr>
              <w:lastRenderedPageBreak/>
              <w:t xml:space="preserve">- Clients can also access electronic copies of correspondence that has been sent to them online. </w:t>
            </w:r>
            <w:r>
              <w:br/>
            </w:r>
            <w:r>
              <w:rPr>
                <w:color w:val="000000"/>
                <w:sz w:val="16"/>
                <w:szCs w:val="16"/>
              </w:rPr>
              <w:t xml:space="preserve">- Clients do not have any online trading capability and all trades must be placed via their financial adviser. </w:t>
            </w:r>
            <w:r>
              <w:br/>
            </w:r>
            <w:r>
              <w:rPr>
                <w:color w:val="000000"/>
                <w:sz w:val="16"/>
                <w:szCs w:val="16"/>
              </w:rPr>
              <w:t>- Clients cannot perform online transactions directly.</w:t>
            </w:r>
          </w:p>
        </w:tc>
      </w:tr>
      <w:tr w:rsidR="00C04B10" w14:paraId="14118D76"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029D603E" w14:textId="77777777" w:rsidR="00C04B10" w:rsidRDefault="001148AB">
            <w:pPr>
              <w:spacing w:after="0"/>
              <w:rPr>
                <w:rFonts w:ascii="Poppins" w:eastAsia="Poppins" w:hAnsi="Poppins" w:cs="Poppins"/>
                <w:color w:val="392388"/>
              </w:rPr>
            </w:pPr>
            <w:r>
              <w:rPr>
                <w:b/>
                <w:bCs/>
                <w:color w:val="000000"/>
                <w:sz w:val="16"/>
                <w:szCs w:val="16"/>
              </w:rPr>
              <w:lastRenderedPageBreak/>
              <w:t>Platform Access - Client</w:t>
            </w:r>
            <w:r>
              <w:br/>
            </w:r>
            <w:r>
              <w:rPr>
                <w:b/>
                <w:bCs/>
                <w:color w:val="000000"/>
                <w:sz w:val="16"/>
                <w:szCs w:val="16"/>
              </w:rPr>
              <w:t>Client can have platform access</w:t>
            </w:r>
          </w:p>
        </w:tc>
        <w:tc>
          <w:tcPr>
            <w:tcW w:w="0" w:type="auto"/>
            <w:tcBorders>
              <w:top w:val="single" w:sz="2" w:space="0" w:color="000000"/>
              <w:left w:val="single" w:sz="2" w:space="0" w:color="000000"/>
              <w:bottom w:val="single" w:sz="2" w:space="0" w:color="000000"/>
              <w:right w:val="single" w:sz="2" w:space="0" w:color="000000"/>
            </w:tcBorders>
            <w:vAlign w:val="top"/>
          </w:tcPr>
          <w:p w14:paraId="6A81E3EB" w14:textId="77777777" w:rsidR="00C04B10" w:rsidRDefault="001148AB">
            <w:pPr>
              <w:spacing w:after="0"/>
              <w:rPr>
                <w:rFonts w:ascii="Poppins" w:eastAsia="Poppins" w:hAnsi="Poppins" w:cs="Poppins"/>
                <w:color w:val="392388"/>
              </w:rPr>
            </w:pPr>
            <w:r>
              <w:rPr>
                <w:color w:val="000000"/>
                <w:sz w:val="16"/>
                <w:szCs w:val="16"/>
              </w:rPr>
              <w:t xml:space="preserve">Clients can view correspondence relating to their portfolio and advisers can see correspondence for their platform clients. Clients are able to view valuations of their product portfolio and keep track of their investments online. </w:t>
            </w:r>
          </w:p>
        </w:tc>
      </w:tr>
      <w:tr w:rsidR="00C04B10" w14:paraId="5EBFFF48" w14:textId="77777777" w:rsidTr="00C04B10">
        <w:trPr>
          <w:tblCellSpacing w:w="0" w:type="dxa"/>
        </w:trPr>
        <w:tc>
          <w:tcPr>
            <w:tcW w:w="0" w:type="auto"/>
            <w:tcBorders>
              <w:top w:val="single" w:sz="2" w:space="0" w:color="000000"/>
              <w:left w:val="single" w:sz="2" w:space="0" w:color="000000"/>
              <w:bottom w:val="single" w:sz="2" w:space="0" w:color="000000"/>
              <w:right w:val="single" w:sz="2" w:space="0" w:color="000000"/>
            </w:tcBorders>
            <w:shd w:val="clear" w:color="auto" w:fill="E4E4E4"/>
            <w:vAlign w:val="top"/>
          </w:tcPr>
          <w:p w14:paraId="006C9F3E" w14:textId="77777777" w:rsidR="00C04B10" w:rsidRDefault="001148AB">
            <w:pPr>
              <w:spacing w:after="0"/>
              <w:rPr>
                <w:rFonts w:ascii="Poppins" w:eastAsia="Poppins" w:hAnsi="Poppins" w:cs="Poppins"/>
                <w:color w:val="392388"/>
              </w:rPr>
            </w:pPr>
            <w:r>
              <w:rPr>
                <w:b/>
                <w:bCs/>
                <w:color w:val="000000"/>
                <w:sz w:val="16"/>
                <w:szCs w:val="16"/>
              </w:rPr>
              <w:t>Automatic Withdrawals</w:t>
            </w:r>
            <w:r>
              <w:br/>
            </w:r>
            <w:r>
              <w:rPr>
                <w:b/>
                <w:bCs/>
                <w:color w:val="000000"/>
                <w:sz w:val="16"/>
                <w:szCs w:val="16"/>
              </w:rPr>
              <w:t>Facility to set up fixed (percentage or amount) regular withdrawals, other than pension related income drawdown facilities</w:t>
            </w:r>
          </w:p>
        </w:tc>
        <w:tc>
          <w:tcPr>
            <w:tcW w:w="0" w:type="auto"/>
            <w:tcBorders>
              <w:top w:val="single" w:sz="2" w:space="0" w:color="000000"/>
              <w:left w:val="single" w:sz="2" w:space="0" w:color="000000"/>
              <w:bottom w:val="single" w:sz="2" w:space="0" w:color="000000"/>
              <w:right w:val="single" w:sz="2" w:space="0" w:color="000000"/>
            </w:tcBorders>
            <w:vAlign w:val="top"/>
          </w:tcPr>
          <w:p w14:paraId="6225C9EA" w14:textId="77777777" w:rsidR="00C04B10" w:rsidRDefault="001148AB">
            <w:pPr>
              <w:spacing w:after="0"/>
              <w:rPr>
                <w:rFonts w:ascii="Poppins" w:eastAsia="Poppins" w:hAnsi="Poppins" w:cs="Poppins"/>
                <w:color w:val="392388"/>
              </w:rPr>
            </w:pPr>
            <w:r>
              <w:rPr>
                <w:color w:val="000000"/>
                <w:sz w:val="16"/>
                <w:szCs w:val="16"/>
              </w:rPr>
              <w:t xml:space="preserve">Where permitted, clients may withdraw some or all of any cash balance in the ISA and Investment Portfolios at any time by sending Aviva a signed written instruction to do so. </w:t>
            </w:r>
            <w:r>
              <w:br/>
            </w:r>
            <w:r>
              <w:br/>
            </w:r>
            <w:r>
              <w:rPr>
                <w:color w:val="000000"/>
                <w:sz w:val="16"/>
                <w:szCs w:val="16"/>
              </w:rPr>
              <w:t xml:space="preserve">Clients can also opt for regular withdrawals by completing the relevant application. They can choose the frequency and dates which they want to receive the withdrawals. </w:t>
            </w:r>
            <w:r>
              <w:br/>
            </w:r>
            <w:r>
              <w:br/>
            </w:r>
            <w:r>
              <w:rPr>
                <w:color w:val="000000"/>
                <w:sz w:val="16"/>
                <w:szCs w:val="16"/>
              </w:rPr>
              <w:t xml:space="preserve">The minimum amount that can be withdrawn as a lump sum is £500, or £50 for regular withdrawals. The remaining balance in any product Portfolio after any withdrawal must be at least £250. </w:t>
            </w:r>
            <w:r>
              <w:br/>
            </w:r>
            <w:r>
              <w:br/>
            </w:r>
            <w:r>
              <w:rPr>
                <w:color w:val="000000"/>
                <w:sz w:val="16"/>
                <w:szCs w:val="16"/>
              </w:rPr>
              <w:t xml:space="preserve">Fund-specific withdrawals are also available. At least £50 must be left in any fund. </w:t>
            </w:r>
            <w:r>
              <w:br/>
            </w:r>
            <w:r>
              <w:br/>
            </w:r>
            <w:r>
              <w:rPr>
                <w:color w:val="000000"/>
                <w:sz w:val="16"/>
                <w:szCs w:val="16"/>
              </w:rPr>
              <w:t>Advisers are able to create their own withdrawal preferences an</w:t>
            </w:r>
            <w:r>
              <w:rPr>
                <w:color w:val="000000"/>
                <w:sz w:val="16"/>
                <w:szCs w:val="16"/>
              </w:rPr>
              <w:t xml:space="preserve">d actively choose and manage how specific funds are disinvested to pay for withdrawals. </w:t>
            </w:r>
          </w:p>
        </w:tc>
      </w:tr>
      <w:tr w:rsidR="00C04B10" w14:paraId="5CE314F1" w14:textId="77777777" w:rsidTr="00C04B10">
        <w:trPr>
          <w:tblCellSpacing w:w="0" w:type="dxa"/>
        </w:trPr>
        <w:tc>
          <w:tcPr>
            <w:tcW w:w="0" w:type="auto"/>
            <w:gridSpan w:val="2"/>
            <w:tcBorders>
              <w:top w:val="single" w:sz="2" w:space="0" w:color="000000"/>
            </w:tcBorders>
          </w:tcPr>
          <w:p w14:paraId="06B15A55" w14:textId="77777777" w:rsidR="00C04B10" w:rsidRDefault="001148AB">
            <w:pPr>
              <w:spacing w:after="0"/>
              <w:jc w:val="center"/>
            </w:pPr>
            <w:r>
              <w:rPr>
                <w:rFonts w:ascii="Calibri Light" w:eastAsia="Calibri Light" w:hAnsi="Calibri Light" w:cs="Calibri Light"/>
              </w:rPr>
              <w:t>Brochure Comparison 03/12/2025 11:34</w:t>
            </w:r>
          </w:p>
        </w:tc>
      </w:tr>
    </w:tbl>
    <w:p w14:paraId="0EA745E2" w14:textId="77777777" w:rsidR="00C04B10" w:rsidRDefault="001148AB">
      <w:pPr>
        <w:sectPr w:rsidR="00C04B10">
          <w:headerReference w:type="default" r:id="rId71"/>
          <w:footerReference w:type="default" r:id="rId72"/>
          <w:pgSz w:w="16839" w:h="11907" w:orient="landscape" w:code="9"/>
          <w:pgMar w:top="709" w:right="640" w:bottom="376" w:left="640" w:header="200" w:footer="200" w:gutter="0"/>
          <w:cols w:space="708"/>
          <w:docGrid w:linePitch="360"/>
        </w:sectPr>
      </w:pPr>
      <w:r>
        <w:t xml:space="preserve"> </w:t>
      </w:r>
    </w:p>
    <w:p w14:paraId="4230AAE5" w14:textId="77777777" w:rsidR="00C04B10" w:rsidRDefault="001148AB">
      <w:pPr>
        <w:pStyle w:val="DefaqtoHeading1"/>
      </w:pPr>
      <w:bookmarkStart w:id="45" w:name="_Toc36"/>
      <w:r>
        <w:lastRenderedPageBreak/>
        <w:t>Notes</w:t>
      </w:r>
      <w:bookmarkEnd w:id="45"/>
    </w:p>
    <w:p w14:paraId="6018EB15" w14:textId="77777777" w:rsidR="00C04B10" w:rsidRDefault="001148AB">
      <w:pPr>
        <w:pStyle w:val="DefaqtoBody"/>
      </w:pPr>
      <w:r>
        <w:rPr>
          <w:u w:color="000000"/>
        </w:rPr>
        <w:t>KEY: na = not applicable, ns = not stated, nd = not disclosed</w:t>
      </w:r>
    </w:p>
    <w:p w14:paraId="36FF60F1" w14:textId="77777777" w:rsidR="00C04B10" w:rsidRDefault="001148AB">
      <w:pPr>
        <w:pStyle w:val="DefaqtoBody"/>
      </w:pPr>
      <w:r>
        <w:rPr>
          <w:u w:color="000000"/>
        </w:rPr>
        <w:t xml:space="preserve">The Data Numerical Analysis (DNA) allows the analysis of data on both a quantitative and a qualitative basis, showing not only who does what, but more importantly, how well they do it. This is achieved by a system of benchmarking or ranking on a 1 to 5 basis called DNA. A score of 1 indicates a weak feature; a score of 5 indicates an excellent feature. </w:t>
      </w:r>
    </w:p>
    <w:sectPr w:rsidR="00C04B10">
      <w:headerReference w:type="default" r:id="rId73"/>
      <w:footerReference w:type="default" r:id="rId74"/>
      <w:pgSz w:w="11907" w:h="16839" w:code="9"/>
      <w:pgMar w:top="709" w:right="640" w:bottom="376" w:left="640" w:header="200" w:footer="20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973C0" w14:textId="77777777" w:rsidR="001148AB" w:rsidRDefault="001148AB">
      <w:pPr>
        <w:spacing w:after="0" w:line="240" w:lineRule="auto"/>
      </w:pPr>
      <w:r>
        <w:separator/>
      </w:r>
    </w:p>
  </w:endnote>
  <w:endnote w:type="continuationSeparator" w:id="0">
    <w:p w14:paraId="34F28F38" w14:textId="77777777" w:rsidR="001148AB" w:rsidRDefault="00114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oppins SemiBold">
    <w:altName w:val="Poppins SemiBold"/>
    <w:charset w:val="00"/>
    <w:family w:val="auto"/>
    <w:pitch w:val="variable"/>
    <w:sig w:usb0="00008007" w:usb1="00000000" w:usb2="00000000" w:usb3="00000000" w:csb0="00000093"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eXGyreAdventor">
    <w:altName w:val="Arial"/>
    <w:panose1 w:val="00000000000000000000"/>
    <w:charset w:val="00"/>
    <w:family w:val="modern"/>
    <w:notTrueType/>
    <w:pitch w:val="variable"/>
    <w:sig w:usb0="00000001" w:usb1="00000000"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Poppins Light">
    <w:altName w:val="Nirmala UI"/>
    <w:charset w:val="00"/>
    <w:family w:val="auto"/>
    <w:pitch w:val="variable"/>
    <w:sig w:usb0="00008007" w:usb1="00000000" w:usb2="00000000" w:usb3="00000000" w:csb0="00000093" w:csb1="00000000"/>
  </w:font>
  <w:font w:name="Lucida Sans">
    <w:panose1 w:val="020B06020305040202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02A039F2" w14:textId="77777777">
      <w:tc>
        <w:tcPr>
          <w:tcW w:w="5812" w:type="dxa"/>
        </w:tcPr>
        <w:p w14:paraId="674297A7"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125412452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00C0E1B9" w14:textId="77777777" w:rsidR="00C04B10" w:rsidRDefault="00C04B10">
          <w:pPr>
            <w:pStyle w:val="Header"/>
            <w:spacing w:before="120"/>
            <w:ind w:right="21"/>
            <w:jc w:val="right"/>
            <w:rPr>
              <w:rFonts w:ascii="Poppins" w:hAnsi="Poppins" w:cs="Poppins"/>
              <w:color w:val="392388"/>
            </w:rPr>
          </w:pPr>
        </w:p>
      </w:tc>
    </w:tr>
  </w:tbl>
  <w:p w14:paraId="57DBB42F" w14:textId="77777777" w:rsidR="00C04B10" w:rsidRDefault="00C04B10">
    <w:pPr>
      <w:pStyle w:val="Footer"/>
      <w:rPr>
        <w:rFonts w:ascii="Poppins" w:hAnsi="Poppins" w:cs="Poppins"/>
        <w:color w:val="39238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4E533" w14:textId="77777777" w:rsidR="00C04B10" w:rsidRDefault="001148AB">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5EB60AB8" w14:textId="77777777">
      <w:tc>
        <w:tcPr>
          <w:tcW w:w="5257" w:type="dxa"/>
        </w:tcPr>
        <w:p w14:paraId="7679719D" w14:textId="77777777" w:rsidR="00C04B10" w:rsidRDefault="001148AB">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w:t>
          </w:r>
          <w:proofErr w:type="spellStart"/>
          <w:r>
            <w:rPr>
              <w:rFonts w:ascii="Poppins" w:hAnsi="Poppins" w:cs="Poppins"/>
              <w:color w:val="392388"/>
              <w:sz w:val="16"/>
              <w:szCs w:val="16"/>
            </w:rPr>
            <w:t>Defaqto</w:t>
          </w:r>
          <w:proofErr w:type="spellEnd"/>
          <w:r>
            <w:rPr>
              <w:rFonts w:ascii="Poppins" w:hAnsi="Poppins" w:cs="Poppins"/>
              <w:color w:val="392388"/>
              <w:sz w:val="16"/>
              <w:szCs w:val="16"/>
            </w:rPr>
            <w:t xml:space="preserve"> Engage</w:t>
          </w:r>
          <w:r>
            <w:rPr>
              <w:rFonts w:ascii="Poppins" w:hAnsi="Poppins" w:cs="Poppins"/>
              <w:color w:val="392388"/>
              <w:sz w:val="16"/>
              <w:szCs w:val="16"/>
            </w:rPr>
            <w:br/>
            <w:t xml:space="preserve">Page </w:t>
          </w:r>
          <w:sdt>
            <w:sdtPr>
              <w:rPr>
                <w:rFonts w:ascii="Poppins" w:hAnsi="Poppins" w:cs="Poppins"/>
                <w:color w:val="392388"/>
                <w:sz w:val="16"/>
                <w:szCs w:val="16"/>
              </w:rPr>
              <w:id w:val="4991458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5257" w:type="dxa"/>
        </w:tcPr>
        <w:p w14:paraId="2C088A80" w14:textId="77777777" w:rsidR="00C04B10" w:rsidRDefault="001148AB">
          <w:pPr>
            <w:pStyle w:val="Header"/>
            <w:spacing w:before="120"/>
            <w:ind w:right="21"/>
            <w:jc w:val="right"/>
            <w:rPr>
              <w:rFonts w:ascii="Poppins" w:hAnsi="Poppins" w:cs="Poppins"/>
              <w:color w:val="392388"/>
            </w:rPr>
          </w:pPr>
          <w:r>
            <w:rPr>
              <w:rFonts w:ascii="Poppins" w:hAnsi="Poppins" w:cs="Poppins"/>
              <w:noProof/>
              <w:color w:val="392388"/>
              <w:lang w:eastAsia="en-GB"/>
            </w:rPr>
            <w:pict w14:anchorId="15B6C0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pt;height:19.8pt;visibility:visible">
                <v:imagedata r:id="rId1" o:title=""/>
              </v:shape>
            </w:pict>
          </w:r>
        </w:p>
      </w:tc>
    </w:tr>
  </w:tbl>
  <w:p w14:paraId="08C613DB" w14:textId="77777777" w:rsidR="00C04B10" w:rsidRDefault="00C04B10">
    <w:pPr>
      <w:rPr>
        <w:rFonts w:ascii="Poppins" w:hAnsi="Poppins" w:cs="Poppins"/>
        <w:color w:val="39238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349B71FE" w14:textId="77777777">
      <w:tc>
        <w:tcPr>
          <w:tcW w:w="5257" w:type="dxa"/>
        </w:tcPr>
        <w:p w14:paraId="58A8C107" w14:textId="77777777" w:rsidR="00C04B10" w:rsidRDefault="001148AB">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84621661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5257" w:type="dxa"/>
        </w:tcPr>
        <w:p w14:paraId="5D02198F" w14:textId="77777777" w:rsidR="00C04B10" w:rsidRDefault="001148AB">
          <w:pPr>
            <w:pStyle w:val="Header"/>
            <w:spacing w:before="120"/>
            <w:ind w:right="21"/>
            <w:jc w:val="right"/>
            <w:rPr>
              <w:rFonts w:ascii="Poppins" w:hAnsi="Poppins" w:cs="Poppins"/>
              <w:color w:val="392388"/>
            </w:rPr>
          </w:pPr>
          <w:r>
            <w:rPr>
              <w:rFonts w:ascii="Poppins" w:hAnsi="Poppins" w:cs="Poppins"/>
              <w:noProof/>
              <w:color w:val="392388"/>
              <w:lang w:eastAsia="en-GB"/>
            </w:rPr>
            <w:pict w14:anchorId="1EF2B9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96pt;height:19.8pt;visibility:visible">
                <v:imagedata r:id="rId1" o:title=""/>
              </v:shape>
            </w:pict>
          </w:r>
        </w:p>
      </w:tc>
    </w:tr>
  </w:tbl>
  <w:p w14:paraId="4A70FE75" w14:textId="77777777" w:rsidR="00C04B10" w:rsidRDefault="00C04B10">
    <w:pPr>
      <w:rPr>
        <w:rFonts w:ascii="Poppins" w:hAnsi="Poppins" w:cs="Poppins"/>
        <w:color w:val="39238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58F1996A" w14:textId="77777777">
      <w:tc>
        <w:tcPr>
          <w:tcW w:w="5257" w:type="dxa"/>
        </w:tcPr>
        <w:p w14:paraId="0DB00A69" w14:textId="77777777" w:rsidR="00C04B10" w:rsidRDefault="001148AB">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85294761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5257" w:type="dxa"/>
        </w:tcPr>
        <w:p w14:paraId="358C0D93" w14:textId="77777777" w:rsidR="00C04B10" w:rsidRDefault="001148AB">
          <w:pPr>
            <w:pStyle w:val="Header"/>
            <w:spacing w:before="120"/>
            <w:ind w:right="21"/>
            <w:jc w:val="right"/>
            <w:rPr>
              <w:rFonts w:ascii="Poppins" w:hAnsi="Poppins" w:cs="Poppins"/>
              <w:color w:val="392388"/>
            </w:rPr>
          </w:pPr>
          <w:r>
            <w:rPr>
              <w:rFonts w:ascii="Poppins" w:hAnsi="Poppins" w:cs="Poppins"/>
              <w:noProof/>
              <w:color w:val="392388"/>
              <w:lang w:eastAsia="en-GB"/>
            </w:rPr>
            <w:pict w14:anchorId="60C114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96pt;height:19.8pt;visibility:visible">
                <v:imagedata r:id="rId1" o:title=""/>
              </v:shape>
            </w:pict>
          </w:r>
        </w:p>
      </w:tc>
    </w:tr>
  </w:tbl>
  <w:p w14:paraId="47976F9E" w14:textId="77777777" w:rsidR="00C04B10" w:rsidRDefault="00C04B10">
    <w:pPr>
      <w:rPr>
        <w:rFonts w:ascii="Poppins" w:hAnsi="Poppins" w:cs="Poppins"/>
        <w:color w:val="39238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4DB135A4" w14:textId="77777777">
      <w:tc>
        <w:tcPr>
          <w:tcW w:w="5812" w:type="dxa"/>
        </w:tcPr>
        <w:p w14:paraId="690F3699"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13787712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w:t>
              </w:r>
              <w:r>
                <w:rPr>
                  <w:rFonts w:ascii="Poppins" w:hAnsi="Poppins" w:cs="Poppins"/>
                  <w:color w:val="392388"/>
                  <w:sz w:val="16"/>
                  <w:szCs w:val="16"/>
                </w:rPr>
                <w:fldChar w:fldCharType="end"/>
              </w:r>
            </w:sdtContent>
          </w:sdt>
        </w:p>
      </w:tc>
      <w:tc>
        <w:tcPr>
          <w:tcW w:w="4678" w:type="dxa"/>
        </w:tcPr>
        <w:p w14:paraId="07AE8857" w14:textId="77777777" w:rsidR="00C04B10" w:rsidRDefault="001148AB">
          <w:pPr>
            <w:pStyle w:val="Header"/>
            <w:spacing w:before="120"/>
            <w:ind w:right="21"/>
            <w:jc w:val="right"/>
            <w:rPr>
              <w:rFonts w:ascii="Poppins" w:hAnsi="Poppins" w:cs="Poppins"/>
              <w:color w:val="392388"/>
            </w:rPr>
          </w:pPr>
          <w:r>
            <w:rPr>
              <w:noProof/>
            </w:rPr>
            <w:drawing>
              <wp:inline distT="0" distB="0" distL="0" distR="0" wp14:anchorId="6A3CFE71" wp14:editId="40FA23DF">
                <wp:extent cx="914400" cy="19050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 cstate="print"/>
                        <a:stretch>
                          <a:fillRect/>
                        </a:stretch>
                      </pic:blipFill>
                      <pic:spPr>
                        <a:xfrm>
                          <a:off x="0" y="0"/>
                          <a:ext cx="914400" cy="190500"/>
                        </a:xfrm>
                        <a:prstGeom prst="rect">
                          <a:avLst/>
                        </a:prstGeom>
                      </pic:spPr>
                    </pic:pic>
                  </a:graphicData>
                </a:graphic>
              </wp:inline>
            </w:drawing>
          </w:r>
        </w:p>
      </w:tc>
    </w:tr>
  </w:tbl>
  <w:p w14:paraId="2263ABB9" w14:textId="77777777" w:rsidR="00C04B10" w:rsidRDefault="00C04B10">
    <w:pPr>
      <w:pStyle w:val="Footer"/>
      <w:rPr>
        <w:rFonts w:ascii="Poppins" w:hAnsi="Poppins" w:cs="Poppins"/>
        <w:color w:val="39238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F464" w14:textId="77777777" w:rsidR="00C04B10" w:rsidRDefault="001148AB">
    <w:pPr>
      <w:pStyle w:val="Footer"/>
      <w:rPr>
        <w:rFonts w:ascii="Poppins" w:hAnsi="Poppins" w:cs="Poppins"/>
        <w:color w:val="392388"/>
        <w:sz w:val="20"/>
        <w:szCs w:val="20"/>
      </w:rPr>
    </w:pPr>
    <w:r>
      <w:rPr>
        <w:rFonts w:ascii="Poppins" w:hAnsi="Poppins" w:cs="Poppins"/>
        <w:noProof/>
        <w:color w:val="392388"/>
        <w:sz w:val="20"/>
        <w:szCs w:val="20"/>
      </w:rPr>
      <w:t>This report was prepared with data sourced from Defaqto Engage. Whilst every attempt has been made to ensure the accuracy of the data used in this report, items can change and we advise that you check the issues most important to you if you proceed with the purchase of the selected contract.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2FF2E072" w14:textId="77777777">
      <w:tc>
        <w:tcPr>
          <w:tcW w:w="5812" w:type="dxa"/>
        </w:tcPr>
        <w:p w14:paraId="319820A6"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13108449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w:t>
              </w:r>
              <w:r>
                <w:rPr>
                  <w:rFonts w:ascii="Poppins" w:hAnsi="Poppins" w:cs="Poppins"/>
                  <w:color w:val="392388"/>
                  <w:sz w:val="16"/>
                  <w:szCs w:val="16"/>
                </w:rPr>
                <w:fldChar w:fldCharType="end"/>
              </w:r>
            </w:sdtContent>
          </w:sdt>
        </w:p>
      </w:tc>
      <w:tc>
        <w:tcPr>
          <w:tcW w:w="4678" w:type="dxa"/>
        </w:tcPr>
        <w:p w14:paraId="3429501B" w14:textId="77777777" w:rsidR="00C04B10" w:rsidRDefault="00C04B10">
          <w:pPr>
            <w:pStyle w:val="Header"/>
            <w:spacing w:before="120"/>
            <w:ind w:right="21"/>
            <w:jc w:val="right"/>
            <w:rPr>
              <w:rFonts w:ascii="Poppins" w:hAnsi="Poppins" w:cs="Poppins"/>
              <w:color w:val="392388"/>
            </w:rPr>
          </w:pPr>
        </w:p>
      </w:tc>
    </w:tr>
  </w:tbl>
  <w:p w14:paraId="13993794" w14:textId="77777777" w:rsidR="00C04B10" w:rsidRDefault="00C04B10">
    <w:pPr>
      <w:pStyle w:val="Footer"/>
      <w:rPr>
        <w:rFonts w:ascii="Poppins" w:hAnsi="Poppins" w:cs="Poppins"/>
        <w:color w:val="39238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2DC02068" w14:textId="77777777">
      <w:tc>
        <w:tcPr>
          <w:tcW w:w="5812" w:type="dxa"/>
        </w:tcPr>
        <w:p w14:paraId="07B7E3A4"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57704641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5</w:t>
              </w:r>
              <w:r>
                <w:rPr>
                  <w:rFonts w:ascii="Poppins" w:hAnsi="Poppins" w:cs="Poppins"/>
                  <w:color w:val="392388"/>
                  <w:sz w:val="16"/>
                  <w:szCs w:val="16"/>
                </w:rPr>
                <w:fldChar w:fldCharType="end"/>
              </w:r>
            </w:sdtContent>
          </w:sdt>
        </w:p>
      </w:tc>
      <w:tc>
        <w:tcPr>
          <w:tcW w:w="4678" w:type="dxa"/>
        </w:tcPr>
        <w:p w14:paraId="34A4B4FD" w14:textId="77777777" w:rsidR="00C04B10" w:rsidRDefault="00C04B10">
          <w:pPr>
            <w:pStyle w:val="Header"/>
            <w:spacing w:before="120"/>
            <w:ind w:right="21"/>
            <w:jc w:val="right"/>
            <w:rPr>
              <w:rFonts w:ascii="Poppins" w:hAnsi="Poppins" w:cs="Poppins"/>
              <w:color w:val="392388"/>
            </w:rPr>
          </w:pPr>
        </w:p>
      </w:tc>
    </w:tr>
  </w:tbl>
  <w:p w14:paraId="3EA80F19" w14:textId="77777777" w:rsidR="00C04B10" w:rsidRDefault="00C04B10">
    <w:pPr>
      <w:pStyle w:val="Footer"/>
      <w:rPr>
        <w:rFonts w:ascii="Poppins" w:hAnsi="Poppins" w:cs="Poppins"/>
        <w:color w:val="39238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139DCBFD" w14:textId="77777777">
      <w:tc>
        <w:tcPr>
          <w:tcW w:w="5812" w:type="dxa"/>
        </w:tcPr>
        <w:p w14:paraId="4CB15ADC"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49695278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7</w:t>
              </w:r>
              <w:r>
                <w:rPr>
                  <w:rFonts w:ascii="Poppins" w:hAnsi="Poppins" w:cs="Poppins"/>
                  <w:color w:val="392388"/>
                  <w:sz w:val="16"/>
                  <w:szCs w:val="16"/>
                </w:rPr>
                <w:fldChar w:fldCharType="end"/>
              </w:r>
            </w:sdtContent>
          </w:sdt>
        </w:p>
      </w:tc>
      <w:tc>
        <w:tcPr>
          <w:tcW w:w="4678" w:type="dxa"/>
        </w:tcPr>
        <w:p w14:paraId="4AF77DB1" w14:textId="77777777" w:rsidR="00C04B10" w:rsidRDefault="00C04B10">
          <w:pPr>
            <w:pStyle w:val="Header"/>
            <w:spacing w:before="120"/>
            <w:ind w:right="21"/>
            <w:jc w:val="right"/>
            <w:rPr>
              <w:rFonts w:ascii="Poppins" w:hAnsi="Poppins" w:cs="Poppins"/>
              <w:color w:val="392388"/>
            </w:rPr>
          </w:pPr>
        </w:p>
      </w:tc>
    </w:tr>
  </w:tbl>
  <w:p w14:paraId="27A776D6" w14:textId="77777777" w:rsidR="00C04B10" w:rsidRDefault="00C04B10">
    <w:pPr>
      <w:pStyle w:val="Footer"/>
      <w:rPr>
        <w:rFonts w:ascii="Poppins" w:hAnsi="Poppins" w:cs="Poppins"/>
        <w:color w:val="39238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0F8DDE55" w14:textId="77777777">
      <w:tc>
        <w:tcPr>
          <w:tcW w:w="5257" w:type="dxa"/>
        </w:tcPr>
        <w:p w14:paraId="7FCB89D9" w14:textId="77777777" w:rsidR="00C04B10" w:rsidRDefault="001148AB">
          <w:pPr>
            <w:pStyle w:val="Footer"/>
            <w:spacing w:before="120"/>
            <w:rPr>
              <w:rFonts w:ascii="Poppins" w:hAnsi="Poppins" w:cs="Poppins"/>
              <w:color w:val="392388"/>
              <w:sz w:val="16"/>
              <w:szCs w:val="16"/>
            </w:rPr>
          </w:pPr>
          <w:r>
            <w:rPr>
              <w:rFonts w:ascii="Poppins" w:hAnsi="Poppins" w:cs="Poppins"/>
              <w:color w:val="392388"/>
              <w:sz w:val="16"/>
              <w:szCs w:val="16"/>
            </w:rPr>
            <w:t xml:space="preserve">Research report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913784206"/>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8</w:t>
              </w:r>
              <w:r>
                <w:rPr>
                  <w:rFonts w:ascii="Poppins" w:hAnsi="Poppins" w:cs="Poppins"/>
                  <w:color w:val="392388"/>
                  <w:sz w:val="16"/>
                  <w:szCs w:val="16"/>
                </w:rPr>
                <w:fldChar w:fldCharType="end"/>
              </w:r>
            </w:sdtContent>
          </w:sdt>
        </w:p>
      </w:tc>
      <w:tc>
        <w:tcPr>
          <w:tcW w:w="5257" w:type="dxa"/>
        </w:tcPr>
        <w:p w14:paraId="3E745280" w14:textId="77777777" w:rsidR="00C04B10" w:rsidRDefault="001148AB">
          <w:pPr>
            <w:pStyle w:val="Header"/>
            <w:spacing w:before="120"/>
            <w:ind w:right="21"/>
            <w:jc w:val="right"/>
            <w:rPr>
              <w:rFonts w:ascii="Poppins" w:hAnsi="Poppins" w:cs="Poppins"/>
              <w:color w:val="392388"/>
            </w:rPr>
          </w:pPr>
          <w:r>
            <w:rPr>
              <w:rFonts w:ascii="Poppins" w:hAnsi="Poppins" w:cs="Poppins"/>
              <w:noProof/>
              <w:color w:val="392388"/>
            </w:rPr>
            <w:pict w14:anchorId="573EEE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96pt;height:19.8pt;visibility:visible">
                <v:imagedata r:id="rId1" o:title=""/>
              </v:shape>
            </w:pict>
          </w:r>
        </w:p>
      </w:tc>
    </w:tr>
  </w:tbl>
  <w:p w14:paraId="50971096" w14:textId="77777777" w:rsidR="00C04B10" w:rsidRDefault="00C04B10">
    <w:pPr>
      <w:pStyle w:val="Footer"/>
      <w:rPr>
        <w:rFonts w:ascii="Poppins" w:hAnsi="Poppins" w:cs="Poppins"/>
        <w:color w:val="39238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570DC521" w14:textId="77777777">
      <w:tc>
        <w:tcPr>
          <w:tcW w:w="5257" w:type="dxa"/>
        </w:tcPr>
        <w:p w14:paraId="382B64A7"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896674494"/>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9</w:t>
              </w:r>
              <w:r>
                <w:rPr>
                  <w:rFonts w:ascii="Poppins" w:hAnsi="Poppins" w:cs="Poppins"/>
                  <w:sz w:val="16"/>
                  <w:szCs w:val="16"/>
                </w:rPr>
                <w:fldChar w:fldCharType="end"/>
              </w:r>
            </w:sdtContent>
          </w:sdt>
        </w:p>
      </w:tc>
      <w:tc>
        <w:tcPr>
          <w:tcW w:w="5257" w:type="dxa"/>
        </w:tcPr>
        <w:p w14:paraId="73C13B53"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2448634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96pt;height:19.8pt;visibility:visible">
                <v:imagedata r:id="rId1" o:title=""/>
              </v:shape>
            </w:pict>
          </w:r>
        </w:p>
      </w:tc>
    </w:tr>
  </w:tbl>
  <w:p w14:paraId="46506512" w14:textId="77777777" w:rsidR="00C04B10" w:rsidRDefault="00C04B10">
    <w:pPr>
      <w:pStyle w:val="Footer"/>
      <w:rPr>
        <w:rFonts w:ascii="Poppins" w:hAnsi="Poppins" w:cs="Poppins"/>
        <w:color w:val="39238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6226E9F0" w14:textId="77777777">
      <w:tc>
        <w:tcPr>
          <w:tcW w:w="5257" w:type="dxa"/>
        </w:tcPr>
        <w:p w14:paraId="1AE5EE5E"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802786296"/>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11</w:t>
              </w:r>
              <w:r>
                <w:rPr>
                  <w:rFonts w:ascii="Poppins" w:hAnsi="Poppins" w:cs="Poppins"/>
                  <w:sz w:val="16"/>
                  <w:szCs w:val="16"/>
                </w:rPr>
                <w:fldChar w:fldCharType="end"/>
              </w:r>
            </w:sdtContent>
          </w:sdt>
        </w:p>
      </w:tc>
      <w:tc>
        <w:tcPr>
          <w:tcW w:w="5257" w:type="dxa"/>
        </w:tcPr>
        <w:p w14:paraId="01F654FC"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08155E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96pt;height:19.8pt;visibility:visible">
                <v:imagedata r:id="rId1" o:title=""/>
              </v:shape>
            </w:pict>
          </w:r>
        </w:p>
      </w:tc>
    </w:tr>
  </w:tbl>
  <w:p w14:paraId="09E98458" w14:textId="77777777" w:rsidR="00C04B10" w:rsidRDefault="00C04B10">
    <w:pPr>
      <w:pStyle w:val="Footer"/>
      <w:rPr>
        <w:rFonts w:ascii="Poppins" w:hAnsi="Poppins" w:cs="Poppins"/>
        <w:color w:val="39238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3CD2ACA4" w14:textId="77777777">
      <w:tc>
        <w:tcPr>
          <w:tcW w:w="5257" w:type="dxa"/>
        </w:tcPr>
        <w:p w14:paraId="794F5949"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1609691166"/>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12</w:t>
              </w:r>
              <w:r>
                <w:rPr>
                  <w:rFonts w:ascii="Poppins" w:hAnsi="Poppins" w:cs="Poppins"/>
                  <w:sz w:val="16"/>
                  <w:szCs w:val="16"/>
                </w:rPr>
                <w:fldChar w:fldCharType="end"/>
              </w:r>
            </w:sdtContent>
          </w:sdt>
        </w:p>
      </w:tc>
      <w:tc>
        <w:tcPr>
          <w:tcW w:w="5257" w:type="dxa"/>
        </w:tcPr>
        <w:p w14:paraId="74214EA3"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36E3C2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style="width:96pt;height:19.8pt;visibility:visible">
                <v:imagedata r:id="rId1" o:title=""/>
              </v:shape>
            </w:pict>
          </w:r>
        </w:p>
      </w:tc>
    </w:tr>
  </w:tbl>
  <w:p w14:paraId="7935D8EE" w14:textId="77777777" w:rsidR="00C04B10" w:rsidRDefault="00C04B10">
    <w:pPr>
      <w:pStyle w:val="Footer"/>
      <w:rPr>
        <w:rFonts w:ascii="Poppins" w:hAnsi="Poppins" w:cs="Poppins"/>
        <w:color w:val="39238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1FC15074" w14:textId="77777777">
      <w:tc>
        <w:tcPr>
          <w:tcW w:w="5257" w:type="dxa"/>
        </w:tcPr>
        <w:p w14:paraId="5B75AAA7"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928583419"/>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13</w:t>
              </w:r>
              <w:r>
                <w:rPr>
                  <w:rFonts w:ascii="Poppins" w:hAnsi="Poppins" w:cs="Poppins"/>
                  <w:sz w:val="16"/>
                  <w:szCs w:val="16"/>
                </w:rPr>
                <w:fldChar w:fldCharType="end"/>
              </w:r>
            </w:sdtContent>
          </w:sdt>
        </w:p>
      </w:tc>
      <w:tc>
        <w:tcPr>
          <w:tcW w:w="5257" w:type="dxa"/>
        </w:tcPr>
        <w:p w14:paraId="4C20C20D"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5A9C5B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96pt;height:19.8pt;visibility:visible">
                <v:imagedata r:id="rId1" o:title=""/>
              </v:shape>
            </w:pict>
          </w:r>
        </w:p>
      </w:tc>
    </w:tr>
  </w:tbl>
  <w:p w14:paraId="563842EA" w14:textId="77777777" w:rsidR="00C04B10" w:rsidRDefault="00C04B10">
    <w:pPr>
      <w:pStyle w:val="Footer"/>
      <w:rPr>
        <w:rFonts w:ascii="Poppins" w:hAnsi="Poppins" w:cs="Poppins"/>
        <w:color w:val="39238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25A69112" w14:textId="77777777">
      <w:tc>
        <w:tcPr>
          <w:tcW w:w="5257" w:type="dxa"/>
        </w:tcPr>
        <w:p w14:paraId="0DB687F9"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838690766"/>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14</w:t>
              </w:r>
              <w:r>
                <w:rPr>
                  <w:rFonts w:ascii="Poppins" w:hAnsi="Poppins" w:cs="Poppins"/>
                  <w:sz w:val="16"/>
                  <w:szCs w:val="16"/>
                </w:rPr>
                <w:fldChar w:fldCharType="end"/>
              </w:r>
            </w:sdtContent>
          </w:sdt>
        </w:p>
      </w:tc>
      <w:tc>
        <w:tcPr>
          <w:tcW w:w="5257" w:type="dxa"/>
        </w:tcPr>
        <w:p w14:paraId="2E8B00B3"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3B7DE7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style="width:96pt;height:19.8pt;visibility:visible">
                <v:imagedata r:id="rId1" o:title=""/>
              </v:shape>
            </w:pict>
          </w:r>
        </w:p>
      </w:tc>
    </w:tr>
  </w:tbl>
  <w:p w14:paraId="0218224E" w14:textId="77777777" w:rsidR="00C04B10" w:rsidRDefault="00C04B10">
    <w:pPr>
      <w:pStyle w:val="Footer"/>
      <w:rPr>
        <w:rFonts w:ascii="Poppins" w:hAnsi="Poppins" w:cs="Poppins"/>
        <w:color w:val="39238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09C17166" w14:textId="77777777">
      <w:tc>
        <w:tcPr>
          <w:tcW w:w="5257" w:type="dxa"/>
        </w:tcPr>
        <w:p w14:paraId="13C0888A"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1650938318"/>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15</w:t>
              </w:r>
              <w:r>
                <w:rPr>
                  <w:rFonts w:ascii="Poppins" w:hAnsi="Poppins" w:cs="Poppins"/>
                  <w:sz w:val="16"/>
                  <w:szCs w:val="16"/>
                </w:rPr>
                <w:fldChar w:fldCharType="end"/>
              </w:r>
            </w:sdtContent>
          </w:sdt>
        </w:p>
      </w:tc>
      <w:tc>
        <w:tcPr>
          <w:tcW w:w="5257" w:type="dxa"/>
        </w:tcPr>
        <w:p w14:paraId="5C42CD0E"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6830E4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96pt;height:19.8pt;visibility:visible">
                <v:imagedata r:id="rId1" o:title=""/>
              </v:shape>
            </w:pict>
          </w:r>
        </w:p>
      </w:tc>
    </w:tr>
  </w:tbl>
  <w:p w14:paraId="5D280B54" w14:textId="77777777" w:rsidR="00C04B10" w:rsidRDefault="00C04B10">
    <w:pPr>
      <w:pStyle w:val="Footer"/>
      <w:rPr>
        <w:rFonts w:ascii="Poppins" w:hAnsi="Poppins" w:cs="Poppins"/>
        <w:color w:val="39238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2A175A1B" w14:textId="77777777">
      <w:tc>
        <w:tcPr>
          <w:tcW w:w="5257" w:type="dxa"/>
        </w:tcPr>
        <w:p w14:paraId="1DEDFF96"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1948227149"/>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17</w:t>
              </w:r>
              <w:r>
                <w:rPr>
                  <w:rFonts w:ascii="Poppins" w:hAnsi="Poppins" w:cs="Poppins"/>
                  <w:sz w:val="16"/>
                  <w:szCs w:val="16"/>
                </w:rPr>
                <w:fldChar w:fldCharType="end"/>
              </w:r>
            </w:sdtContent>
          </w:sdt>
        </w:p>
      </w:tc>
      <w:tc>
        <w:tcPr>
          <w:tcW w:w="5257" w:type="dxa"/>
        </w:tcPr>
        <w:p w14:paraId="4E72EDBD"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36BDD9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96pt;height:19.8pt;visibility:visible">
                <v:imagedata r:id="rId1" o:title=""/>
              </v:shape>
            </w:pict>
          </w:r>
        </w:p>
      </w:tc>
    </w:tr>
  </w:tbl>
  <w:p w14:paraId="5CE88D9B" w14:textId="77777777" w:rsidR="00C04B10" w:rsidRDefault="00C04B10">
    <w:pPr>
      <w:pStyle w:val="Footer"/>
      <w:rPr>
        <w:rFonts w:ascii="Poppins" w:hAnsi="Poppins" w:cs="Poppins"/>
        <w:color w:val="39238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57"/>
      <w:gridCol w:w="5257"/>
    </w:tblGrid>
    <w:tr w:rsidR="00C04B10" w14:paraId="5E2222C2" w14:textId="77777777">
      <w:tc>
        <w:tcPr>
          <w:tcW w:w="5257" w:type="dxa"/>
        </w:tcPr>
        <w:p w14:paraId="6ECB2BC6" w14:textId="77777777" w:rsidR="00C04B10" w:rsidRDefault="001148AB">
          <w:pPr>
            <w:pStyle w:val="DefaqtoHeading4"/>
            <w:spacing w:before="120"/>
            <w:rPr>
              <w:rFonts w:ascii="Poppins" w:hAnsi="Poppins" w:cs="Poppins"/>
              <w:sz w:val="16"/>
              <w:szCs w:val="16"/>
            </w:rPr>
          </w:pPr>
          <w:r>
            <w:rPr>
              <w:rFonts w:ascii="Poppins" w:hAnsi="Poppins" w:cs="Poppins"/>
              <w:sz w:val="16"/>
              <w:szCs w:val="16"/>
            </w:rPr>
            <w:t xml:space="preserve">Research report prepared by </w:t>
          </w:r>
          <w:r>
            <w:rPr>
              <w:rFonts w:ascii="Poppins" w:hAnsi="Poppins" w:cs="Poppins"/>
              <w:sz w:val="16"/>
              <w:szCs w:val="16"/>
            </w:rPr>
            <w:t>Thomas Redmond</w:t>
          </w:r>
          <w:r>
            <w:rPr>
              <w:rFonts w:ascii="Poppins" w:hAnsi="Poppins" w:cs="Poppins"/>
              <w:sz w:val="16"/>
              <w:szCs w:val="16"/>
            </w:rPr>
            <w:t xml:space="preserve"> using Defaqto Engage</w:t>
          </w:r>
          <w:r>
            <w:rPr>
              <w:rFonts w:ascii="Poppins" w:hAnsi="Poppins" w:cs="Poppins"/>
              <w:sz w:val="16"/>
              <w:szCs w:val="16"/>
            </w:rPr>
            <w:br/>
            <w:t xml:space="preserve">Page </w:t>
          </w:r>
          <w:sdt>
            <w:sdtPr>
              <w:rPr>
                <w:rFonts w:ascii="Poppins" w:hAnsi="Poppins" w:cs="Poppins"/>
                <w:sz w:val="16"/>
                <w:szCs w:val="16"/>
              </w:rPr>
              <w:id w:val="47037135"/>
              <w:docPartObj>
                <w:docPartGallery w:val="Page Numbers (Bottom of Page)"/>
                <w:docPartUnique/>
              </w:docPartObj>
            </w:sdtPr>
            <w:sdtEndPr/>
            <w:sdtContent>
              <w:r>
                <w:rPr>
                  <w:rFonts w:ascii="Poppins" w:hAnsi="Poppins" w:cs="Poppins"/>
                  <w:sz w:val="16"/>
                  <w:szCs w:val="16"/>
                </w:rPr>
                <w:fldChar w:fldCharType="begin"/>
              </w:r>
              <w:r>
                <w:rPr>
                  <w:rFonts w:ascii="Poppins" w:hAnsi="Poppins" w:cs="Poppins"/>
                  <w:sz w:val="16"/>
                  <w:szCs w:val="16"/>
                </w:rPr>
                <w:instrText xml:space="preserve">PAGE </w:instrText>
              </w:r>
              <w:r>
                <w:rPr>
                  <w:rFonts w:ascii="Poppins" w:hAnsi="Poppins" w:cs="Poppins"/>
                  <w:sz w:val="16"/>
                  <w:szCs w:val="16"/>
                </w:rPr>
                <w:instrText xml:space="preserve">\* MERGEFORMAT </w:instrText>
              </w:r>
              <w:r>
                <w:rPr>
                  <w:rFonts w:ascii="Poppins" w:hAnsi="Poppins" w:cs="Poppins"/>
                  <w:sz w:val="16"/>
                  <w:szCs w:val="16"/>
                </w:rPr>
                <w:fldChar w:fldCharType="separate"/>
              </w:r>
              <w:r>
                <w:rPr>
                  <w:rFonts w:ascii="Poppins" w:hAnsi="Poppins" w:cs="Poppins"/>
                  <w:sz w:val="16"/>
                  <w:szCs w:val="16"/>
                </w:rPr>
                <w:t>18</w:t>
              </w:r>
              <w:r>
                <w:rPr>
                  <w:rFonts w:ascii="Poppins" w:hAnsi="Poppins" w:cs="Poppins"/>
                  <w:sz w:val="16"/>
                  <w:szCs w:val="16"/>
                </w:rPr>
                <w:fldChar w:fldCharType="end"/>
              </w:r>
            </w:sdtContent>
          </w:sdt>
        </w:p>
      </w:tc>
      <w:tc>
        <w:tcPr>
          <w:tcW w:w="5257" w:type="dxa"/>
        </w:tcPr>
        <w:p w14:paraId="035B3C3A" w14:textId="77777777" w:rsidR="00C04B10" w:rsidRDefault="001148AB">
          <w:pPr>
            <w:pStyle w:val="DefaqtoHeading4"/>
            <w:spacing w:before="120"/>
            <w:ind w:right="21"/>
            <w:jc w:val="right"/>
            <w:rPr>
              <w:rFonts w:ascii="Poppins" w:hAnsi="Poppins" w:cs="Poppins"/>
            </w:rPr>
          </w:pPr>
          <w:r>
            <w:rPr>
              <w:rFonts w:ascii="Poppins" w:hAnsi="Poppins" w:cs="Poppins"/>
              <w:noProof/>
            </w:rPr>
            <w:pict w14:anchorId="2C429F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7" type="#_x0000_t75" style="width:96pt;height:19.8pt;visibility:visible">
                <v:imagedata r:id="rId1" o:title=""/>
              </v:shape>
            </w:pict>
          </w:r>
        </w:p>
      </w:tc>
    </w:tr>
  </w:tbl>
  <w:p w14:paraId="5E9C5453" w14:textId="77777777" w:rsidR="00C04B10" w:rsidRDefault="00C04B10">
    <w:pPr>
      <w:pStyle w:val="Footer"/>
      <w:rPr>
        <w:rFonts w:ascii="Poppins" w:hAnsi="Poppins" w:cs="Poppins"/>
        <w:color w:val="39238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28F5159B" w14:textId="77777777">
      <w:tc>
        <w:tcPr>
          <w:tcW w:w="5812" w:type="dxa"/>
        </w:tcPr>
        <w:p w14:paraId="766D69A5"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24648816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19</w:t>
              </w:r>
              <w:r>
                <w:rPr>
                  <w:rFonts w:ascii="Poppins" w:hAnsi="Poppins" w:cs="Poppins"/>
                  <w:color w:val="392388"/>
                  <w:sz w:val="16"/>
                  <w:szCs w:val="16"/>
                </w:rPr>
                <w:fldChar w:fldCharType="end"/>
              </w:r>
            </w:sdtContent>
          </w:sdt>
        </w:p>
      </w:tc>
      <w:tc>
        <w:tcPr>
          <w:tcW w:w="4678" w:type="dxa"/>
        </w:tcPr>
        <w:p w14:paraId="5E7AD2C7" w14:textId="77777777" w:rsidR="00C04B10" w:rsidRDefault="00C04B10">
          <w:pPr>
            <w:pStyle w:val="Header"/>
            <w:spacing w:before="120"/>
            <w:ind w:right="21"/>
            <w:jc w:val="right"/>
            <w:rPr>
              <w:rFonts w:ascii="Poppins" w:hAnsi="Poppins" w:cs="Poppins"/>
              <w:color w:val="392388"/>
            </w:rPr>
          </w:pPr>
        </w:p>
      </w:tc>
    </w:tr>
  </w:tbl>
  <w:p w14:paraId="5D4A91B4" w14:textId="77777777" w:rsidR="00C04B10" w:rsidRDefault="00C04B10">
    <w:pPr>
      <w:pStyle w:val="Footer"/>
      <w:rPr>
        <w:rFonts w:ascii="Poppins" w:hAnsi="Poppins" w:cs="Poppins"/>
        <w:color w:val="39238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080142E6" w14:textId="77777777">
      <w:tc>
        <w:tcPr>
          <w:tcW w:w="5812" w:type="dxa"/>
        </w:tcPr>
        <w:p w14:paraId="196FF271"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55212341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20</w:t>
              </w:r>
              <w:r>
                <w:rPr>
                  <w:rFonts w:ascii="Poppins" w:hAnsi="Poppins" w:cs="Poppins"/>
                  <w:color w:val="392388"/>
                  <w:sz w:val="16"/>
                  <w:szCs w:val="16"/>
                </w:rPr>
                <w:fldChar w:fldCharType="end"/>
              </w:r>
            </w:sdtContent>
          </w:sdt>
        </w:p>
      </w:tc>
      <w:tc>
        <w:tcPr>
          <w:tcW w:w="4678" w:type="dxa"/>
        </w:tcPr>
        <w:p w14:paraId="76B48FE5" w14:textId="77777777" w:rsidR="00C04B10" w:rsidRDefault="00C04B10">
          <w:pPr>
            <w:pStyle w:val="Header"/>
            <w:spacing w:before="120"/>
            <w:ind w:right="21"/>
            <w:jc w:val="right"/>
            <w:rPr>
              <w:rFonts w:ascii="Poppins" w:hAnsi="Poppins" w:cs="Poppins"/>
              <w:color w:val="392388"/>
            </w:rPr>
          </w:pPr>
        </w:p>
      </w:tc>
    </w:tr>
  </w:tbl>
  <w:p w14:paraId="33702B07" w14:textId="77777777" w:rsidR="00C04B10" w:rsidRDefault="00C04B10">
    <w:pPr>
      <w:pStyle w:val="Footer"/>
      <w:rPr>
        <w:rFonts w:ascii="Poppins" w:hAnsi="Poppins" w:cs="Poppins"/>
        <w:color w:val="392388"/>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75179047" w14:textId="77777777">
      <w:tc>
        <w:tcPr>
          <w:tcW w:w="5812" w:type="dxa"/>
        </w:tcPr>
        <w:p w14:paraId="190B6FD2"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905752633"/>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21</w:t>
              </w:r>
              <w:r>
                <w:rPr>
                  <w:rFonts w:ascii="Poppins" w:hAnsi="Poppins" w:cs="Poppins"/>
                  <w:color w:val="392388"/>
                  <w:sz w:val="16"/>
                  <w:szCs w:val="16"/>
                </w:rPr>
                <w:fldChar w:fldCharType="end"/>
              </w:r>
            </w:sdtContent>
          </w:sdt>
        </w:p>
      </w:tc>
      <w:tc>
        <w:tcPr>
          <w:tcW w:w="4678" w:type="dxa"/>
        </w:tcPr>
        <w:p w14:paraId="66CD8296" w14:textId="77777777" w:rsidR="00C04B10" w:rsidRDefault="00C04B10">
          <w:pPr>
            <w:pStyle w:val="Header"/>
            <w:spacing w:before="120"/>
            <w:ind w:right="21"/>
            <w:jc w:val="right"/>
            <w:rPr>
              <w:rFonts w:ascii="Poppins" w:hAnsi="Poppins" w:cs="Poppins"/>
              <w:color w:val="392388"/>
            </w:rPr>
          </w:pPr>
        </w:p>
      </w:tc>
    </w:tr>
  </w:tbl>
  <w:p w14:paraId="2406E131" w14:textId="77777777" w:rsidR="00C04B10" w:rsidRDefault="00C04B10">
    <w:pPr>
      <w:pStyle w:val="Footer"/>
      <w:rPr>
        <w:rFonts w:ascii="Poppins" w:hAnsi="Poppins" w:cs="Poppins"/>
        <w:color w:val="39238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31EF56C7" w14:textId="77777777">
      <w:tc>
        <w:tcPr>
          <w:tcW w:w="5812" w:type="dxa"/>
        </w:tcPr>
        <w:p w14:paraId="6D09828F"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208502346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22</w:t>
              </w:r>
              <w:r>
                <w:rPr>
                  <w:rFonts w:ascii="Poppins" w:hAnsi="Poppins" w:cs="Poppins"/>
                  <w:color w:val="392388"/>
                  <w:sz w:val="16"/>
                  <w:szCs w:val="16"/>
                </w:rPr>
                <w:fldChar w:fldCharType="end"/>
              </w:r>
            </w:sdtContent>
          </w:sdt>
        </w:p>
      </w:tc>
      <w:tc>
        <w:tcPr>
          <w:tcW w:w="4678" w:type="dxa"/>
        </w:tcPr>
        <w:p w14:paraId="20E2A562" w14:textId="77777777" w:rsidR="00C04B10" w:rsidRDefault="00C04B10">
          <w:pPr>
            <w:pStyle w:val="Header"/>
            <w:spacing w:before="120"/>
            <w:ind w:right="21"/>
            <w:jc w:val="right"/>
            <w:rPr>
              <w:rFonts w:ascii="Poppins" w:hAnsi="Poppins" w:cs="Poppins"/>
              <w:color w:val="392388"/>
            </w:rPr>
          </w:pPr>
        </w:p>
      </w:tc>
    </w:tr>
  </w:tbl>
  <w:p w14:paraId="45E0D048" w14:textId="77777777" w:rsidR="00C04B10" w:rsidRDefault="00C04B10">
    <w:pPr>
      <w:pStyle w:val="Footer"/>
      <w:rPr>
        <w:rFonts w:ascii="Poppins" w:hAnsi="Poppins" w:cs="Poppins"/>
        <w:color w:val="392388"/>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5BD02600" w14:textId="77777777">
      <w:tc>
        <w:tcPr>
          <w:tcW w:w="5812" w:type="dxa"/>
        </w:tcPr>
        <w:p w14:paraId="6DD463A1"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603541934"/>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w:instrText>
              </w:r>
              <w:r>
                <w:rPr>
                  <w:rFonts w:ascii="Poppins" w:hAnsi="Poppins" w:cs="Poppins"/>
                  <w:color w:val="392388"/>
                  <w:sz w:val="16"/>
                  <w:szCs w:val="16"/>
                </w:rPr>
                <w:instrText xml:space="preserve">\* MERGEFORMAT </w:instrText>
              </w:r>
              <w:r>
                <w:rPr>
                  <w:rFonts w:ascii="Poppins" w:hAnsi="Poppins" w:cs="Poppins"/>
                  <w:color w:val="392388"/>
                  <w:sz w:val="16"/>
                  <w:szCs w:val="16"/>
                </w:rPr>
                <w:fldChar w:fldCharType="separate"/>
              </w:r>
              <w:r>
                <w:rPr>
                  <w:rFonts w:ascii="Poppins" w:hAnsi="Poppins" w:cs="Poppins"/>
                  <w:color w:val="392388"/>
                  <w:sz w:val="16"/>
                  <w:szCs w:val="16"/>
                </w:rPr>
                <w:t>24</w:t>
              </w:r>
              <w:r>
                <w:rPr>
                  <w:rFonts w:ascii="Poppins" w:hAnsi="Poppins" w:cs="Poppins"/>
                  <w:color w:val="392388"/>
                  <w:sz w:val="16"/>
                  <w:szCs w:val="16"/>
                </w:rPr>
                <w:fldChar w:fldCharType="end"/>
              </w:r>
            </w:sdtContent>
          </w:sdt>
        </w:p>
      </w:tc>
      <w:tc>
        <w:tcPr>
          <w:tcW w:w="4678" w:type="dxa"/>
        </w:tcPr>
        <w:p w14:paraId="07FEFA2C" w14:textId="77777777" w:rsidR="00C04B10" w:rsidRDefault="00C04B10">
          <w:pPr>
            <w:pStyle w:val="Header"/>
            <w:spacing w:before="120"/>
            <w:ind w:right="21"/>
            <w:jc w:val="right"/>
            <w:rPr>
              <w:rFonts w:ascii="Poppins" w:hAnsi="Poppins" w:cs="Poppins"/>
              <w:color w:val="392388"/>
            </w:rPr>
          </w:pPr>
        </w:p>
      </w:tc>
    </w:tr>
  </w:tbl>
  <w:p w14:paraId="5B4EBACB" w14:textId="77777777" w:rsidR="00C04B10" w:rsidRDefault="00C04B10">
    <w:pPr>
      <w:pStyle w:val="Footer"/>
      <w:rPr>
        <w:rFonts w:ascii="Poppins" w:hAnsi="Poppins" w:cs="Poppins"/>
        <w:color w:val="392388"/>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1B89E857" w14:textId="77777777">
      <w:tc>
        <w:tcPr>
          <w:tcW w:w="5812" w:type="dxa"/>
        </w:tcPr>
        <w:p w14:paraId="3D2E399F"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472831918"/>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25</w:t>
              </w:r>
              <w:r>
                <w:rPr>
                  <w:rFonts w:ascii="Poppins" w:hAnsi="Poppins" w:cs="Poppins"/>
                  <w:color w:val="392388"/>
                  <w:sz w:val="16"/>
                  <w:szCs w:val="16"/>
                </w:rPr>
                <w:fldChar w:fldCharType="end"/>
              </w:r>
            </w:sdtContent>
          </w:sdt>
        </w:p>
      </w:tc>
      <w:tc>
        <w:tcPr>
          <w:tcW w:w="4678" w:type="dxa"/>
        </w:tcPr>
        <w:p w14:paraId="31657017" w14:textId="77777777" w:rsidR="00C04B10" w:rsidRDefault="00C04B10">
          <w:pPr>
            <w:pStyle w:val="Header"/>
            <w:spacing w:before="120"/>
            <w:ind w:right="21"/>
            <w:jc w:val="right"/>
            <w:rPr>
              <w:rFonts w:ascii="Poppins" w:hAnsi="Poppins" w:cs="Poppins"/>
              <w:color w:val="392388"/>
            </w:rPr>
          </w:pPr>
        </w:p>
      </w:tc>
    </w:tr>
  </w:tbl>
  <w:p w14:paraId="14A31E1C" w14:textId="77777777" w:rsidR="00C04B10" w:rsidRDefault="00C04B10">
    <w:pPr>
      <w:pStyle w:val="Footer"/>
      <w:rPr>
        <w:rFonts w:ascii="Poppins" w:hAnsi="Poppins" w:cs="Poppins"/>
        <w:color w:val="392388"/>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366D4FED" w14:textId="77777777">
      <w:tc>
        <w:tcPr>
          <w:tcW w:w="5812" w:type="dxa"/>
        </w:tcPr>
        <w:p w14:paraId="6EBA1FF0"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774915112"/>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26</w:t>
              </w:r>
              <w:r>
                <w:rPr>
                  <w:rFonts w:ascii="Poppins" w:hAnsi="Poppins" w:cs="Poppins"/>
                  <w:color w:val="392388"/>
                  <w:sz w:val="16"/>
                  <w:szCs w:val="16"/>
                </w:rPr>
                <w:fldChar w:fldCharType="end"/>
              </w:r>
            </w:sdtContent>
          </w:sdt>
        </w:p>
      </w:tc>
      <w:tc>
        <w:tcPr>
          <w:tcW w:w="4678" w:type="dxa"/>
        </w:tcPr>
        <w:p w14:paraId="75681EAA" w14:textId="77777777" w:rsidR="00C04B10" w:rsidRDefault="00C04B10">
          <w:pPr>
            <w:pStyle w:val="Header"/>
            <w:spacing w:before="120"/>
            <w:ind w:right="21"/>
            <w:jc w:val="right"/>
            <w:rPr>
              <w:rFonts w:ascii="Poppins" w:hAnsi="Poppins" w:cs="Poppins"/>
              <w:color w:val="392388"/>
            </w:rPr>
          </w:pPr>
        </w:p>
      </w:tc>
    </w:tr>
  </w:tbl>
  <w:p w14:paraId="1AA00DCB" w14:textId="77777777" w:rsidR="00C04B10" w:rsidRDefault="00C04B10">
    <w:pPr>
      <w:pStyle w:val="Footer"/>
      <w:rPr>
        <w:rFonts w:ascii="Poppins" w:hAnsi="Poppins" w:cs="Poppins"/>
        <w:color w:val="392388"/>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05B94254" w14:textId="77777777">
      <w:tc>
        <w:tcPr>
          <w:tcW w:w="5812" w:type="dxa"/>
        </w:tcPr>
        <w:p w14:paraId="2254E920"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42247719"/>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27</w:t>
              </w:r>
              <w:r>
                <w:rPr>
                  <w:rFonts w:ascii="Poppins" w:hAnsi="Poppins" w:cs="Poppins"/>
                  <w:color w:val="392388"/>
                  <w:sz w:val="16"/>
                  <w:szCs w:val="16"/>
                </w:rPr>
                <w:fldChar w:fldCharType="end"/>
              </w:r>
            </w:sdtContent>
          </w:sdt>
        </w:p>
      </w:tc>
      <w:tc>
        <w:tcPr>
          <w:tcW w:w="4678" w:type="dxa"/>
        </w:tcPr>
        <w:p w14:paraId="2E802932" w14:textId="77777777" w:rsidR="00C04B10" w:rsidRDefault="00C04B10">
          <w:pPr>
            <w:pStyle w:val="Header"/>
            <w:spacing w:before="120"/>
            <w:ind w:right="21"/>
            <w:jc w:val="right"/>
            <w:rPr>
              <w:rFonts w:ascii="Poppins" w:hAnsi="Poppins" w:cs="Poppins"/>
              <w:color w:val="392388"/>
            </w:rPr>
          </w:pPr>
        </w:p>
      </w:tc>
    </w:tr>
  </w:tbl>
  <w:p w14:paraId="2F3237DB" w14:textId="77777777" w:rsidR="00C04B10" w:rsidRDefault="00C04B10">
    <w:pPr>
      <w:pStyle w:val="Footer"/>
      <w:rPr>
        <w:rFonts w:ascii="Poppins" w:hAnsi="Poppins" w:cs="Poppins"/>
        <w:color w:val="392388"/>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691FB5B2" w14:textId="77777777">
      <w:tc>
        <w:tcPr>
          <w:tcW w:w="5812" w:type="dxa"/>
        </w:tcPr>
        <w:p w14:paraId="5CC1184F"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1028518470"/>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28</w:t>
              </w:r>
              <w:r>
                <w:rPr>
                  <w:rFonts w:ascii="Poppins" w:hAnsi="Poppins" w:cs="Poppins"/>
                  <w:color w:val="392388"/>
                  <w:sz w:val="16"/>
                  <w:szCs w:val="16"/>
                </w:rPr>
                <w:fldChar w:fldCharType="end"/>
              </w:r>
            </w:sdtContent>
          </w:sdt>
        </w:p>
      </w:tc>
      <w:tc>
        <w:tcPr>
          <w:tcW w:w="4678" w:type="dxa"/>
        </w:tcPr>
        <w:p w14:paraId="76CE7306" w14:textId="77777777" w:rsidR="00C04B10" w:rsidRDefault="00C04B10">
          <w:pPr>
            <w:pStyle w:val="Header"/>
            <w:spacing w:before="120"/>
            <w:ind w:right="21"/>
            <w:jc w:val="right"/>
            <w:rPr>
              <w:rFonts w:ascii="Poppins" w:hAnsi="Poppins" w:cs="Poppins"/>
              <w:color w:val="392388"/>
            </w:rPr>
          </w:pPr>
        </w:p>
      </w:tc>
    </w:tr>
  </w:tbl>
  <w:p w14:paraId="008A6C13" w14:textId="77777777" w:rsidR="00C04B10" w:rsidRDefault="00C04B10">
    <w:pPr>
      <w:pStyle w:val="Footer"/>
      <w:rPr>
        <w:rFonts w:ascii="Poppins" w:hAnsi="Poppins" w:cs="Poppins"/>
        <w:color w:val="392388"/>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0A278420" w14:textId="77777777">
      <w:tc>
        <w:tcPr>
          <w:tcW w:w="5812" w:type="dxa"/>
        </w:tcPr>
        <w:p w14:paraId="2F9896EB"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859885541"/>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31</w:t>
              </w:r>
              <w:r>
                <w:rPr>
                  <w:rFonts w:ascii="Poppins" w:hAnsi="Poppins" w:cs="Poppins"/>
                  <w:color w:val="392388"/>
                  <w:sz w:val="16"/>
                  <w:szCs w:val="16"/>
                </w:rPr>
                <w:fldChar w:fldCharType="end"/>
              </w:r>
            </w:sdtContent>
          </w:sdt>
        </w:p>
      </w:tc>
      <w:tc>
        <w:tcPr>
          <w:tcW w:w="4678" w:type="dxa"/>
        </w:tcPr>
        <w:p w14:paraId="0BE27823" w14:textId="77777777" w:rsidR="00C04B10" w:rsidRDefault="00C04B10">
          <w:pPr>
            <w:pStyle w:val="Header"/>
            <w:spacing w:before="120"/>
            <w:ind w:right="21"/>
            <w:jc w:val="right"/>
            <w:rPr>
              <w:rFonts w:ascii="Poppins" w:hAnsi="Poppins" w:cs="Poppins"/>
              <w:color w:val="392388"/>
            </w:rPr>
          </w:pPr>
        </w:p>
      </w:tc>
    </w:tr>
  </w:tbl>
  <w:p w14:paraId="290475F3" w14:textId="77777777" w:rsidR="00C04B10" w:rsidRDefault="00C04B10">
    <w:pPr>
      <w:pStyle w:val="Footer"/>
      <w:rPr>
        <w:rFonts w:ascii="Poppins" w:hAnsi="Poppins" w:cs="Poppins"/>
        <w:color w:val="392388"/>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49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812"/>
      <w:gridCol w:w="4678"/>
    </w:tblGrid>
    <w:tr w:rsidR="00C04B10" w14:paraId="72264F9D" w14:textId="77777777">
      <w:tc>
        <w:tcPr>
          <w:tcW w:w="5812" w:type="dxa"/>
        </w:tcPr>
        <w:p w14:paraId="2FDB8A85" w14:textId="77777777" w:rsidR="00C04B10" w:rsidRDefault="001148AB">
          <w:pPr>
            <w:pStyle w:val="Footer"/>
            <w:tabs>
              <w:tab w:val="clear" w:pos="4513"/>
              <w:tab w:val="center" w:pos="4820"/>
            </w:tabs>
            <w:spacing w:before="120"/>
            <w:rPr>
              <w:rFonts w:ascii="Poppins" w:hAnsi="Poppins" w:cs="Poppins"/>
              <w:color w:val="392388"/>
              <w:sz w:val="16"/>
              <w:szCs w:val="16"/>
            </w:rPr>
          </w:pPr>
          <w:r>
            <w:rPr>
              <w:rFonts w:ascii="Poppins" w:hAnsi="Poppins" w:cs="Poppins"/>
              <w:color w:val="392388"/>
              <w:sz w:val="16"/>
              <w:szCs w:val="16"/>
              <w:lang w:val="en-NZ"/>
            </w:rPr>
            <w:t>Research report</w:t>
          </w:r>
          <w:r>
            <w:rPr>
              <w:rFonts w:ascii="Poppins" w:hAnsi="Poppins" w:cs="Poppins"/>
              <w:color w:val="392388"/>
              <w:sz w:val="16"/>
              <w:szCs w:val="16"/>
            </w:rPr>
            <w:t xml:space="preserve"> prepared by </w:t>
          </w:r>
          <w:r>
            <w:rPr>
              <w:rFonts w:ascii="Poppins" w:hAnsi="Poppins" w:cs="Poppins"/>
              <w:color w:val="392388"/>
              <w:sz w:val="16"/>
              <w:szCs w:val="16"/>
              <w:lang w:val="en-NZ"/>
            </w:rPr>
            <w:t>Thomas Redmond</w:t>
          </w:r>
          <w:r>
            <w:rPr>
              <w:rFonts w:ascii="Poppins" w:hAnsi="Poppins" w:cs="Poppins"/>
              <w:color w:val="392388"/>
              <w:sz w:val="16"/>
              <w:szCs w:val="16"/>
            </w:rPr>
            <w:t xml:space="preserve"> using Defaqto Engage</w:t>
          </w:r>
          <w:r>
            <w:rPr>
              <w:rFonts w:ascii="Poppins" w:hAnsi="Poppins" w:cs="Poppins"/>
              <w:color w:val="392388"/>
              <w:sz w:val="16"/>
              <w:szCs w:val="16"/>
            </w:rPr>
            <w:br/>
            <w:t xml:space="preserve">Page </w:t>
          </w:r>
          <w:sdt>
            <w:sdtPr>
              <w:rPr>
                <w:rFonts w:ascii="Poppins" w:hAnsi="Poppins" w:cs="Poppins"/>
                <w:color w:val="392388"/>
                <w:sz w:val="16"/>
                <w:szCs w:val="16"/>
              </w:rPr>
              <w:id w:val="-792973037"/>
              <w:docPartObj>
                <w:docPartGallery w:val="Page Numbers (Bottom of Page)"/>
                <w:docPartUnique/>
              </w:docPartObj>
            </w:sdtPr>
            <w:sdtEndPr/>
            <w:sdtContent>
              <w:r>
                <w:rPr>
                  <w:rFonts w:ascii="Poppins" w:hAnsi="Poppins" w:cs="Poppins"/>
                  <w:color w:val="392388"/>
                  <w:sz w:val="16"/>
                  <w:szCs w:val="16"/>
                </w:rPr>
                <w:fldChar w:fldCharType="begin"/>
              </w:r>
              <w:r>
                <w:rPr>
                  <w:rFonts w:ascii="Poppins" w:hAnsi="Poppins" w:cs="Poppins"/>
                  <w:color w:val="392388"/>
                  <w:sz w:val="16"/>
                  <w:szCs w:val="16"/>
                </w:rPr>
                <w:instrText xml:space="preserve">PAGE \* MERGEFORMAT </w:instrText>
              </w:r>
              <w:r>
                <w:rPr>
                  <w:rFonts w:ascii="Poppins" w:hAnsi="Poppins" w:cs="Poppins"/>
                  <w:color w:val="392388"/>
                  <w:sz w:val="16"/>
                  <w:szCs w:val="16"/>
                </w:rPr>
                <w:fldChar w:fldCharType="separate"/>
              </w:r>
              <w:r>
                <w:rPr>
                  <w:rFonts w:ascii="Poppins" w:hAnsi="Poppins" w:cs="Poppins"/>
                  <w:color w:val="392388"/>
                  <w:sz w:val="16"/>
                  <w:szCs w:val="16"/>
                </w:rPr>
                <w:t>32</w:t>
              </w:r>
              <w:r>
                <w:rPr>
                  <w:rFonts w:ascii="Poppins" w:hAnsi="Poppins" w:cs="Poppins"/>
                  <w:color w:val="392388"/>
                  <w:sz w:val="16"/>
                  <w:szCs w:val="16"/>
                </w:rPr>
                <w:fldChar w:fldCharType="end"/>
              </w:r>
            </w:sdtContent>
          </w:sdt>
        </w:p>
      </w:tc>
      <w:tc>
        <w:tcPr>
          <w:tcW w:w="4678" w:type="dxa"/>
        </w:tcPr>
        <w:p w14:paraId="145DEBA8" w14:textId="77777777" w:rsidR="00C04B10" w:rsidRDefault="00C04B10">
          <w:pPr>
            <w:pStyle w:val="Header"/>
            <w:spacing w:before="120"/>
            <w:ind w:right="21"/>
            <w:jc w:val="right"/>
            <w:rPr>
              <w:rFonts w:ascii="Poppins" w:hAnsi="Poppins" w:cs="Poppins"/>
              <w:color w:val="392388"/>
            </w:rPr>
          </w:pPr>
        </w:p>
      </w:tc>
    </w:tr>
  </w:tbl>
  <w:p w14:paraId="42C93418" w14:textId="77777777" w:rsidR="00C04B10" w:rsidRDefault="00C04B10">
    <w:pPr>
      <w:pStyle w:val="Footer"/>
      <w:rPr>
        <w:rFonts w:ascii="Poppins" w:hAnsi="Poppins" w:cs="Poppins"/>
        <w:color w:val="39238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02659" w14:textId="77777777" w:rsidR="001148AB" w:rsidRDefault="001148AB">
      <w:pPr>
        <w:spacing w:after="0" w:line="240" w:lineRule="auto"/>
      </w:pPr>
      <w:r>
        <w:separator/>
      </w:r>
    </w:p>
  </w:footnote>
  <w:footnote w:type="continuationSeparator" w:id="0">
    <w:p w14:paraId="7273EEE1" w14:textId="77777777" w:rsidR="001148AB" w:rsidRDefault="001148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753B4" w14:textId="77777777" w:rsidR="00C04B10" w:rsidRDefault="00C04B10">
    <w:pPr>
      <w:pStyle w:val="Header"/>
      <w:ind w:right="-422"/>
      <w:jc w:val="right"/>
    </w:pPr>
  </w:p>
  <w:p w14:paraId="52C30432" w14:textId="77777777" w:rsidR="00C04B10" w:rsidRDefault="00C04B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4165A" w14:textId="77777777" w:rsidR="00C04B10" w:rsidRDefault="00C04B10">
    <w:pPr>
      <w:pStyle w:val="Header"/>
      <w:ind w:left="-284" w:right="-307"/>
      <w:jc w:val="right"/>
      <w:rPr>
        <w:rFonts w:ascii="Poppins" w:hAnsi="Poppins" w:cs="Poppins"/>
        <w:color w:val="39238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8D1BC" w14:textId="77777777" w:rsidR="00C04B10" w:rsidRDefault="00C04B10">
    <w:pPr>
      <w:pStyle w:val="Header"/>
      <w:ind w:left="-284" w:right="-307"/>
      <w:jc w:val="right"/>
      <w:rPr>
        <w:rFonts w:ascii="Poppins" w:hAnsi="Poppins" w:cs="Poppins"/>
        <w:color w:val="39238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E84ED" w14:textId="77777777" w:rsidR="00C04B10" w:rsidRDefault="00C04B10">
    <w:pPr>
      <w:pStyle w:val="Header"/>
      <w:ind w:left="-284" w:right="-307"/>
      <w:jc w:val="right"/>
      <w:rPr>
        <w:rFonts w:ascii="Poppins" w:hAnsi="Poppins" w:cs="Poppins"/>
        <w:color w:val="392388"/>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83C95" w14:textId="77777777" w:rsidR="00C04B10" w:rsidRDefault="00C04B10">
    <w:pPr>
      <w:pStyle w:val="Header"/>
      <w:ind w:right="-422"/>
      <w:jc w:val="right"/>
    </w:pPr>
  </w:p>
  <w:p w14:paraId="6078EC41" w14:textId="77777777" w:rsidR="00C04B10" w:rsidRDefault="00C04B1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B99D3" w14:textId="77777777" w:rsidR="001148AB" w:rsidRDefault="001148AB">
    <w:r>
      <w:cr/>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3996E" w14:textId="77777777" w:rsidR="00C04B10" w:rsidRDefault="00C04B10">
    <w:pPr>
      <w:pStyle w:val="Header"/>
      <w:ind w:right="-422"/>
      <w:jc w:val="right"/>
    </w:pPr>
  </w:p>
  <w:p w14:paraId="17F1FB49" w14:textId="77777777" w:rsidR="00C04B10" w:rsidRDefault="00C04B1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B0E76" w14:textId="77777777" w:rsidR="00C04B10" w:rsidRDefault="00C04B10">
    <w:pPr>
      <w:pStyle w:val="Header"/>
      <w:ind w:right="-422"/>
      <w:jc w:val="right"/>
    </w:pPr>
  </w:p>
  <w:p w14:paraId="4A768FDF" w14:textId="77777777" w:rsidR="00C04B10" w:rsidRDefault="00C04B1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54E7A" w14:textId="77777777" w:rsidR="00C04B10" w:rsidRDefault="00C04B10">
    <w:pPr>
      <w:pStyle w:val="Header"/>
      <w:ind w:right="-422"/>
      <w:jc w:val="right"/>
    </w:pPr>
  </w:p>
  <w:p w14:paraId="18A0904A" w14:textId="77777777" w:rsidR="00C04B10" w:rsidRDefault="00C04B1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63101" w14:textId="77777777" w:rsidR="00C04B10" w:rsidRDefault="00C04B10">
    <w:pPr>
      <w:pStyle w:val="Header"/>
      <w:ind w:right="-307"/>
      <w:jc w:val="right"/>
      <w:rPr>
        <w:rFonts w:ascii="Poppins" w:hAnsi="Poppins" w:cs="Poppins"/>
        <w:color w:val="392388"/>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D6FBD" w14:textId="77777777" w:rsidR="00C04B10" w:rsidRDefault="00C04B10">
    <w:pPr>
      <w:pStyle w:val="Header"/>
      <w:ind w:right="-307"/>
      <w:jc w:val="right"/>
      <w:rPr>
        <w:rFonts w:ascii="Poppins" w:hAnsi="Poppins" w:cs="Poppins"/>
        <w:color w:val="39238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3734D" w14:textId="77777777" w:rsidR="00C04B10" w:rsidRDefault="00C04B10">
    <w:pPr>
      <w:pStyle w:val="Header"/>
      <w:ind w:right="-307"/>
      <w:jc w:val="right"/>
      <w:rPr>
        <w:rFonts w:ascii="Poppins" w:hAnsi="Poppins" w:cs="Poppins"/>
        <w:color w:val="392388"/>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9DCC8" w14:textId="77777777" w:rsidR="00C04B10" w:rsidRDefault="00C04B10">
    <w:pPr>
      <w:pStyle w:val="Header"/>
      <w:ind w:right="-307"/>
      <w:jc w:val="right"/>
      <w:rPr>
        <w:rFonts w:ascii="Poppins" w:hAnsi="Poppins" w:cs="Poppins"/>
        <w:color w:val="392388"/>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D117" w14:textId="77777777" w:rsidR="00C04B10" w:rsidRDefault="00C04B10">
    <w:pPr>
      <w:pStyle w:val="Header"/>
      <w:ind w:right="-307"/>
      <w:jc w:val="right"/>
      <w:rPr>
        <w:rFonts w:ascii="Poppins" w:hAnsi="Poppins" w:cs="Poppins"/>
        <w:color w:val="392388"/>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772E" w14:textId="77777777" w:rsidR="00C04B10" w:rsidRDefault="00C04B10">
    <w:pPr>
      <w:pStyle w:val="Header"/>
      <w:ind w:right="-307"/>
      <w:jc w:val="right"/>
      <w:rPr>
        <w:rFonts w:ascii="Poppins" w:hAnsi="Poppins" w:cs="Poppins"/>
        <w:color w:val="392388"/>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DD0B6" w14:textId="77777777" w:rsidR="00C04B10" w:rsidRDefault="00C04B10">
    <w:pPr>
      <w:pStyle w:val="Header"/>
      <w:ind w:right="-307"/>
      <w:jc w:val="right"/>
      <w:rPr>
        <w:rFonts w:ascii="Poppins" w:hAnsi="Poppins" w:cs="Poppins"/>
        <w:color w:val="392388"/>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F5E08" w14:textId="77777777" w:rsidR="00C04B10" w:rsidRDefault="00C04B10">
    <w:pPr>
      <w:pStyle w:val="Header"/>
      <w:ind w:right="-307"/>
      <w:jc w:val="right"/>
      <w:rPr>
        <w:rFonts w:ascii="Poppins" w:hAnsi="Poppins" w:cs="Poppins"/>
        <w:color w:val="392388"/>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7BEDD" w14:textId="77777777" w:rsidR="00C04B10" w:rsidRDefault="00C04B10">
    <w:pPr>
      <w:pStyle w:val="Header"/>
      <w:ind w:right="-307"/>
      <w:jc w:val="right"/>
      <w:rPr>
        <w:rFonts w:ascii="Poppins" w:hAnsi="Poppins" w:cs="Poppins"/>
        <w:color w:val="392388"/>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FE907" w14:textId="77777777" w:rsidR="00C04B10" w:rsidRDefault="00C04B10">
    <w:pPr>
      <w:pStyle w:val="Header"/>
      <w:ind w:right="-422"/>
      <w:jc w:val="right"/>
    </w:pPr>
  </w:p>
  <w:p w14:paraId="6FAB7919" w14:textId="77777777" w:rsidR="00C04B10" w:rsidRDefault="00C04B10">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2F6D" w14:textId="77777777" w:rsidR="00C04B10" w:rsidRDefault="00C04B10">
    <w:pPr>
      <w:pStyle w:val="Header"/>
      <w:ind w:right="-422"/>
      <w:jc w:val="right"/>
    </w:pPr>
  </w:p>
  <w:p w14:paraId="047A4570" w14:textId="77777777" w:rsidR="00C04B10" w:rsidRDefault="00C04B10">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9F69" w14:textId="77777777" w:rsidR="00C04B10" w:rsidRDefault="00C04B10">
    <w:pPr>
      <w:pStyle w:val="Header"/>
      <w:ind w:right="-422"/>
      <w:jc w:val="right"/>
    </w:pPr>
  </w:p>
  <w:p w14:paraId="61BD450D" w14:textId="77777777" w:rsidR="00C04B10" w:rsidRDefault="00C04B10">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49089" w14:textId="77777777" w:rsidR="00C04B10" w:rsidRDefault="00C04B10">
    <w:pPr>
      <w:pStyle w:val="Header"/>
      <w:ind w:right="-422"/>
      <w:jc w:val="right"/>
    </w:pPr>
  </w:p>
  <w:p w14:paraId="4C4994B0" w14:textId="77777777" w:rsidR="00C04B10" w:rsidRDefault="00C04B10">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0C749" w14:textId="77777777" w:rsidR="00C04B10" w:rsidRDefault="00C04B10">
    <w:pPr>
      <w:pStyle w:val="Header"/>
      <w:ind w:right="-422"/>
      <w:jc w:val="right"/>
    </w:pPr>
  </w:p>
  <w:p w14:paraId="0AAA4850" w14:textId="77777777" w:rsidR="00C04B10" w:rsidRDefault="00C04B10">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FB606" w14:textId="77777777" w:rsidR="00C04B10" w:rsidRDefault="00C04B10">
    <w:pPr>
      <w:pStyle w:val="Header"/>
      <w:ind w:right="-422"/>
      <w:jc w:val="right"/>
    </w:pPr>
  </w:p>
  <w:p w14:paraId="3E76BE40" w14:textId="77777777" w:rsidR="00C04B10" w:rsidRDefault="00C04B10">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D32D7" w14:textId="77777777" w:rsidR="00C04B10" w:rsidRDefault="00C04B10">
    <w:pPr>
      <w:pStyle w:val="Header"/>
      <w:ind w:right="-422"/>
      <w:jc w:val="right"/>
    </w:pPr>
  </w:p>
  <w:p w14:paraId="133460BD" w14:textId="77777777" w:rsidR="00C04B10" w:rsidRDefault="00C04B10">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5A9E8" w14:textId="77777777" w:rsidR="00C04B10" w:rsidRDefault="00C04B10">
    <w:pPr>
      <w:pStyle w:val="Header"/>
      <w:ind w:right="-422"/>
      <w:jc w:val="right"/>
    </w:pPr>
  </w:p>
  <w:p w14:paraId="13D3E7C6" w14:textId="77777777" w:rsidR="00C04B10" w:rsidRDefault="00C04B1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17304" w14:textId="77777777" w:rsidR="00C04B10" w:rsidRDefault="00C04B10">
    <w:pPr>
      <w:pStyle w:val="Header"/>
      <w:ind w:right="-422"/>
      <w:jc w:val="right"/>
    </w:pPr>
  </w:p>
  <w:p w14:paraId="63563EB6" w14:textId="77777777" w:rsidR="00C04B10" w:rsidRDefault="00C04B10">
    <w:pPr>
      <w:pStyle w:val="Header"/>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C8CD" w14:textId="77777777" w:rsidR="00C04B10" w:rsidRDefault="00C04B10">
    <w:pPr>
      <w:pStyle w:val="Header"/>
      <w:ind w:right="-422"/>
      <w:jc w:val="right"/>
    </w:pPr>
  </w:p>
  <w:p w14:paraId="25895789" w14:textId="77777777" w:rsidR="00C04B10" w:rsidRDefault="00C04B10">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6D623" w14:textId="77777777" w:rsidR="00C04B10" w:rsidRDefault="00C04B10">
    <w:pPr>
      <w:pStyle w:val="Header"/>
      <w:ind w:right="-422"/>
      <w:jc w:val="right"/>
    </w:pPr>
    <w:bookmarkStart w:id="46" w:name="_Hlk75169875"/>
    <w:bookmarkStart w:id="47" w:name="_Hlk75169876"/>
    <w:bookmarkStart w:id="48" w:name="_Hlk75169879"/>
    <w:bookmarkStart w:id="49" w:name="_Hlk75169880"/>
  </w:p>
  <w:bookmarkEnd w:id="46"/>
  <w:bookmarkEnd w:id="47"/>
  <w:bookmarkEnd w:id="48"/>
  <w:p w14:paraId="30F1B2D0" w14:textId="77777777" w:rsidR="00C04B10" w:rsidRDefault="00C04B10">
    <w:pPr>
      <w:pStyle w:val="Header"/>
    </w:pPr>
  </w:p>
  <w:bookmarkEnd w:id="49"/>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7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Q0MTSwMDY2Nzc2NLVQ0lEKTi0uzszPAykwrgUAFgfppywAAAA="/>
  </w:docVars>
  <w:rsids>
    <w:rsidRoot w:val="00A86A8E"/>
    <w:rsid w:val="000036E6"/>
    <w:rsid w:val="00010E1C"/>
    <w:rsid w:val="000145C0"/>
    <w:rsid w:val="00021E72"/>
    <w:rsid w:val="00032586"/>
    <w:rsid w:val="000345E7"/>
    <w:rsid w:val="00035002"/>
    <w:rsid w:val="00035B6E"/>
    <w:rsid w:val="000376F0"/>
    <w:rsid w:val="000416B3"/>
    <w:rsid w:val="000467A0"/>
    <w:rsid w:val="000839B8"/>
    <w:rsid w:val="000A3FDE"/>
    <w:rsid w:val="000A5A01"/>
    <w:rsid w:val="000C162B"/>
    <w:rsid w:val="000C22EF"/>
    <w:rsid w:val="000F01DB"/>
    <w:rsid w:val="000F3101"/>
    <w:rsid w:val="001015C4"/>
    <w:rsid w:val="00103C4C"/>
    <w:rsid w:val="0011040F"/>
    <w:rsid w:val="001118D3"/>
    <w:rsid w:val="00111A73"/>
    <w:rsid w:val="00112156"/>
    <w:rsid w:val="001138B0"/>
    <w:rsid w:val="00114620"/>
    <w:rsid w:val="001148AB"/>
    <w:rsid w:val="001169B6"/>
    <w:rsid w:val="00116C95"/>
    <w:rsid w:val="001174DA"/>
    <w:rsid w:val="00120A7B"/>
    <w:rsid w:val="00121D62"/>
    <w:rsid w:val="00122992"/>
    <w:rsid w:val="001234C9"/>
    <w:rsid w:val="00127A51"/>
    <w:rsid w:val="00144D8B"/>
    <w:rsid w:val="001473F3"/>
    <w:rsid w:val="00161448"/>
    <w:rsid w:val="001615AE"/>
    <w:rsid w:val="001954AC"/>
    <w:rsid w:val="001A3A29"/>
    <w:rsid w:val="001A4B81"/>
    <w:rsid w:val="001B2B26"/>
    <w:rsid w:val="001C124D"/>
    <w:rsid w:val="001C1304"/>
    <w:rsid w:val="001C4A54"/>
    <w:rsid w:val="001D61D7"/>
    <w:rsid w:val="001E1B10"/>
    <w:rsid w:val="001E2F17"/>
    <w:rsid w:val="001F2A1D"/>
    <w:rsid w:val="002017D0"/>
    <w:rsid w:val="002053E0"/>
    <w:rsid w:val="00213759"/>
    <w:rsid w:val="002153CD"/>
    <w:rsid w:val="00222DB3"/>
    <w:rsid w:val="00223A88"/>
    <w:rsid w:val="002318E6"/>
    <w:rsid w:val="002365A2"/>
    <w:rsid w:val="00240677"/>
    <w:rsid w:val="00251D4E"/>
    <w:rsid w:val="002565E6"/>
    <w:rsid w:val="0026386B"/>
    <w:rsid w:val="0026455E"/>
    <w:rsid w:val="00276059"/>
    <w:rsid w:val="00292C63"/>
    <w:rsid w:val="00296C0F"/>
    <w:rsid w:val="002A72A2"/>
    <w:rsid w:val="002B06CD"/>
    <w:rsid w:val="002B316B"/>
    <w:rsid w:val="002C3F50"/>
    <w:rsid w:val="002D1542"/>
    <w:rsid w:val="002D27B3"/>
    <w:rsid w:val="002D64A0"/>
    <w:rsid w:val="002D73BD"/>
    <w:rsid w:val="002E1116"/>
    <w:rsid w:val="002E32DD"/>
    <w:rsid w:val="002E3329"/>
    <w:rsid w:val="002E5A0F"/>
    <w:rsid w:val="002F0796"/>
    <w:rsid w:val="002F398E"/>
    <w:rsid w:val="003030FB"/>
    <w:rsid w:val="00305795"/>
    <w:rsid w:val="00316D3E"/>
    <w:rsid w:val="00316F09"/>
    <w:rsid w:val="003171EC"/>
    <w:rsid w:val="00326735"/>
    <w:rsid w:val="003323D0"/>
    <w:rsid w:val="0033317F"/>
    <w:rsid w:val="00344A17"/>
    <w:rsid w:val="00350DAB"/>
    <w:rsid w:val="00365B97"/>
    <w:rsid w:val="00373B5E"/>
    <w:rsid w:val="00374EA7"/>
    <w:rsid w:val="00382E1A"/>
    <w:rsid w:val="003870FA"/>
    <w:rsid w:val="003A2D7B"/>
    <w:rsid w:val="003A5509"/>
    <w:rsid w:val="003B0894"/>
    <w:rsid w:val="003B41CE"/>
    <w:rsid w:val="003B5630"/>
    <w:rsid w:val="003C7426"/>
    <w:rsid w:val="003D08EA"/>
    <w:rsid w:val="003D2594"/>
    <w:rsid w:val="003E2A77"/>
    <w:rsid w:val="003F0D32"/>
    <w:rsid w:val="00400A25"/>
    <w:rsid w:val="00400B80"/>
    <w:rsid w:val="004012DE"/>
    <w:rsid w:val="00405514"/>
    <w:rsid w:val="00424DF7"/>
    <w:rsid w:val="00424ED0"/>
    <w:rsid w:val="00425471"/>
    <w:rsid w:val="00430D46"/>
    <w:rsid w:val="004310E5"/>
    <w:rsid w:val="00433A7F"/>
    <w:rsid w:val="00435E7C"/>
    <w:rsid w:val="00437ACE"/>
    <w:rsid w:val="00450296"/>
    <w:rsid w:val="0045079D"/>
    <w:rsid w:val="00451C64"/>
    <w:rsid w:val="00452543"/>
    <w:rsid w:val="004525D3"/>
    <w:rsid w:val="0045275C"/>
    <w:rsid w:val="0046398B"/>
    <w:rsid w:val="004863A6"/>
    <w:rsid w:val="00491C23"/>
    <w:rsid w:val="004928F3"/>
    <w:rsid w:val="00493904"/>
    <w:rsid w:val="00494B80"/>
    <w:rsid w:val="004B21FB"/>
    <w:rsid w:val="004B30F0"/>
    <w:rsid w:val="004B7E8F"/>
    <w:rsid w:val="004C7638"/>
    <w:rsid w:val="004D3329"/>
    <w:rsid w:val="004E7FDD"/>
    <w:rsid w:val="004F1216"/>
    <w:rsid w:val="00502EBE"/>
    <w:rsid w:val="00505830"/>
    <w:rsid w:val="00505E33"/>
    <w:rsid w:val="00514806"/>
    <w:rsid w:val="00517F02"/>
    <w:rsid w:val="005206B4"/>
    <w:rsid w:val="00521D89"/>
    <w:rsid w:val="00522005"/>
    <w:rsid w:val="005229A2"/>
    <w:rsid w:val="005245A4"/>
    <w:rsid w:val="00530591"/>
    <w:rsid w:val="0053559E"/>
    <w:rsid w:val="005364B5"/>
    <w:rsid w:val="00544AB2"/>
    <w:rsid w:val="00564AAD"/>
    <w:rsid w:val="00564C2D"/>
    <w:rsid w:val="005740FE"/>
    <w:rsid w:val="00584DFB"/>
    <w:rsid w:val="00591C86"/>
    <w:rsid w:val="005A17C1"/>
    <w:rsid w:val="005B27FA"/>
    <w:rsid w:val="005B330E"/>
    <w:rsid w:val="005B636A"/>
    <w:rsid w:val="005C15C1"/>
    <w:rsid w:val="005C2D44"/>
    <w:rsid w:val="005D4DAD"/>
    <w:rsid w:val="005D52F2"/>
    <w:rsid w:val="005D74D8"/>
    <w:rsid w:val="005E08E5"/>
    <w:rsid w:val="005E79B7"/>
    <w:rsid w:val="005F0058"/>
    <w:rsid w:val="005F0BEE"/>
    <w:rsid w:val="005F4FD9"/>
    <w:rsid w:val="00602C43"/>
    <w:rsid w:val="006040A7"/>
    <w:rsid w:val="00612DEF"/>
    <w:rsid w:val="006223B8"/>
    <w:rsid w:val="0062384D"/>
    <w:rsid w:val="006251AE"/>
    <w:rsid w:val="00625E85"/>
    <w:rsid w:val="00633AF4"/>
    <w:rsid w:val="00635041"/>
    <w:rsid w:val="00635240"/>
    <w:rsid w:val="006372B6"/>
    <w:rsid w:val="00643F61"/>
    <w:rsid w:val="006454BA"/>
    <w:rsid w:val="00657C51"/>
    <w:rsid w:val="00657D32"/>
    <w:rsid w:val="00660C35"/>
    <w:rsid w:val="00661163"/>
    <w:rsid w:val="006658ED"/>
    <w:rsid w:val="00667BEC"/>
    <w:rsid w:val="00682FA9"/>
    <w:rsid w:val="00683E61"/>
    <w:rsid w:val="0068553D"/>
    <w:rsid w:val="0069449F"/>
    <w:rsid w:val="006A05A3"/>
    <w:rsid w:val="006A1853"/>
    <w:rsid w:val="006A385E"/>
    <w:rsid w:val="006B47E8"/>
    <w:rsid w:val="006C05D9"/>
    <w:rsid w:val="006C1A00"/>
    <w:rsid w:val="006C642C"/>
    <w:rsid w:val="006D2779"/>
    <w:rsid w:val="006F7E8E"/>
    <w:rsid w:val="007017D2"/>
    <w:rsid w:val="00701873"/>
    <w:rsid w:val="007033EC"/>
    <w:rsid w:val="007102F1"/>
    <w:rsid w:val="00710455"/>
    <w:rsid w:val="00722FB6"/>
    <w:rsid w:val="00725AD7"/>
    <w:rsid w:val="00737FA5"/>
    <w:rsid w:val="00753007"/>
    <w:rsid w:val="00755DE1"/>
    <w:rsid w:val="0077163B"/>
    <w:rsid w:val="00782671"/>
    <w:rsid w:val="00783A56"/>
    <w:rsid w:val="007859E4"/>
    <w:rsid w:val="00787FD5"/>
    <w:rsid w:val="00791970"/>
    <w:rsid w:val="007B7265"/>
    <w:rsid w:val="007C6746"/>
    <w:rsid w:val="007D35C7"/>
    <w:rsid w:val="007E42FB"/>
    <w:rsid w:val="007F0705"/>
    <w:rsid w:val="00807BCE"/>
    <w:rsid w:val="00812649"/>
    <w:rsid w:val="00830CA7"/>
    <w:rsid w:val="008405E2"/>
    <w:rsid w:val="00854987"/>
    <w:rsid w:val="00867E8A"/>
    <w:rsid w:val="008743CB"/>
    <w:rsid w:val="00877092"/>
    <w:rsid w:val="00881EFA"/>
    <w:rsid w:val="00890EA2"/>
    <w:rsid w:val="00892BCF"/>
    <w:rsid w:val="0089324D"/>
    <w:rsid w:val="00896B6C"/>
    <w:rsid w:val="008B4640"/>
    <w:rsid w:val="008C779F"/>
    <w:rsid w:val="008E3352"/>
    <w:rsid w:val="008E774C"/>
    <w:rsid w:val="00911604"/>
    <w:rsid w:val="009121EF"/>
    <w:rsid w:val="00915282"/>
    <w:rsid w:val="00916D30"/>
    <w:rsid w:val="00935991"/>
    <w:rsid w:val="00937707"/>
    <w:rsid w:val="0094484E"/>
    <w:rsid w:val="00946F0E"/>
    <w:rsid w:val="00956DA6"/>
    <w:rsid w:val="00974B87"/>
    <w:rsid w:val="00976FE7"/>
    <w:rsid w:val="00984A56"/>
    <w:rsid w:val="00985798"/>
    <w:rsid w:val="0098735A"/>
    <w:rsid w:val="00995959"/>
    <w:rsid w:val="00996DC4"/>
    <w:rsid w:val="0099756A"/>
    <w:rsid w:val="009A48A9"/>
    <w:rsid w:val="009B2538"/>
    <w:rsid w:val="009B501D"/>
    <w:rsid w:val="009C23B8"/>
    <w:rsid w:val="009C2EDA"/>
    <w:rsid w:val="009C5F48"/>
    <w:rsid w:val="009C620E"/>
    <w:rsid w:val="009C674F"/>
    <w:rsid w:val="009C7A33"/>
    <w:rsid w:val="009F3CD9"/>
    <w:rsid w:val="009F7EB2"/>
    <w:rsid w:val="00A00CF2"/>
    <w:rsid w:val="00A00E76"/>
    <w:rsid w:val="00A02015"/>
    <w:rsid w:val="00A0202A"/>
    <w:rsid w:val="00A114A7"/>
    <w:rsid w:val="00A11B04"/>
    <w:rsid w:val="00A22192"/>
    <w:rsid w:val="00A24E6A"/>
    <w:rsid w:val="00A3030D"/>
    <w:rsid w:val="00A303DD"/>
    <w:rsid w:val="00A30908"/>
    <w:rsid w:val="00A34742"/>
    <w:rsid w:val="00A3579E"/>
    <w:rsid w:val="00A43080"/>
    <w:rsid w:val="00A44727"/>
    <w:rsid w:val="00A50114"/>
    <w:rsid w:val="00A546BD"/>
    <w:rsid w:val="00A555DE"/>
    <w:rsid w:val="00A625F6"/>
    <w:rsid w:val="00A646A9"/>
    <w:rsid w:val="00A82176"/>
    <w:rsid w:val="00A83109"/>
    <w:rsid w:val="00A86A8E"/>
    <w:rsid w:val="00AA0F49"/>
    <w:rsid w:val="00AA13A2"/>
    <w:rsid w:val="00AA19F8"/>
    <w:rsid w:val="00AB1F1F"/>
    <w:rsid w:val="00AB7113"/>
    <w:rsid w:val="00AC14A8"/>
    <w:rsid w:val="00AD169C"/>
    <w:rsid w:val="00AE1800"/>
    <w:rsid w:val="00AE625A"/>
    <w:rsid w:val="00AF1B8C"/>
    <w:rsid w:val="00AF44AC"/>
    <w:rsid w:val="00AF7B17"/>
    <w:rsid w:val="00B0530B"/>
    <w:rsid w:val="00B06F89"/>
    <w:rsid w:val="00B12F3A"/>
    <w:rsid w:val="00B17E1E"/>
    <w:rsid w:val="00B23100"/>
    <w:rsid w:val="00B23BF6"/>
    <w:rsid w:val="00B3436D"/>
    <w:rsid w:val="00B41167"/>
    <w:rsid w:val="00B4137C"/>
    <w:rsid w:val="00B55896"/>
    <w:rsid w:val="00B80862"/>
    <w:rsid w:val="00B81164"/>
    <w:rsid w:val="00B82AA5"/>
    <w:rsid w:val="00B85D3F"/>
    <w:rsid w:val="00B86378"/>
    <w:rsid w:val="00B90635"/>
    <w:rsid w:val="00B97124"/>
    <w:rsid w:val="00BB6308"/>
    <w:rsid w:val="00BC6903"/>
    <w:rsid w:val="00BD1E10"/>
    <w:rsid w:val="00BE17E8"/>
    <w:rsid w:val="00BE4475"/>
    <w:rsid w:val="00BF1A49"/>
    <w:rsid w:val="00BF401E"/>
    <w:rsid w:val="00BF484E"/>
    <w:rsid w:val="00C01B40"/>
    <w:rsid w:val="00C04B10"/>
    <w:rsid w:val="00C05186"/>
    <w:rsid w:val="00C275E3"/>
    <w:rsid w:val="00C31AB3"/>
    <w:rsid w:val="00C41C0E"/>
    <w:rsid w:val="00C43443"/>
    <w:rsid w:val="00C45701"/>
    <w:rsid w:val="00C475A7"/>
    <w:rsid w:val="00C50FD8"/>
    <w:rsid w:val="00C52FC1"/>
    <w:rsid w:val="00C605A8"/>
    <w:rsid w:val="00C63763"/>
    <w:rsid w:val="00C66711"/>
    <w:rsid w:val="00C72032"/>
    <w:rsid w:val="00C736FD"/>
    <w:rsid w:val="00C75A06"/>
    <w:rsid w:val="00C77362"/>
    <w:rsid w:val="00C94D10"/>
    <w:rsid w:val="00C96A1C"/>
    <w:rsid w:val="00C976A0"/>
    <w:rsid w:val="00CA01FA"/>
    <w:rsid w:val="00CA16AC"/>
    <w:rsid w:val="00CA2BDF"/>
    <w:rsid w:val="00CA46F3"/>
    <w:rsid w:val="00CC0224"/>
    <w:rsid w:val="00CD0230"/>
    <w:rsid w:val="00CD07CB"/>
    <w:rsid w:val="00CD2D25"/>
    <w:rsid w:val="00CD2DE3"/>
    <w:rsid w:val="00CE0B5D"/>
    <w:rsid w:val="00CE3938"/>
    <w:rsid w:val="00CE4B1D"/>
    <w:rsid w:val="00D13FD9"/>
    <w:rsid w:val="00D34195"/>
    <w:rsid w:val="00D377E5"/>
    <w:rsid w:val="00D45EFA"/>
    <w:rsid w:val="00D51D6E"/>
    <w:rsid w:val="00D5204A"/>
    <w:rsid w:val="00D60A00"/>
    <w:rsid w:val="00D60F53"/>
    <w:rsid w:val="00D71D6E"/>
    <w:rsid w:val="00D72BF9"/>
    <w:rsid w:val="00D803FE"/>
    <w:rsid w:val="00D947AF"/>
    <w:rsid w:val="00D95DD9"/>
    <w:rsid w:val="00DA1FD4"/>
    <w:rsid w:val="00DA4618"/>
    <w:rsid w:val="00DA46B0"/>
    <w:rsid w:val="00DA5444"/>
    <w:rsid w:val="00DB2DAC"/>
    <w:rsid w:val="00DC231A"/>
    <w:rsid w:val="00DD19E9"/>
    <w:rsid w:val="00DD6EF3"/>
    <w:rsid w:val="00DD75AF"/>
    <w:rsid w:val="00DE1BEA"/>
    <w:rsid w:val="00DE7D10"/>
    <w:rsid w:val="00DF0FBE"/>
    <w:rsid w:val="00DF3891"/>
    <w:rsid w:val="00E03979"/>
    <w:rsid w:val="00E1045D"/>
    <w:rsid w:val="00E20639"/>
    <w:rsid w:val="00E4277A"/>
    <w:rsid w:val="00E466F6"/>
    <w:rsid w:val="00E5219B"/>
    <w:rsid w:val="00E52AF8"/>
    <w:rsid w:val="00E57243"/>
    <w:rsid w:val="00E61621"/>
    <w:rsid w:val="00E6190E"/>
    <w:rsid w:val="00E71336"/>
    <w:rsid w:val="00E82C61"/>
    <w:rsid w:val="00E8460B"/>
    <w:rsid w:val="00E84749"/>
    <w:rsid w:val="00E90461"/>
    <w:rsid w:val="00E92D5D"/>
    <w:rsid w:val="00E94EC1"/>
    <w:rsid w:val="00E959C7"/>
    <w:rsid w:val="00E9624B"/>
    <w:rsid w:val="00EA2E0B"/>
    <w:rsid w:val="00EA3847"/>
    <w:rsid w:val="00EA7AEF"/>
    <w:rsid w:val="00EB0DF8"/>
    <w:rsid w:val="00EB414F"/>
    <w:rsid w:val="00EC614D"/>
    <w:rsid w:val="00ED1682"/>
    <w:rsid w:val="00EF0EA3"/>
    <w:rsid w:val="00EF39C8"/>
    <w:rsid w:val="00EF75E1"/>
    <w:rsid w:val="00F00893"/>
    <w:rsid w:val="00F05388"/>
    <w:rsid w:val="00F10122"/>
    <w:rsid w:val="00F2521D"/>
    <w:rsid w:val="00F40C34"/>
    <w:rsid w:val="00F4546D"/>
    <w:rsid w:val="00F5529D"/>
    <w:rsid w:val="00F55DC3"/>
    <w:rsid w:val="00F72701"/>
    <w:rsid w:val="00F73E76"/>
    <w:rsid w:val="00F7552D"/>
    <w:rsid w:val="00F7696E"/>
    <w:rsid w:val="00F84796"/>
    <w:rsid w:val="00F85505"/>
    <w:rsid w:val="00F91C6E"/>
    <w:rsid w:val="00F935B9"/>
    <w:rsid w:val="00F94A28"/>
    <w:rsid w:val="00F95968"/>
    <w:rsid w:val="00F97ED1"/>
    <w:rsid w:val="00FA7877"/>
    <w:rsid w:val="00FC1B23"/>
    <w:rsid w:val="00FC3EA7"/>
    <w:rsid w:val="00FD3570"/>
    <w:rsid w:val="00FD39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71"/>
    <o:shapelayout v:ext="edit">
      <o:idmap v:ext="edit" data="2"/>
    </o:shapelayout>
  </w:shapeDefaults>
  <w:decimalSymbol w:val="."/>
  <w:listSeparator w:val=","/>
  <w14:docId w14:val="566BDD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Calibri"/>
    </w:rPr>
  </w:style>
  <w:style w:type="paragraph" w:styleId="Heading1">
    <w:name w:val="heading 1"/>
    <w:next w:val="Normal"/>
    <w:link w:val="Heading1Char"/>
    <w:uiPriority w:val="9"/>
    <w:unhideWhenUsed/>
    <w:qFormat/>
    <w:pPr>
      <w:keepNext/>
      <w:keepLines/>
      <w:spacing w:after="0"/>
      <w:ind w:left="25"/>
      <w:outlineLvl w:val="0"/>
    </w:pPr>
    <w:rPr>
      <w:rFonts w:ascii="Poppins SemiBold" w:hAnsi="Poppins SemiBold" w:cs="Calibri"/>
      <w:b/>
      <w:bCs/>
      <w:color w:val="3B2B8C"/>
      <w:sz w:val="76"/>
      <w:szCs w:val="76"/>
    </w:rPr>
  </w:style>
  <w:style w:type="paragraph" w:styleId="Heading2">
    <w:name w:val="heading 2"/>
    <w:next w:val="Normal"/>
    <w:link w:val="Heading2Char"/>
    <w:uiPriority w:val="9"/>
    <w:unhideWhenUsed/>
    <w:qFormat/>
    <w:pPr>
      <w:keepNext/>
      <w:keepLines/>
      <w:spacing w:after="161"/>
      <w:ind w:left="2"/>
      <w:outlineLvl w:val="1"/>
    </w:pPr>
    <w:rPr>
      <w:rFonts w:ascii="Poppins" w:hAnsi="Poppins" w:cs="Calibri"/>
      <w:color w:val="392388"/>
      <w:sz w:val="44"/>
      <w:szCs w:val="44"/>
    </w:rPr>
  </w:style>
  <w:style w:type="paragraph" w:styleId="Heading3">
    <w:name w:val="heading 3"/>
    <w:next w:val="Normal"/>
    <w:link w:val="Heading3Char"/>
    <w:uiPriority w:val="9"/>
    <w:unhideWhenUsed/>
    <w:qFormat/>
    <w:pPr>
      <w:keepNext/>
      <w:keepLines/>
      <w:spacing w:after="0"/>
      <w:ind w:left="17" w:hanging="10"/>
      <w:outlineLvl w:val="2"/>
    </w:pPr>
    <w:rPr>
      <w:rFonts w:ascii="Poppins" w:hAnsi="Poppins" w:cs="Calibri"/>
      <w:b/>
      <w:bCs/>
      <w:color w:val="392388"/>
      <w:sz w:val="34"/>
      <w:szCs w:val="34"/>
    </w:rPr>
  </w:style>
  <w:style w:type="paragraph" w:styleId="Heading4">
    <w:name w:val="heading 4"/>
    <w:next w:val="Normal"/>
    <w:link w:val="Heading4Char"/>
    <w:uiPriority w:val="9"/>
    <w:unhideWhenUsed/>
    <w:qFormat/>
    <w:pPr>
      <w:keepNext/>
      <w:keepLines/>
      <w:spacing w:after="0" w:line="265" w:lineRule="auto"/>
      <w:ind w:left="10" w:hanging="10"/>
      <w:outlineLvl w:val="3"/>
    </w:pPr>
    <w:rPr>
      <w:rFonts w:ascii="Poppins" w:hAnsi="Poppins" w:cs="Calibri"/>
      <w:b/>
      <w:bCs/>
      <w:color w:val="392388"/>
      <w:sz w:val="28"/>
      <w:szCs w:val="28"/>
    </w:rPr>
  </w:style>
  <w:style w:type="paragraph" w:styleId="Heading5">
    <w:name w:val="heading 5"/>
    <w:basedOn w:val="Normal"/>
    <w:next w:val="Normal"/>
    <w:link w:val="Heading5Char"/>
    <w:uiPriority w:val="9"/>
    <w:semiHidden/>
    <w:unhideWhenUsed/>
    <w:qFormat/>
    <w:pPr>
      <w:keepNext/>
      <w:keepLines/>
      <w:spacing w:before="40" w:after="0"/>
      <w:outlineLvl w:val="4"/>
    </w:pPr>
    <w:rPr>
      <w:rFonts w:ascii="Calibri Light" w:eastAsia="Calibri Light" w:hAnsi="Calibri Light"/>
      <w:color w:val="1C1D4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
    <w:rPr>
      <w:rFonts w:ascii="Poppins" w:eastAsia="Calibri" w:hAnsi="Poppins" w:cs="Calibri"/>
      <w:b/>
      <w:bCs/>
      <w:color w:val="392388"/>
      <w:sz w:val="28"/>
      <w:szCs w:val="28"/>
    </w:rPr>
  </w:style>
  <w:style w:type="character" w:customStyle="1" w:styleId="Heading2Char">
    <w:name w:val="Heading 2 Char"/>
    <w:link w:val="Heading2"/>
    <w:uiPriority w:val="9"/>
    <w:rPr>
      <w:rFonts w:ascii="Poppins" w:eastAsia="Calibri" w:hAnsi="Poppins" w:cs="Calibri"/>
      <w:color w:val="392388"/>
      <w:sz w:val="44"/>
      <w:szCs w:val="44"/>
    </w:rPr>
  </w:style>
  <w:style w:type="character" w:customStyle="1" w:styleId="Heading1Char">
    <w:name w:val="Heading 1 Char"/>
    <w:link w:val="Heading1"/>
    <w:uiPriority w:val="9"/>
    <w:rPr>
      <w:rFonts w:ascii="Poppins SemiBold" w:eastAsia="Calibri" w:hAnsi="Poppins SemiBold" w:cs="Calibri"/>
      <w:b/>
      <w:bCs/>
      <w:color w:val="3B2B8C"/>
      <w:sz w:val="76"/>
      <w:szCs w:val="76"/>
    </w:rPr>
  </w:style>
  <w:style w:type="character" w:customStyle="1" w:styleId="Heading3Char">
    <w:name w:val="Heading 3 Char"/>
    <w:link w:val="Heading3"/>
    <w:uiPriority w:val="9"/>
    <w:rPr>
      <w:rFonts w:ascii="Poppins" w:eastAsia="Calibri" w:hAnsi="Poppins" w:cs="Calibri"/>
      <w:b/>
      <w:bCs/>
      <w:color w:val="392388"/>
      <w:sz w:val="34"/>
      <w:szCs w:val="34"/>
    </w:rPr>
  </w:style>
  <w:style w:type="table" w:customStyle="1" w:styleId="CSRTable4">
    <w:name w:val="CSRTable4"/>
    <w:pPr>
      <w:spacing w:after="0" w:line="240" w:lineRule="auto"/>
      <w:contextualSpacing/>
    </w:pPr>
    <w:rPr>
      <w:sz w:val="20"/>
      <w:szCs w:val="20"/>
      <w:lang w:val="en-US" w:eastAsia="en-US"/>
    </w:rPr>
    <w:tblPr>
      <w:tblStyleRowBandSize w:val="1"/>
      <w:tblStyleColBandSize w:val="1"/>
      <w:tblCellMar>
        <w:top w:w="0" w:type="dxa"/>
        <w:left w:w="0" w:type="dxa"/>
        <w:bottom w:w="0" w:type="dxa"/>
        <w:right w:w="0" w:type="dxa"/>
      </w:tblCellMar>
    </w:tblPr>
    <w:tblStylePr w:type="firstRow">
      <w:tblPr/>
      <w:tcPr>
        <w:tcBorders>
          <w:top w:val="nil"/>
          <w:left w:val="nil"/>
          <w:bottom w:val="single" w:sz="4" w:space="0" w:color="auto"/>
          <w:right w:val="nil"/>
          <w:insideH w:val="nil"/>
          <w:insideV w:val="nil"/>
        </w:tcBorders>
      </w:tcPr>
    </w:tblStylePr>
  </w:style>
  <w:style w:type="paragraph" w:styleId="Footer">
    <w:name w:val="footer"/>
    <w:basedOn w:val="Normal"/>
    <w:link w:val="FooterChar"/>
    <w:uiPriority w:val="99"/>
    <w:unhideWhenUsed/>
    <w:pPr>
      <w:tabs>
        <w:tab w:val="center" w:pos="4513"/>
        <w:tab w:val="right" w:pos="9026"/>
      </w:tabs>
      <w:spacing w:after="0" w:line="240" w:lineRule="auto"/>
    </w:pPr>
  </w:style>
  <w:style w:type="character" w:customStyle="1" w:styleId="FooterChar">
    <w:name w:val="Footer Char"/>
    <w:basedOn w:val="DefaultParagraphFont"/>
    <w:link w:val="Footer"/>
    <w:uiPriority w:val="99"/>
    <w:rPr>
      <w:rFonts w:ascii="Calibri" w:eastAsia="Calibri" w:hAnsi="Calibri" w:cs="Calibri"/>
      <w:color w:val="000000"/>
    </w:r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customStyle="1" w:styleId="HeaderChar">
    <w:name w:val="Header Char"/>
    <w:basedOn w:val="DefaultParagraphFont"/>
    <w:link w:val="Header"/>
    <w:uiPriority w:val="99"/>
    <w:rPr>
      <w:rFonts w:ascii="Calibri" w:eastAsia="Calibri" w:hAnsi="Calibri" w:cs="Calibri"/>
      <w:color w:val="000000"/>
    </w:rPr>
  </w:style>
  <w:style w:type="paragraph" w:customStyle="1" w:styleId="DefaqtoBody">
    <w:name w:val="Defaqto Body"/>
    <w:basedOn w:val="Normal"/>
    <w:link w:val="DefaqtoBodyChar"/>
    <w:qFormat/>
    <w:pPr>
      <w:spacing w:before="160" w:after="320" w:line="240" w:lineRule="auto"/>
    </w:pPr>
    <w:rPr>
      <w:rFonts w:ascii="Poppins" w:eastAsia="Cambria" w:hAnsi="Poppins" w:cs="Times New Roman"/>
      <w:color w:val="392388"/>
      <w:lang w:eastAsia="en-US"/>
    </w:rPr>
  </w:style>
  <w:style w:type="character" w:customStyle="1" w:styleId="DefaqtoBodyChar">
    <w:name w:val="Defaqto Body Char"/>
    <w:link w:val="DefaqtoBody"/>
    <w:rPr>
      <w:rFonts w:ascii="Poppins" w:eastAsia="Cambria" w:hAnsi="Poppins" w:cs="Times New Roman"/>
      <w:color w:val="392388"/>
      <w:lang w:eastAsia="en-US"/>
    </w:rPr>
  </w:style>
  <w:style w:type="paragraph" w:customStyle="1" w:styleId="DefaqtoCallout">
    <w:name w:val="Defaqto Callout"/>
    <w:link w:val="DefaqtoCalloutChar"/>
    <w:qFormat/>
    <w:pPr>
      <w:spacing w:after="0" w:line="240" w:lineRule="auto"/>
    </w:pPr>
    <w:rPr>
      <w:rFonts w:ascii="Poppins" w:eastAsia="Cambria" w:hAnsi="Poppins"/>
      <w:noProof/>
      <w:color w:val="392388"/>
      <w:sz w:val="16"/>
      <w:szCs w:val="16"/>
      <w:lang w:val="en-NZ" w:eastAsia="en-US"/>
    </w:rPr>
  </w:style>
  <w:style w:type="character" w:customStyle="1" w:styleId="DefaqtoCalloutChar">
    <w:name w:val="Defaqto Callout Char"/>
    <w:link w:val="DefaqtoCallout"/>
    <w:rPr>
      <w:rFonts w:ascii="Poppins" w:eastAsia="Cambria" w:hAnsi="Poppins" w:cs="Times New Roman"/>
      <w:noProof/>
      <w:color w:val="392388"/>
      <w:sz w:val="16"/>
      <w:szCs w:val="16"/>
      <w:lang w:val="en-NZ" w:eastAsia="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Calibri" w:hAnsi="Segoe UI" w:cs="Segoe UI"/>
      <w:color w:val="000000"/>
      <w:sz w:val="18"/>
      <w:szCs w:val="18"/>
    </w:rPr>
  </w:style>
  <w:style w:type="paragraph" w:styleId="NoSpacing">
    <w:name w:val="No Spacing"/>
    <w:uiPriority w:val="1"/>
    <w:qFormat/>
    <w:pPr>
      <w:spacing w:after="0" w:line="240" w:lineRule="auto"/>
    </w:pPr>
    <w:rPr>
      <w:lang w:eastAsia="en-US"/>
    </w:rPr>
  </w:style>
  <w:style w:type="table" w:styleId="TableGrid">
    <w:name w:val="Table Grid"/>
    <w:basedOn w:val="TableNormal"/>
    <w:uiPriority w:val="39"/>
    <w:pPr>
      <w:spacing w:after="0" w:line="240" w:lineRule="auto"/>
    </w:pPr>
    <w:rPr>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Revision">
    <w:name w:val="Revision"/>
    <w:uiPriority w:val="99"/>
    <w:semiHidden/>
    <w:pPr>
      <w:spacing w:after="0" w:line="240" w:lineRule="auto"/>
    </w:pPr>
    <w:rPr>
      <w:rFonts w:cs="Calibri"/>
      <w:color w:val="000000"/>
    </w:rPr>
  </w:style>
  <w:style w:type="table" w:customStyle="1" w:styleId="CSRTable1">
    <w:name w:val="CSRTable1"/>
    <w:basedOn w:val="TableNormal"/>
    <w:uiPriority w:val="99"/>
    <w:pPr>
      <w:spacing w:after="0" w:line="240" w:lineRule="auto"/>
      <w:jc w:val="right"/>
    </w:pPr>
    <w:rPr>
      <w:rFonts w:eastAsia="Times New Roman"/>
      <w:sz w:val="20"/>
      <w:szCs w:val="20"/>
      <w:lang w:eastAsia="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val="0"/>
        <w:bCs w:val="0"/>
        <w:sz w:val="24"/>
        <w:szCs w:val="24"/>
      </w:rPr>
      <w:tblPr/>
      <w:tcPr>
        <w:shd w:val="clear" w:color="auto" w:fill="E7E6E6"/>
      </w:tcPr>
    </w:tblStylePr>
    <w:tblStylePr w:type="firstCol">
      <w:pPr>
        <w:jc w:val="left"/>
      </w:pPr>
    </w:tblStylePr>
  </w:style>
  <w:style w:type="paragraph" w:customStyle="1" w:styleId="DefaqtoTableBody">
    <w:name w:val="Defaqto Table Body"/>
    <w:link w:val="DefaqtoTableBodyChar"/>
    <w:qFormat/>
    <w:pPr>
      <w:spacing w:after="0" w:line="240" w:lineRule="auto"/>
    </w:pPr>
    <w:rPr>
      <w:rFonts w:eastAsia="Times New Roman" w:cs="Arial"/>
      <w:sz w:val="16"/>
      <w:szCs w:val="16"/>
      <w:lang w:val="en-US" w:eastAsia="en-US"/>
    </w:rPr>
  </w:style>
  <w:style w:type="paragraph" w:customStyle="1" w:styleId="DefaqtoTableBody2">
    <w:name w:val="Defaqto Table Body 2"/>
    <w:basedOn w:val="DefaqtoTableBody"/>
    <w:link w:val="DefaqtoTableBody2Char"/>
    <w:qFormat/>
    <w:pPr>
      <w:spacing w:before="60" w:after="60"/>
    </w:pPr>
    <w:rPr>
      <w:rFonts w:ascii="Poppins" w:hAnsi="Poppins"/>
      <w:color w:val="392388"/>
    </w:rPr>
  </w:style>
  <w:style w:type="table" w:customStyle="1" w:styleId="CSRTable2">
    <w:name w:val="CSRTable2"/>
    <w:basedOn w:val="TableNormal"/>
    <w:uiPriority w:val="99"/>
    <w:pPr>
      <w:spacing w:after="0" w:line="240" w:lineRule="auto"/>
      <w:jc w:val="center"/>
    </w:pPr>
    <w:rPr>
      <w:b/>
      <w:bCs/>
      <w:sz w:val="28"/>
      <w:szCs w:val="28"/>
    </w:rPr>
    <w:tblPr>
      <w:tblStyleRowBandSize w:val="1"/>
      <w:tblStyleColBandSize w:val="1"/>
      <w:tblCellMar>
        <w:top w:w="113" w:type="dxa"/>
        <w:bottom w:w="113" w:type="dxa"/>
      </w:tblCellMar>
    </w:tblPr>
    <w:tcPr>
      <w:shd w:val="clear" w:color="auto" w:fill="E7E6E6"/>
    </w:tcPr>
    <w:tblStylePr w:type="firstRow">
      <w:tblPr/>
      <w:tcPr>
        <w:tcMar>
          <w:top w:w="284" w:type="dxa"/>
          <w:left w:w="0" w:type="nil"/>
          <w:bottom w:w="0" w:type="nil"/>
          <w:right w:w="0" w:type="nil"/>
        </w:tcMar>
      </w:tcPr>
    </w:tblStylePr>
    <w:tblStylePr w:type="lastRow">
      <w:rPr>
        <w:rFonts w:ascii="Calibri" w:hAnsi="Calibri"/>
        <w:b w:val="0"/>
        <w:bCs w:val="0"/>
        <w:sz w:val="22"/>
        <w:szCs w:val="22"/>
      </w:rPr>
      <w:tblPr/>
      <w:tcPr>
        <w:tcMar>
          <w:top w:w="0" w:type="nil"/>
          <w:left w:w="0" w:type="nil"/>
          <w:bottom w:w="284" w:type="dxa"/>
          <w:right w:w="0" w:type="nil"/>
        </w:tcMar>
      </w:tcPr>
    </w:tblStylePr>
  </w:style>
  <w:style w:type="paragraph" w:customStyle="1" w:styleId="SBParagraph">
    <w:name w:val="SB Paragraph"/>
    <w:basedOn w:val="Normal"/>
    <w:link w:val="SBParagraphChar"/>
    <w:qFormat/>
    <w:rPr>
      <w:rFonts w:cs="Times New Roman"/>
      <w:color w:val="7F7F7F"/>
      <w:sz w:val="24"/>
      <w:szCs w:val="24"/>
    </w:rPr>
  </w:style>
  <w:style w:type="paragraph" w:customStyle="1" w:styleId="Normal-spacebefore">
    <w:name w:val="Normal-spacebefore"/>
    <w:basedOn w:val="SBParagraph"/>
    <w:link w:val="Normal-spacebeforeChar"/>
    <w:qFormat/>
    <w:pPr>
      <w:spacing w:before="160" w:after="0"/>
    </w:pPr>
  </w:style>
  <w:style w:type="character" w:customStyle="1" w:styleId="SBParagraphChar">
    <w:name w:val="SB Paragraph Char"/>
    <w:basedOn w:val="DefaultParagraphFont"/>
    <w:link w:val="SBParagraph"/>
    <w:rPr>
      <w:rFonts w:ascii="Calibri" w:eastAsia="Calibri" w:hAnsi="Calibri" w:cs="Times New Roman"/>
      <w:color w:val="7F7F7F"/>
      <w:sz w:val="24"/>
      <w:szCs w:val="24"/>
    </w:rPr>
  </w:style>
  <w:style w:type="character" w:customStyle="1" w:styleId="Normal-spacebeforeChar">
    <w:name w:val="Normal-spacebefore Char"/>
    <w:basedOn w:val="SBParagraphChar"/>
    <w:link w:val="Normal-spacebefore"/>
    <w:rPr>
      <w:rFonts w:ascii="Calibri" w:eastAsia="Calibri" w:hAnsi="Calibri" w:cs="Calibri"/>
      <w:color w:val="7F7F7F"/>
      <w:sz w:val="24"/>
      <w:szCs w:val="24"/>
    </w:rPr>
  </w:style>
  <w:style w:type="paragraph" w:customStyle="1" w:styleId="RedWarningBox">
    <w:name w:val="RedWarningBox"/>
    <w:basedOn w:val="Normal"/>
    <w:link w:val="RedWarningBoxChar"/>
    <w:qFormat/>
    <w:rPr>
      <w:rFonts w:cs="Segoe UI Symbol"/>
      <w:bdr w:val="single" w:sz="4" w:space="0" w:color="FF0000"/>
    </w:rPr>
  </w:style>
  <w:style w:type="character" w:customStyle="1" w:styleId="RedWarningBoxChar">
    <w:name w:val="RedWarningBox Char"/>
    <w:basedOn w:val="DefaultParagraphFont"/>
    <w:link w:val="RedWarningBox"/>
    <w:rPr>
      <w:rFonts w:ascii="Calibri" w:eastAsia="Calibri" w:hAnsi="Calibri" w:cs="Segoe UI Symbol"/>
      <w:bdr w:val="single" w:sz="4" w:space="0" w:color="FF0000"/>
    </w:rPr>
  </w:style>
  <w:style w:type="paragraph" w:customStyle="1" w:styleId="CSRHeading4">
    <w:name w:val="CSRHeading4"/>
    <w:basedOn w:val="Heading4"/>
    <w:link w:val="CSRHeading4Char"/>
    <w:rPr>
      <w:rFonts w:ascii="Calibri Light" w:hAnsi="Calibri Light"/>
      <w:b w:val="0"/>
      <w:bCs w:val="0"/>
    </w:rPr>
  </w:style>
  <w:style w:type="character" w:customStyle="1" w:styleId="CSRHeading4Char">
    <w:name w:val="CSRHeading4 Char"/>
    <w:basedOn w:val="Heading4Char"/>
    <w:link w:val="CSRHeading4"/>
    <w:rPr>
      <w:rFonts w:ascii="Calibri Light" w:eastAsia="Calibri" w:hAnsi="Calibri Light" w:cs="Calibri"/>
      <w:b w:val="0"/>
      <w:bCs w:val="0"/>
      <w:color w:val="005392"/>
      <w:sz w:val="28"/>
      <w:szCs w:val="28"/>
    </w:rPr>
  </w:style>
  <w:style w:type="paragraph" w:customStyle="1" w:styleId="CSRTable3">
    <w:name w:val="CSRTable3"/>
    <w:basedOn w:val="Normal"/>
    <w:link w:val="CSRTable3Char"/>
    <w:qFormat/>
    <w:pPr>
      <w:spacing w:after="0" w:line="276" w:lineRule="auto"/>
    </w:pPr>
    <w:rPr>
      <w:b/>
      <w:bCs/>
      <w:sz w:val="16"/>
      <w:szCs w:val="16"/>
    </w:rPr>
  </w:style>
  <w:style w:type="character" w:customStyle="1" w:styleId="CSRTable3Char">
    <w:name w:val="CSRTable3 Char"/>
    <w:basedOn w:val="DefaultParagraphFont"/>
    <w:link w:val="CSRTable3"/>
    <w:rPr>
      <w:rFonts w:ascii="Calibri" w:eastAsia="Calibri" w:hAnsi="Calibri" w:cs="Calibri"/>
      <w:b/>
      <w:bCs/>
      <w:sz w:val="16"/>
      <w:szCs w:val="16"/>
    </w:rPr>
  </w:style>
  <w:style w:type="table" w:customStyle="1" w:styleId="TableGrid0">
    <w:name w:val="TableGrid"/>
    <w:pPr>
      <w:spacing w:after="0" w:line="240" w:lineRule="auto"/>
    </w:pPr>
    <w:tblPr>
      <w:tblStyleRowBandSize w:val="1"/>
      <w:tblStyleColBandSize w:val="1"/>
      <w:tblCellMar>
        <w:top w:w="0" w:type="dxa"/>
        <w:left w:w="0" w:type="dxa"/>
        <w:bottom w:w="0" w:type="dxa"/>
        <w:right w:w="0" w:type="dxa"/>
      </w:tblCellMar>
    </w:tblPr>
  </w:style>
  <w:style w:type="table" w:customStyle="1" w:styleId="CSRTable5">
    <w:name w:val="CSRTable5"/>
    <w:basedOn w:val="TableNormal"/>
    <w:uiPriority w:val="99"/>
    <w:pPr>
      <w:spacing w:before="40" w:after="40"/>
      <w:jc w:val="right"/>
    </w:pPr>
    <w:rPr>
      <w:sz w:val="20"/>
      <w:szCs w:val="20"/>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ascii="Calibri" w:hAnsi="Calibri"/>
        <w:b w:val="0"/>
        <w:bCs w:val="0"/>
        <w:sz w:val="24"/>
        <w:szCs w:val="24"/>
      </w:rPr>
      <w:tblPr/>
      <w:tcPr>
        <w:shd w:val="clear" w:color="auto" w:fill="E7E6E6"/>
      </w:tcPr>
    </w:tblStylePr>
    <w:tblStylePr w:type="lastRow">
      <w:rPr>
        <w:color w:val="F2F2F2"/>
      </w:rPr>
      <w:tblPr/>
      <w:tcPr>
        <w:shd w:val="clear" w:color="auto" w:fill="EE7203"/>
      </w:tcPr>
    </w:tblStylePr>
    <w:tblStylePr w:type="firstCol">
      <w:pPr>
        <w:jc w:val="left"/>
      </w:pPr>
    </w:tblStylePr>
  </w:style>
  <w:style w:type="character" w:styleId="Strong">
    <w:name w:val="Strong"/>
    <w:basedOn w:val="DefaultParagraphFont"/>
    <w:uiPriority w:val="22"/>
    <w:qFormat/>
    <w:rPr>
      <w:b/>
      <w:bCs/>
    </w:rPr>
  </w:style>
  <w:style w:type="paragraph" w:customStyle="1" w:styleId="DefaqtoStrong">
    <w:name w:val="Defaqto Strong"/>
    <w:basedOn w:val="Normal"/>
    <w:link w:val="DefaqtoStrongChar"/>
    <w:qFormat/>
    <w:rPr>
      <w:rFonts w:ascii="Poppins" w:hAnsi="Poppins"/>
      <w:b/>
      <w:bCs/>
      <w:sz w:val="20"/>
      <w:szCs w:val="20"/>
    </w:rPr>
  </w:style>
  <w:style w:type="character" w:customStyle="1" w:styleId="DefaqtoStrongChar">
    <w:name w:val="Defaqto Strong Char"/>
    <w:basedOn w:val="DefaultParagraphFont"/>
    <w:link w:val="DefaqtoStrong"/>
    <w:rPr>
      <w:rFonts w:ascii="Poppins" w:eastAsia="Calibri" w:hAnsi="Poppins" w:cs="Calibri"/>
      <w:b/>
      <w:bCs/>
      <w:sz w:val="20"/>
      <w:szCs w:val="20"/>
    </w:rPr>
  </w:style>
  <w:style w:type="paragraph" w:customStyle="1" w:styleId="DefaqtoHeading5">
    <w:name w:val="Defaqto Heading 5"/>
    <w:basedOn w:val="Normal"/>
    <w:link w:val="DefaqtoHeading5Char"/>
    <w:qFormat/>
    <w:rPr>
      <w:rFonts w:ascii="Poppins" w:hAnsi="Poppins"/>
      <w:color w:val="392388"/>
      <w:sz w:val="24"/>
      <w:szCs w:val="24"/>
    </w:rPr>
  </w:style>
  <w:style w:type="character" w:customStyle="1" w:styleId="DefaqtoHeading5Char">
    <w:name w:val="Defaqto Heading 5 Char"/>
    <w:basedOn w:val="DefaultParagraphFont"/>
    <w:link w:val="DefaqtoHeading5"/>
    <w:rPr>
      <w:rFonts w:ascii="Poppins" w:eastAsia="Calibri" w:hAnsi="Poppins" w:cs="Calibri"/>
      <w:color w:val="392388"/>
      <w:sz w:val="24"/>
      <w:szCs w:val="24"/>
    </w:rPr>
  </w:style>
  <w:style w:type="character" w:customStyle="1" w:styleId="Heading5Char">
    <w:name w:val="Heading 5 Char"/>
    <w:basedOn w:val="DefaultParagraphFont"/>
    <w:link w:val="Heading5"/>
    <w:uiPriority w:val="9"/>
    <w:semiHidden/>
    <w:rPr>
      <w:rFonts w:ascii="Calibri Light" w:eastAsia="Calibri Light" w:hAnsi="Calibri Light"/>
      <w:color w:val="1C1D42"/>
    </w:rPr>
  </w:style>
  <w:style w:type="paragraph" w:customStyle="1" w:styleId="Defaqtobody0">
    <w:name w:val="Defaqto body"/>
    <w:basedOn w:val="Normal"/>
    <w:link w:val="DefaqtobodyChar0"/>
    <w:rPr>
      <w:rFonts w:ascii="Arial" w:eastAsia="Arial" w:hAnsi="Arial" w:cs="Times New Roman"/>
      <w:color w:val="808080"/>
      <w:sz w:val="24"/>
      <w:szCs w:val="24"/>
      <w:lang w:eastAsia="en-US"/>
    </w:rPr>
  </w:style>
  <w:style w:type="character" w:customStyle="1" w:styleId="DefaqtobodyChar0">
    <w:name w:val="Defaqto body Char"/>
    <w:link w:val="Defaqtobody0"/>
    <w:rPr>
      <w:rFonts w:ascii="Arial" w:eastAsia="Arial" w:hAnsi="Arial" w:cs="Times New Roman"/>
      <w:color w:val="808080"/>
      <w:sz w:val="24"/>
      <w:szCs w:val="24"/>
      <w:lang w:eastAsia="en-US"/>
    </w:rPr>
  </w:style>
  <w:style w:type="paragraph" w:customStyle="1" w:styleId="DefaqtoCoverPageLevel1">
    <w:name w:val="Defaqto Cover Page Level 1"/>
    <w:link w:val="DefaqtoCoverPageLevel1Char"/>
    <w:qFormat/>
    <w:pPr>
      <w:tabs>
        <w:tab w:val="left" w:pos="3210"/>
      </w:tabs>
      <w:spacing w:after="0" w:line="240" w:lineRule="auto"/>
    </w:pPr>
    <w:rPr>
      <w:rFonts w:ascii="TeXGyreAdventor" w:eastAsia="Cambria" w:hAnsi="TeXGyreAdventor" w:cs="Arial"/>
      <w:color w:val="FFFFFF"/>
      <w:sz w:val="48"/>
      <w:szCs w:val="48"/>
      <w:lang w:eastAsia="en-US"/>
    </w:rPr>
  </w:style>
  <w:style w:type="character" w:customStyle="1" w:styleId="DefaqtoCoverPageLevel1Char">
    <w:name w:val="Defaqto Cover Page Level 1 Char"/>
    <w:link w:val="DefaqtoCoverPageLevel1"/>
    <w:rPr>
      <w:rFonts w:ascii="TeXGyreAdventor" w:eastAsia="Cambria" w:hAnsi="TeXGyreAdventor" w:cs="Arial"/>
      <w:color w:val="FFFFFF"/>
      <w:sz w:val="48"/>
      <w:szCs w:val="48"/>
      <w:lang w:eastAsia="en-US"/>
    </w:rPr>
  </w:style>
  <w:style w:type="paragraph" w:customStyle="1" w:styleId="DefaqtoCoverPageLevel2">
    <w:name w:val="Defaqto Cover Page Level 2"/>
    <w:basedOn w:val="DefaqtoCoverPageLevel1"/>
    <w:link w:val="DefaqtoCoverPageLevel2Char"/>
    <w:qFormat/>
    <w:pPr>
      <w:ind w:left="720"/>
    </w:pPr>
    <w:rPr>
      <w:sz w:val="32"/>
      <w:szCs w:val="32"/>
    </w:rPr>
  </w:style>
  <w:style w:type="character" w:customStyle="1" w:styleId="DefaqtoCoverPageLevel2Char">
    <w:name w:val="Defaqto Cover Page Level 2 Char"/>
    <w:link w:val="DefaqtoCoverPageLevel2"/>
    <w:rPr>
      <w:rFonts w:ascii="TeXGyreAdventor" w:eastAsia="Cambria" w:hAnsi="TeXGyreAdventor" w:cs="Arial"/>
      <w:color w:val="FFFFFF"/>
      <w:sz w:val="32"/>
      <w:szCs w:val="32"/>
      <w:lang w:eastAsia="en-US"/>
    </w:rPr>
  </w:style>
  <w:style w:type="paragraph" w:customStyle="1" w:styleId="DefaqtoHeading2">
    <w:name w:val="Defaqto Heading 2"/>
    <w:basedOn w:val="Heading2"/>
    <w:next w:val="DefaqtoBody"/>
    <w:link w:val="DefaqtoHeading2Char"/>
    <w:qFormat/>
    <w:pPr>
      <w:spacing w:before="120" w:after="320"/>
      <w:ind w:left="0"/>
    </w:pPr>
    <w:rPr>
      <w:rFonts w:ascii="Poppins SemiBold" w:eastAsia="Cambria" w:hAnsi="Poppins SemiBold" w:cs="Times New Roman"/>
      <w:sz w:val="32"/>
      <w:szCs w:val="32"/>
      <w:lang w:eastAsia="en-US"/>
    </w:rPr>
  </w:style>
  <w:style w:type="paragraph" w:customStyle="1" w:styleId="DefaqtoHeading2-noTOC">
    <w:name w:val="Defaqto Heading 2 - no TOC"/>
    <w:basedOn w:val="DefaqtoHeading2"/>
    <w:link w:val="DefaqtoHeading2-noTOCChar"/>
    <w:qFormat/>
    <w:pPr>
      <w:outlineLvl w:val="9"/>
    </w:pPr>
  </w:style>
  <w:style w:type="character" w:customStyle="1" w:styleId="DefaqtoHeading2-noTOCChar">
    <w:name w:val="Defaqto Heading 2 - no TOC Char"/>
    <w:link w:val="DefaqtoHeading2-noTOC"/>
    <w:rPr>
      <w:rFonts w:ascii="Calibri Light" w:eastAsia="Cambria" w:hAnsi="Calibri Light" w:cs="Times New Roman"/>
      <w:b/>
      <w:bCs/>
      <w:color w:val="252758"/>
      <w:sz w:val="28"/>
      <w:szCs w:val="28"/>
      <w:lang w:eastAsia="en-US"/>
    </w:rPr>
  </w:style>
  <w:style w:type="paragraph" w:customStyle="1" w:styleId="DefaqtoHeading3">
    <w:name w:val="Defaqto Heading 3"/>
    <w:basedOn w:val="Heading2"/>
    <w:next w:val="DefaqtoBody"/>
    <w:link w:val="DefaqtoHeading3Char"/>
    <w:qFormat/>
    <w:pPr>
      <w:spacing w:after="320"/>
      <w:ind w:left="0"/>
      <w:outlineLvl w:val="2"/>
    </w:pPr>
    <w:rPr>
      <w:rFonts w:ascii="Poppins SemiBold" w:hAnsi="Poppins SemiBold"/>
      <w:sz w:val="22"/>
      <w:szCs w:val="22"/>
      <w:lang w:val="en-NZ"/>
    </w:rPr>
  </w:style>
  <w:style w:type="paragraph" w:customStyle="1" w:styleId="DefaqtoHeading3-noTOC">
    <w:name w:val="Defaqto Heading 3 - no TOC"/>
    <w:basedOn w:val="DefaqtoHeading3"/>
    <w:link w:val="DefaqtoHeading3-noTOCChar"/>
    <w:qFormat/>
    <w:pPr>
      <w:outlineLvl w:val="9"/>
    </w:pPr>
  </w:style>
  <w:style w:type="character" w:customStyle="1" w:styleId="DefaqtoHeading3-noTOCChar">
    <w:name w:val="Defaqto Heading 3 - no TOC Char"/>
    <w:link w:val="DefaqtoHeading3-noTOC"/>
    <w:rPr>
      <w:rFonts w:ascii="Calibri Light" w:eastAsia="Cambria" w:hAnsi="Calibri Light" w:cs="Times New Roman"/>
      <w:b/>
      <w:bCs/>
      <w:color w:val="252758"/>
      <w:sz w:val="24"/>
      <w:szCs w:val="24"/>
      <w:lang w:val="en-NZ" w:eastAsia="en-US"/>
    </w:rPr>
  </w:style>
  <w:style w:type="paragraph" w:customStyle="1" w:styleId="DefaqtoIntroText">
    <w:name w:val="Defaqto Intro Text"/>
    <w:basedOn w:val="Heading2"/>
    <w:link w:val="DefaqtoIntroTextChar"/>
    <w:qFormat/>
    <w:pPr>
      <w:spacing w:before="400" w:after="360"/>
      <w:ind w:left="0"/>
      <w:outlineLvl w:val="9"/>
    </w:pPr>
    <w:rPr>
      <w:rFonts w:eastAsia="MS Gothic" w:cs="Times New Roman"/>
      <w:sz w:val="32"/>
      <w:szCs w:val="32"/>
      <w:lang w:eastAsia="en-US"/>
    </w:rPr>
  </w:style>
  <w:style w:type="character" w:customStyle="1" w:styleId="DefaqtoIntroTextChar">
    <w:name w:val="Defaqto Intro Text Char"/>
    <w:link w:val="DefaqtoIntroText"/>
    <w:rPr>
      <w:rFonts w:ascii="Poppins" w:eastAsia="MS Gothic" w:hAnsi="Poppins" w:cs="Times New Roman"/>
      <w:color w:val="392388"/>
      <w:sz w:val="32"/>
      <w:szCs w:val="32"/>
      <w:lang w:eastAsia="en-US"/>
    </w:rPr>
  </w:style>
  <w:style w:type="paragraph" w:customStyle="1" w:styleId="DefaqtoIntrotext0">
    <w:name w:val="Defaqto Intro text"/>
    <w:basedOn w:val="Heading2"/>
    <w:link w:val="DefaqtoIntrotextChar0"/>
    <w:pPr>
      <w:spacing w:before="400" w:after="360"/>
      <w:ind w:left="0"/>
      <w:outlineLvl w:val="9"/>
    </w:pPr>
    <w:rPr>
      <w:rFonts w:ascii="Arial" w:eastAsia="MS Gothic" w:hAnsi="Arial" w:cs="Times New Roman"/>
      <w:color w:val="00538F"/>
      <w:sz w:val="32"/>
      <w:szCs w:val="32"/>
      <w:lang w:eastAsia="en-US"/>
    </w:rPr>
  </w:style>
  <w:style w:type="character" w:customStyle="1" w:styleId="DefaqtoIntrotextChar0">
    <w:name w:val="Defaqto Intro text Char"/>
    <w:link w:val="DefaqtoIntrotext0"/>
    <w:rPr>
      <w:rFonts w:ascii="Arial" w:eastAsia="MS Gothic" w:hAnsi="Arial" w:cs="Times New Roman"/>
      <w:color w:val="00538F"/>
      <w:sz w:val="32"/>
      <w:szCs w:val="32"/>
      <w:lang w:eastAsia="en-US"/>
    </w:rPr>
  </w:style>
  <w:style w:type="paragraph" w:customStyle="1" w:styleId="DefaqtoLevel2">
    <w:name w:val="Defaqto Level 2"/>
    <w:basedOn w:val="Heading2"/>
    <w:link w:val="DefaqtoLevel2Char"/>
    <w:qFormat/>
    <w:pPr>
      <w:spacing w:before="240" w:after="240"/>
      <w:ind w:left="0"/>
    </w:pPr>
    <w:rPr>
      <w:rFonts w:ascii="Arial" w:eastAsia="MS Gothic" w:hAnsi="Arial" w:cs="Times New Roman"/>
      <w:b/>
      <w:bCs/>
      <w:color w:val="003479"/>
      <w:sz w:val="28"/>
      <w:szCs w:val="28"/>
      <w:lang w:eastAsia="en-US"/>
    </w:rPr>
  </w:style>
  <w:style w:type="character" w:customStyle="1" w:styleId="DefaqtoLevel2Char">
    <w:name w:val="Defaqto Level 2 Char"/>
    <w:link w:val="DefaqtoLevel2"/>
    <w:rPr>
      <w:rFonts w:ascii="Arial" w:eastAsia="MS Gothic" w:hAnsi="Arial" w:cs="Times New Roman"/>
      <w:b/>
      <w:bCs/>
      <w:color w:val="003479"/>
      <w:sz w:val="28"/>
      <w:szCs w:val="28"/>
      <w:lang w:eastAsia="en-US"/>
    </w:rPr>
  </w:style>
  <w:style w:type="paragraph" w:customStyle="1" w:styleId="Defaqtosmallprint">
    <w:name w:val="Defaqto smallprint"/>
    <w:basedOn w:val="Normal"/>
    <w:link w:val="DefaqtosmallprintChar"/>
    <w:qFormat/>
    <w:pPr>
      <w:keepNext/>
      <w:keepLines/>
      <w:spacing w:before="240" w:after="240"/>
    </w:pPr>
    <w:rPr>
      <w:rFonts w:ascii="Poppins" w:eastAsia="MS Gothic" w:hAnsi="Poppins" w:cs="Times New Roman"/>
      <w:color w:val="392388"/>
      <w:sz w:val="16"/>
      <w:szCs w:val="16"/>
      <w:lang w:eastAsia="en-US"/>
    </w:rPr>
  </w:style>
  <w:style w:type="character" w:customStyle="1" w:styleId="DefaqtosmallprintChar">
    <w:name w:val="Defaqto smallprint Char"/>
    <w:link w:val="Defaqtosmallprint"/>
    <w:rPr>
      <w:rFonts w:ascii="Poppins" w:eastAsia="MS Gothic" w:hAnsi="Poppins" w:cs="Times New Roman"/>
      <w:color w:val="392388"/>
      <w:sz w:val="16"/>
      <w:szCs w:val="16"/>
      <w:lang w:eastAsia="en-US"/>
    </w:rPr>
  </w:style>
  <w:style w:type="paragraph" w:customStyle="1" w:styleId="DefaqtoStyle">
    <w:name w:val="Defaqto Style"/>
    <w:basedOn w:val="Normal"/>
    <w:link w:val="DefaqtoStyleChar"/>
    <w:qFormat/>
    <w:pPr>
      <w:tabs>
        <w:tab w:val="center" w:pos="4513"/>
        <w:tab w:val="right" w:pos="9026"/>
      </w:tabs>
      <w:suppressAutoHyphens/>
      <w:spacing w:after="0" w:line="276" w:lineRule="auto"/>
      <w:ind w:right="1372"/>
    </w:pPr>
    <w:rPr>
      <w:rFonts w:ascii="Arial" w:eastAsia="Cambria" w:hAnsi="Arial" w:cs="Times New Roman"/>
      <w:color w:val="003479"/>
      <w:sz w:val="20"/>
      <w:szCs w:val="20"/>
      <w:lang w:eastAsia="en-US"/>
    </w:rPr>
  </w:style>
  <w:style w:type="character" w:customStyle="1" w:styleId="DefaqtoStyleChar">
    <w:name w:val="Defaqto Style Char"/>
    <w:link w:val="DefaqtoStyle"/>
    <w:rPr>
      <w:rFonts w:ascii="Arial" w:eastAsia="Cambria" w:hAnsi="Arial" w:cs="Times New Roman"/>
      <w:color w:val="003479"/>
      <w:sz w:val="20"/>
      <w:szCs w:val="20"/>
      <w:lang w:eastAsia="en-US"/>
    </w:rPr>
  </w:style>
  <w:style w:type="table" w:customStyle="1" w:styleId="DefaqtoTable">
    <w:name w:val="Defaqto Table"/>
    <w:basedOn w:val="TableNormal"/>
    <w:uiPriority w:val="99"/>
    <w:pPr>
      <w:spacing w:after="0" w:line="240" w:lineRule="auto"/>
    </w:pPr>
    <w:rPr>
      <w:rFonts w:ascii="Poppins" w:eastAsia="Times New Roman" w:hAnsi="Poppins"/>
      <w:lang w:eastAsia="en-US"/>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vAlign w:val="center"/>
    </w:tcPr>
    <w:tblStylePr w:type="firstRow">
      <w:rPr>
        <w:rFonts w:ascii="Poppins SemiBold" w:hAnsi="Poppins SemiBold"/>
        <w:b/>
        <w:bCs/>
        <w:color w:val="392388"/>
        <w:sz w:val="22"/>
        <w:szCs w:val="22"/>
      </w:rPr>
      <w:tblPr/>
      <w:tcPr>
        <w:tcBorders>
          <w:bottom w:val="single" w:sz="18" w:space="0" w:color="614FA0"/>
        </w:tcBorders>
        <w:shd w:val="clear" w:color="auto" w:fill="FFFFFF"/>
      </w:tcPr>
    </w:tblStylePr>
    <w:tblStylePr w:type="firstCol">
      <w:pPr>
        <w:jc w:val="left"/>
      </w:pPr>
    </w:tblStylePr>
    <w:tblStylePr w:type="band1Horz">
      <w:rPr>
        <w:rFonts w:ascii="Poppins" w:hAnsi="Poppins"/>
        <w:color w:val="392388"/>
        <w:sz w:val="22"/>
        <w:szCs w:val="22"/>
      </w:rPr>
      <w:tblPr/>
      <w:tcPr>
        <w:shd w:val="clear" w:color="auto" w:fill="FFFFFF"/>
      </w:tcPr>
    </w:tblStylePr>
    <w:tblStylePr w:type="band2Horz">
      <w:rPr>
        <w:rFonts w:ascii="Poppins" w:hAnsi="Poppins"/>
        <w:color w:val="392388"/>
        <w:sz w:val="22"/>
        <w:szCs w:val="22"/>
      </w:rPr>
      <w:tblPr/>
      <w:tcPr>
        <w:shd w:val="clear" w:color="auto" w:fill="EFEAFB"/>
      </w:tcPr>
    </w:tblStylePr>
  </w:style>
  <w:style w:type="character" w:customStyle="1" w:styleId="DefaqtoTableBody2Char">
    <w:name w:val="Defaqto Table Body 2 Char"/>
    <w:link w:val="DefaqtoTableBody2"/>
    <w:rPr>
      <w:rFonts w:ascii="Poppins" w:eastAsia="Times New Roman" w:hAnsi="Poppins" w:cs="Arial"/>
      <w:color w:val="392388"/>
      <w:sz w:val="16"/>
      <w:szCs w:val="16"/>
      <w:lang w:val="en-US" w:eastAsia="en-US"/>
    </w:rPr>
  </w:style>
  <w:style w:type="paragraph" w:customStyle="1" w:styleId="DefaqtoHeading1">
    <w:name w:val="Defaqto Heading 1"/>
    <w:basedOn w:val="Heading1"/>
    <w:next w:val="DefaqtoBody"/>
    <w:link w:val="DefaqtoHeading1Char"/>
    <w:qFormat/>
    <w:pPr>
      <w:spacing w:before="120" w:after="320"/>
      <w:ind w:left="0"/>
    </w:pPr>
    <w:rPr>
      <w:rFonts w:cs="Times New Roman"/>
      <w:b w:val="0"/>
      <w:bCs w:val="0"/>
      <w:sz w:val="48"/>
      <w:szCs w:val="48"/>
      <w:lang w:eastAsia="en-US"/>
    </w:rPr>
  </w:style>
  <w:style w:type="paragraph" w:customStyle="1" w:styleId="DefaqtoContentspageheading">
    <w:name w:val="Defaqto Contents page heading"/>
    <w:basedOn w:val="DefaqtoHeading1"/>
    <w:qFormat/>
    <w:pPr>
      <w:outlineLvl w:val="9"/>
    </w:pPr>
  </w:style>
  <w:style w:type="paragraph" w:customStyle="1" w:styleId="DefaqtoCoverHeading-noTOC">
    <w:name w:val="Defaqto Cover Heading - no TOC"/>
    <w:basedOn w:val="Heading1"/>
    <w:qFormat/>
    <w:pPr>
      <w:ind w:left="23"/>
      <w:outlineLvl w:val="9"/>
    </w:pPr>
    <w:rPr>
      <w:sz w:val="64"/>
      <w:szCs w:val="64"/>
    </w:rPr>
  </w:style>
  <w:style w:type="paragraph" w:customStyle="1" w:styleId="DefaqtoBodyAfterHeading">
    <w:name w:val="Defaqto Body After Heading"/>
    <w:basedOn w:val="DefaqtoBody"/>
    <w:link w:val="DefaqtoBodyAfterHeadingChar"/>
    <w:qFormat/>
    <w:pPr>
      <w:spacing w:before="0"/>
    </w:pPr>
  </w:style>
  <w:style w:type="character" w:customStyle="1" w:styleId="DefaqtoBodyAfterHeadingChar">
    <w:name w:val="Defaqto Body After Heading Char"/>
    <w:basedOn w:val="DefaqtoBodyChar"/>
    <w:link w:val="DefaqtoBodyAfterHeading"/>
    <w:rPr>
      <w:rFonts w:ascii="Calibri" w:eastAsia="Cambria" w:hAnsi="Calibri" w:cs="Times New Roman"/>
      <w:color w:val="7F7F7F"/>
      <w:sz w:val="24"/>
      <w:szCs w:val="24"/>
      <w:lang w:eastAsia="en-US"/>
    </w:rPr>
  </w:style>
  <w:style w:type="paragraph" w:customStyle="1" w:styleId="DefaqtoBodyHeading">
    <w:name w:val="Defaqto Body Heading"/>
    <w:basedOn w:val="DefaqtoIntroText"/>
    <w:link w:val="DefaqtoBodyHeadingChar"/>
    <w:qFormat/>
    <w:pPr>
      <w:spacing w:before="100" w:after="0"/>
      <w:contextualSpacing/>
    </w:pPr>
    <w:rPr>
      <w:rFonts w:eastAsia="Cambria"/>
      <w:b/>
      <w:bCs/>
      <w:color w:val="7F7F7F"/>
      <w:sz w:val="24"/>
      <w:szCs w:val="24"/>
    </w:rPr>
  </w:style>
  <w:style w:type="character" w:customStyle="1" w:styleId="DefaqtoBodyHeadingChar">
    <w:name w:val="Defaqto Body Heading Char"/>
    <w:basedOn w:val="DefaqtoIntroTextChar"/>
    <w:link w:val="DefaqtoBodyHeading"/>
    <w:rPr>
      <w:rFonts w:ascii="Calibri" w:eastAsia="Cambria" w:hAnsi="Calibri" w:cs="Times New Roman"/>
      <w:b/>
      <w:bCs/>
      <w:color w:val="7F7F7F"/>
      <w:sz w:val="24"/>
      <w:szCs w:val="24"/>
      <w:lang w:eastAsia="en-US"/>
    </w:rPr>
  </w:style>
  <w:style w:type="paragraph" w:styleId="TOC5">
    <w:name w:val="toc 5"/>
    <w:basedOn w:val="Normal"/>
    <w:next w:val="Normal"/>
    <w:uiPriority w:val="39"/>
    <w:unhideWhenUsed/>
    <w:pPr>
      <w:suppressAutoHyphens/>
      <w:spacing w:after="0" w:line="276" w:lineRule="auto"/>
      <w:ind w:left="800"/>
    </w:pPr>
    <w:rPr>
      <w:rFonts w:ascii="Poppins" w:eastAsia="Cambria" w:hAnsi="Poppins" w:cs="Arial"/>
      <w:color w:val="392388"/>
      <w:sz w:val="18"/>
      <w:szCs w:val="18"/>
      <w:lang w:eastAsia="en-US"/>
    </w:rPr>
  </w:style>
  <w:style w:type="paragraph" w:styleId="TOC6">
    <w:name w:val="toc 6"/>
    <w:basedOn w:val="Normal"/>
    <w:next w:val="Normal"/>
    <w:uiPriority w:val="39"/>
    <w:unhideWhenUsed/>
    <w:pPr>
      <w:suppressAutoHyphens/>
      <w:spacing w:after="0" w:line="276" w:lineRule="auto"/>
      <w:ind w:left="1000"/>
    </w:pPr>
    <w:rPr>
      <w:rFonts w:ascii="Poppins" w:eastAsia="Cambria" w:hAnsi="Poppins" w:cs="Arial"/>
      <w:color w:val="392388"/>
      <w:sz w:val="18"/>
      <w:szCs w:val="18"/>
      <w:lang w:eastAsia="en-US"/>
    </w:rPr>
  </w:style>
  <w:style w:type="paragraph" w:styleId="TOC7">
    <w:name w:val="toc 7"/>
    <w:basedOn w:val="Normal"/>
    <w:next w:val="Normal"/>
    <w:uiPriority w:val="39"/>
    <w:unhideWhenUsed/>
    <w:pPr>
      <w:suppressAutoHyphens/>
      <w:spacing w:after="0" w:line="276" w:lineRule="auto"/>
      <w:ind w:left="1200"/>
    </w:pPr>
    <w:rPr>
      <w:rFonts w:ascii="Poppins" w:eastAsia="Cambria" w:hAnsi="Poppins" w:cs="Arial"/>
      <w:color w:val="392388"/>
      <w:sz w:val="18"/>
      <w:szCs w:val="18"/>
      <w:lang w:eastAsia="en-US"/>
    </w:rPr>
  </w:style>
  <w:style w:type="paragraph" w:styleId="TOC8">
    <w:name w:val="toc 8"/>
    <w:basedOn w:val="Normal"/>
    <w:next w:val="Normal"/>
    <w:uiPriority w:val="39"/>
    <w:unhideWhenUsed/>
    <w:pPr>
      <w:suppressAutoHyphens/>
      <w:spacing w:after="0" w:line="276" w:lineRule="auto"/>
      <w:ind w:left="1400"/>
    </w:pPr>
    <w:rPr>
      <w:rFonts w:ascii="Poppins" w:eastAsia="Cambria" w:hAnsi="Poppins" w:cs="Arial"/>
      <w:color w:val="392388"/>
      <w:sz w:val="18"/>
      <w:szCs w:val="18"/>
      <w:lang w:eastAsia="en-US"/>
    </w:rPr>
  </w:style>
  <w:style w:type="paragraph" w:styleId="TOC9">
    <w:name w:val="toc 9"/>
    <w:basedOn w:val="Normal"/>
    <w:next w:val="Normal"/>
    <w:uiPriority w:val="39"/>
    <w:unhideWhenUsed/>
    <w:pPr>
      <w:suppressAutoHyphens/>
      <w:spacing w:after="0" w:line="276" w:lineRule="auto"/>
      <w:ind w:left="1600"/>
    </w:pPr>
    <w:rPr>
      <w:rFonts w:ascii="Poppins" w:eastAsia="Cambria" w:hAnsi="Poppins" w:cs="Arial"/>
      <w:color w:val="392388"/>
      <w:sz w:val="18"/>
      <w:szCs w:val="18"/>
      <w:lang w:eastAsia="en-US"/>
    </w:rPr>
  </w:style>
  <w:style w:type="paragraph" w:styleId="TOCHeading">
    <w:name w:val="TOC Heading"/>
    <w:basedOn w:val="Heading1"/>
    <w:next w:val="Normal"/>
    <w:uiPriority w:val="39"/>
    <w:qFormat/>
    <w:pPr>
      <w:spacing w:before="480" w:line="276" w:lineRule="auto"/>
      <w:ind w:left="0"/>
      <w:outlineLvl w:val="9"/>
    </w:pPr>
    <w:rPr>
      <w:rFonts w:ascii="Poppins" w:eastAsia="MS Gothic" w:hAnsi="Poppins" w:cs="Times New Roman"/>
      <w:color w:val="392388"/>
      <w:sz w:val="28"/>
      <w:szCs w:val="28"/>
      <w:lang w:val="en-US" w:eastAsia="en-US"/>
    </w:rPr>
  </w:style>
  <w:style w:type="table" w:customStyle="1" w:styleId="Custom1">
    <w:name w:val="Custom1"/>
    <w:basedOn w:val="TableNormal"/>
    <w:uiPriority w:val="99"/>
    <w:pPr>
      <w:spacing w:after="0" w:line="240" w:lineRule="auto"/>
    </w:pPr>
    <w:rPr>
      <w:rFonts w:ascii="Poppins" w:eastAsia="Times New Roman"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insideH w:val="single" w:sz="4" w:space="0" w:color="B0A7CF"/>
        <w:insideV w:val="single" w:sz="4" w:space="0" w:color="B0A7CF"/>
      </w:tblBorders>
    </w:tblPr>
    <w:tcPr>
      <w:shd w:val="clear" w:color="auto" w:fill="FFFFFF"/>
    </w:tcPr>
    <w:tblStylePr w:type="firstCol">
      <w:rPr>
        <w:rFonts w:ascii="Poppins" w:hAnsi="Poppins"/>
        <w:b/>
        <w:bCs/>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2">
    <w:name w:val="Custom2"/>
    <w:basedOn w:val="TableNormal"/>
    <w:uiPriority w:val="99"/>
    <w:pPr>
      <w:spacing w:after="0" w:line="240" w:lineRule="auto"/>
    </w:pPr>
    <w:rPr>
      <w:rFonts w:ascii="Times New Roman" w:eastAsia="Times New Roman" w:hAnsi="Times New Roman"/>
      <w:sz w:val="20"/>
      <w:szCs w:val="20"/>
    </w:rPr>
    <w:tblPr>
      <w:tblStyleRowBandSize w:val="1"/>
      <w:tblStyleColBandSize w:val="1"/>
    </w:tblPr>
  </w:style>
  <w:style w:type="table" w:customStyle="1" w:styleId="Custom2b">
    <w:name w:val="Custom2b"/>
    <w:basedOn w:val="Custom2"/>
    <w:uiPriority w:val="99"/>
    <w:rPr>
      <w:color w:val="000000"/>
    </w:rPr>
    <w:tblPr/>
    <w:tcPr>
      <w:shd w:val="clear" w:color="auto" w:fill="D9D9D9"/>
    </w:tcPr>
    <w:tblStylePr w:type="firstRow">
      <w:rPr>
        <w:b/>
        <w:bCs/>
      </w:rPr>
    </w:tblStylePr>
  </w:style>
  <w:style w:type="table" w:customStyle="1" w:styleId="Custom3">
    <w:name w:val="Custom3"/>
    <w:basedOn w:val="TableNormal"/>
    <w:uiPriority w:val="99"/>
    <w:pPr>
      <w:spacing w:after="0" w:line="240" w:lineRule="auto"/>
    </w:pPr>
    <w:rPr>
      <w:rFonts w:eastAsia="Times New Roman"/>
      <w:sz w:val="20"/>
      <w:szCs w:val="20"/>
    </w:rPr>
    <w:tblPr>
      <w:tblStyleRowBandSize w:val="1"/>
      <w:tblStyleColBandSize w:val="1"/>
      <w:tblBorders>
        <w:top w:val="single" w:sz="4" w:space="0" w:color="A6A6A6"/>
        <w:left w:val="nil"/>
        <w:bottom w:val="single" w:sz="4" w:space="0" w:color="A6A6A6"/>
        <w:right w:val="nil"/>
        <w:insideH w:val="single" w:sz="4" w:space="0" w:color="A6A6A6"/>
        <w:insideV w:val="nil"/>
      </w:tblBorders>
    </w:tblPr>
    <w:tcPr>
      <w:shd w:val="clear" w:color="auto" w:fill="FFFFFF"/>
    </w:tcPr>
    <w:tblStylePr w:type="firstRow">
      <w:rPr>
        <w:b/>
        <w:bCs/>
      </w:rPr>
      <w:tblPr/>
      <w:tcPr>
        <w:tcBorders>
          <w:top w:val="single" w:sz="4" w:space="0" w:color="auto"/>
        </w:tcBorders>
        <w:shd w:val="clear" w:color="auto" w:fill="FFFFFF"/>
        <w:vAlign w:val="top"/>
      </w:tcPr>
    </w:tblStylePr>
    <w:tblStylePr w:type="band1Horz">
      <w:tblPr/>
      <w:tcPr>
        <w:shd w:val="clear" w:color="auto" w:fill="FFFFFF"/>
        <w:vAlign w:val="top"/>
      </w:tcPr>
    </w:tblStylePr>
  </w:style>
  <w:style w:type="table" w:customStyle="1" w:styleId="Custom4">
    <w:name w:val="Custom4"/>
    <w:basedOn w:val="Custom1"/>
    <w:uiPriority w:val="99"/>
    <w:tblPr>
      <w:tblBorders>
        <w:top w:val="single" w:sz="4" w:space="0" w:color="BFBFBF"/>
        <w:left w:val="nil"/>
        <w:bottom w:val="single" w:sz="4" w:space="0" w:color="BFBFBF"/>
        <w:right w:val="nil"/>
        <w:insideH w:val="single" w:sz="4" w:space="0" w:color="BFBFBF"/>
        <w:insideV w:val="nil"/>
      </w:tblBorders>
    </w:tblPr>
    <w:tblStylePr w:type="firstRow">
      <w:rPr>
        <w:b/>
        <w:bCs/>
      </w:rPr>
      <w:tblPr/>
      <w:tcPr>
        <w:tcBorders>
          <w:top w:val="single" w:sz="4" w:space="0" w:color="auto"/>
          <w:bottom w:val="single" w:sz="4" w:space="0" w:color="auto"/>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Custom5">
    <w:name w:val="Custom5"/>
    <w:basedOn w:val="Custom3"/>
    <w:uiPriority w:val="99"/>
    <w:rPr>
      <w:rFonts w:ascii="Arial" w:hAnsi="Arial"/>
      <w:sz w:val="24"/>
      <w:szCs w:val="24"/>
    </w:rPr>
    <w:tblPr>
      <w:tblBorders>
        <w:top w:val="nil"/>
        <w:bottom w:val="single" w:sz="4" w:space="0" w:color="BFBFBF"/>
        <w:insideH w:val="single" w:sz="4" w:space="0" w:color="BFBFBF"/>
      </w:tblBorders>
    </w:tblPr>
    <w:tblStylePr w:type="firstRow">
      <w:rPr>
        <w:b/>
        <w:bCs/>
      </w:rPr>
      <w:tblPr/>
      <w:tcPr>
        <w:tcBorders>
          <w:top w:val="single" w:sz="4" w:space="0" w:color="808080"/>
          <w:bottom w:val="single" w:sz="4" w:space="0" w:color="808080"/>
        </w:tcBorders>
        <w:shd w:val="clear" w:color="auto" w:fill="FFFFFF"/>
        <w:vAlign w:val="top"/>
      </w:tcPr>
    </w:tblStylePr>
    <w:tblStylePr w:type="firstCol">
      <w:pPr>
        <w:wordWrap/>
        <w:jc w:val="center"/>
      </w:pPr>
    </w:tblStylePr>
    <w:tblStylePr w:type="band1Horz">
      <w:tblPr/>
      <w:tcPr>
        <w:shd w:val="clear" w:color="auto" w:fill="FFFFFF"/>
        <w:vAlign w:val="top"/>
      </w:tcPr>
    </w:tblStylePr>
  </w:style>
  <w:style w:type="character" w:customStyle="1" w:styleId="DefaqtoTableBodyChar">
    <w:name w:val="Defaqto Table Body Char"/>
    <w:link w:val="DefaqtoTableBody"/>
    <w:rPr>
      <w:rFonts w:ascii="Calibri" w:eastAsia="Times New Roman" w:hAnsi="Calibri" w:cs="Arial"/>
      <w:sz w:val="16"/>
      <w:szCs w:val="16"/>
      <w:lang w:val="en-US" w:eastAsia="en-US"/>
    </w:rPr>
  </w:style>
  <w:style w:type="paragraph" w:styleId="TOC1">
    <w:name w:val="toc 1"/>
    <w:basedOn w:val="Normal"/>
    <w:next w:val="Normal"/>
    <w:link w:val="TOC1Char"/>
    <w:uiPriority w:val="39"/>
    <w:pPr>
      <w:tabs>
        <w:tab w:val="right" w:leader="dot" w:pos="10456"/>
      </w:tabs>
      <w:suppressAutoHyphens/>
      <w:spacing w:before="120" w:after="120" w:line="276" w:lineRule="auto"/>
    </w:pPr>
    <w:rPr>
      <w:rFonts w:ascii="Poppins" w:eastAsia="Cambria" w:hAnsi="Poppins" w:cs="Arial"/>
      <w:b/>
      <w:bCs/>
      <w:caps/>
      <w:color w:val="392388"/>
      <w:sz w:val="20"/>
      <w:szCs w:val="20"/>
      <w:lang w:eastAsia="en-US"/>
    </w:rPr>
  </w:style>
  <w:style w:type="character" w:customStyle="1" w:styleId="TOC1Char">
    <w:name w:val="TOC 1 Char"/>
    <w:link w:val="TOC1"/>
    <w:uiPriority w:val="39"/>
    <w:rPr>
      <w:rFonts w:ascii="Poppins" w:eastAsia="Cambria" w:hAnsi="Poppins" w:cs="Arial"/>
      <w:b/>
      <w:bCs/>
      <w:caps/>
      <w:color w:val="392388"/>
      <w:sz w:val="20"/>
      <w:szCs w:val="20"/>
      <w:lang w:eastAsia="en-US"/>
    </w:rPr>
  </w:style>
  <w:style w:type="paragraph" w:styleId="TOC2">
    <w:name w:val="toc 2"/>
    <w:basedOn w:val="Normal"/>
    <w:next w:val="Normal"/>
    <w:uiPriority w:val="39"/>
    <w:pPr>
      <w:suppressAutoHyphens/>
      <w:spacing w:after="0" w:line="276" w:lineRule="auto"/>
      <w:ind w:left="200"/>
    </w:pPr>
    <w:rPr>
      <w:rFonts w:ascii="Poppins" w:eastAsia="Cambria" w:hAnsi="Poppins" w:cs="Arial"/>
      <w:smallCaps/>
      <w:color w:val="392388"/>
      <w:sz w:val="20"/>
      <w:szCs w:val="20"/>
      <w:lang w:eastAsia="en-US"/>
    </w:rPr>
  </w:style>
  <w:style w:type="paragraph" w:styleId="TOC3">
    <w:name w:val="toc 3"/>
    <w:basedOn w:val="Normal"/>
    <w:next w:val="Normal"/>
    <w:uiPriority w:val="39"/>
    <w:pPr>
      <w:suppressAutoHyphens/>
      <w:spacing w:after="0" w:line="276" w:lineRule="auto"/>
      <w:ind w:left="400"/>
    </w:pPr>
    <w:rPr>
      <w:rFonts w:ascii="Poppins" w:eastAsia="Cambria" w:hAnsi="Poppins" w:cs="Arial"/>
      <w:i/>
      <w:color w:val="392388"/>
      <w:sz w:val="20"/>
      <w:szCs w:val="20"/>
      <w:lang w:eastAsia="en-US"/>
    </w:rPr>
  </w:style>
  <w:style w:type="paragraph" w:styleId="TOC4">
    <w:name w:val="toc 4"/>
    <w:basedOn w:val="Normal"/>
    <w:next w:val="Normal"/>
    <w:uiPriority w:val="39"/>
    <w:unhideWhenUsed/>
    <w:pPr>
      <w:suppressAutoHyphens/>
      <w:spacing w:after="0" w:line="276" w:lineRule="auto"/>
      <w:ind w:left="600"/>
    </w:pPr>
    <w:rPr>
      <w:rFonts w:ascii="Poppins" w:eastAsia="Cambria" w:hAnsi="Poppins" w:cs="Arial"/>
      <w:color w:val="392388"/>
      <w:sz w:val="18"/>
      <w:szCs w:val="18"/>
      <w:lang w:eastAsia="en-US"/>
    </w:rPr>
  </w:style>
  <w:style w:type="table" w:customStyle="1" w:styleId="Custom6">
    <w:name w:val="Custom6"/>
    <w:basedOn w:val="TableNormal"/>
    <w:uiPriority w:val="99"/>
    <w:pPr>
      <w:spacing w:after="0" w:line="240" w:lineRule="auto"/>
    </w:pPr>
    <w:rPr>
      <w:rFonts w:ascii="Poppins" w:eastAsia="Times New Roman" w:hAnsi="Poppins"/>
      <w:color w:val="392388"/>
      <w:sz w:val="28"/>
      <w:szCs w:val="28"/>
    </w:rPr>
    <w:tblPr>
      <w:tblStyleRowBandSize w:val="1"/>
      <w:tblStyleColBandSize w:val="1"/>
      <w:tblCellSpacing w:w="17" w:type="dxa"/>
      <w:tblBorders>
        <w:top w:val="nil"/>
        <w:left w:val="nil"/>
        <w:bottom w:val="nil"/>
        <w:right w:val="nil"/>
        <w:insideH w:val="single" w:sz="8" w:space="0" w:color="B0A7CF"/>
        <w:insideV w:val="single" w:sz="8" w:space="0" w:color="B0A7CF"/>
      </w:tblBorders>
      <w:tblCellMar>
        <w:top w:w="85" w:type="dxa"/>
        <w:left w:w="142" w:type="dxa"/>
        <w:bottom w:w="85" w:type="dxa"/>
        <w:right w:w="142" w:type="dxa"/>
      </w:tblCellMar>
    </w:tblPr>
    <w:trPr>
      <w:tblCellSpacing w:w="17" w:type="dxa"/>
    </w:trPr>
    <w:tcPr>
      <w:shd w:val="clear" w:color="auto" w:fill="FFFFFF"/>
      <w:vAlign w:val="center"/>
    </w:tcPr>
    <w:tblStylePr w:type="firstRow">
      <w:rPr>
        <w:b/>
        <w:bCs/>
      </w:rPr>
    </w:tblStylePr>
  </w:style>
  <w:style w:type="table" w:customStyle="1" w:styleId="CustomPR1">
    <w:name w:val="CustomPR1"/>
    <w:basedOn w:val="TableNormal"/>
    <w:uiPriority w:val="99"/>
    <w:pPr>
      <w:spacing w:after="0" w:line="240" w:lineRule="auto"/>
    </w:pPr>
    <w:rPr>
      <w:rFonts w:ascii="Times New Roman" w:eastAsia="Times New Roman" w:hAnsi="Times New Roman"/>
      <w:sz w:val="20"/>
      <w:szCs w:val="20"/>
    </w:rPr>
    <w:tblPr>
      <w:tblStyleRowBandSize w:val="1"/>
      <w:tblStyleColBandSize w:val="1"/>
      <w:tblBorders>
        <w:top w:val="nil"/>
        <w:left w:val="nil"/>
        <w:bottom w:val="nil"/>
        <w:right w:val="nil"/>
        <w:insideH w:val="single" w:sz="36" w:space="0" w:color="FFFFFF"/>
        <w:insideV w:val="single" w:sz="36" w:space="0" w:color="FFFFFF"/>
      </w:tblBorders>
    </w:tblPr>
  </w:style>
  <w:style w:type="table" w:customStyle="1" w:styleId="CustomPR2">
    <w:name w:val="CustomPR2"/>
    <w:basedOn w:val="TableNormal"/>
    <w:uiPriority w:val="99"/>
    <w:pPr>
      <w:spacing w:after="0" w:line="240" w:lineRule="auto"/>
    </w:pPr>
    <w:rPr>
      <w:rFonts w:eastAsia="Times New Roman"/>
      <w:sz w:val="18"/>
      <w:szCs w:val="18"/>
    </w:rPr>
    <w:tblPr>
      <w:tblStyleRowBandSize w:val="1"/>
      <w:tblStyleColBandSize w:val="1"/>
      <w:jc w:val="center"/>
      <w:tblBorders>
        <w:top w:val="single" w:sz="4" w:space="0" w:color="7F7F7F"/>
        <w:left w:val="nil"/>
        <w:bottom w:val="single" w:sz="4" w:space="0" w:color="7F7F7F"/>
        <w:right w:val="nil"/>
        <w:insideH w:val="single" w:sz="4" w:space="0" w:color="7F7F7F"/>
        <w:insideV w:val="nil"/>
      </w:tblBorders>
    </w:tblPr>
    <w:trPr>
      <w:jc w:val="center"/>
    </w:trPr>
    <w:tcPr>
      <w:tcMar>
        <w:top w:w="144" w:type="dxa"/>
        <w:left w:w="115" w:type="dxa"/>
        <w:bottom w:w="144" w:type="dxa"/>
        <w:right w:w="115" w:type="dxa"/>
      </w:tcMar>
    </w:tcPr>
    <w:tblStylePr w:type="firstRow">
      <w:rPr>
        <w:rFonts w:ascii="Calibri" w:hAnsi="Calibri"/>
        <w:b/>
        <w:bCs/>
        <w:sz w:val="16"/>
        <w:szCs w:val="16"/>
      </w:rPr>
    </w:tblStylePr>
  </w:style>
  <w:style w:type="table" w:customStyle="1" w:styleId="CustomPR3">
    <w:name w:val="CustomPR3"/>
    <w:basedOn w:val="CustomPR1"/>
    <w:uiPriority w:val="99"/>
    <w:tblPr>
      <w:tblBorders>
        <w:insideH w:val="nil"/>
        <w:insideV w:val="nil"/>
      </w:tblBorders>
    </w:tblPr>
    <w:tblStylePr w:type="firstRow">
      <w:rPr>
        <w:b/>
        <w:bCs/>
      </w:rPr>
    </w:tblStylePr>
    <w:tblStylePr w:type="lastRow">
      <w:rPr>
        <w:b/>
        <w:bCs/>
      </w:rPr>
    </w:tblStylePr>
  </w:style>
  <w:style w:type="table" w:customStyle="1" w:styleId="DefaqtoTable-Plain">
    <w:name w:val="Defaqto Table - Plain"/>
    <w:basedOn w:val="TableNormal"/>
    <w:uiPriority w:val="99"/>
    <w:pPr>
      <w:spacing w:after="0" w:line="240" w:lineRule="auto"/>
    </w:pPr>
    <w:rPr>
      <w:rFonts w:ascii="Poppins" w:eastAsia="Times New Roman" w:hAnsi="Poppins"/>
      <w:color w:val="392388"/>
      <w:sz w:val="20"/>
      <w:szCs w:val="20"/>
    </w:rPr>
    <w:tblPr>
      <w:tblStyleRowBandSize w:val="1"/>
      <w:tblStyleColBandSize w:val="1"/>
    </w:tblPr>
  </w:style>
  <w:style w:type="table" w:customStyle="1" w:styleId="CustomPR4">
    <w:name w:val="CustomPR4"/>
    <w:basedOn w:val="DefaqtoTable-Plain"/>
    <w:uiPriority w:val="99"/>
    <w:rPr>
      <w:rFonts w:ascii="Calibri" w:hAnsi="Calibri"/>
      <w:color w:val="000000"/>
    </w:rPr>
    <w:tblPr>
      <w:tblCellSpacing w:w="17" w:type="dxa"/>
      <w:tblBorders>
        <w:top w:val="nil"/>
        <w:left w:val="nil"/>
        <w:bottom w:val="nil"/>
        <w:right w:val="nil"/>
        <w:insideH w:val="nil"/>
        <w:insideV w:val="nil"/>
      </w:tblBorders>
      <w:tblCellMar>
        <w:top w:w="85" w:type="dxa"/>
        <w:left w:w="142" w:type="dxa"/>
        <w:bottom w:w="85" w:type="dxa"/>
        <w:right w:w="142" w:type="dxa"/>
      </w:tblCellMar>
    </w:tblPr>
    <w:trPr>
      <w:tblCellSpacing w:w="17" w:type="dxa"/>
    </w:trPr>
    <w:tcPr>
      <w:shd w:val="clear" w:color="auto" w:fill="D9D9D9"/>
      <w:vAlign w:val="center"/>
    </w:tcPr>
    <w:tblStylePr w:type="firstRow">
      <w:rPr>
        <w:b w:val="0"/>
        <w:bCs w:val="0"/>
      </w:rPr>
    </w:tblStylePr>
    <w:tblStylePr w:type="firstCol">
      <w:rPr>
        <w:b/>
        <w:bCs/>
      </w:rPr>
    </w:tblStylePr>
    <w:tblStylePr w:type="nwCell">
      <w:rPr>
        <w:b/>
        <w:bCs/>
      </w:rPr>
    </w:tblStylePr>
  </w:style>
  <w:style w:type="table" w:customStyle="1" w:styleId="CustomPR5">
    <w:name w:val="CustomPR5"/>
    <w:basedOn w:val="Custom4"/>
    <w:uiPriority w:val="99"/>
    <w:pPr>
      <w:spacing w:line="360" w:lineRule="auto"/>
    </w:pPr>
    <w:rPr>
      <w:rFonts w:ascii="Calibri" w:hAnsi="Calibri"/>
    </w:rPr>
    <w:tblPr>
      <w:tblBorders>
        <w:top w:val="single" w:sz="4" w:space="0" w:color="auto"/>
        <w:bottom w:val="nil"/>
        <w:insideH w:val="nil"/>
      </w:tblBorders>
    </w:tblPr>
    <w:tblStylePr w:type="firstRow">
      <w:rPr>
        <w:b/>
        <w:bCs/>
      </w:rPr>
      <w:tblPr/>
      <w:tcPr>
        <w:tcBorders>
          <w:top w:val="nil"/>
          <w:left w:val="nil"/>
          <w:bottom w:val="single" w:sz="4" w:space="0" w:color="auto"/>
          <w:right w:val="nil"/>
          <w:tl2br w:val="nil"/>
          <w:tr2bl w:val="nil"/>
        </w:tcBorders>
        <w:vAlign w:val="top"/>
      </w:tcPr>
    </w:tblStylePr>
    <w:tblStylePr w:type="firstCol">
      <w:rPr>
        <w:rFonts w:ascii="Poppins" w:hAnsi="Poppins"/>
        <w:b w:val="0"/>
        <w:bCs w:val="0"/>
        <w:sz w:val="22"/>
        <w:szCs w:val="22"/>
      </w:rPr>
      <w:tblPr/>
      <w:tcPr>
        <w:tcBorders>
          <w:top w:val="single" w:sz="4" w:space="0" w:color="B0A7CF"/>
          <w:left w:val="single" w:sz="4" w:space="0" w:color="B0A7CF"/>
          <w:bottom w:val="single" w:sz="4" w:space="0" w:color="B0A7CF"/>
          <w:right w:val="single" w:sz="18" w:space="0" w:color="614FA0"/>
          <w:insideH w:val="single" w:sz="4" w:space="0" w:color="B0A7CF"/>
          <w:insideV w:val="single" w:sz="4" w:space="0" w:color="B0A7CF"/>
          <w:tl2br w:val="nil"/>
          <w:tr2bl w:val="nil"/>
        </w:tcBorders>
        <w:shd w:val="clear" w:color="auto" w:fill="E4E4E4"/>
      </w:tcPr>
    </w:tblStylePr>
    <w:tblStylePr w:type="band1Horz">
      <w:rPr>
        <w:rFonts w:ascii="Poppins" w:hAnsi="Poppins"/>
        <w:sz w:val="22"/>
        <w:szCs w:val="22"/>
      </w:rPr>
      <w:tblPr/>
      <w:tcPr>
        <w:shd w:val="clear" w:color="auto" w:fill="FFFFFF"/>
      </w:tcPr>
    </w:tblStylePr>
    <w:tblStylePr w:type="band2Horz">
      <w:rPr>
        <w:rFonts w:ascii="Poppins" w:hAnsi="Poppins"/>
        <w:sz w:val="22"/>
        <w:szCs w:val="22"/>
      </w:rPr>
      <w:tblPr/>
      <w:tcPr>
        <w:shd w:val="clear" w:color="auto" w:fill="EFEAFB"/>
      </w:tcPr>
    </w:tblStylePr>
  </w:style>
  <w:style w:type="table" w:customStyle="1" w:styleId="DefaqtoChartBorder">
    <w:name w:val="Defaqto Chart Border"/>
    <w:basedOn w:val="TableNormal"/>
    <w:qFormat/>
    <w:pPr>
      <w:spacing w:after="0" w:line="240" w:lineRule="auto"/>
    </w:pPr>
    <w:tblPr>
      <w:tblStyleRowBandSize w:val="1"/>
      <w:tblStyleColBandSize w:val="1"/>
      <w:tblCellMar>
        <w:left w:w="0" w:type="dxa"/>
        <w:right w:w="0" w:type="dxa"/>
      </w:tblCellMar>
    </w:tblPr>
    <w:tblStylePr w:type="firstRow">
      <w:tblPr/>
      <w:tcPr>
        <w:tcBorders>
          <w:top w:val="nil"/>
          <w:left w:val="nil"/>
          <w:bottom w:val="nil"/>
          <w:right w:val="nil"/>
          <w:insideH w:val="nil"/>
          <w:insideV w:val="nil"/>
          <w:tl2br w:val="nil"/>
          <w:tr2bl w:val="nil"/>
        </w:tcBorders>
      </w:tcPr>
    </w:tblStylePr>
    <w:tblStylePr w:type="lastRow">
      <w:tblPr/>
      <w:tcPr>
        <w:tcBorders>
          <w:top w:val="nil"/>
          <w:left w:val="nil"/>
          <w:bottom w:val="nil"/>
          <w:right w:val="nil"/>
          <w:insideH w:val="nil"/>
          <w:insideV w:val="nil"/>
        </w:tcBorders>
      </w:tcPr>
    </w:tblStylePr>
    <w:tblStylePr w:type="firstCol">
      <w:tblPr/>
      <w:tcPr>
        <w:tcBorders>
          <w:top w:val="nil"/>
          <w:left w:val="nil"/>
          <w:bottom w:val="nil"/>
          <w:right w:val="nil"/>
          <w:insideH w:val="nil"/>
          <w:insideV w:val="nil"/>
          <w:tl2br w:val="nil"/>
          <w:tr2bl w:val="nil"/>
        </w:tcBorders>
      </w:tcPr>
    </w:tblStylePr>
    <w:tblStylePr w:type="nwCell">
      <w:tblPr/>
      <w:tcPr>
        <w:tcBorders>
          <w:top w:val="single" w:sz="12" w:space="0" w:color="D0CECE"/>
          <w:left w:val="single" w:sz="12" w:space="0" w:color="D0CECE"/>
          <w:bottom w:val="single" w:sz="12" w:space="0" w:color="D0CECE"/>
          <w:right w:val="single" w:sz="12" w:space="0" w:color="D0CECE"/>
        </w:tcBorders>
      </w:tcPr>
    </w:tblStylePr>
    <w:tblStylePr w:type="swCell">
      <w:pPr>
        <w:jc w:val="center"/>
      </w:pPr>
      <w:rPr>
        <w:b/>
        <w:bCs/>
      </w:rPr>
      <w:tblPr/>
      <w:tcPr>
        <w:vAlign w:val="center"/>
      </w:tcPr>
    </w:tblStylePr>
  </w:style>
  <w:style w:type="character" w:customStyle="1" w:styleId="DefaqtoHeading1Char">
    <w:name w:val="Defaqto Heading 1 Char"/>
    <w:link w:val="DefaqtoHeading1"/>
    <w:rPr>
      <w:rFonts w:ascii="Poppins SemiBold" w:eastAsia="Calibri" w:hAnsi="Poppins SemiBold" w:cs="Times New Roman"/>
      <w:color w:val="3B2B8C"/>
      <w:sz w:val="48"/>
      <w:szCs w:val="48"/>
      <w:lang w:eastAsia="en-US"/>
    </w:rPr>
  </w:style>
  <w:style w:type="paragraph" w:customStyle="1" w:styleId="DefaqtoHeading1-noTOC">
    <w:name w:val="Defaqto Heading 1 - no TOC"/>
    <w:basedOn w:val="DefaqtoHeading1"/>
    <w:qFormat/>
    <w:pPr>
      <w:spacing w:before="240" w:line="640" w:lineRule="exact"/>
      <w:outlineLvl w:val="9"/>
    </w:pPr>
    <w:rPr>
      <w:position w:val="6"/>
      <w:lang w:eastAsia="en-GB"/>
    </w:rPr>
  </w:style>
  <w:style w:type="character" w:customStyle="1" w:styleId="DefaqtoHeading2Char">
    <w:name w:val="Defaqto Heading 2 Char"/>
    <w:link w:val="DefaqtoHeading2"/>
    <w:rPr>
      <w:rFonts w:ascii="Poppins SemiBold" w:eastAsia="Cambria" w:hAnsi="Poppins SemiBold" w:cs="Times New Roman"/>
      <w:color w:val="392388"/>
      <w:sz w:val="32"/>
      <w:szCs w:val="32"/>
      <w:lang w:eastAsia="en-US"/>
    </w:rPr>
  </w:style>
  <w:style w:type="character" w:customStyle="1" w:styleId="DefaqtoHeading3Char">
    <w:name w:val="Defaqto Heading 3 Char"/>
    <w:link w:val="DefaqtoHeading3"/>
    <w:rPr>
      <w:rFonts w:ascii="Poppins SemiBold" w:eastAsia="Calibri" w:hAnsi="Poppins SemiBold" w:cs="Calibri"/>
      <w:color w:val="392388"/>
      <w:lang w:val="en-NZ"/>
    </w:rPr>
  </w:style>
  <w:style w:type="paragraph" w:customStyle="1" w:styleId="DefaqtoHeading4">
    <w:name w:val="Defaqto Heading 4"/>
    <w:basedOn w:val="DefaqtoHeading3"/>
    <w:next w:val="DefaqtoBody"/>
    <w:qFormat/>
    <w:pPr>
      <w:ind w:left="11" w:hanging="11"/>
      <w:outlineLvl w:val="3"/>
    </w:pPr>
  </w:style>
  <w:style w:type="table" w:customStyle="1" w:styleId="DefaqtoQuestionnaire">
    <w:name w:val="Defaqto Questionnaire"/>
    <w:basedOn w:val="TableNormal"/>
    <w:uiPriority w:val="99"/>
    <w:pPr>
      <w:spacing w:before="100" w:after="0" w:line="276" w:lineRule="auto"/>
    </w:pPr>
    <w:rPr>
      <w:rFonts w:ascii="Arial" w:eastAsia="Times New Roman" w:hAnsi="Arial"/>
      <w:color w:val="595959"/>
      <w:sz w:val="18"/>
      <w:szCs w:val="18"/>
    </w:rPr>
    <w:tblPr>
      <w:tblStyleRowBandSize w:val="1"/>
      <w:tblStyleColBandSize w:val="1"/>
      <w:tblBorders>
        <w:top w:val="single" w:sz="4" w:space="0" w:color="D0CECE"/>
        <w:left w:val="single" w:sz="4" w:space="0" w:color="D0CECE"/>
        <w:bottom w:val="single" w:sz="4" w:space="0" w:color="D0CECE"/>
        <w:right w:val="single" w:sz="4" w:space="0" w:color="D0CECE"/>
        <w:insideH w:val="single" w:sz="4" w:space="0" w:color="D0CECE"/>
        <w:insideV w:val="single" w:sz="4" w:space="0" w:color="D0CECE"/>
      </w:tblBorders>
    </w:tblPr>
    <w:tcPr>
      <w:shd w:val="clear" w:color="auto" w:fill="auto"/>
      <w:tcMar>
        <w:top w:w="108" w:type="dxa"/>
        <w:bottom w:w="108" w:type="dxa"/>
      </w:tcMar>
    </w:tcPr>
    <w:tblStylePr w:type="firstRow">
      <w:rPr>
        <w:rFonts w:ascii="Arial" w:hAnsi="Arial"/>
        <w:b/>
        <w:bCs/>
        <w:sz w:val="18"/>
        <w:szCs w:val="18"/>
      </w:rPr>
    </w:tblStylePr>
    <w:tblStylePr w:type="band1Horz">
      <w:rPr>
        <w:rFonts w:ascii="Arial" w:hAnsi="Arial"/>
        <w:sz w:val="18"/>
        <w:szCs w:val="18"/>
      </w:rPr>
      <w:tblPr/>
      <w:tcPr>
        <w:shd w:val="clear" w:color="auto" w:fill="E2EBCF"/>
      </w:tcPr>
    </w:tblStylePr>
    <w:tblStylePr w:type="band2Horz">
      <w:rPr>
        <w:rFonts w:ascii="Arial" w:hAnsi="Arial"/>
        <w:sz w:val="18"/>
        <w:szCs w:val="18"/>
      </w:rPr>
    </w:tblStylePr>
  </w:style>
  <w:style w:type="table" w:customStyle="1" w:styleId="DefaqtoStarRatingsTable">
    <w:name w:val="Defaqto Star Ratings Table"/>
    <w:basedOn w:val="TableNormal"/>
    <w:uiPriority w:val="99"/>
    <w:pPr>
      <w:spacing w:after="0" w:line="240" w:lineRule="auto"/>
      <w:jc w:val="center"/>
    </w:pPr>
    <w:rPr>
      <w:rFonts w:ascii="Poppins" w:hAnsi="Poppins"/>
      <w:color w:val="392388"/>
    </w:rPr>
    <w:tblPr>
      <w:tblStyleRowBandSize w:val="1"/>
      <w:tblStyleColBandSize w:val="1"/>
      <w:tblBorders>
        <w:top w:val="single" w:sz="4" w:space="0" w:color="B0A7CF"/>
        <w:left w:val="single" w:sz="4" w:space="0" w:color="B0A7CF"/>
        <w:bottom w:val="single" w:sz="4" w:space="0" w:color="B0A7CF"/>
        <w:right w:val="single" w:sz="4" w:space="0" w:color="B0A7CF"/>
      </w:tblBorders>
    </w:tblPr>
    <w:tcPr>
      <w:shd w:val="clear" w:color="auto" w:fill="auto"/>
      <w:vAlign w:val="center"/>
    </w:tcPr>
  </w:style>
  <w:style w:type="paragraph" w:customStyle="1" w:styleId="DefaqtoTableBody3">
    <w:name w:val="Defaqto Table Body 3"/>
    <w:basedOn w:val="Normal"/>
    <w:qFormat/>
    <w:pPr>
      <w:spacing w:before="60" w:after="60" w:line="240" w:lineRule="auto"/>
    </w:pPr>
    <w:rPr>
      <w:rFonts w:ascii="Arial" w:eastAsia="Times New Roman" w:hAnsi="Arial" w:cs="Arial"/>
      <w:color w:val="595959"/>
      <w:sz w:val="18"/>
      <w:szCs w:val="18"/>
      <w:lang w:val="en-US"/>
    </w:rPr>
  </w:style>
  <w:style w:type="paragraph" w:customStyle="1" w:styleId="Defaqtotableheader">
    <w:name w:val="Defaqto table header"/>
    <w:basedOn w:val="Normal"/>
    <w:link w:val="DefaqtotableheaderChar"/>
    <w:qFormat/>
    <w:pPr>
      <w:spacing w:after="0"/>
    </w:pPr>
    <w:rPr>
      <w:rFonts w:ascii="Arial" w:eastAsia="Arial" w:hAnsi="Arial" w:cs="Times New Roman"/>
      <w:color w:val="FFFFFF"/>
      <w:lang w:eastAsia="en-US"/>
    </w:rPr>
  </w:style>
  <w:style w:type="character" w:customStyle="1" w:styleId="DefaqtotableheaderChar">
    <w:name w:val="Defaqto table header Char"/>
    <w:link w:val="Defaqtotableheader"/>
    <w:rPr>
      <w:rFonts w:ascii="Arial" w:eastAsia="Arial" w:hAnsi="Arial" w:cs="Times New Roman"/>
      <w:color w:val="FFFFFF"/>
      <w:lang w:eastAsia="en-US"/>
    </w:rPr>
  </w:style>
  <w:style w:type="table" w:customStyle="1" w:styleId="DefaqtoTableOLD">
    <w:name w:val="Defaqto Table OLD"/>
    <w:basedOn w:val="TableNormal"/>
    <w:uiPriority w:val="99"/>
    <w:pPr>
      <w:spacing w:after="0" w:line="240" w:lineRule="auto"/>
    </w:pPr>
    <w:rPr>
      <w:rFonts w:eastAsia="Times New Roman"/>
      <w:sz w:val="16"/>
      <w:szCs w:val="16"/>
    </w:rPr>
    <w:tblPr>
      <w:tblStyleRowBandSize w:val="1"/>
      <w:tblStyleColBandSize w:val="1"/>
      <w:tblBorders>
        <w:top w:val="single" w:sz="4" w:space="0" w:color="7F7F7F"/>
        <w:left w:val="nil"/>
        <w:bottom w:val="single" w:sz="4" w:space="0" w:color="7F7F7F"/>
        <w:right w:val="nil"/>
        <w:insideH w:val="nil"/>
        <w:insideV w:val="nil"/>
      </w:tblBorders>
      <w:tblCellMar>
        <w:top w:w="28" w:type="dxa"/>
        <w:bottom w:w="28" w:type="dxa"/>
      </w:tblCellMar>
    </w:tblPr>
    <w:tblStylePr w:type="firstRow">
      <w:rPr>
        <w:rFonts w:ascii="Times New Roman" w:hAnsi="Times New Roman"/>
        <w:b/>
        <w:bCs/>
        <w:sz w:val="16"/>
        <w:szCs w:val="16"/>
      </w:rPr>
      <w:tblPr/>
      <w:tcPr>
        <w:tcBorders>
          <w:bottom w:val="single" w:sz="4" w:space="0" w:color="7F7F7F"/>
        </w:tcBorders>
        <w:vAlign w:val="center"/>
      </w:tcPr>
    </w:tblStylePr>
    <w:tblStylePr w:type="lastRow">
      <w:rPr>
        <w:b/>
        <w:bCs/>
      </w:rPr>
      <w:tblPr/>
      <w:tcPr>
        <w:tcBorders>
          <w:top w:val="single" w:sz="4" w:space="0" w:color="7F7F7F"/>
        </w:tcBorders>
        <w:vAlign w:val="top"/>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vAlign w:val="top"/>
      </w:tcPr>
    </w:tblStylePr>
    <w:tblStylePr w:type="band2Vert">
      <w:tblPr/>
      <w:tcPr>
        <w:tcBorders>
          <w:left w:val="single" w:sz="4" w:space="0" w:color="7F7F7F"/>
          <w:right w:val="single" w:sz="4" w:space="0" w:color="7F7F7F"/>
        </w:tcBorders>
        <w:vAlign w:val="top"/>
      </w:tcPr>
    </w:tblStylePr>
    <w:tblStylePr w:type="band1Horz">
      <w:tblPr/>
      <w:tcPr>
        <w:tcBorders>
          <w:top w:val="single" w:sz="4" w:space="0" w:color="7F7F7F"/>
          <w:bottom w:val="single" w:sz="4" w:space="0" w:color="7F7F7F"/>
        </w:tcBorders>
        <w:vAlign w:val="top"/>
      </w:tcPr>
    </w:tblStylePr>
  </w:style>
  <w:style w:type="character" w:styleId="FootnoteReference">
    <w:name w:val="footnote reference"/>
    <w:basedOn w:val="DefaultParagraphFont"/>
    <w:uiPriority w:val="99"/>
    <w:semiHidden/>
    <w:unhideWhenUsed/>
    <w:qFormat/>
    <w:rPr>
      <w:vertAlign w:val="superscript"/>
    </w:rPr>
  </w:style>
  <w:style w:type="character" w:styleId="EndnoteReference">
    <w:name w:val="endnote reference"/>
    <w:basedOn w:val="DefaultParagraphFont"/>
    <w:uiPriority w:val="99"/>
    <w:semiHidden/>
    <w:unhideWhenUsed/>
    <w:qFormat/>
    <w:rPr>
      <w:vertAlign w:val="superscript"/>
    </w:rPr>
  </w:style>
  <w:style w:type="paragraph" w:customStyle="1" w:styleId="Tag">
    <w:name w:val="Tag"/>
    <w:basedOn w:val="Normal"/>
    <w:qFormat/>
    <w:pPr>
      <w:spacing w:after="200"/>
    </w:pPr>
    <w:rPr>
      <w:rFonts w:ascii="Arial" w:eastAsia="Arial" w:hAnsi="Arial" w:cs="Times New Roman"/>
      <w:b/>
      <w:bCs/>
      <w:color w:val="FF0000"/>
      <w:sz w:val="28"/>
      <w:szCs w:val="28"/>
      <w:lang w:eastAsia="en-US"/>
    </w:rPr>
  </w:style>
  <w:style w:type="paragraph" w:customStyle="1" w:styleId="RecommendationHeading">
    <w:name w:val="Recommendation Heading"/>
    <w:basedOn w:val="DefaqtoContentspageheading"/>
    <w:qFormat/>
    <w:pPr>
      <w:spacing w:before="240" w:line="640" w:lineRule="exact"/>
    </w:pPr>
    <w:rPr>
      <w:position w:val="6"/>
    </w:rPr>
  </w:style>
  <w:style w:type="paragraph" w:customStyle="1" w:styleId="CSRHeading2">
    <w:name w:val="CSRHeading2"/>
    <w:basedOn w:val="Heading2"/>
    <w:qFormat/>
    <w:pPr>
      <w:spacing w:after="0"/>
      <w:ind w:left="0"/>
    </w:pPr>
    <w:rPr>
      <w:rFonts w:ascii="Calibri Light" w:hAnsi="Calibri Light"/>
      <w:color w:val="005493"/>
      <w:sz w:val="76"/>
      <w:szCs w:val="76"/>
    </w:rPr>
  </w:style>
  <w:style w:type="paragraph" w:customStyle="1" w:styleId="CSRHeading3-noTOC">
    <w:name w:val="CSRHeading3 - no TOC"/>
    <w:basedOn w:val="Normal"/>
    <w:qFormat/>
    <w:pPr>
      <w:spacing w:line="256" w:lineRule="auto"/>
    </w:pPr>
    <w:rPr>
      <w:rFonts w:ascii="Calibri Light" w:hAnsi="Calibri Light"/>
      <w:color w:val="005392"/>
      <w:sz w:val="44"/>
      <w:szCs w:val="44"/>
    </w:rPr>
  </w:style>
  <w:style w:type="paragraph" w:customStyle="1" w:styleId="CSRHeading5">
    <w:name w:val="CSRHeading5"/>
    <w:basedOn w:val="Heading5"/>
    <w:qFormat/>
    <w:rPr>
      <w:color w:val="005493"/>
      <w:sz w:val="24"/>
      <w:szCs w:val="24"/>
    </w:rPr>
  </w:style>
  <w:style w:type="character" w:customStyle="1" w:styleId="CSRHeading2Char">
    <w:name w:val="CSRHeading2 Char"/>
    <w:basedOn w:val="Heading2Char"/>
    <w:qFormat/>
    <w:rPr>
      <w:rFonts w:ascii="Calibri Light" w:eastAsia="Calibri" w:hAnsi="Calibri Light" w:cs="Calibri"/>
      <w:color w:val="005493"/>
      <w:sz w:val="76"/>
      <w:szCs w:val="76"/>
    </w:rPr>
  </w:style>
  <w:style w:type="character" w:customStyle="1" w:styleId="CSRHeading3-noTOCChar">
    <w:name w:val="CSRHeading3 - no TOC Char"/>
    <w:basedOn w:val="DefaultParagraphFont"/>
    <w:qFormat/>
    <w:rPr>
      <w:rFonts w:ascii="Calibri Light" w:eastAsia="Calibri" w:hAnsi="Calibri Light"/>
      <w:color w:val="005392"/>
      <w:sz w:val="44"/>
      <w:szCs w:val="44"/>
    </w:rPr>
  </w:style>
  <w:style w:type="character" w:customStyle="1" w:styleId="CSRHeading5Char">
    <w:name w:val="CSRHeading5 Char"/>
    <w:basedOn w:val="DefaultParagraphFont"/>
    <w:qFormat/>
    <w:rPr>
      <w:rFonts w:ascii="Calibri Light" w:eastAsia="Calibri Light" w:hAnsi="Calibri Light"/>
      <w:color w:val="005493"/>
      <w:sz w:val="24"/>
      <w:szCs w:val="24"/>
    </w:rPr>
  </w:style>
  <w:style w:type="character" w:styleId="Hyperlink">
    <w:name w:val="Hyperlink"/>
    <w:basedOn w:val="DefaultParagraphFont"/>
    <w:qFormat/>
    <w:rPr>
      <w:color w:val="005493"/>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103972">
      <w:bodyDiv w:val="1"/>
      <w:marLeft w:val="0"/>
      <w:marRight w:val="0"/>
      <w:marTop w:val="0"/>
      <w:marBottom w:val="0"/>
      <w:divBdr>
        <w:top w:val="none" w:sz="0" w:space="0" w:color="auto"/>
        <w:left w:val="none" w:sz="0" w:space="0" w:color="auto"/>
        <w:bottom w:val="none" w:sz="0" w:space="0" w:color="auto"/>
        <w:right w:val="none" w:sz="0" w:space="0" w:color="auto"/>
      </w:divBdr>
    </w:div>
    <w:div w:id="428891026">
      <w:bodyDiv w:val="1"/>
      <w:marLeft w:val="0"/>
      <w:marRight w:val="0"/>
      <w:marTop w:val="0"/>
      <w:marBottom w:val="0"/>
      <w:divBdr>
        <w:top w:val="none" w:sz="0" w:space="0" w:color="auto"/>
        <w:left w:val="none" w:sz="0" w:space="0" w:color="auto"/>
        <w:bottom w:val="none" w:sz="0" w:space="0" w:color="auto"/>
        <w:right w:val="none" w:sz="0" w:space="0" w:color="auto"/>
      </w:divBdr>
    </w:div>
    <w:div w:id="716516061">
      <w:bodyDiv w:val="1"/>
      <w:marLeft w:val="0"/>
      <w:marRight w:val="0"/>
      <w:marTop w:val="0"/>
      <w:marBottom w:val="0"/>
      <w:divBdr>
        <w:top w:val="none" w:sz="0" w:space="0" w:color="auto"/>
        <w:left w:val="none" w:sz="0" w:space="0" w:color="auto"/>
        <w:bottom w:val="none" w:sz="0" w:space="0" w:color="auto"/>
        <w:right w:val="none" w:sz="0" w:space="0" w:color="auto"/>
      </w:divBdr>
    </w:div>
    <w:div w:id="760875425">
      <w:bodyDiv w:val="1"/>
      <w:marLeft w:val="0"/>
      <w:marRight w:val="0"/>
      <w:marTop w:val="0"/>
      <w:marBottom w:val="0"/>
      <w:divBdr>
        <w:top w:val="none" w:sz="0" w:space="0" w:color="auto"/>
        <w:left w:val="none" w:sz="0" w:space="0" w:color="auto"/>
        <w:bottom w:val="none" w:sz="0" w:space="0" w:color="auto"/>
        <w:right w:val="none" w:sz="0" w:space="0" w:color="auto"/>
      </w:divBdr>
    </w:div>
    <w:div w:id="793907003">
      <w:bodyDiv w:val="1"/>
      <w:marLeft w:val="0"/>
      <w:marRight w:val="0"/>
      <w:marTop w:val="0"/>
      <w:marBottom w:val="0"/>
      <w:divBdr>
        <w:top w:val="none" w:sz="0" w:space="0" w:color="auto"/>
        <w:left w:val="none" w:sz="0" w:space="0" w:color="auto"/>
        <w:bottom w:val="none" w:sz="0" w:space="0" w:color="auto"/>
        <w:right w:val="none" w:sz="0" w:space="0" w:color="auto"/>
      </w:divBdr>
    </w:div>
    <w:div w:id="821578545">
      <w:bodyDiv w:val="1"/>
      <w:marLeft w:val="0"/>
      <w:marRight w:val="0"/>
      <w:marTop w:val="0"/>
      <w:marBottom w:val="0"/>
      <w:divBdr>
        <w:top w:val="none" w:sz="0" w:space="0" w:color="auto"/>
        <w:left w:val="none" w:sz="0" w:space="0" w:color="auto"/>
        <w:bottom w:val="none" w:sz="0" w:space="0" w:color="auto"/>
        <w:right w:val="none" w:sz="0" w:space="0" w:color="auto"/>
      </w:divBdr>
    </w:div>
    <w:div w:id="1282107495">
      <w:bodyDiv w:val="1"/>
      <w:marLeft w:val="0"/>
      <w:marRight w:val="0"/>
      <w:marTop w:val="0"/>
      <w:marBottom w:val="0"/>
      <w:divBdr>
        <w:top w:val="none" w:sz="0" w:space="0" w:color="auto"/>
        <w:left w:val="none" w:sz="0" w:space="0" w:color="auto"/>
        <w:bottom w:val="none" w:sz="0" w:space="0" w:color="auto"/>
        <w:right w:val="none" w:sz="0" w:space="0" w:color="auto"/>
      </w:divBdr>
    </w:div>
    <w:div w:id="1335760845">
      <w:bodyDiv w:val="1"/>
      <w:marLeft w:val="0"/>
      <w:marRight w:val="0"/>
      <w:marTop w:val="0"/>
      <w:marBottom w:val="0"/>
      <w:divBdr>
        <w:top w:val="none" w:sz="0" w:space="0" w:color="auto"/>
        <w:left w:val="none" w:sz="0" w:space="0" w:color="auto"/>
        <w:bottom w:val="none" w:sz="0" w:space="0" w:color="auto"/>
        <w:right w:val="none" w:sz="0" w:space="0" w:color="auto"/>
      </w:divBdr>
    </w:div>
    <w:div w:id="1433010434">
      <w:bodyDiv w:val="1"/>
      <w:marLeft w:val="0"/>
      <w:marRight w:val="0"/>
      <w:marTop w:val="0"/>
      <w:marBottom w:val="0"/>
      <w:divBdr>
        <w:top w:val="none" w:sz="0" w:space="0" w:color="auto"/>
        <w:left w:val="none" w:sz="0" w:space="0" w:color="auto"/>
        <w:bottom w:val="none" w:sz="0" w:space="0" w:color="auto"/>
        <w:right w:val="none" w:sz="0" w:space="0" w:color="auto"/>
      </w:divBdr>
    </w:div>
    <w:div w:id="1435635480">
      <w:bodyDiv w:val="1"/>
      <w:marLeft w:val="0"/>
      <w:marRight w:val="0"/>
      <w:marTop w:val="0"/>
      <w:marBottom w:val="0"/>
      <w:divBdr>
        <w:top w:val="none" w:sz="0" w:space="0" w:color="auto"/>
        <w:left w:val="none" w:sz="0" w:space="0" w:color="auto"/>
        <w:bottom w:val="none" w:sz="0" w:space="0" w:color="auto"/>
        <w:right w:val="none" w:sz="0" w:space="0" w:color="auto"/>
      </w:divBdr>
    </w:div>
    <w:div w:id="1532693411">
      <w:bodyDiv w:val="1"/>
      <w:marLeft w:val="0"/>
      <w:marRight w:val="0"/>
      <w:marTop w:val="0"/>
      <w:marBottom w:val="0"/>
      <w:divBdr>
        <w:top w:val="none" w:sz="0" w:space="0" w:color="auto"/>
        <w:left w:val="none" w:sz="0" w:space="0" w:color="auto"/>
        <w:bottom w:val="none" w:sz="0" w:space="0" w:color="auto"/>
        <w:right w:val="none" w:sz="0" w:space="0" w:color="auto"/>
      </w:divBdr>
    </w:div>
    <w:div w:id="1807580747">
      <w:bodyDiv w:val="1"/>
      <w:marLeft w:val="0"/>
      <w:marRight w:val="0"/>
      <w:marTop w:val="0"/>
      <w:marBottom w:val="0"/>
      <w:divBdr>
        <w:top w:val="none" w:sz="0" w:space="0" w:color="auto"/>
        <w:left w:val="none" w:sz="0" w:space="0" w:color="auto"/>
        <w:bottom w:val="none" w:sz="0" w:space="0" w:color="auto"/>
        <w:right w:val="none" w:sz="0" w:space="0" w:color="auto"/>
      </w:divBdr>
    </w:div>
    <w:div w:id="1970434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header" Target="header14.xml"/><Relationship Id="rId47" Type="http://schemas.openxmlformats.org/officeDocument/2006/relationships/header" Target="header16.xml"/><Relationship Id="rId63" Type="http://schemas.openxmlformats.org/officeDocument/2006/relationships/header" Target="header24.xml"/><Relationship Id="rId68" Type="http://schemas.openxmlformats.org/officeDocument/2006/relationships/footer" Target="footer27.xml"/><Relationship Id="rId16" Type="http://schemas.openxmlformats.org/officeDocument/2006/relationships/header" Target="header3.xml"/><Relationship Id="rId11" Type="http://schemas.openxmlformats.org/officeDocument/2006/relationships/image" Target="media/image2.png"/><Relationship Id="rId32" Type="http://schemas.openxmlformats.org/officeDocument/2006/relationships/image" Target="media/image9.png"/><Relationship Id="rId37" Type="http://schemas.openxmlformats.org/officeDocument/2006/relationships/image" Target="media/image10.png"/><Relationship Id="rId53" Type="http://schemas.openxmlformats.org/officeDocument/2006/relationships/header" Target="header19.xml"/><Relationship Id="rId58" Type="http://schemas.openxmlformats.org/officeDocument/2006/relationships/footer" Target="footer22.xml"/><Relationship Id="rId74" Type="http://schemas.openxmlformats.org/officeDocument/2006/relationships/footer" Target="footer30.xml"/><Relationship Id="rId79" Type="http://schemas.openxmlformats.org/officeDocument/2006/relationships/customXml" Target="../customXml/item4.xml"/><Relationship Id="rId5" Type="http://schemas.openxmlformats.org/officeDocument/2006/relationships/footnotes" Target="footnotes.xml"/><Relationship Id="rId61" Type="http://schemas.openxmlformats.org/officeDocument/2006/relationships/header" Target="header23.xml"/><Relationship Id="PictureId2" Type="http://schemas.openxmlformats.org/officeDocument/2006/relationships/image" Target="media/image20.png"/><Relationship Id="rId19" Type="http://schemas.openxmlformats.org/officeDocument/2006/relationships/footer" Target="footer5.xml"/><Relationship Id="rId14" Type="http://schemas.openxmlformats.org/officeDocument/2006/relationships/image" Target="media/image4.png"/><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footer" Target="footer15.xml"/><Relationship Id="rId48" Type="http://schemas.openxmlformats.org/officeDocument/2006/relationships/footer" Target="footer17.xml"/><Relationship Id="rId56" Type="http://schemas.openxmlformats.org/officeDocument/2006/relationships/footer" Target="footer21.xml"/><Relationship Id="rId64" Type="http://schemas.openxmlformats.org/officeDocument/2006/relationships/footer" Target="footer25.xml"/><Relationship Id="rId69" Type="http://schemas.openxmlformats.org/officeDocument/2006/relationships/header" Target="header27.xml"/><Relationship Id="rId77" Type="http://schemas.openxmlformats.org/officeDocument/2006/relationships/customXml" Target="../customXml/item2.xml"/><Relationship Id="rId8" Type="http://schemas.openxmlformats.org/officeDocument/2006/relationships/header" Target="header1.xml"/><Relationship Id="rId51" Type="http://schemas.openxmlformats.org/officeDocument/2006/relationships/header" Target="header18.xml"/><Relationship Id="rId72" Type="http://schemas.openxmlformats.org/officeDocument/2006/relationships/footer" Target="footer29.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oter" Target="footer16.xml"/><Relationship Id="rId59" Type="http://schemas.openxmlformats.org/officeDocument/2006/relationships/header" Target="header22.xml"/><Relationship Id="rId67" Type="http://schemas.openxmlformats.org/officeDocument/2006/relationships/header" Target="header26.xml"/><Relationship Id="rId20" Type="http://schemas.openxmlformats.org/officeDocument/2006/relationships/header" Target="header5.xml"/><Relationship Id="rId41" Type="http://schemas.openxmlformats.org/officeDocument/2006/relationships/footer" Target="footer14.xml"/><Relationship Id="rId54" Type="http://schemas.openxmlformats.org/officeDocument/2006/relationships/footer" Target="footer20.xml"/><Relationship Id="rId62" Type="http://schemas.openxmlformats.org/officeDocument/2006/relationships/footer" Target="footer24.xml"/><Relationship Id="rId70" Type="http://schemas.openxmlformats.org/officeDocument/2006/relationships/footer" Target="footer28.xm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footer" Target="footer7.xml"/><Relationship Id="rId28" Type="http://schemas.openxmlformats.org/officeDocument/2006/relationships/image" Target="media/image7.png"/><Relationship Id="rId36" Type="http://schemas.openxmlformats.org/officeDocument/2006/relationships/footer" Target="footer12.xml"/><Relationship Id="rId49" Type="http://schemas.openxmlformats.org/officeDocument/2006/relationships/header" Target="header17.xml"/><Relationship Id="rId57" Type="http://schemas.openxmlformats.org/officeDocument/2006/relationships/header" Target="header21.xml"/><Relationship Id="rId10" Type="http://schemas.openxmlformats.org/officeDocument/2006/relationships/footer" Target="footer2.xml"/><Relationship Id="rId31" Type="http://schemas.openxmlformats.org/officeDocument/2006/relationships/footer" Target="footer10.xml"/><Relationship Id="rId44" Type="http://schemas.openxmlformats.org/officeDocument/2006/relationships/image" Target="media/image11.png"/><Relationship Id="rId52" Type="http://schemas.openxmlformats.org/officeDocument/2006/relationships/footer" Target="footer19.xml"/><Relationship Id="rId60" Type="http://schemas.openxmlformats.org/officeDocument/2006/relationships/footer" Target="footer23.xml"/><Relationship Id="rId65" Type="http://schemas.openxmlformats.org/officeDocument/2006/relationships/header" Target="header25.xml"/><Relationship Id="rId73" Type="http://schemas.openxmlformats.org/officeDocument/2006/relationships/header" Target="header29.xml"/><Relationship Id="rId78"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footer" Target="footer1.xml"/><Relationship Id="PictureId6" Type="http://schemas.openxmlformats.org/officeDocument/2006/relationships/image" Target="media/image60.png"/><Relationship Id="rId13" Type="http://schemas.openxmlformats.org/officeDocument/2006/relationships/footer" Target="footer3.xml"/><Relationship Id="rId18" Type="http://schemas.openxmlformats.org/officeDocument/2006/relationships/header" Target="header4.xml"/><Relationship Id="rId39" Type="http://schemas.openxmlformats.org/officeDocument/2006/relationships/footer" Target="footer13.xml"/><Relationship Id="rId34" Type="http://schemas.openxmlformats.org/officeDocument/2006/relationships/footer" Target="footer11.xml"/><Relationship Id="rId50" Type="http://schemas.openxmlformats.org/officeDocument/2006/relationships/footer" Target="footer18.xml"/><Relationship Id="rId55" Type="http://schemas.openxmlformats.org/officeDocument/2006/relationships/header" Target="header20.xml"/><Relationship Id="rId76" Type="http://schemas.openxmlformats.org/officeDocument/2006/relationships/theme" Target="theme/theme1.xml"/><Relationship Id="rId7" Type="http://schemas.openxmlformats.org/officeDocument/2006/relationships/image" Target="media/image1.png"/><Relationship Id="rId71" Type="http://schemas.openxmlformats.org/officeDocument/2006/relationships/header" Target="header28.xml"/><Relationship Id="rId2" Type="http://schemas.openxmlformats.org/officeDocument/2006/relationships/styles" Target="styles.xml"/><Relationship Id="rId29" Type="http://schemas.openxmlformats.org/officeDocument/2006/relationships/image" Target="media/image8.png"/><Relationship Id="rId24" Type="http://schemas.openxmlformats.org/officeDocument/2006/relationships/header" Target="header7.xml"/><Relationship Id="rId40" Type="http://schemas.openxmlformats.org/officeDocument/2006/relationships/header" Target="header13.xml"/><Relationship Id="rId45" Type="http://schemas.openxmlformats.org/officeDocument/2006/relationships/header" Target="header15.xml"/><Relationship Id="rId66" Type="http://schemas.openxmlformats.org/officeDocument/2006/relationships/footer" Target="footer26.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s>
</file>

<file path=word/_rels/footer11.xml.rels><?xml version="1.0" encoding="UTF-8" standalone="yes"?>
<Relationships xmlns="http://schemas.openxmlformats.org/package/2006/relationships"><Relationship Id="rId1" Type="http://schemas.openxmlformats.org/officeDocument/2006/relationships/image" Target="media/image3.png"/></Relationships>
</file>

<file path=word/_rels/footer12.xml.rels><?xml version="1.0" encoding="UTF-8" standalone="yes"?>
<Relationships xmlns="http://schemas.openxmlformats.org/package/2006/relationships"><Relationship Id="rId1" Type="http://schemas.openxmlformats.org/officeDocument/2006/relationships/image" Target="media/image3.png"/></Relationships>
</file>

<file path=word/_rels/footer13.xml.rels><?xml version="1.0" encoding="UTF-8" standalone="yes"?>
<Relationships xmlns="http://schemas.openxmlformats.org/package/2006/relationships"><Relationship Id="rId1" Type="http://schemas.openxmlformats.org/officeDocument/2006/relationships/image" Target="media/image3.png"/></Relationships>
</file>

<file path=word/_rels/footer14.xml.rels><?xml version="1.0" encoding="UTF-8" standalone="yes"?>
<Relationships xmlns="http://schemas.openxmlformats.org/package/2006/relationships"><Relationship Id="rId1" Type="http://schemas.openxmlformats.org/officeDocument/2006/relationships/image" Target="media/image3.png"/></Relationships>
</file>

<file path=word/_rels/footer15.xml.rels><?xml version="1.0" encoding="UTF-8" standalone="yes"?>
<Relationships xmlns="http://schemas.openxmlformats.org/package/2006/relationships"><Relationship Id="rId1" Type="http://schemas.openxmlformats.org/officeDocument/2006/relationships/image" Target="media/image3.png"/></Relationships>
</file>

<file path=word/_rels/footer16.xml.rels><?xml version="1.0" encoding="UTF-8" standalone="yes"?>
<Relationships xmlns="http://schemas.openxmlformats.org/package/2006/relationships"><Relationship Id="rId1" Type="http://schemas.openxmlformats.org/officeDocument/2006/relationships/image" Target="media/image3.png"/></Relationships>
</file>

<file path=word/_rels/footer17.xml.rels><?xml version="1.0" encoding="UTF-8" standalone="yes"?>
<Relationships xmlns="http://schemas.openxmlformats.org/package/2006/relationships"><Relationship Id="rId1" Type="http://schemas.openxmlformats.org/officeDocument/2006/relationships/image" Target="media/image3.png"/></Relationships>
</file>

<file path=word/_rels/footer18.xml.rels><?xml version="1.0" encoding="UTF-8" standalone="yes"?>
<Relationships xmlns="http://schemas.openxmlformats.org/package/2006/relationships"><Relationship Id="rId1" Type="http://schemas.openxmlformats.org/officeDocument/2006/relationships/image" Target="media/image3.png"/></Relationships>
</file>

<file path=word/_rels/footer19.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Ratings colour palette 2">
      <a:dk1>
        <a:sysClr val="windowText" lastClr="000000"/>
      </a:dk1>
      <a:lt1>
        <a:sysClr val="window" lastClr="FFFFFF"/>
      </a:lt1>
      <a:dk2>
        <a:srgbClr val="44546A"/>
      </a:dk2>
      <a:lt2>
        <a:srgbClr val="E7E6E6"/>
      </a:lt2>
      <a:accent1>
        <a:srgbClr val="252758"/>
      </a:accent1>
      <a:accent2>
        <a:srgbClr val="005493"/>
      </a:accent2>
      <a:accent3>
        <a:srgbClr val="9AC1E0"/>
      </a:accent3>
      <a:accent4>
        <a:srgbClr val="4A4A49"/>
      </a:accent4>
      <a:accent5>
        <a:srgbClr val="EE7203"/>
      </a:accent5>
      <a:accent6>
        <a:srgbClr val="005493"/>
      </a:accent6>
      <a:hlink>
        <a:srgbClr val="005493"/>
      </a:hlink>
      <a:folHlink>
        <a:srgbClr val="9AC1E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34c9bc844f93fa874cef005947d8df7f">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a217c6d2e8a03c014f1493517b33c6"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406731d-9f5a-4a79-be91-b3c631be9543">
      <Terms xmlns="http://schemas.microsoft.com/office/infopath/2007/PartnerControls"/>
    </lcf76f155ced4ddcb4097134ff3c332f>
    <TaxCatchAll xmlns="6afbcf95-dc46-4c9d-8f85-fba641a1d2ea" xsi:nil="true"/>
  </documentManagement>
</p:properties>
</file>

<file path=customXml/itemProps1.xml><?xml version="1.0" encoding="utf-8"?>
<ds:datastoreItem xmlns:ds="http://schemas.openxmlformats.org/officeDocument/2006/customXml" ds:itemID="{C6DCAE27-1D02-4879-A4B7-CBE5F898DA22}">
  <ds:schemaRefs>
    <ds:schemaRef ds:uri="http://schemas.openxmlformats.org/officeDocument/2006/bibliography"/>
  </ds:schemaRefs>
</ds:datastoreItem>
</file>

<file path=customXml/itemProps2.xml><?xml version="1.0" encoding="utf-8"?>
<ds:datastoreItem xmlns:ds="http://schemas.openxmlformats.org/officeDocument/2006/customXml" ds:itemID="{5C3009D2-A613-45A6-B524-EE51E3A11E0D}"/>
</file>

<file path=customXml/itemProps3.xml><?xml version="1.0" encoding="utf-8"?>
<ds:datastoreItem xmlns:ds="http://schemas.openxmlformats.org/officeDocument/2006/customXml" ds:itemID="{BA41AD72-36D9-43ED-9723-7835B98B22DB}"/>
</file>

<file path=customXml/itemProps4.xml><?xml version="1.0" encoding="utf-8"?>
<ds:datastoreItem xmlns:ds="http://schemas.openxmlformats.org/officeDocument/2006/customXml" ds:itemID="{739DA091-8B66-4E70-8555-CCDBC3D7BC4F}"/>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Template>Normal</Template>
  <TotalTime>0</TotalTime>
  <Pages>40</Pages>
  <Words>4987</Words>
  <Characters>28429</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33350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2025-12-03T15:18:00Z</dcterms:created>
  <dcterms:modified xsi:type="dcterms:W3CDTF">2025-12-03T15:18:00Z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ies>
</file>