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Calibri" w:cs="Calibri" w:eastAsia="Calibri" w:hAnsi="Calibri"/>
          <w:b/>
          <w:bCs/>
          <w:color w:val="0e2841"/>
          <w:sz w:val="56"/>
          <w:szCs w:val="56"/>
        </w:rPr>
        <w:t xml:space="preserve">Meeting Summary</w:t>
      </w:r>
    </w:p>
    <w:tbl>
      <w:tblPr>
        <w:tblW w:w="9026" w:type="dxa"/>
        <w:jc w:val="left"/>
        <w:tblInd w:w="47" w:type="dxa"/>
        <w:tblCellMar>
          <w:top w:w="55" w:type="dxa"/>
          <w:left w:w="45" w:type="dxa"/>
          <w:bottom w:w="55" w:type="dxa"/>
          <w:right w:w="55" w:type="dxa"/>
        </w:tblCellMar>
      </w:tblPr>
      <w:tblGrid>
        <w:gridCol w:w="2257"/>
        <w:gridCol w:w="2257"/>
        <w:gridCol w:w="2256"/>
        <w:gridCol w:w="2256"/>
      </w:tblGrid>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Client(s)</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Melanie Anness</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Type of meeting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Ad-hoc Meeting</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Date of meeting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21/07/2026</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Meeting recording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hyperlink r:id="rId7">
              <w:r>
                <w:rPr>
                  <w:rFonts w:ascii="Calibri" w:cs="Calibri" w:eastAsia="Calibri" w:hAnsi="Calibri"/>
                  <w:sz w:val="23"/>
                  <w:szCs w:val="23"/>
                  <w:rStyle w:val="Hyperlink"/>
                  <w:u w:val="single"/>
                  <w:color w:val="0563C1"/>
                </w:rPr>
                <w:t xml:space="preserve">https://assist.aveni.ai/meeting/1068c682-7048-4235-9fa2-b3d10063a995</w:t>
              </w:r>
            </w:hyperlink>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Present at meeting</w:t>
            </w:r>
          </w:p>
        </w:tc>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Internal</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Morgan Seddon</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p>
        </w:tc>
      </w:tr>
    </w:tbl>
    <w:p>
      <w:pPr>
        <w:spacing w:before="300"/>
      </w:pPr>
    </w:p>
    <w:p>
      <w:pPr>
        <w:pStyle w:val="Heading1"/>
        <w:shd w:fill="0e2841"/>
        <w:spacing w:after="100"/>
      </w:pPr>
      <w:r>
        <w:rPr>
          <w:rFonts w:ascii="Calibri" w:cs="Calibri" w:eastAsia="Calibri" w:hAnsi="Calibri"/>
          <w:color w:val="ffffff"/>
          <w:sz w:val="22"/>
          <w:szCs w:val="22"/>
        </w:rPr>
        <w:t xml:space="preserve">Introduction</w:t>
      </w:r>
    </w:p>
    <w:p>
      <w:pPr>
        <w:spacing w:after="100"/>
        <w:rPr/>
      </w:pPr>
      <w:r>
        <w:rPr>
          <w:rFonts w:ascii="Calibri" w:cs="Calibri" w:eastAsia="Calibri" w:hAnsi="Calibri"/>
          <w:sz w:val="22"/>
          <w:szCs w:val="22"/>
        </w:rPr>
        <w:t xml:space="preserve">The meeting between Melanie Anness and Morgan Seddon, a financial adviser from TFAS Wealth, was convened to discuss Melanie's financial strategy following her recent departure from employment. At 55, Melanie is considering accessing her pension benefits to support herself financially during a transitional phase, with plans to return to work potentially in January. The meeting aimed to explore options for replacing her lost income, managing her expenses, and ensuring tax efficiency while considering her future financial needs.</w:t>
      </w:r>
    </w:p>
    <w:p>
      <w:pPr>
        <w:pStyle w:val="Heading1"/>
        <w:shd w:fill="0e2841"/>
        <w:spacing w:after="100"/>
      </w:pPr>
      <w:r>
        <w:rPr>
          <w:rFonts w:ascii="Calibri" w:cs="Calibri" w:eastAsia="Calibri" w:hAnsi="Calibri"/>
          <w:color w:val="ffffff"/>
          <w:sz w:val="22"/>
          <w:szCs w:val="22"/>
        </w:rPr>
        <w:t xml:space="preserve">Discussion</w:t>
      </w:r>
    </w:p>
    <w:p>
      <w:pPr>
        <w:pStyle w:val="Heading3"/>
        <w:spacing w:after="100"/>
        <w:rPr/>
      </w:pPr>
      <w:r>
        <w:rPr>
          <w:rFonts w:ascii="Calibri" w:cs="Calibri" w:eastAsia="Calibri" w:hAnsi="Calibri"/>
          <w:sz w:val="22"/>
          <w:szCs w:val="22"/>
        </w:rPr>
        <w:t xml:space="preserve">Financial Planning and Pension Access</w:t>
      </w:r>
    </w:p>
    <w:p>
      <w:pPr>
        <w:spacing w:after="100"/>
        <w:rPr/>
      </w:pPr>
      <w:r>
        <w:rPr>
          <w:rFonts w:ascii="Calibri" w:cs="Calibri" w:eastAsia="Calibri" w:hAnsi="Calibri"/>
          <w:sz w:val="22"/>
          <w:szCs w:val="22"/>
        </w:rPr>
        <w:t xml:space="preserve">Melanie is in a transitional phase after leaving her job, where her annual income was approximately £45,000, equating to about £2,900 net per month. She is contemplating accessing her pension benefits to support herself financially. Morgan and Melanie discussed various pension options, including flexible drawdown and lump sum withdrawal, to replace her lost income with minimal tax impact. Melanie expressed a preference for the flexible drawdown approach, allowing her to take a monthly income while keeping the remaining funds invested. The plan involves withdrawing 25% tax-free from her pension to clear debts and create a savings buffer.</w:t>
      </w:r>
    </w:p>
    <w:p>
      <w:pPr>
        <w:pStyle w:val="Heading3"/>
        <w:spacing w:after="100"/>
        <w:rPr/>
      </w:pPr>
      <w:r>
        <w:rPr>
          <w:rFonts w:ascii="Calibri" w:cs="Calibri" w:eastAsia="Calibri" w:hAnsi="Calibri"/>
          <w:sz w:val="22"/>
          <w:szCs w:val="22"/>
        </w:rPr>
        <w:t xml:space="preserve">Monthly Income and Expenses</w:t>
      </w:r>
    </w:p>
    <w:p>
      <w:pPr>
        <w:spacing w:after="100"/>
        <w:rPr/>
      </w:pPr>
      <w:r>
        <w:rPr>
          <w:rFonts w:ascii="Calibri" w:cs="Calibri" w:eastAsia="Calibri" w:hAnsi="Calibri"/>
          <w:sz w:val="22"/>
          <w:szCs w:val="22"/>
        </w:rPr>
        <w:t xml:space="preserve">Melanie's essential monthly expenses are estimated at £1,700 to £1,800, with her partner contributing £800 towards these expenses. She desires a monthly pension income of £1,900 to replace her lost employment income. Morgan confirmed that Melanie's overall monthly expenses, including her partner's contribution, amounted to £2,600. Melanie is paying down a liability every month, with a confirmed monthly payment amount of £308, which will help reduce her expenses further. Her credit card payment is £175, and her mortgage payment has increased to nearly £600. The financial strategy aims to ensure Melanie can maintain her lifestyle comfortably during her break from the workforce.</w:t>
      </w:r>
    </w:p>
    <w:p>
      <w:pPr>
        <w:pStyle w:val="Heading3"/>
        <w:spacing w:after="100"/>
        <w:rPr/>
      </w:pPr>
      <w:r>
        <w:rPr>
          <w:rFonts w:ascii="Calibri" w:cs="Calibri" w:eastAsia="Calibri" w:hAnsi="Calibri"/>
          <w:sz w:val="22"/>
          <w:szCs w:val="22"/>
        </w:rPr>
        <w:t xml:space="preserve">Debt Clearance and Savings Buffer</w:t>
      </w:r>
    </w:p>
    <w:p>
      <w:pPr>
        <w:spacing w:after="100"/>
        <w:rPr/>
      </w:pPr>
      <w:r>
        <w:rPr>
          <w:rFonts w:ascii="Calibri" w:cs="Calibri" w:eastAsia="Calibri" w:hAnsi="Calibri"/>
          <w:sz w:val="22"/>
          <w:szCs w:val="22"/>
        </w:rPr>
        <w:t xml:space="preserve">A significant portion of the meeting focused on Melanie's plan to use a £20,000 tax-free lump sum from her pension to clear her credit card and personal loan debts, with balances of £7,000 and £13,000, respectively. An additional £20,000 is intended to create a cash savings buffer, providing financial security during this transitional period. Morgan emphasised the importance of having a buffer of three to six months of expenses, though Melanie preferred a larger buffer, ideally covering 12 months.</w:t>
      </w:r>
    </w:p>
    <w:p>
      <w:pPr>
        <w:pStyle w:val="Heading3"/>
        <w:spacing w:after="100"/>
        <w:rPr/>
      </w:pPr>
      <w:r>
        <w:rPr>
          <w:rFonts w:ascii="Calibri" w:cs="Calibri" w:eastAsia="Calibri" w:hAnsi="Calibri"/>
          <w:sz w:val="22"/>
          <w:szCs w:val="22"/>
        </w:rPr>
        <w:t xml:space="preserve">Tax Efficiency and Personal Allowance</w:t>
      </w:r>
    </w:p>
    <w:p>
      <w:pPr>
        <w:spacing w:after="100"/>
        <w:rPr/>
      </w:pPr>
      <w:r>
        <w:rPr>
          <w:rFonts w:ascii="Calibri" w:cs="Calibri" w:eastAsia="Calibri" w:hAnsi="Calibri"/>
          <w:sz w:val="22"/>
          <w:szCs w:val="22"/>
        </w:rPr>
        <w:t xml:space="preserve">Morgan and Melanie discussed strategies for tax efficiency, considering Melanie's personal allowance of £12,570 for the year. Melanie's employment income since the start of the tax year was estimated at £4,000, leaving approximately £8,500 of her personal allowance available. Morgan considered taking a lump sum from the taxable element of her pension to utilise this allowance, cautioning Melanie about potential tax implications if she resumes employment post-January.</w:t>
      </w:r>
    </w:p>
    <w:p>
      <w:pPr>
        <w:pStyle w:val="Heading3"/>
        <w:spacing w:after="100"/>
        <w:rPr/>
      </w:pPr>
      <w:r>
        <w:rPr>
          <w:rFonts w:ascii="Calibri" w:cs="Calibri" w:eastAsia="Calibri" w:hAnsi="Calibri"/>
          <w:sz w:val="22"/>
          <w:szCs w:val="22"/>
        </w:rPr>
        <w:t xml:space="preserve">Inheritance and Legal Challenges</w:t>
      </w:r>
    </w:p>
    <w:p>
      <w:pPr>
        <w:spacing w:after="100"/>
        <w:rPr/>
      </w:pPr>
      <w:r>
        <w:rPr>
          <w:rFonts w:ascii="Calibri" w:cs="Calibri" w:eastAsia="Calibri" w:hAnsi="Calibri"/>
          <w:sz w:val="22"/>
          <w:szCs w:val="22"/>
        </w:rPr>
        <w:t xml:space="preserve">Melanie is anticipating an inheritance of approximately £150,000 from her mother's estate, which is currently complicated by legal challenges involving her mother's ex-partner. The property, valued at £1.5 to £1.6 million, is subject to a legal battle to remove the ex-partner. Melanie and her sister may need to contribute £20,000 each to resolve the situation, which underscores the need for a financial buffer. Morgan agreed to factor this potential inheritance into Melanie's cash flow plan, recognising it as a future injection of capital.</w:t>
      </w:r>
    </w:p>
    <w:p>
      <w:pPr>
        <w:pStyle w:val="Heading3"/>
        <w:spacing w:after="100"/>
        <w:rPr/>
      </w:pPr>
      <w:r>
        <w:rPr>
          <w:rFonts w:ascii="Calibri" w:cs="Calibri" w:eastAsia="Calibri" w:hAnsi="Calibri"/>
          <w:sz w:val="22"/>
          <w:szCs w:val="22"/>
        </w:rPr>
        <w:t xml:space="preserve">Future Employment and Pension Contributions</w:t>
      </w:r>
    </w:p>
    <w:p>
      <w:pPr>
        <w:spacing w:after="100"/>
        <w:rPr/>
      </w:pPr>
      <w:r>
        <w:rPr>
          <w:rFonts w:ascii="Calibri" w:cs="Calibri" w:eastAsia="Calibri" w:hAnsi="Calibri"/>
          <w:sz w:val="22"/>
          <w:szCs w:val="22"/>
        </w:rPr>
        <w:t xml:space="preserve">Melanie expressed her intention to return to part-time work in January, with an estimated salary of £20,000. Morgan confirmed that Melanie could still make personal pension contributions and receive tax relief, but taking taxable income from her pension would limit future contributions due to the money purchase annual allowance. Melanie plans to remain in part-time work until retirement, balancing her responsibilities as a grandmother with her financial strategy.</w:t>
      </w:r>
    </w:p>
    <w:p>
      <w:pPr>
        <w:pStyle w:val="Heading3"/>
        <w:spacing w:after="100"/>
        <w:rPr/>
      </w:pPr>
      <w:r>
        <w:rPr>
          <w:rFonts w:ascii="Calibri" w:cs="Calibri" w:eastAsia="Calibri" w:hAnsi="Calibri"/>
          <w:sz w:val="22"/>
          <w:szCs w:val="22"/>
        </w:rPr>
        <w:t xml:space="preserve">Financial Strategy and Planning Timeline</w:t>
      </w:r>
    </w:p>
    <w:p>
      <w:pPr>
        <w:spacing w:after="100"/>
        <w:rPr/>
      </w:pPr>
      <w:r>
        <w:rPr>
          <w:rFonts w:ascii="Calibri" w:cs="Calibri" w:eastAsia="Calibri" w:hAnsi="Calibri"/>
          <w:sz w:val="22"/>
          <w:szCs w:val="22"/>
        </w:rPr>
        <w:t xml:space="preserve">Morgan outlined a timeline of four to six weeks for setting up Melanie's financial plan, including documenting advice and processing disinvestment and payment. The strategy involves replacing employment income with pension income, using tax-free cash to settle liabilities, cover fees, and bolster cash savings. Morgan emphasised the importance of understanding how these decisions would affect Melanie's retirement picture and future needs.</w:t>
      </w:r>
    </w:p>
    <w:p>
      <w:pPr>
        <w:pStyle w:val="Heading3"/>
        <w:spacing w:after="100"/>
        <w:rPr/>
      </w:pPr>
      <w:r>
        <w:rPr>
          <w:rFonts w:ascii="Calibri" w:cs="Calibri" w:eastAsia="Calibri" w:hAnsi="Calibri"/>
          <w:sz w:val="22"/>
          <w:szCs w:val="22"/>
        </w:rPr>
        <w:t xml:space="preserve">Personal and Social Context</w:t>
      </w:r>
    </w:p>
    <w:p>
      <w:pPr>
        <w:spacing w:after="100"/>
        <w:rPr/>
      </w:pPr>
      <w:r>
        <w:rPr>
          <w:rFonts w:ascii="Calibri" w:cs="Calibri" w:eastAsia="Calibri" w:hAnsi="Calibri"/>
          <w:sz w:val="22"/>
          <w:szCs w:val="22"/>
        </w:rPr>
        <w:t xml:space="preserve">The meeting also touched on personal anecdotes and social discussions, including Melanie's background as an accountant and her recent life changes. Melanie shared her experiences with a difficult boss and her desire to enjoy life after losing her mother, who suffered from Parkinson's and dementia. Morgan empathised with Melanie's situation, sharing his own background in accountancy and finance, and they both agreed on the importance of balancing financial security with enjoying life.</w:t>
      </w:r>
    </w:p>
    <w:p>
      <w:pPr>
        <w:pStyle w:val="Heading1"/>
        <w:shd w:fill="0e2841"/>
        <w:spacing w:after="100"/>
      </w:pPr>
      <w:r>
        <w:rPr>
          <w:rFonts w:ascii="Calibri" w:cs="Calibri" w:eastAsia="Calibri" w:hAnsi="Calibri"/>
          <w:color w:val="ffffff"/>
          <w:sz w:val="22"/>
          <w:szCs w:val="22"/>
        </w:rPr>
        <w:t xml:space="preserve">Actions</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b/>
        </w:rPr>
        <w:t xml:space="preserve">Morgan Seddon:</w:t>
      </w:r>
      <w:r>
        <w:rPr>
          <w:rFonts w:ascii="Calibri" w:cs="Calibri" w:eastAsia="Calibri" w:hAnsi="Calibri"/>
          <w:sz w:val="22"/>
          <w:szCs w:val="22"/>
        </w:rPr>
        <w:t xml:space="preserve"> Investigate the best route for Melanie's financial strategy, considering the impact on her pension pot and tax efficiency.</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b/>
        </w:rPr>
        <w:t xml:space="preserve">Morgan Seddon:</w:t>
      </w:r>
      <w:r>
        <w:rPr>
          <w:rFonts w:ascii="Calibri" w:cs="Calibri" w:eastAsia="Calibri" w:hAnsi="Calibri"/>
          <w:sz w:val="22"/>
          <w:szCs w:val="22"/>
        </w:rPr>
        <w:t xml:space="preserve"> Document the advice report and process disinvestment and payment within four to six weeks.</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b/>
        </w:rPr>
        <w:t xml:space="preserve">Melanie Anness:</w:t>
      </w:r>
      <w:r>
        <w:rPr>
          <w:rFonts w:ascii="Calibri" w:cs="Calibri" w:eastAsia="Calibri" w:hAnsi="Calibri"/>
          <w:sz w:val="22"/>
          <w:szCs w:val="22"/>
        </w:rPr>
        <w:t xml:space="preserve"> Explore any old pensions from previous employment and consider transferring them into her current Aviva pension.</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b/>
        </w:rPr>
        <w:t xml:space="preserve">Melanie Anness:</w:t>
      </w:r>
      <w:r>
        <w:rPr>
          <w:rFonts w:ascii="Calibri" w:cs="Calibri" w:eastAsia="Calibri" w:hAnsi="Calibri"/>
          <w:sz w:val="22"/>
          <w:szCs w:val="22"/>
        </w:rPr>
        <w:t xml:space="preserve"> Keep Morgan updated on developments regarding the inheritance situation and any counteroffers from her mother's ex-partner.</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b/>
        </w:rPr>
        <w:t xml:space="preserve">Morgan Seddon:</w:t>
      </w:r>
      <w:r>
        <w:rPr>
          <w:rFonts w:ascii="Calibri" w:cs="Calibri" w:eastAsia="Calibri" w:hAnsi="Calibri"/>
          <w:sz w:val="22"/>
          <w:szCs w:val="22"/>
        </w:rPr>
        <w:t xml:space="preserve"> Send Melanie an email with contact details for future correspondence.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xmlns:w15="http://schemas.microsoft.com/office/word/2012/wordml" w:abstractNumId="2">
    <w:nsid w:val="5F6B5EB2"/>
    <w:multiLevelType w:val="hybridMultilevel"/>
    <w:tmpl w:val="21E224F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hint="default"/>
      </w:rPr>
    </w:lvl>
  </w:abstract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 xmlns:w="http://schemas.openxmlformats.org/wordprocessingml/2006/main"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Normal">
    <w:spacing w:before="0" w:after="0"/>
    <w:name w:val="Normal"/>
    <w:qFormat/>
  </w:style>
  <w:style xmlns:w="http://schemas.openxmlformats.org/wordprocessingml/2006/main" w:type="numbering" w:styleId="Aucuneliste">
    <w:name w:val="No List"/>
    <w:uiPriority w:val="99"/>
    <w:semiHidden/>
    <w:unhideWhenUsed/>
  </w:style>
  <w:style xmlns:w="http://schemas.openxmlformats.org/wordprocessingml/2006/main" w:type="paragraph" w:styleId="Caption">
    <w:name w:val="Caption"/>
    <w:basedOn w:val="Normal"/>
    <w:qFormat/>
    <w:pPr>
      <w:suppressLineNumbers/>
      <w:spacing w:before="120" w:after="120"/>
    </w:pPr>
    <w:rPr>
      <w:rFonts w:cs="Lohit Devanagari"/>
      <w:i/>
      <w:iCs/>
      <w:sz w:val="24"/>
      <w:szCs w:val="2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character" w:styleId="Emphaseple">
    <w:name w:val="Subtle Emphasis"/>
    <w:uiPriority w:val="19"/>
    <w:qFormat/>
    <w:rsid w:val="00F33E4D"/>
    <w:rPr>
      <w:i/>
      <w:iCs/>
      <w:color w:val="404040" w:themeColor="text1" w:themeTint="BF"/>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paragraph" w:styleId="TextBody">
    <w:name w:val="Body Text"/>
    <w:basedOn w:val="Normal"/>
    <w:pPr>
      <w:spacing w:lineRule="auto" w:line="288" w:before="0" w:after="140"/>
    </w:pPr>
    <w:rPr/>
  </w:style>
  <w:style xmlns:w="http://schemas.openxmlformats.org/wordprocessingml/2006/main" w:type="paragraph" w:styleId="List">
    <w:name w:val="List"/>
    <w:basedOn w:val="TextBody"/>
    <w:pPr/>
    <w:rPr>
      <w:rFonts w:cs="Lohit Devanagari"/>
    </w:rPr>
  </w:style>
  <w:style xmlns:w="http://schemas.openxmlformats.org/wordprocessingml/2006/main" w:type="numbering" w:styleId="NoList">
    <w:name w:val="No List"/>
    <w:uiPriority w:val="99"/>
    <w:semiHidden/>
    <w:unhideWhenUsed/>
  </w:style>
  <w:style xmlns:w="http://schemas.openxmlformats.org/wordprocessingml/2006/main" w:type="character" w:styleId="NumberingSymbols">
    <w:name w:val="Numbering Symbols"/>
    <w:qFormat/>
    <w:rPr/>
  </w:style>
  <w:style xmlns:w="http://schemas.openxmlformats.org/wordprocessingml/2006/main" w:type="table" w:styleId="TableNormal">
    <w:name w:val="Normal Table"/>
    <w:uiPriority w:val="99"/>
    <w:semiHidden/>
    <w:unhideWhenUsed/>
    <w:tblPr>
      <w:tblInd w:w="0" w:type="dxa"/>
      <w:tblCellMar>
        <w:top w:w="0" w:type="dxa"/>
        <w:left w:w="108" w:type="dxa"/>
        <w:bottom w:w="0" w:type="dxa"/>
        <w:right w:w="108" w:type="dxa"/>
      </w:tblCellMar>
    </w:tblPr>
  </w:style>
  <w:style xmlns:w="http://schemas.openxmlformats.org/wordprocessingml/2006/main" w:type="table" w:styleId="TableauNormal">
    <w:name w:val="Normal Table"/>
    <w:uiPriority w:val="99"/>
    <w:semiHidden/>
    <w:unhideWhenUsed/>
    <w:tblPr>
      <w:tblInd w:w="0" w:type="dxa"/>
      <w:tblCellMar>
        <w:top w:w="0" w:type="dxa"/>
        <w:left w:w="108" w:type="dxa"/>
        <w:bottom w:w="0" w:type="dxa"/>
        <w:right w:w="108" w:type="dxa"/>
      </w:tblCellMar>
    </w:tbl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yperlink" Target="https://assist.aveni.ai/meeting/1068c682-7048-4235-9fa2-b3d10063a995"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2026-07-21T13:40:11.622Z</dcterms:created>
  <dcterms:modified xsi:type="dcterms:W3CDTF">2026-07-21T13:40:11.622Z</dcterms:modified>
</cp:coreProperties>
</file>

<file path=docProps/custom.xml><?xml version="1.0" encoding="utf-8"?>
<Properties xmlns="http://schemas.openxmlformats.org/officeDocument/2006/custom-properties" xmlns:vt="http://schemas.openxmlformats.org/officeDocument/2006/docPropsVTypes"/>
</file>