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6.xml" ContentType="application/vnd.openxmlformats-officedocument.wordprocessingml.footer+xml"/>
  <Default Extension="png" ContentType="image/png"/>
  <Override PartName="/word/header5.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body>
    <w:p>
      <w:pPr/>
      <w:r>
        <w:rPr>
          <w:noProof/>
        </w:rPr>
        <w:drawing>
          <wp:inline>
            <wp:extent cx="1353426" cy="340290"/>
            <wp:effectExtent l="0" t="0" r="0" b="3175"/>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1353426" cy="340290"/>
                    </a:xfrm>
                    <a:prstGeom prst="rect">
                      <a:avLst/>
                    </a:prstGeom>
                    <a:noFill/>
                    <a:ln>
                      <a:noFill/>
                    </a:ln>
                  </pic:spPr>
                </pic:pic>
              </a:graphicData>
            </a:graphic>
          </wp:inline>
        </w:drawing>
      </w:r>
    </w:p>
    <w:p>
      <w:pPr>
        <w:pStyle w:val="DefaqtoCoverHeading-noTOC"/>
        <w:rPr>
          <w:rFonts w:cs="Poppins SemiBold"/>
          <w:b w:val="false"/>
          <w:bCs w:val="false"/>
          <w:sz w:val="62"/>
          <w:szCs w:val="62"/>
        </w:rPr>
      </w:pPr>
    </w:p>
    <w:p>
      <w:pPr>
        <w:pStyle w:val="DefaqtoCoverHeading-noTOC"/>
        <w:rPr>
          <w:rFonts w:cs="Poppins SemiBold"/>
          <w:b w:val="false"/>
          <w:bCs w:val="false"/>
          <w:sz w:val="62"/>
          <w:szCs w:val="62"/>
        </w:rPr>
      </w:pPr>
    </w:p>
    <w:p>
      <w:pPr>
        <w:pStyle w:val="DefaqtoCoverHeading-noTOC"/>
        <w:spacing w:after="320"/>
        <w:rPr>
          <w:rFonts w:ascii="Poppins Light" w:hAnsi="Poppins Light" w:cs="Poppins Light"/>
          <w:b w:val="false"/>
          <w:bCs w:val="false"/>
          <w:color w:val="392388"/>
          <w:sz w:val="32"/>
          <w:szCs w:val="32"/>
        </w:rPr>
      </w:pPr>
      <w:r>
        <w:rPr>
          <w:rFonts w:cs="Poppins SemiBold"/>
          <w:b w:val="false"/>
          <w:bCs w:val="false"/>
          <w:sz w:val="64"/>
          <w:szCs w:val="64"/>
          <w:noProof/>
        </w:rPr>
        <w:t>Risk Profile</w:t>
      </w:r>
      <w:r>
        <w:rPr>
          <w:rFonts w:cs="Poppins SemiBold"/>
          <w:b w:val="false"/>
          <w:bCs w:val="false"/>
          <w:sz w:val="64"/>
          <w:szCs w:val="64"/>
        </w:rPr>
        <w:t xml:space="preserve"> for </w:t>
      </w:r>
      <w:r>
        <w:rPr>
          <w:rFonts w:cs="Poppins SemiBold"/>
          <w:b w:val="false"/>
          <w:bCs w:val="false"/>
          <w:sz w:val="64"/>
          <w:szCs w:val="64"/>
          <w:noProof/>
        </w:rPr>
        <w:t>Melanie Anness</w:t>
      </w:r>
      <w:r>
        <w:rPr>
          <w:rFonts w:cs="Poppins SemiBold"/>
          <w:b w:val="false"/>
          <w:bCs w:val="false"/>
          <w:sz w:val="64"/>
          <w:szCs w:val="64"/>
          <w:noProof/>
        </w:rPr>
        <w:t xml:space="preserve"> </w:t>
      </w:r>
      <w:bookmarkStart w:id="0" w:name="_Hlk74053138"/>
    </w:p>
    <w:p>
      <w:pPr>
        <w:pStyle w:val="DefaqtoCoverHeading-noTOC"/>
        <w:spacing w:after="160"/>
        <w:rPr>
          <w:rFonts w:ascii="Poppins Light" w:hAnsi="Poppins Light" w:cs="Poppins Light"/>
          <w:b w:val="false"/>
          <w:bCs w:val="false"/>
          <w:color w:val="392388"/>
          <w:sz w:val="32"/>
          <w:szCs w:val="32"/>
        </w:rPr>
      </w:pPr>
      <w:r>
        <w:rPr>
          <w:rFonts w:ascii="Poppins Light" w:hAnsi="Poppins Light" w:cs="Poppins Light"/>
          <w:b w:val="false"/>
          <w:bCs w:val="false"/>
          <w:color w:val="392388"/>
          <w:sz w:val="32"/>
          <w:szCs w:val="32"/>
          <w:noProof/>
        </w:rPr>
        <w:t>James Poka</w:t>
      </w:r>
      <w:bookmarkEnd w:id="0"/>
    </w:p>
    <w:p>
      <w:pPr>
        <w:pStyle w:val="DefaqtoCoverHeading-noTOC"/>
        <w:spacing w:after="160"/>
        <w:rPr>
          <w:rFonts w:ascii="Poppins Light" w:hAnsi="Poppins Light" w:cs="Poppins Light"/>
          <w:b w:val="false"/>
          <w:bCs w:val="false"/>
          <w:color w:val="392388"/>
          <w:sz w:val="32"/>
          <w:szCs w:val="32"/>
        </w:rPr>
      </w:pPr>
      <w:r>
        <w:rPr>
          <w:rFonts w:ascii="Poppins Light" w:hAnsi="Poppins Light" w:cs="Poppins Light"/>
          <w:b w:val="false"/>
          <w:bCs w:val="false"/>
          <w:color w:val="392388"/>
          <w:sz w:val="32"/>
          <w:szCs w:val="32"/>
          <w:noProof/>
        </w:rPr>
        <w:t>TFAS Wealth Ltd</w:t>
      </w:r>
    </w:p>
    <w:p>
      <w:pPr>
        <w:ind w:left="23"/>
        <w:rPr>
          <w:rFonts w:ascii="Poppins" w:hAnsi="Poppins" w:cs="Poppins"/>
          <w:sz w:val="36"/>
          <w:szCs w:val="36"/>
        </w:rPr>
      </w:pPr>
      <w:r>
        <w:rPr>
          <w:rFonts w:ascii="Poppins Light" w:hAnsi="Poppins Light" w:cs="Poppins Light"/>
          <w:color w:val="392388"/>
          <w:sz w:val="32"/>
          <w:szCs w:val="32"/>
          <w:noProof/>
        </w:rPr>
        <w:t>16 March 2026</w:t>
      </w:r>
      <w:r>
        <w:rPr>
          <w:rFonts w:ascii="Poppins" w:hAnsi="Poppins" w:cs="Poppins"/>
          <w:sz w:val="36"/>
          <w:szCs w:val="36"/>
        </w:rPr>
        <w:tab/>
      </w:r>
    </w:p>
    <w:p>
      <w:pPr>
        <w:rPr>
          <w:rFonts w:ascii="Poppins" w:hAnsi="Poppins" w:cs="Poppins"/>
          <w:sz w:val="36"/>
          <w:szCs w:val="36"/>
        </w:rPr>
        <w:sectPr>
          <w:headerReference w:type="default" r:id="gemHfRid1"/>
          <w:footerReference w:type="default" r:id="gemHfRid2"/>
          <w:footerReference w:type="first" r:id="gemHfRid3"/>
          <w:pgSz w:w="11906" w:h="16838"/>
          <w:pgMar w:top="709" w:right="640" w:bottom="376" w:left="640" w:header="200" w:footer="200" w:gutter="0"/>
          <w:pgNumType w:start="1"/>
          <w:cols w:space="720"/>
          <w:titlePg/>
          <w:docGrid w:type="0" w:linePitch="299"/>
        </w:sectPr>
      </w:pPr>
      <w:r>
        <w:rPr>
          <w:rFonts w:ascii="Poppins" w:hAnsi="Poppins" w:cs="Poppins"/>
          <w:color w:val="4A4948"/>
          <w:sz w:val="36"/>
          <w:szCs w:val="36"/>
          <w:noProof/>
        </w:rPr>
        <mc:AlternateContent>
          <mc:Choice Requires="wps">
            <w:drawing>
              <wp:anchor distT="0" distB="0" distL="114300" distR="114300" simplePos="false" relativeHeight="251676672" behindDoc="false" locked="false" layoutInCell="true" allowOverlap="true">
                <wp:simplePos x="0" y="0"/>
                <wp:positionH relativeFrom="margin">
                  <wp:posOffset>10973</wp:posOffset>
                </wp:positionH>
                <wp:positionV relativeFrom="topMargin">
                  <wp:posOffset>6488582</wp:posOffset>
                </wp:positionV>
                <wp:extent cx="6851460" cy="3096083"/>
                <wp:effectExtent l="0" t="0" r="6985" b="9525"/>
                <wp:wrapNone/>
                <wp:docPr id="3" name="Text Box 2"/>
                <a:graphic xmlns:a="http://schemas.openxmlformats.org/drawingml/2006/main">
                  <a:graphicData uri="http://schemas.microsoft.com/office/word/2010/wordprocessingShape">
                    <wps:wsp>
                      <wps:cNvSpPr txBox="true"/>
                      <wps:spPr>
                        <a:xfrm>
                          <a:off x="0" y="0"/>
                          <a:ext cx="6851460" cy="3096083"/>
                        </a:xfrm>
                        <a:prstGeom prst="rect">
                          <a:avLst/>
                        </a:prstGeom>
                        <a:solidFill>
                          <a:srgbClr val="FFFFFF"/>
                        </a:solid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jc w:val="right"/>
                              <w:rPr>
                                <w:color w:val="392388"/>
                              </w:rPr>
                            </w:pPr>
                            <w:r>
                              <w:drawing>
                                <wp:inline>
                                  <wp:extent cx="2667000" cy="1181100"/>
                                  <wp:docPr id="4" name="Picture 4"/>
                                  <a:graphic xmlns:a="http://schemas.openxmlformats.org/drawingml/2006/main">
                                    <a:graphicData uri="http://schemas.openxmlformats.org/drawingml/2006/picture">
                                      <pic:pic xmlns:pic="http://schemas.openxmlformats.org/drawingml/2006/picture">
                                        <pic:nvPicPr>
                                          <pic:cNvPr id="5" name="Picture 5"/>
                                          <pic:cNvPicPr/>
                                        </pic:nvPicPr>
                                        <pic:blipFill>
                                          <a:blip cstate="print" r:embed="PictureId2"/>
                                          <a:stretch>
                                            <a:fillRect/>
                                          </a:stretch>
                                        </pic:blipFill>
                                        <pic:spPr>
                                          <a:xfrm>
                                            <a:off x="0" y="0"/>
                                            <a:ext cx="2667000" cy="1181100"/>
                                          </a:xfrm>
                                          <a:prstGeom prst="rect">
                                            <a:avLst/>
                                          </a:prstGeom>
                                        </pic:spPr>
                                      </pic:pic>
                                    </a:graphicData>
                                  </a:graphic>
                                </wp:inline>
                              </w:drawing>
                            </w:r>
                          </w:p>
                        </w:txbxContent>
                      </wps:txbx>
                      <wps:bodyPr xmlns:wps="http://schemas.microsoft.com/office/word/2010/wordprocessingShape" vert="horz" wrap="square" lIns="0" tIns="0" rIns="0" bIns="0" anchor="b" rot="0" anchorCtr="0">
                        <noAutofit/>
                      </wps:bodyPr>
                    </wps:wsp>
                  </a:graphicData>
                </a:graphic>
                <wp14:sizeRelH relativeFrom="margin">
                  <wp14:pctWidth>0</wp14:pctWidth>
                </wp14:sizeRelH>
                <wp14:sizeRelV relativeFrom="margin">
                  <wp14:pctHeight>0</wp14:pctHeight>
                </wp14:sizeRelV>
              </wp:anchor>
            </w:drawing>
          </mc:Choice>
          <mc:Fallback>
            <w:pict>
              <v:rect style="width:539.49pt;height:243.79pt;position:absolute;mso-position-horizontal-relative:margin;margin-left:0.86pt;mso-position-vertical-relative:top-margin-area;margin-top:510.91pt;mso-wrap-style:square;mso-wrap-distance-left:9pt;mso-wrap-distance-top:0pt;mso-wrap-distance-right:9pt;mso-wrap-distance-bottom:0pt;z-index:251676672;mso-wrap-style:square;v-text-anchor:bottom;visibility:visible" fillcolor="#FFFFFF" stroked="false" strokeweight="0.75pt">
                <v:textbox inset="0pt,0pt,0pt,0pt">
                  <w:txbxContent>
                    <w:p>
                      <w:pPr>
                        <w:jc w:val="right"/>
                        <w:rPr>
                          <w:color w:val="392388"/>
                        </w:rPr>
                      </w:pPr>
                      <w:r>
                        <w:drawing>
                          <wp:inline>
                            <wp:extent cx="2667000" cy="11811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2"/>
                                    <a:stretch>
                                      <a:fillRect/>
                                    </a:stretch>
                                  </pic:blipFill>
                                  <pic:spPr>
                                    <a:xfrm>
                                      <a:off x="0" y="0"/>
                                      <a:ext cx="2667000" cy="1181100"/>
                                    </a:xfrm>
                                    <a:prstGeom prst="rect">
                                      <a:avLst/>
                                    </a:prstGeom>
                                  </pic:spPr>
                                </pic:pic>
                              </a:graphicData>
                            </a:graphic>
                          </wp:inline>
                        </w:drawing>
                      </w:r>
                    </w:p>
                  </w:txbxContent>
                </v:textbox>
                <w10:wrap type="none" side="both"/>
              </v:rect>
            </w:pict>
          </mc:Fallback>
        </mc:AlternateContent>
      </w:r>
    </w:p>
    <w:p>
      <w:pPr>
        <w:pStyle w:val="DefaqtoHeading1"/>
      </w:pPr>
      <w:r>
        <w:t>Risk profile</w:t>
      </w:r>
    </w:p>
    <w:p>
      <w:pPr>
        <w:pStyle w:val="DefaqtoIntroText"/>
        <w:jc w:val="left"/>
      </w:pPr>
      <w:r>
        <w:rPr>
          <w:b w:val="false"/>
          <w:bCs w:val="false"/>
          <w:i w:val="false"/>
          <w:u w:color="000000" w:val="none"/>
        </w:rPr>
        <w:t>This section details how we reached an agreed risk level for this goal. It covers factors including your natural attitude to risk, capacity for loss and required return; factors used when selecting the types of investments and determining suitability.</w:t>
      </w:r>
    </w:p>
    <w:p>
      <w:pPr>
        <w:pStyle w:val="DefaqtoHeading2"/>
        <w:jc w:val="left"/>
      </w:pPr>
      <w:r>
        <w:rPr>
          <w:b/>
          <w:bCs/>
          <w:i w:val="false"/>
          <w:u w:color="000000" w:val="none"/>
        </w:rPr>
        <w:t>How are risk levels used to create suitable investment portfolios?</w:t>
      </w:r>
    </w:p>
    <w:p>
      <w:pPr>
        <w:pStyle w:val="DefaqtoBody"/>
        <w:jc w:val="left"/>
      </w:pPr>
      <w:r>
        <w:rPr>
          <w:b w:val="false"/>
          <w:bCs w:val="false"/>
          <w:i w:val="false"/>
          <w:u w:color="000000" w:val="none"/>
        </w:rPr>
        <w:t>The natural risk level, which is ascertained from the psychometric attitude to risk questionnaire score, is used as a starting point to discuss the actual level of risk you are willing and able to take to meet your specific investment objective.</w:t>
      </w:r>
    </w:p>
    <w:p>
      <w:pPr>
        <w:pStyle w:val="DefaqtoBody"/>
        <w:jc w:val="left"/>
      </w:pPr>
      <w:r>
        <w:rPr>
          <w:b w:val="false"/>
          <w:bCs w:val="false"/>
          <w:i w:val="false"/>
          <w:u w:color="000000" w:val="none"/>
        </w:rPr>
        <w:t>In the discussion we had, you were shown a projection, based initially on your natural risk level, investment amount, target and desired time horizon. We then discussed this projection and altered any factor, including the risk level, until we agreed that the right balance had been achieved. This resulted in an agreed risk level for the investment.</w:t>
      </w:r>
    </w:p>
    <w:p>
      <w:pPr>
        <w:pStyle w:val="DefaqtoBody"/>
        <w:jc w:val="left"/>
      </w:pPr>
      <w:r>
        <w:rPr>
          <w:b w:val="false"/>
          <w:bCs w:val="false"/>
          <w:i w:val="false"/>
          <w:u w:color="000000" w:val="none"/>
        </w:rPr>
        <w:t xml:space="preserve">To project the potential outcomes, each risk level is mapped to a collection of asset classes designed to expose you to an appropriate level of risk. Projections are produced by passing the asset class breakdown for the selected risk level to a stochastic engine that uses modelling provided by Hymans Robertson to project the future performance of the combination of asset classes. </w:t>
      </w:r>
    </w:p>
    <w:p>
      <w:pPr>
        <w:pStyle w:val="DefaqtoBody"/>
        <w:jc w:val="left"/>
      </w:pPr>
      <w:r>
        <w:rPr>
          <w:b w:val="false"/>
          <w:bCs w:val="false"/>
          <w:i w:val="false"/>
          <w:u w:color="000000" w:val="none"/>
        </w:rPr>
        <w:t>By using these projections and discussions, we came to an agreed risk level for your specific investment objective. A portfolio will be built to meet your agreed risk level.</w:t>
      </w:r>
    </w:p>
    <w:p>
      <w:pPr>
        <w:pStyle w:val="DefaqtoBody"/>
        <w:jc w:val="left"/>
      </w:pPr>
      <w:r>
        <w:rPr>
          <w:b w:val="false"/>
          <w:bCs w:val="false"/>
          <w:i w:val="false"/>
          <w:u w:color="000000" w:val="none"/>
        </w:rPr>
        <w:t>A summary of the results of this process is documented below.</w:t>
      </w:r>
    </w:p>
    <w:p>
      <w:pPr/>
      <w:r>
        <w:br w:type="page"/>
      </w:r>
    </w:p>
    <w:p>
      <w:pPr>
        <w:pStyle w:val="DefaqtoHeading2"/>
        <w:jc w:val="left"/>
      </w:pPr>
      <w:r>
        <w:rPr>
          <w:b w:val="false"/>
          <w:bCs w:val="false"/>
          <w:i w:val="false"/>
          <w:u w:color="000000" w:val="none"/>
        </w:rPr>
        <w:t>Natural risk level</w:t>
      </w:r>
    </w:p>
    <w:p>
      <w:pPr>
        <w:pStyle w:val="DefaqtoBody"/>
        <w:jc w:val="left"/>
      </w:pPr>
      <w:r>
        <w:rPr>
          <w:b w:val="false"/>
          <w:bCs w:val="false"/>
          <w:i w:val="false"/>
          <w:u w:color="000000" w:val="none"/>
        </w:rPr>
        <w:t>Your natural risk level is based on the answers given in the Attitude to Risk Questionnaire which was completed on 16/01/2026. The responses can be found in the appendix</w:t>
      </w:r>
    </w:p>
    <w:p>
      <w:pPr>
        <w:pStyle w:val="DefaqtoBody"/>
        <w:jc w:val="left"/>
      </w:pPr>
      <w:r>
        <w:rPr>
          <w:b/>
          <w:bCs/>
          <w:i w:val="false"/>
          <w:u w:color="000000" w:val="none"/>
        </w:rPr>
        <w:t xml:space="preserve"> Melanie Anness</w:t>
      </w:r>
    </w:p>
    <w:tbl>
      <w:tblPr>
        <w:tblStyle w:val="DefaqtoTable-Plain"/>
        <w:tblW w:w="5000" w:type="pct"/>
        <w:tblLook w:firstRow="1" w:lastRow="1" w:firstColumn="1" w:lastColumn="1" w:noHBand="0" w:noVBand="0" w:val="01E0"/>
      </w:tblPr>
      <w:tr>
        <w:trPr>
          <w:cnfStyle w:val="000000000000"/>
        </w:trPr>
        <w:tc>
          <w:tcPr>
            <w:cnfStyle w:val="000000000000"/>
            <w:tcW w:w="1250" w:type="pct"/>
            <w:tcBorders>
              <w:top w:val="inset" w:sz="8" w:color="B0A7CF"/>
              <w:left w:val="inset" w:sz="8" w:color="B0A7CF"/>
              <w:bottom w:val="inset" w:sz="8" w:color="B0A7CF"/>
              <w:right w:val="inset" w:sz="8" w:color="B0A7CF"/>
            </w:tcBorders>
            <w:shd w:val="clear" w:fill="FFFFFF"/>
            <w:vAlign w:val="center"/>
          </w:tcPr>
          <w:p>
            <w:pPr>
              <w:cnfStyle w:val="000000000000"/>
              <w:pStyle w:val="DefaqtoTableBody2"/>
              <w:spacing w:before="60" w:after="60"/>
              <w:jc w:val="center"/>
            </w:pPr>
            <w:r>
              <w:rPr>
                <w:b/>
                <w:bCs/>
                <w:i w:val="false"/>
                <w:color w:val="392388"/>
                <w:sz w:val="36"/>
                <w:szCs w:val="36"/>
                <w:shd w:val="clear" w:fill="auto"/>
              </w:rPr>
              <w:t>7</w:t>
            </w:r>
            <w:r>
              <w:br/>
            </w:r>
            <w:r>
              <w:br/>
            </w:r>
            <w:r>
              <w:rPr>
                <w:b/>
                <w:bCs/>
                <w:i w:val="false"/>
                <w:color w:val="392388"/>
                <w:sz w:val="24"/>
                <w:szCs w:val="24"/>
                <w:shd w:val="clear" w:fill="auto"/>
              </w:rPr>
              <w:t>Growth</w:t>
            </w:r>
          </w:p>
        </w:tc>
        <w:tc>
          <w:tcPr>
            <w:cnfStyle w:val="000000000000"/>
            <w:tcW w:w="50" w:type="pct"/>
          </w:tcPr>
          <w:p>
            <w:pPr>
              <w:cnfStyle w:val="000000000000"/>
              <w:pStyle w:val="DefaqtoTableBody2"/>
              <w:spacing w:before="60" w:after="60"/>
              <w:jc w:val="left"/>
            </w:pPr>
            <w:r>
              <w:rPr/>
              <w:t xml:space="preserve"> </w:t>
            </w:r>
          </w:p>
        </w:tc>
        <w:tc>
          <w:tcPr>
            <w:cnfStyle w:val="000000000000"/>
            <w:tcW w:w="3700" w:type="pct"/>
            <w:vAlign w:val="top"/>
          </w:tcPr>
          <w:p>
            <w:pPr>
              <w:cnfStyle w:val="000000000000"/>
              <w:pStyle w:val="DefaqtoTableBody2"/>
              <w:spacing w:before="60" w:after="60"/>
              <w:jc w:val="left"/>
            </w:pPr>
            <w:r>
              <w:rPr>
                <w:color w:val="392388"/>
                <w:sz w:val="20"/>
                <w:szCs w:val="20"/>
              </w:rPr>
              <w:t>As a Growth investor you do not see yourself as a cautious person and are inclined to view risk as a source of opportunity rather than as a threat.  If you have experience of investments and find financial matters fairly easy to understand then you may be suited to a Growth approach to investing.  You may also be suited to this approach if you make investment decisions relatively quickly and are not usually particularly anxious about those decisions.  As a Growth investor you typically look for higher returns rather than safer investments and understand that you need to take some risk to meet your investment goals.</w:t>
            </w:r>
          </w:p>
        </w:tc>
      </w:tr>
    </w:tbl>
    <w:p>
      <w:pPr>
        <w:pStyle w:val="DefaqtoHeading2"/>
        <w:jc w:val="left"/>
      </w:pPr>
      <w:r>
        <w:rPr>
          <w:b w:val="false"/>
          <w:bCs w:val="false"/>
          <w:i w:val="false"/>
          <w:u w:color="000000" w:val="none"/>
        </w:rPr>
        <w:t>Agreed risk level</w:t>
      </w:r>
    </w:p>
    <w:p>
      <w:pPr>
        <w:pStyle w:val="DefaqtoBody"/>
        <w:jc w:val="left"/>
      </w:pPr>
      <w:r>
        <w:rPr>
          <w:b w:val="false"/>
          <w:bCs w:val="false"/>
          <w:i w:val="false"/>
          <w:u w:color="000000" w:val="none"/>
        </w:rPr>
        <w:t xml:space="preserve">Following an interactive discussion, and considering your natural attitude to risk, capacity for loss and required return for your goal, we agreed a risk level. </w:t>
      </w:r>
    </w:p>
    <w:tbl>
      <w:tblPr>
        <w:tblStyle w:val="DefaqtoTable-Plain"/>
        <w:tblW w:w="5000" w:type="pct"/>
        <w:tblLook w:firstRow="1" w:lastRow="1" w:firstColumn="1" w:lastColumn="1" w:noHBand="0" w:noVBand="0" w:val="01E0"/>
      </w:tblPr>
      <w:tr>
        <w:trPr>
          <w:cnfStyle w:val="000000000000"/>
        </w:trPr>
        <w:tc>
          <w:tcPr>
            <w:cnfStyle w:val="000000000000"/>
            <w:tcW w:w="1250" w:type="pct"/>
            <w:tcBorders>
              <w:top w:val="inset" w:sz="8" w:color="B0A7CF"/>
              <w:left w:val="inset" w:sz="8" w:color="B0A7CF"/>
              <w:bottom w:val="inset" w:sz="8" w:color="B0A7CF"/>
              <w:right w:val="inset" w:sz="8" w:color="B0A7CF"/>
            </w:tcBorders>
            <w:shd w:val="clear" w:fill="FFFFFF"/>
            <w:vAlign w:val="center"/>
          </w:tcPr>
          <w:p>
            <w:pPr>
              <w:cnfStyle w:val="000000000000"/>
              <w:pStyle w:val="DefaqtoTableBody2"/>
              <w:spacing w:before="60" w:after="60"/>
              <w:jc w:val="center"/>
            </w:pPr>
            <w:r>
              <w:rPr>
                <w:b/>
                <w:bCs/>
                <w:i w:val="false"/>
                <w:color w:val="392388"/>
                <w:sz w:val="36"/>
                <w:szCs w:val="36"/>
                <w:shd w:val="clear" w:fill="auto"/>
              </w:rPr>
              <w:t>7</w:t>
            </w:r>
            <w:r>
              <w:br/>
            </w:r>
            <w:r>
              <w:br/>
            </w:r>
            <w:r>
              <w:rPr>
                <w:b/>
                <w:bCs/>
                <w:i w:val="false"/>
                <w:color w:val="392388"/>
                <w:sz w:val="24"/>
                <w:szCs w:val="24"/>
                <w:shd w:val="clear" w:fill="auto"/>
              </w:rPr>
              <w:t>Growth</w:t>
            </w:r>
          </w:p>
        </w:tc>
        <w:tc>
          <w:tcPr>
            <w:cnfStyle w:val="000000000000"/>
            <w:tcW w:w="50" w:type="pct"/>
          </w:tcPr>
          <w:p>
            <w:pPr>
              <w:cnfStyle w:val="000000000000"/>
              <w:pStyle w:val="DefaqtoTableBody2"/>
              <w:spacing w:before="60" w:after="60"/>
              <w:jc w:val="left"/>
            </w:pPr>
            <w:r>
              <w:rPr/>
              <w:t xml:space="preserve"> </w:t>
            </w:r>
          </w:p>
        </w:tc>
        <w:tc>
          <w:tcPr>
            <w:cnfStyle w:val="000000000000"/>
            <w:tcW w:w="3700" w:type="pct"/>
            <w:vAlign w:val="top"/>
          </w:tcPr>
          <w:p>
            <w:pPr>
              <w:cnfStyle w:val="000000000000"/>
              <w:pStyle w:val="DefaqtoTableBody2"/>
              <w:spacing w:before="60" w:after="60"/>
              <w:jc w:val="left"/>
            </w:pPr>
            <w:r>
              <w:rPr>
                <w:color w:val="392388"/>
                <w:sz w:val="20"/>
                <w:szCs w:val="20"/>
              </w:rPr>
              <w:t>As a Growth investor you do not see yourself as a cautious person and are inclined to view risk as a source of opportunity rather than as a threat.  If you have experience of investments and find financial matters fairly easy to understand then you may be suited to a Growth approach to investing.  You may also be suited to this approach if you make investment decisions relatively quickly and are not usually particularly anxious about those decisions.  As a Growth investor you typically look for higher returns rather than safer investments and understand that you need to take some risk to meet your investment goals.</w:t>
            </w:r>
          </w:p>
        </w:tc>
      </w:tr>
    </w:tbl>
    <w:p>
      <w:pPr/>
      <w:r>
        <w:t xml:space="preserve"> </w:t>
      </w:r>
    </w:p>
    <w:p>
      <w:pPr>
        <w:pStyle w:val="DefaqtoBody"/>
        <w:jc w:val="left"/>
      </w:pPr>
      <w:r>
        <w:rPr>
          <w:b w:val="false"/>
          <w:bCs w:val="false"/>
          <w:i w:val="false"/>
          <w:u w:color="000000" w:val="none"/>
        </w:rPr>
        <w:t>No additional notes were recorded</w:t>
      </w:r>
    </w:p>
    <w:p>
      <w:pPr>
        <w:pStyle w:val="DefaqtoHeading2"/>
        <w:jc w:val="left"/>
      </w:pPr>
      <w:r>
        <w:rPr>
          <w:b w:val="false"/>
          <w:bCs w:val="false"/>
          <w:i w:val="false"/>
          <w:u w:color="000000" w:val="none"/>
        </w:rPr>
        <w:t>Risk level justification</w:t>
      </w:r>
    </w:p>
    <w:p>
      <w:pPr>
        <w:pStyle w:val="DefaqtoBody"/>
        <w:jc w:val="left"/>
      </w:pPr>
      <w:r>
        <w:rPr>
          <w:b w:val="false"/>
          <w:bCs w:val="false"/>
          <w:i w:val="false"/>
          <w:u w:color="000000" w:val="none"/>
        </w:rPr>
        <w:t>The projections for the agreed risk level are shown below. They are not intended to provide a guarantee of actual portfolio performance, rather to provide a way to illustrate how different risk levels affect the range of probable returns. Projections take account of an estimated annual total charge of 1% which is intended to represent tax wrapper, platform and fund charges as well as any ongoing advice charges. The actual charge will be dependent on the chosen tax wrapper, platform and fund portfolio. The projections model the effects of inflation; all figures are shown in real terms.</w:t>
      </w:r>
    </w:p>
    <w:p>
      <w:pPr>
        <w:pStyle w:val="DefaqtoBody"/>
        <w:jc w:val="left"/>
      </w:pPr>
      <w:r>
        <w:rPr>
          <w:b w:val="false"/>
          <w:bCs w:val="false"/>
          <w:i w:val="false"/>
          <w:u w:color="000000" w:val="none"/>
        </w:rPr>
        <w:t>The details of your investment goal are as follows:</w:t>
      </w:r>
    </w:p>
    <w:tbl>
      <w:tblPr>
        <w:tblStyle w:val="Custom1"/>
        <w:tblW w:w="5000" w:type="pct"/>
        <w:tblLook w:firstRow="1" w:lastRow="1" w:firstColumn="1" w:lastColumn="1" w:noHBand="0" w:noVBand="0" w:val="01E0"/>
      </w:tblPr>
      <w:tr>
        <w:trPr>
          <w:cnfStyle w:val="000000100000"/>
        </w:trPr>
        <w:tc>
          <w:tcPr>
            <w:cnfStyle w:val="001000100000"/>
            <w:tcW w:w="1650" w:type="pct"/>
          </w:tcPr>
          <w:p>
            <w:pPr>
              <w:cnfStyle w:val="001000100000"/>
              <w:pStyle w:val="DefaqtoTableBody2"/>
              <w:spacing w:before="60" w:after="60"/>
              <w:jc w:val="left"/>
            </w:pPr>
            <w:r>
              <w:rPr/>
              <w:t>Investment Period</w:t>
            </w:r>
          </w:p>
        </w:tc>
        <w:tc>
          <w:tcPr>
            <w:cnfStyle w:val="000000100000"/>
            <w:tcW w:w="1650" w:type="pct"/>
          </w:tcPr>
          <w:p>
            <w:pPr>
              <w:cnfStyle w:val="000000100000"/>
              <w:pStyle w:val="DefaqtoTableBody2"/>
              <w:spacing w:before="60" w:after="60"/>
              <w:jc w:val="left"/>
            </w:pPr>
            <w:r>
              <w:rPr/>
              <w:t>10 years</w:t>
            </w:r>
          </w:p>
        </w:tc>
      </w:tr>
      <w:tr>
        <w:trPr>
          <w:cnfStyle w:val="000000010000"/>
        </w:trPr>
        <w:tc>
          <w:tcPr>
            <w:cnfStyle w:val="001000010000"/>
          </w:tcPr>
          <w:p>
            <w:pPr>
              <w:cnfStyle w:val="001000010000"/>
              <w:pStyle w:val="DefaqtoTableBody2"/>
              <w:spacing w:before="60" w:after="60"/>
              <w:jc w:val="left"/>
            </w:pPr>
            <w:r>
              <w:rPr/>
              <w:t>Investment</w:t>
            </w:r>
          </w:p>
        </w:tc>
        <w:tc>
          <w:tcPr>
            <w:cnfStyle w:val="000000010000"/>
          </w:tcPr>
          <w:p>
            <w:pPr>
              <w:cnfStyle w:val="000000010000"/>
              <w:pStyle w:val="DefaqtoTableBody2"/>
              <w:spacing w:before="60" w:after="60"/>
              <w:jc w:val="left"/>
            </w:pPr>
            <w:r>
              <w:rPr/>
              <w:t>£300,000</w:t>
            </w:r>
          </w:p>
        </w:tc>
      </w:tr>
      <w:tr>
        <w:trPr>
          <w:cnfStyle w:val="000000100000"/>
        </w:trPr>
        <w:tc>
          <w:tcPr>
            <w:cnfStyle w:val="001000100000"/>
          </w:tcPr>
          <w:p>
            <w:pPr>
              <w:cnfStyle w:val="001000100000"/>
              <w:pStyle w:val="DefaqtoTableBody2"/>
              <w:spacing w:before="60" w:after="60"/>
              <w:jc w:val="left"/>
            </w:pPr>
            <w:r>
              <w:rPr/>
              <w:t>Regular Investment</w:t>
            </w:r>
          </w:p>
        </w:tc>
        <w:tc>
          <w:tcPr>
            <w:cnfStyle w:val="000000100000"/>
          </w:tcPr>
          <w:p>
            <w:pPr>
              <w:cnfStyle w:val="000000100000"/>
              <w:pStyle w:val="DefaqtoTableBody2"/>
              <w:spacing w:before="60" w:after="60"/>
              <w:jc w:val="left"/>
            </w:pPr>
            <w:r>
              <w:rPr/>
              <w:t>£0 monthly (expressed in real terms)</w:t>
            </w:r>
          </w:p>
        </w:tc>
      </w:tr>
      <w:tr>
        <w:trPr>
          <w:cnfStyle w:val="000000010000"/>
        </w:trPr>
        <w:tc>
          <w:tcPr>
            <w:cnfStyle w:val="001000010000"/>
          </w:tcPr>
          <w:p>
            <w:pPr>
              <w:cnfStyle w:val="001000010000"/>
              <w:pStyle w:val="DefaqtoTableBody2"/>
              <w:spacing w:before="60" w:after="60"/>
              <w:jc w:val="left"/>
            </w:pPr>
            <w:r>
              <w:rPr/>
              <w:t>Annual Increase</w:t>
            </w:r>
          </w:p>
        </w:tc>
        <w:tc>
          <w:tcPr>
            <w:cnfStyle w:val="000000010000"/>
          </w:tcPr>
          <w:p>
            <w:pPr>
              <w:cnfStyle w:val="000000010000"/>
              <w:pStyle w:val="DefaqtoTableBody2"/>
              <w:spacing w:before="60" w:after="60"/>
              <w:jc w:val="left"/>
            </w:pPr>
            <w:r>
              <w:rPr/>
              <w:t>0% per year In Addition to Inflation</w:t>
            </w:r>
          </w:p>
        </w:tc>
      </w:tr>
    </w:tbl>
    <w:p>
      <w:pPr>
        <w:pStyle w:val="DefaqtoBody"/>
        <w:jc w:val="left"/>
      </w:pPr>
      <w:r>
        <w:rPr>
          <w:b w:val="false"/>
          <w:bCs w:val="false"/>
          <w:i w:val="false"/>
          <w:u w:color="000000" w:val="none"/>
        </w:rPr>
        <w:t>You may be using more than one investment to achieve this goal. Each investment will detail the initial and any regular amount invested.</w:t>
      </w:r>
    </w:p>
    <w:p>
      <w:pPr>
        <w:pStyle w:val="DefaqtoBody"/>
        <w:jc w:val="left"/>
      </w:pPr>
      <w:r>
        <w:rPr>
          <w:b w:val="false"/>
          <w:bCs w:val="false"/>
          <w:i w:val="false"/>
          <w:u w:color="000000" w:val="none"/>
        </w:rPr>
        <w:t>Projecting these details, along with the agreed risk level, produced the following graphs which were discussed and agreed with you:</w:t>
      </w:r>
    </w:p>
    <w:tbl>
      <w:tblPr>
        <w:tblW w:w="5000" w:type="pct"/>
        <w:jc w:val="left"/>
        <w:tblCellSpacing w:w="30" w:type="dxa"/>
        <w:tblInd w:w="75" w:type="dxa"/>
        <w:tblBorders>
          <w:top w:val="nil"/>
          <w:left w:val="nil"/>
          <w:bottom w:val="nil"/>
          <w:right w:val="nil"/>
          <w:insideH w:val="nil"/>
          <w:insideV w:val="nil"/>
        </w:tblBorders>
        <w:tblLook w:firstRow="0" w:lastRow="0" w:firstColumn="0" w:lastColumn="0" w:noHBand="1" w:noVBand="1" w:val="0600"/>
      </w:tblPr>
      <w:tr>
        <w:trPr>
          <w:cnfStyle w:val="000000000000"/>
        </w:trPr>
        <w:tc>
          <w:tcPr>
            <w:cnfStyle w:val="000000000000"/>
            <w:tcW w:w="5000" w:type="pct"/>
            <w:tcBorders>
              <w:top w:val="single" w:sz="12" w:color="DDDDDD"/>
              <w:left w:val="single" w:sz="12" w:color="DDDDDD"/>
              <w:bottom w:val="single" w:sz="12" w:color="DDDDDD"/>
              <w:right w:val="single" w:sz="12" w:color="DDDDDD"/>
            </w:tcBorders>
            <w:tcMar>
              <w:top w:w="105" w:type="dxa"/>
              <w:left w:w="105" w:type="dxa"/>
              <w:bottom w:w="105" w:type="dxa"/>
              <w:right w:w="105" w:type="dxa"/>
            </w:tcMar>
            <w:vAlign w:val="center"/>
          </w:tcPr>
          <w:p>
            <w:pPr>
              <w:cnfStyle w:val="000000000000"/>
              <w:spacing w:before="0" w:after="0"/>
              <w:jc w:val="center"/>
              <w:rPr>
                <w:rFonts w:ascii="calibri" w:eastAsia="calibri" w:hAnsi="calibri" w:cs="calibri"/>
                <w:color w:val="392388"/>
                <w:sz w:val="22"/>
                <w:szCs w:val="22"/>
              </w:rPr>
            </w:pPr>
            <w:r>
              <w:drawing>
                <wp:inline>
                  <wp:extent cx="6668431" cy="4763165"/>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3"/>
                          <a:stretch>
                            <a:fillRect/>
                          </a:stretch>
                        </pic:blipFill>
                        <pic:spPr>
                          <a:xfrm>
                            <a:off x="0" y="0"/>
                            <a:ext cx="6668431" cy="4763165"/>
                          </a:xfrm>
                          <a:prstGeom prst="rect">
                            <a:avLst/>
                          </a:prstGeom>
                        </pic:spPr>
                      </pic:pic>
                    </a:graphicData>
                  </a:graphic>
                </wp:inline>
              </w:drawing>
            </w:r>
          </w:p>
        </w:tc>
      </w:tr>
    </w:tbl>
    <w:p>
      <w:pPr>
        <w:spacing w:before="0" w:after="0"/>
        <w:jc w:val="center"/>
        <w:rPr>
          <w:rFonts w:ascii="calibri" w:eastAsia="calibri" w:hAnsi="calibri" w:cs="calibri"/>
          <w:color w:val="392388"/>
          <w:sz w:val="24"/>
          <w:szCs w:val="24"/>
        </w:rPr>
      </w:pPr>
      <w:r>
        <w:rPr>
          <w:rFonts w:ascii="calibri" w:eastAsia="calibri" w:hAnsi="calibri" w:cs="calibri"/>
          <w:color w:val="392388"/>
          <w:sz w:val="24"/>
          <w:szCs w:val="24"/>
        </w:rPr>
        <w:t>Investment Projection Graph based on Agreed Risk Level</w:t>
      </w:r>
    </w:p>
    <w:p>
      <w:pPr/>
      <w:r>
        <w:t xml:space="preserve"> </w:t>
      </w:r>
    </w:p>
    <w:tbl>
      <w:tblPr>
        <w:tblW w:w="5000" w:type="pct"/>
        <w:jc w:val="left"/>
        <w:tblCellSpacing w:w="30" w:type="dxa"/>
        <w:tblInd w:w="75" w:type="dxa"/>
        <w:tblBorders>
          <w:top w:val="nil"/>
          <w:left w:val="nil"/>
          <w:bottom w:val="nil"/>
          <w:right w:val="nil"/>
          <w:insideH w:val="nil"/>
          <w:insideV w:val="nil"/>
        </w:tblBorders>
        <w:tblLook w:firstRow="0" w:lastRow="0" w:firstColumn="0" w:lastColumn="0" w:noHBand="1" w:noVBand="1" w:val="0600"/>
      </w:tblPr>
      <w:tr>
        <w:trPr>
          <w:cnfStyle w:val="000000000000"/>
        </w:trPr>
        <w:tc>
          <w:tcPr>
            <w:cnfStyle w:val="000000000000"/>
            <w:tcW w:w="5000" w:type="pct"/>
            <w:tcBorders>
              <w:top w:val="single" w:sz="12" w:color="DDDDDD"/>
              <w:left w:val="single" w:sz="12" w:color="DDDDDD"/>
              <w:bottom w:val="single" w:sz="12" w:color="DDDDDD"/>
              <w:right w:val="single" w:sz="12" w:color="DDDDDD"/>
            </w:tcBorders>
            <w:tcMar>
              <w:top w:w="105" w:type="dxa"/>
              <w:left w:w="105" w:type="dxa"/>
              <w:bottom w:w="105" w:type="dxa"/>
              <w:right w:w="105" w:type="dxa"/>
            </w:tcMar>
            <w:vAlign w:val="center"/>
          </w:tcPr>
          <w:p>
            <w:pPr>
              <w:cnfStyle w:val="000000000000"/>
              <w:spacing w:before="0" w:after="0"/>
              <w:jc w:val="center"/>
              <w:rPr>
                <w:rFonts w:ascii="calibri" w:eastAsia="calibri" w:hAnsi="calibri" w:cs="calibri"/>
                <w:color w:val="392388"/>
                <w:sz w:val="22"/>
                <w:szCs w:val="22"/>
              </w:rPr>
            </w:pPr>
            <w:r>
              <w:drawing>
                <wp:inline>
                  <wp:extent cx="6668431" cy="4763165"/>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4"/>
                          <a:stretch>
                            <a:fillRect/>
                          </a:stretch>
                        </pic:blipFill>
                        <pic:spPr>
                          <a:xfrm>
                            <a:off x="0" y="0"/>
                            <a:ext cx="6668431" cy="4763165"/>
                          </a:xfrm>
                          <a:prstGeom prst="rect">
                            <a:avLst/>
                          </a:prstGeom>
                        </pic:spPr>
                      </pic:pic>
                    </a:graphicData>
                  </a:graphic>
                </wp:inline>
              </w:drawing>
            </w:r>
          </w:p>
        </w:tc>
      </w:tr>
    </w:tbl>
    <w:p>
      <w:pPr>
        <w:spacing w:before="0" w:after="0"/>
        <w:jc w:val="center"/>
        <w:rPr>
          <w:rFonts w:ascii="calibri" w:eastAsia="calibri" w:hAnsi="calibri" w:cs="calibri"/>
          <w:color w:val="392388"/>
          <w:sz w:val="24"/>
          <w:szCs w:val="24"/>
        </w:rPr>
      </w:pPr>
      <w:r>
        <w:rPr>
          <w:rFonts w:ascii="calibri" w:eastAsia="calibri" w:hAnsi="calibri" w:cs="calibri"/>
          <w:color w:val="392388"/>
          <w:sz w:val="24"/>
          <w:szCs w:val="24"/>
        </w:rPr>
        <w:t>Investment Risk Comparison Graph based on Agreed Risk Level</w:t>
      </w:r>
    </w:p>
    <w:p>
      <w:pPr/>
      <w:r>
        <w:t xml:space="preserve"> </w:t>
      </w:r>
    </w:p>
    <w:p>
      <w:pPr>
        <w:pStyle w:val="DefaqtoBody"/>
        <w:jc w:val="left"/>
      </w:pPr>
      <w:r>
        <w:rPr>
          <w:b w:val="false"/>
          <w:bCs w:val="false"/>
          <w:i w:val="false"/>
          <w:u w:color="000000" w:val="none"/>
        </w:rPr>
        <w:t>The following areas were discussed as part of the process to agree the risk level.</w:t>
      </w:r>
    </w:p>
    <w:p>
      <w:pPr>
        <w:pStyle w:val="DefaqtoHeading3"/>
        <w:jc w:val="left"/>
      </w:pPr>
      <w:r>
        <w:rPr>
          <w:b w:val="false"/>
          <w:bCs w:val="false"/>
          <w:i w:val="false"/>
          <w:u w:color="000000" w:val="none"/>
        </w:rPr>
        <w:t>Attitude to Risk</w:t>
      </w:r>
    </w:p>
    <w:p>
      <w:pPr>
        <w:pStyle w:val="DefaqtoBody"/>
        <w:jc w:val="left"/>
      </w:pPr>
      <w:r>
        <w:rPr>
          <w:b w:val="false"/>
          <w:bCs w:val="false"/>
          <w:i w:val="false"/>
          <w:u w:color="000000" w:val="none"/>
        </w:rPr>
        <w:t>This section details any addition information related to your attitude to risk. The notes recorded following any discussions were:</w:t>
      </w:r>
    </w:p>
    <w:tbl>
      <w:tblPr>
        <w:tblStyle w:val="TableGrid0"/>
        <w:tblW w:w="5000" w:type="pct"/>
        <w:tblLook w:firstRow="1" w:lastRow="1" w:firstColumn="1" w:lastColumn="1" w:noHBand="0" w:noVBand="0" w:val="01E0"/>
      </w:tblPr>
      <w:tr>
        <w:trPr>
          <w:cnfStyle w:val="000000000000"/>
        </w:trPr>
        <w:tc>
          <w:tcPr>
            <w:cnfStyle w:val="000000000000"/>
            <w:tcW w:w="450" w:type="pct"/>
          </w:tcPr>
          <w:p>
            <w:pPr>
              <w:cnfStyle w:val="000000000000"/>
              <w:pStyle w:val="DefaqtoBody"/>
              <w:spacing w:before="60" w:after="60"/>
              <w:jc w:val="left"/>
            </w:pPr>
          </w:p>
        </w:tc>
        <w:tc>
          <w:tcPr>
            <w:cnfStyle w:val="000000000000"/>
            <w:tcW w:w="4550" w:type="pct"/>
          </w:tcPr>
          <w:p>
            <w:pPr>
              <w:cnfStyle w:val="000000000000"/>
              <w:pStyle w:val="DefaqtoBody"/>
              <w:spacing w:before="60" w:after="60"/>
              <w:jc w:val="left"/>
            </w:pPr>
            <w:r>
              <w:rPr/>
              <w:t>No additional notes were recorded</w:t>
            </w:r>
          </w:p>
        </w:tc>
      </w:tr>
    </w:tbl>
    <w:p>
      <w:pPr>
        <w:pStyle w:val="DefaqtoHeading3"/>
        <w:jc w:val="left"/>
      </w:pPr>
      <w:r>
        <w:rPr>
          <w:b w:val="false"/>
          <w:bCs w:val="false"/>
          <w:i w:val="false"/>
          <w:u w:color="000000" w:val="none"/>
        </w:rPr>
        <w:t>Investor Experience</w:t>
      </w:r>
    </w:p>
    <w:p>
      <w:pPr>
        <w:pStyle w:val="DefaqtoBody"/>
        <w:jc w:val="left"/>
      </w:pPr>
      <w:r>
        <w:rPr>
          <w:b w:val="false"/>
          <w:bCs w:val="false"/>
          <w:i w:val="false"/>
          <w:u w:color="000000" w:val="none"/>
        </w:rPr>
        <w:t>This section details previous exposure and experience you have had with investments and financial markets. The notes recorded following the discussion were:</w:t>
      </w:r>
    </w:p>
    <w:tbl>
      <w:tblPr>
        <w:tblStyle w:val="TableGrid0"/>
        <w:tblW w:w="5000" w:type="pct"/>
        <w:tblLook w:firstRow="1" w:lastRow="1" w:firstColumn="1" w:lastColumn="1" w:noHBand="0" w:noVBand="0" w:val="01E0"/>
      </w:tblPr>
      <w:tr>
        <w:trPr>
          <w:cnfStyle w:val="000000000000"/>
        </w:trPr>
        <w:tc>
          <w:tcPr>
            <w:cnfStyle w:val="000000000000"/>
            <w:tcW w:w="450" w:type="pct"/>
          </w:tcPr>
          <w:p>
            <w:pPr>
              <w:cnfStyle w:val="000000000000"/>
              <w:pStyle w:val="DefaqtoBody"/>
              <w:spacing w:before="60" w:after="60"/>
              <w:jc w:val="left"/>
            </w:pPr>
          </w:p>
        </w:tc>
        <w:tc>
          <w:tcPr>
            <w:cnfStyle w:val="000000000000"/>
            <w:tcW w:w="4550" w:type="pct"/>
          </w:tcPr>
          <w:p>
            <w:pPr>
              <w:cnfStyle w:val="000000000000"/>
              <w:pStyle w:val="DefaqtoBody"/>
              <w:spacing w:before="60" w:after="60"/>
              <w:jc w:val="left"/>
            </w:pPr>
            <w:r>
              <w:rPr/>
              <w:t>No additional notes were recorded</w:t>
            </w:r>
          </w:p>
        </w:tc>
      </w:tr>
    </w:tbl>
    <w:p>
      <w:pPr>
        <w:pStyle w:val="DefaqtoHeading3"/>
        <w:jc w:val="left"/>
      </w:pPr>
      <w:r>
        <w:rPr>
          <w:b w:val="false"/>
          <w:bCs w:val="false"/>
          <w:i w:val="false"/>
          <w:u w:color="000000" w:val="none"/>
        </w:rPr>
        <w:t>Capacity for loss questionnaire</w:t>
      </w:r>
    </w:p>
    <w:p>
      <w:pPr>
        <w:pStyle w:val="DefaqtoBody"/>
        <w:jc w:val="left"/>
      </w:pPr>
      <w:r>
        <w:rPr>
          <w:b w:val="false"/>
          <w:bCs w:val="false"/>
          <w:i w:val="false"/>
          <w:u w:color="000000" w:val="none"/>
        </w:rPr>
        <w:t>This section details any addition information related to your capacity for loss which was based on the answers given in the Capacity for Loss Questionnaire. The notes recorded following any discussions were:</w:t>
      </w:r>
    </w:p>
    <w:tbl>
      <w:tblPr>
        <w:tblStyle w:val="TableGrid0"/>
        <w:tblW w:w="5000" w:type="pct"/>
        <w:tblLook w:firstRow="1" w:lastRow="1" w:firstColumn="1" w:lastColumn="1" w:noHBand="0" w:noVBand="0" w:val="01E0"/>
      </w:tblPr>
      <w:tr>
        <w:trPr>
          <w:cnfStyle w:val="000000000000"/>
        </w:trPr>
        <w:tc>
          <w:tcPr>
            <w:cnfStyle w:val="000000000000"/>
            <w:tcW w:w="450" w:type="pct"/>
          </w:tcPr>
          <w:p>
            <w:pPr>
              <w:cnfStyle w:val="000000000000"/>
              <w:pStyle w:val="DefaqtoBody"/>
              <w:spacing w:before="60" w:after="60"/>
              <w:jc w:val="left"/>
            </w:pPr>
          </w:p>
        </w:tc>
        <w:tc>
          <w:tcPr>
            <w:cnfStyle w:val="000000000000"/>
            <w:tcW w:w="4550" w:type="pct"/>
          </w:tcPr>
          <w:p>
            <w:pPr>
              <w:cnfStyle w:val="000000000000"/>
              <w:pStyle w:val="DefaqtoBody"/>
              <w:spacing w:before="60" w:after="60"/>
              <w:jc w:val="left"/>
            </w:pPr>
            <w:r>
              <w:rPr/>
              <w:t>No additional notes were recorded</w:t>
            </w:r>
          </w:p>
        </w:tc>
      </w:tr>
    </w:tbl>
    <w:p>
      <w:pPr>
        <w:pStyle w:val="DefaqtoHeading3"/>
        <w:jc w:val="left"/>
      </w:pPr>
      <w:r>
        <w:rPr>
          <w:b w:val="false"/>
          <w:bCs w:val="false"/>
          <w:i w:val="false"/>
          <w:u w:color="000000" w:val="none"/>
        </w:rPr>
        <w:t>Investment target</w:t>
      </w:r>
    </w:p>
    <w:p>
      <w:pPr>
        <w:pStyle w:val="DefaqtoBody"/>
        <w:jc w:val="left"/>
      </w:pPr>
      <w:r>
        <w:rPr>
          <w:b w:val="false"/>
          <w:bCs w:val="false"/>
          <w:i w:val="false"/>
          <w:u w:color="000000" w:val="none"/>
        </w:rPr>
        <w:t>This section details if the client is likely to achieve their desired target amount in the chosen timeframe. The notes recorded following the discussion were:</w:t>
      </w:r>
    </w:p>
    <w:tbl>
      <w:tblPr>
        <w:tblStyle w:val="TableGrid0"/>
        <w:tblW w:w="5000" w:type="pct"/>
        <w:tblLook w:firstRow="1" w:lastRow="1" w:firstColumn="1" w:lastColumn="1" w:noHBand="0" w:noVBand="0" w:val="01E0"/>
      </w:tblPr>
      <w:tr>
        <w:trPr>
          <w:cnfStyle w:val="000000000000"/>
        </w:trPr>
        <w:tc>
          <w:tcPr>
            <w:cnfStyle w:val="000000000000"/>
            <w:tcW w:w="450" w:type="pct"/>
          </w:tcPr>
          <w:p>
            <w:pPr>
              <w:cnfStyle w:val="000000000000"/>
              <w:pStyle w:val="DefaqtoBody"/>
              <w:spacing w:before="60" w:after="60"/>
              <w:jc w:val="left"/>
            </w:pPr>
          </w:p>
        </w:tc>
        <w:tc>
          <w:tcPr>
            <w:cnfStyle w:val="000000000000"/>
            <w:tcW w:w="4550" w:type="pct"/>
          </w:tcPr>
          <w:p>
            <w:pPr>
              <w:cnfStyle w:val="000000000000"/>
              <w:pStyle w:val="DefaqtoBody"/>
              <w:spacing w:before="60" w:after="60"/>
              <w:jc w:val="left"/>
            </w:pPr>
            <w:r>
              <w:rPr/>
              <w:t>No additional notes were recorded</w:t>
            </w:r>
          </w:p>
        </w:tc>
      </w:tr>
    </w:tbl>
    <w:p>
      <w:pPr>
        <w:pStyle w:val="DefaqtoHeading3"/>
        <w:jc w:val="left"/>
      </w:pPr>
      <w:r>
        <w:rPr>
          <w:b w:val="false"/>
          <w:bCs w:val="false"/>
          <w:i w:val="false"/>
          <w:u w:color="000000" w:val="none"/>
        </w:rPr>
        <w:t>Agreed risk level</w:t>
      </w:r>
    </w:p>
    <w:p>
      <w:pPr>
        <w:pStyle w:val="DefaqtoBody"/>
        <w:jc w:val="left"/>
      </w:pPr>
      <w:r>
        <w:rPr>
          <w:b w:val="false"/>
          <w:bCs w:val="false"/>
          <w:i w:val="false"/>
          <w:u w:color="000000" w:val="none"/>
        </w:rPr>
        <w:t>This section is a summary of how the risk level was agreed. These details were recorded following the discussion:</w:t>
      </w:r>
    </w:p>
    <w:tbl>
      <w:tblPr>
        <w:tblStyle w:val="TableGrid0"/>
        <w:tblW w:w="5000" w:type="pct"/>
        <w:tblLook w:firstRow="1" w:lastRow="1" w:firstColumn="1" w:lastColumn="1" w:noHBand="0" w:noVBand="0" w:val="01E0"/>
      </w:tblPr>
      <w:tr>
        <w:trPr>
          <w:cnfStyle w:val="000000000000"/>
        </w:trPr>
        <w:tc>
          <w:tcPr>
            <w:cnfStyle w:val="000000000000"/>
            <w:tcW w:w="450" w:type="pct"/>
          </w:tcPr>
          <w:p>
            <w:pPr>
              <w:cnfStyle w:val="000000000000"/>
              <w:pStyle w:val="DefaqtoBody"/>
              <w:spacing w:before="60" w:after="60"/>
              <w:jc w:val="left"/>
            </w:pPr>
          </w:p>
        </w:tc>
        <w:tc>
          <w:tcPr>
            <w:cnfStyle w:val="000000000000"/>
            <w:tcW w:w="4550" w:type="pct"/>
          </w:tcPr>
          <w:p>
            <w:pPr>
              <w:cnfStyle w:val="000000000000"/>
              <w:pStyle w:val="DefaqtoBody"/>
              <w:spacing w:before="60" w:after="60"/>
              <w:jc w:val="left"/>
            </w:pPr>
            <w:r>
              <w:rPr/>
              <w:t>No additional notes were recorded</w:t>
            </w:r>
          </w:p>
        </w:tc>
      </w:tr>
    </w:tbl>
    <w:p>
      <w:pPr>
        <w:pStyle w:val="DefaqtoHeading3"/>
        <w:jc w:val="left"/>
      </w:pPr>
      <w:r>
        <w:rPr>
          <w:b w:val="false"/>
          <w:bCs w:val="false"/>
          <w:i w:val="false"/>
          <w:u w:color="000000" w:val="none"/>
        </w:rPr>
        <w:t>Capacity for loss for the goal</w:t>
      </w:r>
    </w:p>
    <w:p>
      <w:pPr>
        <w:pStyle w:val="DefaqtoBody"/>
        <w:jc w:val="left"/>
      </w:pPr>
      <w:r>
        <w:rPr>
          <w:b w:val="false"/>
          <w:bCs w:val="false"/>
          <w:i w:val="false"/>
          <w:u w:color="000000" w:val="none"/>
        </w:rPr>
        <w:t>This section relates to your ability to absorb any losses or tolerate failure to achieve your target for this goal. These are typical risks associated with investing in the stock market. The notes recorded following the discussion were:</w:t>
      </w:r>
    </w:p>
    <w:tbl>
      <w:tblPr>
        <w:tblStyle w:val="TableGrid0"/>
        <w:tblW w:w="5000" w:type="pct"/>
        <w:tblLook w:firstRow="1" w:lastRow="1" w:firstColumn="1" w:lastColumn="1" w:noHBand="0" w:noVBand="0" w:val="01E0"/>
      </w:tblPr>
      <w:tr>
        <w:trPr>
          <w:cnfStyle w:val="000000000000"/>
        </w:trPr>
        <w:tc>
          <w:tcPr>
            <w:cnfStyle w:val="000000000000"/>
            <w:tcW w:w="450" w:type="pct"/>
          </w:tcPr>
          <w:p>
            <w:pPr>
              <w:cnfStyle w:val="000000000000"/>
              <w:pStyle w:val="DefaqtoBody"/>
              <w:spacing w:before="60" w:after="60"/>
              <w:jc w:val="left"/>
            </w:pPr>
          </w:p>
        </w:tc>
        <w:tc>
          <w:tcPr>
            <w:cnfStyle w:val="000000000000"/>
            <w:tcW w:w="4550" w:type="pct"/>
          </w:tcPr>
          <w:p>
            <w:pPr>
              <w:cnfStyle w:val="000000000000"/>
              <w:pStyle w:val="DefaqtoBody"/>
              <w:spacing w:before="60" w:after="60"/>
              <w:jc w:val="left"/>
            </w:pPr>
            <w:r>
              <w:rPr/>
              <w:t>No additional notes were recorded</w:t>
            </w:r>
          </w:p>
        </w:tc>
      </w:tr>
    </w:tbl>
    <w:p>
      <w:pPr>
        <w:pStyle w:val="DefaqtoHeading3"/>
        <w:jc w:val="left"/>
      </w:pPr>
      <w:r>
        <w:rPr>
          <w:b w:val="false"/>
          <w:bCs w:val="false"/>
          <w:i w:val="false"/>
          <w:u w:color="000000" w:val="none"/>
        </w:rPr>
        <w:t>Other notes</w:t>
      </w:r>
    </w:p>
    <w:tbl>
      <w:tblPr>
        <w:tblStyle w:val="TableGrid0"/>
        <w:tblW w:w="5000" w:type="pct"/>
        <w:tblLook w:firstRow="1" w:lastRow="1" w:firstColumn="1" w:lastColumn="1" w:noHBand="0" w:noVBand="0" w:val="01E0"/>
      </w:tblPr>
      <w:tr>
        <w:trPr>
          <w:cnfStyle w:val="000000000000"/>
        </w:trPr>
        <w:tc>
          <w:tcPr>
            <w:cnfStyle w:val="000000000000"/>
            <w:tcW w:w="450" w:type="pct"/>
          </w:tcPr>
          <w:p>
            <w:pPr>
              <w:cnfStyle w:val="000000000000"/>
              <w:pStyle w:val="DefaqtoBody"/>
              <w:spacing w:before="60" w:after="60"/>
              <w:jc w:val="left"/>
            </w:pPr>
          </w:p>
        </w:tc>
        <w:tc>
          <w:tcPr>
            <w:cnfStyle w:val="000000000000"/>
            <w:tcW w:w="4550" w:type="pct"/>
          </w:tcPr>
          <w:p>
            <w:pPr>
              <w:cnfStyle w:val="000000000000"/>
              <w:pStyle w:val="DefaqtoBody"/>
              <w:spacing w:before="60" w:after="60"/>
              <w:jc w:val="left"/>
            </w:pPr>
            <w:r>
              <w:rPr/>
              <w:t>No additional notes were recorded</w:t>
            </w:r>
          </w:p>
        </w:tc>
      </w:tr>
    </w:tbl>
    <w:p>
      <w:pPr>
        <w:sectPr>
          <w:headerReference w:type="default" r:id="gemHfRid7"/>
          <w:footerReference w:type="default" r:id="gemHfRid8"/>
          <w:pgSz w:w="11907" w:h="16839" w:code="9"/>
          <w:pgMar w:top="709" w:right="640" w:bottom="376" w:left="640" w:header="200" w:footer="200" w:gutter="0"/>
          <w:cols w:space="708"/>
          <w:docGrid w:linePitch="360"/>
        </w:sectPr>
      </w:pPr>
    </w:p>
    <w:p>
      <w:pPr>
        <w:pStyle w:val="DefaqtoHeading1"/>
      </w:pPr>
      <w:r>
        <w:t>Appendix</w:t>
      </w:r>
    </w:p>
    <w:p>
      <w:pPr>
        <w:pStyle w:val="DefaqtoHeading2"/>
      </w:pPr>
      <w:r>
        <w:t>Attitude To Risk questionnaire responses for  Melanie Anness on 16/01/2026</w:t>
      </w:r>
    </w:p>
    <w:tbl>
      <w:tblPr>
        <w:tblStyle w:val="DefaqtoTable"/>
        <w:tblW w:w="5000" w:type="pct"/>
        <w:tblLook w:firstRow="1" w:lastRow="1" w:firstColumn="1" w:lastColumn="1" w:noHBand="0" w:noVBand="0" w:val="01E0"/>
      </w:tblPr>
      <w:tr>
        <w:trPr>
          <w:cnfStyle w:val="100000000000"/>
        </w:trPr>
        <w:tc>
          <w:tcPr>
            <w:cnfStyle w:val="101000000000"/>
          </w:tcPr>
          <w:p>
            <w:pPr>
              <w:cnfStyle w:val="101000000000"/>
              <w:pStyle w:val="DefaqtoTableBody2"/>
              <w:spacing w:before="60" w:after="60"/>
              <w:jc w:val="left"/>
            </w:pPr>
            <w:r>
              <w:rPr/>
              <w:t>Question</w:t>
            </w:r>
          </w:p>
        </w:tc>
        <w:tc>
          <w:tcPr>
            <w:cnfStyle w:val="100000000000"/>
          </w:tcPr>
          <w:p>
            <w:pPr>
              <w:cnfStyle w:val="100000000000"/>
              <w:pStyle w:val="DefaqtoTableBody2"/>
              <w:spacing w:before="60" w:after="60"/>
              <w:jc w:val="left"/>
            </w:pPr>
            <w:r>
              <w:rPr/>
              <w:t>Response</w:t>
            </w:r>
          </w:p>
        </w:tc>
      </w:tr>
      <w:tr>
        <w:trPr>
          <w:cnfStyle w:val="000000100000"/>
        </w:trPr>
        <w:tc>
          <w:tcPr>
            <w:cnfStyle w:val="001000100000"/>
          </w:tcPr>
          <w:p>
            <w:pPr>
              <w:cnfStyle w:val="001000100000"/>
              <w:pStyle w:val="DefaqtoTableBody2"/>
              <w:spacing w:before="60" w:after="60"/>
              <w:jc w:val="left"/>
            </w:pPr>
            <w:r>
              <w:rPr/>
              <w:t>I would describe my investment approach as:</w:t>
            </w:r>
          </w:p>
        </w:tc>
        <w:tc>
          <w:tcPr>
            <w:cnfStyle w:val="000000100000"/>
          </w:tcPr>
          <w:p>
            <w:pPr>
              <w:cnfStyle w:val="000000100000"/>
              <w:pStyle w:val="DefaqtoTableBody2"/>
              <w:spacing w:before="60" w:after="60"/>
              <w:jc w:val="left"/>
            </w:pPr>
            <w:r>
              <w:rPr/>
              <w:t>Adventurous</w:t>
            </w:r>
          </w:p>
        </w:tc>
      </w:tr>
      <w:tr>
        <w:trPr>
          <w:cnfStyle w:val="000000010000"/>
        </w:trPr>
        <w:tc>
          <w:tcPr>
            <w:cnfStyle w:val="001000010000"/>
          </w:tcPr>
          <w:p>
            <w:pPr>
              <w:cnfStyle w:val="001000010000"/>
              <w:pStyle w:val="DefaqtoTableBody2"/>
              <w:spacing w:before="60" w:after="60"/>
              <w:jc w:val="left"/>
            </w:pPr>
            <w:r>
              <w:rPr/>
              <w:t>If you invested £20,000 and the value fell temporarily, how much of a fall, over a 12 month period, would make you feel anxious or uncomfortable?</w:t>
            </w:r>
          </w:p>
        </w:tc>
        <w:tc>
          <w:tcPr>
            <w:cnfStyle w:val="000000010000"/>
          </w:tcPr>
          <w:p>
            <w:pPr>
              <w:cnfStyle w:val="000000010000"/>
              <w:pStyle w:val="DefaqtoTableBody2"/>
              <w:spacing w:before="60" w:after="60"/>
              <w:jc w:val="left"/>
            </w:pPr>
            <w:r>
              <w:rPr/>
              <w:t>More than £4,000</w:t>
            </w:r>
          </w:p>
        </w:tc>
      </w:tr>
      <w:tr>
        <w:trPr>
          <w:cnfStyle w:val="000000100000"/>
        </w:trPr>
        <w:tc>
          <w:tcPr>
            <w:cnfStyle w:val="001000100000"/>
          </w:tcPr>
          <w:p>
            <w:pPr>
              <w:cnfStyle w:val="001000100000"/>
              <w:pStyle w:val="DefaqtoTableBody2"/>
              <w:spacing w:before="60" w:after="60"/>
              <w:jc w:val="left"/>
            </w:pPr>
            <w:r>
              <w:rPr/>
              <w:t>I associate the phrase 'investment risk' with the idea of:</w:t>
            </w:r>
          </w:p>
        </w:tc>
        <w:tc>
          <w:tcPr>
            <w:cnfStyle w:val="000000100000"/>
          </w:tcPr>
          <w:p>
            <w:pPr>
              <w:cnfStyle w:val="000000100000"/>
              <w:pStyle w:val="DefaqtoTableBody2"/>
              <w:spacing w:before="60" w:after="60"/>
              <w:jc w:val="left"/>
            </w:pPr>
            <w:r>
              <w:rPr/>
              <w:t>Opportunity</w:t>
            </w:r>
          </w:p>
        </w:tc>
      </w:tr>
      <w:tr>
        <w:trPr>
          <w:cnfStyle w:val="000000010000"/>
        </w:trPr>
        <w:tc>
          <w:tcPr>
            <w:cnfStyle w:val="001000010000"/>
          </w:tcPr>
          <w:p>
            <w:pPr>
              <w:cnfStyle w:val="001000010000"/>
              <w:pStyle w:val="DefaqtoTableBody2"/>
              <w:spacing w:before="60" w:after="60"/>
              <w:jc w:val="left"/>
            </w:pPr>
            <w:r>
              <w:rPr/>
              <w:t>To see a respectable gain on my investment, I am:</w:t>
            </w:r>
          </w:p>
        </w:tc>
        <w:tc>
          <w:tcPr>
            <w:cnfStyle w:val="000000010000"/>
          </w:tcPr>
          <w:p>
            <w:pPr>
              <w:cnfStyle w:val="000000010000"/>
              <w:pStyle w:val="DefaqtoTableBody2"/>
              <w:spacing w:before="60" w:after="60"/>
              <w:jc w:val="left"/>
            </w:pPr>
            <w:r>
              <w:rPr/>
              <w:t>Happy to take considerable risk with a percentage of my assets</w:t>
            </w:r>
          </w:p>
        </w:tc>
      </w:tr>
      <w:tr>
        <w:trPr>
          <w:cnfStyle w:val="000000100000"/>
        </w:trPr>
        <w:tc>
          <w:tcPr>
            <w:cnfStyle w:val="001000100000"/>
          </w:tcPr>
          <w:p>
            <w:pPr>
              <w:cnfStyle w:val="001000100000"/>
              <w:pStyle w:val="DefaqtoTableBody2"/>
              <w:spacing w:before="60" w:after="60"/>
              <w:jc w:val="left"/>
            </w:pPr>
            <w:r>
              <w:rPr/>
              <w:t>Compared to other people, I would describe myself as:</w:t>
            </w:r>
          </w:p>
        </w:tc>
        <w:tc>
          <w:tcPr>
            <w:cnfStyle w:val="000000100000"/>
          </w:tcPr>
          <w:p>
            <w:pPr>
              <w:cnfStyle w:val="000000100000"/>
              <w:pStyle w:val="DefaqtoTableBody2"/>
              <w:spacing w:before="60" w:after="60"/>
              <w:jc w:val="left"/>
            </w:pPr>
            <w:r>
              <w:rPr/>
              <w:t>Less cautious</w:t>
            </w:r>
          </w:p>
        </w:tc>
      </w:tr>
      <w:tr>
        <w:trPr>
          <w:cnfStyle w:val="000000010000"/>
        </w:trPr>
        <w:tc>
          <w:tcPr>
            <w:cnfStyle w:val="001000010000"/>
          </w:tcPr>
          <w:p>
            <w:pPr>
              <w:cnfStyle w:val="001000010000"/>
              <w:pStyle w:val="DefaqtoTableBody2"/>
              <w:spacing w:before="60" w:after="60"/>
              <w:jc w:val="left"/>
            </w:pPr>
            <w:r>
              <w:rPr/>
              <w:t>In seeking a return on my investment, in the short-term I’m willing to accept:</w:t>
            </w:r>
          </w:p>
        </w:tc>
        <w:tc>
          <w:tcPr>
            <w:cnfStyle w:val="000000010000"/>
          </w:tcPr>
          <w:p>
            <w:pPr>
              <w:cnfStyle w:val="000000010000"/>
              <w:pStyle w:val="DefaqtoTableBody2"/>
              <w:spacing w:before="60" w:after="60"/>
              <w:jc w:val="left"/>
            </w:pPr>
            <w:r>
              <w:rPr/>
              <w:t>A moderate risk of capital loss</w:t>
            </w:r>
          </w:p>
        </w:tc>
      </w:tr>
      <w:tr>
        <w:trPr>
          <w:cnfStyle w:val="000000100000"/>
        </w:trPr>
        <w:tc>
          <w:tcPr>
            <w:cnfStyle w:val="001000100000"/>
          </w:tcPr>
          <w:p>
            <w:pPr>
              <w:cnfStyle w:val="001000100000"/>
              <w:pStyle w:val="DefaqtoTableBody2"/>
              <w:spacing w:before="60" w:after="60"/>
              <w:jc w:val="left"/>
            </w:pPr>
            <w:r>
              <w:rPr/>
              <w:t>If I thought there was a possibility of my investment losing money, I would:</w:t>
            </w:r>
          </w:p>
        </w:tc>
        <w:tc>
          <w:tcPr>
            <w:cnfStyle w:val="000000100000"/>
          </w:tcPr>
          <w:p>
            <w:pPr>
              <w:cnfStyle w:val="000000100000"/>
              <w:pStyle w:val="DefaqtoTableBody2"/>
              <w:spacing w:before="60" w:after="60"/>
              <w:jc w:val="left"/>
            </w:pPr>
            <w:r>
              <w:rPr/>
              <w:t>Understand and accept that investments can fluctuate in value</w:t>
            </w:r>
          </w:p>
        </w:tc>
      </w:tr>
      <w:tr>
        <w:trPr>
          <w:cnfStyle w:val="000000010000"/>
        </w:trPr>
        <w:tc>
          <w:tcPr>
            <w:cnfStyle w:val="001000010000"/>
          </w:tcPr>
          <w:p>
            <w:pPr>
              <w:cnfStyle w:val="001000010000"/>
              <w:pStyle w:val="DefaqtoTableBody2"/>
              <w:spacing w:before="60" w:after="60"/>
              <w:jc w:val="left"/>
            </w:pPr>
            <w:r>
              <w:rPr/>
              <w:t>Compared to other people, I believe the following statement best fits my understanding of investment:</w:t>
            </w:r>
          </w:p>
        </w:tc>
        <w:tc>
          <w:tcPr>
            <w:cnfStyle w:val="000000010000"/>
          </w:tcPr>
          <w:p>
            <w:pPr>
              <w:cnfStyle w:val="000000010000"/>
              <w:pStyle w:val="DefaqtoTableBody2"/>
              <w:spacing w:before="60" w:after="60"/>
              <w:jc w:val="left"/>
            </w:pPr>
            <w:r>
              <w:rPr/>
              <w:t>I have a reasonable understanding of how non-complex investments work</w:t>
            </w:r>
          </w:p>
        </w:tc>
      </w:tr>
      <w:tr>
        <w:trPr>
          <w:cnfStyle w:val="000000100000"/>
        </w:trPr>
        <w:tc>
          <w:tcPr>
            <w:cnfStyle w:val="001000100000"/>
          </w:tcPr>
          <w:p>
            <w:pPr>
              <w:cnfStyle w:val="001000100000"/>
              <w:pStyle w:val="DefaqtoTableBody2"/>
              <w:spacing w:before="60" w:after="60"/>
              <w:jc w:val="left"/>
            </w:pPr>
            <w:r>
              <w:rPr/>
              <w:t>If you invested £20,000 and the value fell by £3,000 over the course of a 12 month period, would you:</w:t>
            </w:r>
          </w:p>
        </w:tc>
        <w:tc>
          <w:tcPr>
            <w:cnfStyle w:val="000000100000"/>
          </w:tcPr>
          <w:p>
            <w:pPr>
              <w:cnfStyle w:val="000000100000"/>
              <w:pStyle w:val="DefaqtoTableBody2"/>
              <w:spacing w:before="60" w:after="60"/>
              <w:jc w:val="left"/>
            </w:pPr>
            <w:r>
              <w:rPr/>
              <w:t>Understand and be comfortable with the fact that long term investments can fluctuate</w:t>
            </w:r>
          </w:p>
        </w:tc>
      </w:tr>
      <w:tr>
        <w:trPr>
          <w:cnfStyle w:val="000000010000"/>
        </w:trPr>
        <w:tc>
          <w:tcPr>
            <w:cnfStyle w:val="001000010000"/>
          </w:tcPr>
          <w:p>
            <w:pPr>
              <w:cnfStyle w:val="001000010000"/>
              <w:pStyle w:val="DefaqtoTableBody2"/>
              <w:spacing w:before="60" w:after="60"/>
              <w:jc w:val="left"/>
            </w:pPr>
            <w:r>
              <w:rPr/>
              <w:t>Complete this sentence: Taking risks when making investments:</w:t>
            </w:r>
          </w:p>
        </w:tc>
        <w:tc>
          <w:tcPr>
            <w:cnfStyle w:val="000000010000"/>
          </w:tcPr>
          <w:p>
            <w:pPr>
              <w:cnfStyle w:val="000000010000"/>
              <w:pStyle w:val="DefaqtoTableBody2"/>
              <w:spacing w:before="60" w:after="60"/>
              <w:jc w:val="left"/>
            </w:pPr>
            <w:r>
              <w:rPr/>
              <w:t>Provides a considerable level of excitement</w:t>
            </w:r>
          </w:p>
        </w:tc>
      </w:tr>
      <w:tr>
        <w:trPr>
          <w:cnfStyle w:val="000000100000"/>
        </w:trPr>
        <w:tc>
          <w:tcPr>
            <w:cnfStyle w:val="001000100000"/>
          </w:tcPr>
          <w:p>
            <w:pPr>
              <w:cnfStyle w:val="001000100000"/>
              <w:pStyle w:val="DefaqtoTableBody2"/>
              <w:spacing w:before="60" w:after="60"/>
              <w:jc w:val="left"/>
            </w:pPr>
            <w:r>
              <w:rPr/>
              <w:t>When investing money to meet my objectives I would prefer to use:</w:t>
            </w:r>
          </w:p>
        </w:tc>
        <w:tc>
          <w:tcPr>
            <w:cnfStyle w:val="000000100000"/>
          </w:tcPr>
          <w:p>
            <w:pPr>
              <w:cnfStyle w:val="000000100000"/>
              <w:pStyle w:val="DefaqtoTableBody2"/>
              <w:spacing w:before="60" w:after="60"/>
              <w:jc w:val="left"/>
            </w:pPr>
            <w:r>
              <w:rPr/>
              <w:t>Medium risk investments</w:t>
            </w:r>
          </w:p>
        </w:tc>
      </w:tr>
      <w:tr>
        <w:trPr>
          <w:cnfStyle w:val="000000010000"/>
        </w:trPr>
        <w:tc>
          <w:tcPr>
            <w:cnfStyle w:val="001000010000"/>
          </w:tcPr>
          <w:p>
            <w:pPr>
              <w:cnfStyle w:val="001000010000"/>
              <w:pStyle w:val="DefaqtoTableBody2"/>
              <w:spacing w:before="60" w:after="60"/>
              <w:jc w:val="left"/>
            </w:pPr>
            <w:r>
              <w:rPr/>
              <w:t>I understand that, in order for my investments to keep pace with inflation, I need to take some investment risk</w:t>
            </w:r>
          </w:p>
        </w:tc>
        <w:tc>
          <w:tcPr>
            <w:cnfStyle w:val="000000010000"/>
          </w:tcPr>
          <w:p>
            <w:pPr>
              <w:cnfStyle w:val="000000010000"/>
              <w:pStyle w:val="DefaqtoTableBody2"/>
              <w:spacing w:before="60" w:after="60"/>
              <w:jc w:val="left"/>
            </w:pPr>
            <w:r>
              <w:rPr/>
              <w:t>Strongly agree</w:t>
            </w:r>
          </w:p>
        </w:tc>
      </w:tr>
    </w:tbl>
    <w:p>
      <w:pPr>
        <w:sectPr>
          <w:headerReference w:type="default" r:id="gemHfRid9"/>
          <w:footerReference w:type="default" r:id="gemHfRid10"/>
          <w:pgSz w:w="11907" w:h="16839" w:code="9"/>
          <w:pgMar w:top="709" w:right="640" w:bottom="376" w:left="640" w:header="200" w:footer="200" w:gutter="0"/>
          <w:cols w:space="708"/>
          <w:docGrid w:linePitch="360"/>
        </w:sectPr>
      </w:pPr>
    </w:p>
    <w:p>
      <w:pPr>
        <w:pStyle w:val="DefaqtoHeading2"/>
      </w:pPr>
      <w:r>
        <w:t>Investor Experience questionnaire responses for  Melanie Anness on 16/01/2026</w:t>
      </w:r>
    </w:p>
    <w:tbl>
      <w:tblPr>
        <w:tblStyle w:val="DefaqtoTable"/>
        <w:tblW w:w="5000" w:type="pct"/>
        <w:tblLook w:firstRow="1" w:lastRow="1" w:firstColumn="1" w:lastColumn="1" w:noHBand="0" w:noVBand="0" w:val="01E0"/>
      </w:tblPr>
      <w:tr>
        <w:trPr>
          <w:cnfStyle w:val="100000000000"/>
        </w:trPr>
        <w:tc>
          <w:tcPr>
            <w:cnfStyle w:val="101000000000"/>
          </w:tcPr>
          <w:p>
            <w:pPr>
              <w:cnfStyle w:val="101000000000"/>
              <w:pStyle w:val="DefaqtoTableBody2"/>
              <w:spacing w:before="60" w:after="60"/>
              <w:jc w:val="left"/>
            </w:pPr>
            <w:r>
              <w:rPr/>
              <w:t>Question</w:t>
            </w:r>
          </w:p>
        </w:tc>
        <w:tc>
          <w:tcPr>
            <w:cnfStyle w:val="100000000000"/>
          </w:tcPr>
          <w:p>
            <w:pPr>
              <w:cnfStyle w:val="100000000000"/>
              <w:pStyle w:val="DefaqtoTableBody2"/>
              <w:spacing w:before="60" w:after="60"/>
              <w:jc w:val="left"/>
            </w:pPr>
            <w:r>
              <w:rPr/>
              <w:t>Response</w:t>
            </w:r>
          </w:p>
        </w:tc>
      </w:tr>
      <w:tr>
        <w:trPr>
          <w:cnfStyle w:val="000000100000"/>
        </w:trPr>
        <w:tc>
          <w:tcPr>
            <w:cnfStyle w:val="001000100000"/>
          </w:tcPr>
          <w:p>
            <w:pPr>
              <w:cnfStyle w:val="001000100000"/>
              <w:pStyle w:val="DefaqtoTableBody2"/>
              <w:spacing w:before="60" w:after="60"/>
              <w:jc w:val="left"/>
            </w:pPr>
            <w:r>
              <w:rPr/>
              <w:t>When it comes to your experience and understanding of investing, how would you describe yourself?</w:t>
            </w:r>
          </w:p>
        </w:tc>
        <w:tc>
          <w:tcPr>
            <w:cnfStyle w:val="000000100000"/>
          </w:tcPr>
          <w:p>
            <w:pPr>
              <w:cnfStyle w:val="000000100000"/>
              <w:pStyle w:val="DefaqtoTableBody2"/>
              <w:spacing w:before="60" w:after="60"/>
              <w:jc w:val="left"/>
            </w:pPr>
            <w:r>
              <w:rPr/>
              <w:t>Very little understanding / knowledge</w:t>
            </w:r>
          </w:p>
        </w:tc>
      </w:tr>
      <w:tr>
        <w:trPr>
          <w:cnfStyle w:val="000000010000"/>
        </w:trPr>
        <w:tc>
          <w:tcPr>
            <w:cnfStyle w:val="001000010000"/>
          </w:tcPr>
          <w:p>
            <w:pPr>
              <w:cnfStyle w:val="001000010000"/>
              <w:pStyle w:val="DefaqtoTableBody2"/>
              <w:spacing w:before="60" w:after="60"/>
              <w:jc w:val="left"/>
            </w:pPr>
            <w:r>
              <w:rPr/>
              <w:t>Do you understand how Current Accounts, Savings/Deposit Accounts, Cash ISA, National Savings and Investments work and do you know the risks associated with them?</w:t>
            </w:r>
          </w:p>
        </w:tc>
        <w:tc>
          <w:tcPr>
            <w:cnfStyle w:val="000000010000"/>
          </w:tcPr>
          <w:p>
            <w:pPr>
              <w:cnfStyle w:val="000000010000"/>
              <w:pStyle w:val="DefaqtoTableBody2"/>
              <w:spacing w:before="60" w:after="60"/>
              <w:jc w:val="left"/>
            </w:pPr>
            <w:r>
              <w:rPr/>
              <w:t>A high level of understanding / knowledge</w:t>
            </w:r>
          </w:p>
        </w:tc>
      </w:tr>
      <w:tr>
        <w:trPr>
          <w:cnfStyle w:val="000000100000"/>
        </w:trPr>
        <w:tc>
          <w:tcPr>
            <w:cnfStyle w:val="001000100000"/>
          </w:tcPr>
          <w:p>
            <w:pPr>
              <w:cnfStyle w:val="001000100000"/>
              <w:pStyle w:val="DefaqtoTableBody2"/>
              <w:spacing w:before="60" w:after="60"/>
              <w:jc w:val="left"/>
            </w:pPr>
            <w:r>
              <w:rPr/>
              <w:t>Do you understand how Unit Trusts and General Investment Accounts work and do you know the risks associated with them?</w:t>
            </w:r>
          </w:p>
        </w:tc>
        <w:tc>
          <w:tcPr>
            <w:cnfStyle w:val="000000100000"/>
          </w:tcPr>
          <w:p>
            <w:pPr>
              <w:cnfStyle w:val="000000100000"/>
              <w:pStyle w:val="DefaqtoTableBody2"/>
              <w:spacing w:before="60" w:after="60"/>
              <w:jc w:val="left"/>
            </w:pPr>
            <w:r>
              <w:rPr/>
              <w:t>A fair degree of understanding / knowledge</w:t>
            </w:r>
          </w:p>
        </w:tc>
      </w:tr>
      <w:tr>
        <w:trPr>
          <w:cnfStyle w:val="000000010000"/>
        </w:trPr>
        <w:tc>
          <w:tcPr>
            <w:cnfStyle w:val="001000010000"/>
          </w:tcPr>
          <w:p>
            <w:pPr>
              <w:cnfStyle w:val="001000010000"/>
              <w:pStyle w:val="DefaqtoTableBody2"/>
              <w:spacing w:before="60" w:after="60"/>
              <w:jc w:val="left"/>
            </w:pPr>
            <w:r>
              <w:rPr/>
              <w:t>Do you understand how stocks and shares work and do you know the risks associated with them?</w:t>
            </w:r>
          </w:p>
        </w:tc>
        <w:tc>
          <w:tcPr>
            <w:cnfStyle w:val="000000010000"/>
          </w:tcPr>
          <w:p>
            <w:pPr>
              <w:cnfStyle w:val="000000010000"/>
              <w:pStyle w:val="DefaqtoTableBody2"/>
              <w:spacing w:before="60" w:after="60"/>
              <w:jc w:val="left"/>
            </w:pPr>
            <w:r>
              <w:rPr/>
              <w:t>A fair degree of understanding / knowledge</w:t>
            </w:r>
          </w:p>
        </w:tc>
      </w:tr>
      <w:tr>
        <w:trPr>
          <w:cnfStyle w:val="000000100000"/>
        </w:trPr>
        <w:tc>
          <w:tcPr>
            <w:cnfStyle w:val="001000100000"/>
          </w:tcPr>
          <w:p>
            <w:pPr>
              <w:cnfStyle w:val="001000100000"/>
              <w:pStyle w:val="DefaqtoTableBody2"/>
              <w:spacing w:before="60" w:after="60"/>
              <w:jc w:val="left"/>
            </w:pPr>
            <w:r>
              <w:rPr/>
              <w:t>Do you understand how Enterprise Investment Schemes and Venture Capital Trusts work and do you know the risks associated with them?</w:t>
            </w:r>
          </w:p>
        </w:tc>
        <w:tc>
          <w:tcPr>
            <w:cnfStyle w:val="000000100000"/>
          </w:tcPr>
          <w:p>
            <w:pPr>
              <w:cnfStyle w:val="000000100000"/>
              <w:pStyle w:val="DefaqtoTableBody2"/>
              <w:spacing w:before="60" w:after="60"/>
              <w:jc w:val="left"/>
            </w:pPr>
            <w:r>
              <w:rPr/>
              <w:t>No understanding / knowledge</w:t>
            </w:r>
          </w:p>
        </w:tc>
      </w:tr>
      <w:tr>
        <w:trPr>
          <w:cnfStyle w:val="000000010000"/>
        </w:trPr>
        <w:tc>
          <w:tcPr>
            <w:cnfStyle w:val="001000010000"/>
          </w:tcPr>
          <w:p>
            <w:pPr>
              <w:cnfStyle w:val="001000010000"/>
              <w:pStyle w:val="DefaqtoTableBody2"/>
              <w:spacing w:before="60" w:after="60"/>
              <w:jc w:val="left"/>
            </w:pPr>
            <w:r>
              <w:rPr/>
              <w:t>Do you understand how pension planning and income in retirement works and do you know the risks associated with them?</w:t>
            </w:r>
          </w:p>
        </w:tc>
        <w:tc>
          <w:tcPr>
            <w:cnfStyle w:val="000000010000"/>
          </w:tcPr>
          <w:p>
            <w:pPr>
              <w:cnfStyle w:val="000000010000"/>
              <w:pStyle w:val="DefaqtoTableBody2"/>
              <w:spacing w:before="60" w:after="60"/>
              <w:jc w:val="left"/>
            </w:pPr>
            <w:r>
              <w:rPr/>
              <w:t>A fair degree of understanding / knowledge</w:t>
            </w:r>
          </w:p>
        </w:tc>
      </w:tr>
      <w:tr>
        <w:trPr>
          <w:cnfStyle w:val="000000100000"/>
        </w:trPr>
        <w:tc>
          <w:tcPr>
            <w:cnfStyle w:val="001000100000"/>
          </w:tcPr>
          <w:p>
            <w:pPr>
              <w:cnfStyle w:val="001000100000"/>
              <w:pStyle w:val="DefaqtoTableBody2"/>
              <w:spacing w:before="60" w:after="60"/>
              <w:jc w:val="left"/>
            </w:pPr>
            <w:r>
              <w:rPr/>
              <w:t>Have you invested in Current Accounts, Savings/Deposit Accounts, Cash ISA, National Savings and Investments within the last 5 years?</w:t>
            </w:r>
          </w:p>
        </w:tc>
        <w:tc>
          <w:tcPr>
            <w:cnfStyle w:val="000000100000"/>
          </w:tcPr>
          <w:p>
            <w:pPr>
              <w:cnfStyle w:val="000000100000"/>
              <w:pStyle w:val="DefaqtoTableBody2"/>
              <w:spacing w:before="60" w:after="60"/>
              <w:jc w:val="left"/>
            </w:pPr>
            <w:r>
              <w:rPr/>
              <w:t>Yes, by myself</w:t>
            </w:r>
          </w:p>
        </w:tc>
      </w:tr>
      <w:tr>
        <w:trPr>
          <w:cnfStyle w:val="000000010000"/>
        </w:trPr>
        <w:tc>
          <w:tcPr>
            <w:cnfStyle w:val="001000010000"/>
          </w:tcPr>
          <w:p>
            <w:pPr>
              <w:cnfStyle w:val="001000010000"/>
              <w:pStyle w:val="DefaqtoTableBody2"/>
              <w:spacing w:before="60" w:after="60"/>
              <w:jc w:val="left"/>
            </w:pPr>
            <w:r>
              <w:rPr/>
              <w:t>Have you invested in Unit Trusts and General Investment Accounts within the last 5 years?</w:t>
            </w:r>
          </w:p>
        </w:tc>
        <w:tc>
          <w:tcPr>
            <w:cnfStyle w:val="000000010000"/>
          </w:tcPr>
          <w:p>
            <w:pPr>
              <w:cnfStyle w:val="000000010000"/>
              <w:pStyle w:val="DefaqtoTableBody2"/>
              <w:spacing w:before="60" w:after="60"/>
              <w:jc w:val="left"/>
            </w:pPr>
            <w:r>
              <w:rPr/>
              <w:t>No</w:t>
            </w:r>
          </w:p>
        </w:tc>
      </w:tr>
      <w:tr>
        <w:trPr>
          <w:cnfStyle w:val="000000100000"/>
        </w:trPr>
        <w:tc>
          <w:tcPr>
            <w:cnfStyle w:val="001000100000"/>
          </w:tcPr>
          <w:p>
            <w:pPr>
              <w:cnfStyle w:val="001000100000"/>
              <w:pStyle w:val="DefaqtoTableBody2"/>
              <w:spacing w:before="60" w:after="60"/>
              <w:jc w:val="left"/>
            </w:pPr>
            <w:r>
              <w:rPr/>
              <w:t>Have you invested in stocks and shares within the last 5 years?</w:t>
            </w:r>
          </w:p>
        </w:tc>
        <w:tc>
          <w:tcPr>
            <w:cnfStyle w:val="000000100000"/>
          </w:tcPr>
          <w:p>
            <w:pPr>
              <w:cnfStyle w:val="000000100000"/>
              <w:pStyle w:val="DefaqtoTableBody2"/>
              <w:spacing w:before="60" w:after="60"/>
              <w:jc w:val="left"/>
            </w:pPr>
            <w:r>
              <w:rPr/>
              <w:t>No</w:t>
            </w:r>
          </w:p>
        </w:tc>
      </w:tr>
      <w:tr>
        <w:trPr>
          <w:cnfStyle w:val="000000010000"/>
        </w:trPr>
        <w:tc>
          <w:tcPr>
            <w:cnfStyle w:val="001000010000"/>
          </w:tcPr>
          <w:p>
            <w:pPr>
              <w:cnfStyle w:val="001000010000"/>
              <w:pStyle w:val="DefaqtoTableBody2"/>
              <w:spacing w:before="60" w:after="60"/>
              <w:jc w:val="left"/>
            </w:pPr>
            <w:r>
              <w:rPr/>
              <w:t>Have you invested in Enterprise Investment Schemes and Venture Capital Trusts within the last 5 years?</w:t>
            </w:r>
          </w:p>
        </w:tc>
        <w:tc>
          <w:tcPr>
            <w:cnfStyle w:val="000000010000"/>
          </w:tcPr>
          <w:p>
            <w:pPr>
              <w:cnfStyle w:val="000000010000"/>
              <w:pStyle w:val="DefaqtoTableBody2"/>
              <w:spacing w:before="60" w:after="60"/>
              <w:jc w:val="left"/>
            </w:pPr>
            <w:r>
              <w:rPr/>
              <w:t>No</w:t>
            </w:r>
          </w:p>
        </w:tc>
      </w:tr>
      <w:tr>
        <w:trPr>
          <w:cnfStyle w:val="000000100000"/>
        </w:trPr>
        <w:tc>
          <w:tcPr>
            <w:cnfStyle w:val="001000100000"/>
          </w:tcPr>
          <w:p>
            <w:pPr>
              <w:cnfStyle w:val="001000100000"/>
              <w:pStyle w:val="DefaqtoTableBody2"/>
              <w:spacing w:before="60" w:after="60"/>
              <w:jc w:val="left"/>
            </w:pPr>
            <w:r>
              <w:rPr/>
              <w:t>Have you invested in pension planning and income in retirement products within the last 5 years?</w:t>
            </w:r>
          </w:p>
        </w:tc>
        <w:tc>
          <w:tcPr>
            <w:cnfStyle w:val="000000100000"/>
          </w:tcPr>
          <w:p>
            <w:pPr>
              <w:cnfStyle w:val="000000100000"/>
              <w:pStyle w:val="DefaqtoTableBody2"/>
              <w:spacing w:before="60" w:after="60"/>
              <w:jc w:val="left"/>
            </w:pPr>
            <w:r>
              <w:rPr/>
              <w:t>Yes, by myself</w:t>
            </w:r>
          </w:p>
        </w:tc>
      </w:tr>
      <w:tr>
        <w:trPr>
          <w:cnfStyle w:val="000000010000"/>
        </w:trPr>
        <w:tc>
          <w:tcPr>
            <w:cnfStyle w:val="001000010000"/>
          </w:tcPr>
          <w:p>
            <w:pPr>
              <w:cnfStyle w:val="001000010000"/>
              <w:pStyle w:val="DefaqtoTableBody2"/>
              <w:spacing w:before="60" w:after="60"/>
              <w:jc w:val="left"/>
            </w:pPr>
            <w:r>
              <w:rPr/>
              <w:t>Do you check the valuation of your investment and retirement portfolio on an annual basis?</w:t>
            </w:r>
          </w:p>
        </w:tc>
        <w:tc>
          <w:tcPr>
            <w:cnfStyle w:val="000000010000"/>
          </w:tcPr>
          <w:p>
            <w:pPr>
              <w:cnfStyle w:val="000000010000"/>
              <w:pStyle w:val="DefaqtoTableBody2"/>
              <w:spacing w:before="60" w:after="60"/>
              <w:jc w:val="left"/>
            </w:pPr>
            <w:r>
              <w:rPr/>
              <w:t>Yes, by myself</w:t>
            </w:r>
          </w:p>
        </w:tc>
      </w:tr>
    </w:tbl>
    <w:p>
      <w:pPr>
        <w:sectPr>
          <w:headerReference w:type="default" r:id="gemHfRid11"/>
          <w:footerReference w:type="default" r:id="gemHfRid12"/>
          <w:pgSz w:w="11907" w:h="16839" w:code="9"/>
          <w:pgMar w:top="709" w:right="640" w:bottom="376" w:left="640" w:header="200" w:footer="200" w:gutter="0"/>
          <w:cols w:space="708"/>
          <w:docGrid w:linePitch="360"/>
        </w:sectPr>
      </w:pPr>
    </w:p>
    <w:p>
      <w:pPr>
        <w:pStyle w:val="DefaqtoHeading2"/>
      </w:pPr>
      <w:r>
        <w:t>Capacity For Loss questionnaire responses for  Melanie Anness on 16/01/2026</w:t>
      </w:r>
    </w:p>
    <w:tbl>
      <w:tblPr>
        <w:tblStyle w:val="DefaqtoTable"/>
        <w:tblW w:w="5000" w:type="pct"/>
        <w:tblLook w:firstRow="1" w:lastRow="1" w:firstColumn="1" w:lastColumn="1" w:noHBand="0" w:noVBand="0" w:val="01E0"/>
      </w:tblPr>
      <w:tr>
        <w:trPr>
          <w:cnfStyle w:val="100000000000"/>
        </w:trPr>
        <w:tc>
          <w:tcPr>
            <w:cnfStyle w:val="101000000000"/>
          </w:tcPr>
          <w:p>
            <w:pPr>
              <w:cnfStyle w:val="101000000000"/>
              <w:pStyle w:val="DefaqtoTableBody2"/>
              <w:spacing w:before="60" w:after="60"/>
              <w:jc w:val="left"/>
            </w:pPr>
            <w:r>
              <w:rPr/>
              <w:t>Question</w:t>
            </w:r>
          </w:p>
        </w:tc>
        <w:tc>
          <w:tcPr>
            <w:cnfStyle w:val="100000000000"/>
          </w:tcPr>
          <w:p>
            <w:pPr>
              <w:cnfStyle w:val="100000000000"/>
              <w:pStyle w:val="DefaqtoTableBody2"/>
              <w:spacing w:before="60" w:after="60"/>
              <w:jc w:val="left"/>
            </w:pPr>
            <w:r>
              <w:rPr/>
              <w:t>Response</w:t>
            </w:r>
          </w:p>
        </w:tc>
      </w:tr>
      <w:tr>
        <w:trPr>
          <w:cnfStyle w:val="000000100000"/>
        </w:trPr>
        <w:tc>
          <w:tcPr>
            <w:cnfStyle w:val="001000100000"/>
          </w:tcPr>
          <w:p>
            <w:pPr>
              <w:cnfStyle w:val="001000100000"/>
              <w:pStyle w:val="DefaqtoTableBody2"/>
              <w:spacing w:before="60" w:after="60"/>
              <w:jc w:val="left"/>
            </w:pPr>
            <w:r>
              <w:rPr/>
              <w:t>I am investing in order to meet goals at what point in the future (my investment horizon).</w:t>
            </w:r>
          </w:p>
        </w:tc>
        <w:tc>
          <w:tcPr>
            <w:cnfStyle w:val="000000100000"/>
          </w:tcPr>
          <w:p>
            <w:pPr>
              <w:cnfStyle w:val="000000100000"/>
              <w:pStyle w:val="DefaqtoTableBody2"/>
              <w:spacing w:before="60" w:after="60"/>
              <w:jc w:val="left"/>
            </w:pPr>
            <w:r>
              <w:rPr/>
              <w:t>15+ years</w:t>
            </w:r>
          </w:p>
        </w:tc>
      </w:tr>
      <w:tr>
        <w:trPr>
          <w:cnfStyle w:val="000000010000"/>
        </w:trPr>
        <w:tc>
          <w:tcPr>
            <w:cnfStyle w:val="001000010000"/>
          </w:tcPr>
          <w:p>
            <w:pPr>
              <w:cnfStyle w:val="001000010000"/>
              <w:pStyle w:val="DefaqtoTableBody2"/>
              <w:spacing w:before="60" w:after="60"/>
              <w:jc w:val="left"/>
            </w:pPr>
            <w:r>
              <w:rPr/>
              <w:t>I have or expect to incur significant outstanding debts during the period of my investment (e.g., mortgage or credit cards).</w:t>
            </w:r>
          </w:p>
        </w:tc>
        <w:tc>
          <w:tcPr>
            <w:cnfStyle w:val="000000010000"/>
          </w:tcPr>
          <w:p>
            <w:pPr>
              <w:cnfStyle w:val="000000010000"/>
              <w:pStyle w:val="DefaqtoTableBody2"/>
              <w:spacing w:before="60" w:after="60"/>
              <w:jc w:val="left"/>
            </w:pPr>
            <w:r>
              <w:rPr/>
              <w:t>Strongly agree</w:t>
            </w:r>
          </w:p>
        </w:tc>
      </w:tr>
      <w:tr>
        <w:trPr>
          <w:cnfStyle w:val="000000100000"/>
        </w:trPr>
        <w:tc>
          <w:tcPr>
            <w:cnfStyle w:val="001000100000"/>
          </w:tcPr>
          <w:p>
            <w:pPr>
              <w:cnfStyle w:val="001000100000"/>
              <w:pStyle w:val="DefaqtoTableBody2"/>
              <w:spacing w:before="60" w:after="60"/>
              <w:jc w:val="left"/>
            </w:pPr>
            <w:r>
              <w:rPr/>
              <w:t>My spouse or partner (or another family member) is likely to be able and willing to support me financially if circumstances require.</w:t>
            </w:r>
          </w:p>
        </w:tc>
        <w:tc>
          <w:tcPr>
            <w:cnfStyle w:val="000000100000"/>
          </w:tcPr>
          <w:p>
            <w:pPr>
              <w:cnfStyle w:val="000000100000"/>
              <w:pStyle w:val="DefaqtoTableBody2"/>
              <w:spacing w:before="60" w:after="60"/>
              <w:jc w:val="left"/>
            </w:pPr>
            <w:r>
              <w:rPr/>
              <w:t>Disagree</w:t>
            </w:r>
          </w:p>
        </w:tc>
      </w:tr>
      <w:tr>
        <w:trPr>
          <w:cnfStyle w:val="000000010000"/>
        </w:trPr>
        <w:tc>
          <w:tcPr>
            <w:cnfStyle w:val="001000010000"/>
          </w:tcPr>
          <w:p>
            <w:pPr>
              <w:cnfStyle w:val="001000010000"/>
              <w:pStyle w:val="DefaqtoTableBody2"/>
              <w:spacing w:before="60" w:after="60"/>
              <w:jc w:val="left"/>
            </w:pPr>
            <w:r>
              <w:rPr/>
              <w:t>It would be relatively easy for me to cut my spending in retirement if circumstances require.</w:t>
            </w:r>
          </w:p>
        </w:tc>
        <w:tc>
          <w:tcPr>
            <w:cnfStyle w:val="000000010000"/>
          </w:tcPr>
          <w:p>
            <w:pPr>
              <w:cnfStyle w:val="000000010000"/>
              <w:pStyle w:val="DefaqtoTableBody2"/>
              <w:spacing w:before="60" w:after="60"/>
              <w:jc w:val="left"/>
            </w:pPr>
            <w:r>
              <w:rPr/>
              <w:t>Agree</w:t>
            </w:r>
          </w:p>
        </w:tc>
      </w:tr>
      <w:tr>
        <w:trPr>
          <w:cnfStyle w:val="000000100000"/>
        </w:trPr>
        <w:tc>
          <w:tcPr>
            <w:cnfStyle w:val="001000100000"/>
          </w:tcPr>
          <w:p>
            <w:pPr>
              <w:cnfStyle w:val="001000100000"/>
              <w:pStyle w:val="DefaqtoTableBody2"/>
              <w:spacing w:before="60" w:after="60"/>
              <w:jc w:val="left"/>
            </w:pPr>
            <w:r>
              <w:rPr/>
              <w:t>I am flexible about my retirement date (or other determinant of investment horizon).</w:t>
            </w:r>
          </w:p>
        </w:tc>
        <w:tc>
          <w:tcPr>
            <w:cnfStyle w:val="000000100000"/>
          </w:tcPr>
          <w:p>
            <w:pPr>
              <w:cnfStyle w:val="000000100000"/>
              <w:pStyle w:val="DefaqtoTableBody2"/>
              <w:spacing w:before="60" w:after="60"/>
              <w:jc w:val="left"/>
            </w:pPr>
            <w:r>
              <w:rPr/>
              <w:t>Strongly agree</w:t>
            </w:r>
          </w:p>
        </w:tc>
      </w:tr>
    </w:tbl>
    <w:sectPr>
      <w:headerReference w:type="default" r:id="gemHfRid13"/>
      <w:footerReference w:type="default" r:id="gemHfRid14"/>
      <w:pgSz w:w="11907" w:h="16839" w:code="9"/>
      <w:pgMar w:top="709" w:right="640" w:bottom="376" w:left="640" w:header="200" w:footer="20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eXGyreAdventor">
    <w:altName w:val="Arial"/>
    <w:panose1 w:val="00000000000000000000"/>
    <w:charset w:val="00"/>
    <w:family w:val="modern"/>
    <w:notTrueType/>
    <w:pitch w:val="variable"/>
    <w:sig w:usb0="00000001" w:usb1="00000000"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Poppins SemiBold">
    <w:altName w:val="Poppins SemiBold"/>
    <w:charset w:val="00"/>
    <w:family w:val="auto"/>
    <w:pitch w:val="variable"/>
    <w:sig w:usb0="00008007" w:usb1="00000000" w:usb2="00000000" w:usb3="00000000" w:csb0="00000093" w:csb1="00000000"/>
  </w:font>
  <w:font w:name="Poppins Light">
    <w:altName w:val="Nirmala UI"/>
    <w:charset w:val="00"/>
    <w:family w:val="auto"/>
    <w:pitch w:val="variable"/>
    <w:sig w:usb0="00008007" w:usb1="00000000" w:usb2="00000000" w:usb3="00000000" w:csb0="00000093" w:csb1="00000000"/>
  </w:font>
  <w:font w:name="Poppins">
    <w:altName w:val="Nirmala UI"/>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10490" w:type="dxa"/>
      <w:tblBorders>
        <w:top w:val="nil"/>
        <w:left w:val="nil"/>
        <w:bottom w:val="nil"/>
        <w:right w:val="nil"/>
        <w:insideH w:val="nil"/>
        <w:insideV w:val="nil"/>
      </w:tblBorders>
      <w:tblCellMar>
        <w:left w:w="0" w:type="dxa"/>
        <w:right w:w="0" w:type="dxa"/>
      </w:tblCellMar>
      <w:tblLook w:firstRow="1" w:lastRow="0" w:firstColumn="1" w:lastColumn="0" w:noHBand="0" w:noVBand="1" w:val="04A0"/>
    </w:tblPr>
    <w:tblGrid>
      <w:gridCol w:w="5812"/>
      <w:gridCol w:w="4678"/>
    </w:tblGrid>
    <w:tr>
      <w:trPr>
        <w:cnfStyle w:val="000000000000"/>
      </w:trPr>
      <w:tc>
        <w:tcPr>
          <w:cnfStyle w:val="000000000000"/>
          <w:tcW w:w="5812" w:type="dxa"/>
        </w:tcPr>
        <w:p>
          <w:pPr>
            <w:cnfStyle w:val="000000000000"/>
            <w:pStyle w:val="Footer"/>
            <w:tabs>
              <w:tab w:pos="4513" w:val="clear"/>
              <w:tab w:pos="4820" w:val="center"/>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James Poka</w:t>
          </w:r>
          <w:r>
            <w:rPr>
              <w:rFonts w:ascii="Poppins" w:hAnsi="Poppins" w:cs="Poppins"/>
              <w:color w:val="392388"/>
              <w:sz w:val="16"/>
              <w:szCs w:val="16"/>
            </w:rPr>
            <w:t xml:space="preserve"> using Defaqto Engage</w:t>
          </w:r>
          <w:r>
            <w:rPr>
              <w:rFonts w:ascii="Poppins" w:hAnsi="Poppins" w:cs="Poppins"/>
              <w:color w:val="392388"/>
              <w:sz w:val="16"/>
              <w:szCs w:val="16"/>
            </w:rPr>
            <w:br/>
          </w:r>
          <w:r>
            <w:rPr>
              <w:rFonts w:ascii="Poppins" w:hAnsi="Poppins" w:cs="Poppins"/>
              <w:color w:val="392388"/>
              <w:sz w:val="16"/>
              <w:szCs w:val="16"/>
            </w:rPr>
            <w:t xml:space="preserve">Page </w:t>
          </w:r>
          <w:sdt>
            <w:sdtPr>
              <w:rPr>
                <w:rFonts w:ascii="Poppins" w:hAnsi="Poppins" w:cs="Poppins"/>
                <w:color w:val="392388"/>
                <w:sz w:val="16"/>
                <w:szCs w:val="16"/>
              </w:rPr>
              <w:id w:val="-1254124529"/>
              <w:docPartObj>
                <w:docPartGallery w:val="Page Numbers (Bottom of Page)"/>
                <w:docPartUnique w:val="tr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w:instrText>
              </w:r>
              <w:r>
                <w:rPr>
                  <w:rFonts w:ascii="Poppins" w:hAnsi="Poppins" w:cs="Poppins"/>
                  <w:color w:val="392388"/>
                  <w:sz w:val="16"/>
                  <w:szCs w:val="16"/>
                </w:rPr>
                <w:instrText xml:space="preserve">\*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cnfStyle w:val="000000000000"/>
          <w:tcW w:w="4678" w:type="dxa"/>
        </w:tcPr>
        <w:p>
          <w:pPr>
            <w:cnfStyle w:val="000000000000"/>
            <w:pStyle w:val="Header"/>
            <w:spacing w:before="120"/>
            <w:ind w:right="21"/>
            <w:jc w:val="right"/>
            <w:rPr>
              <w:rFonts w:ascii="Poppins" w:hAnsi="Poppins" w:cs="Poppins"/>
              <w:color w:val="392388"/>
            </w:rPr>
          </w:pPr>
          <w:r>
            <w:drawing>
              <wp:inline>
                <wp:extent cx="914400" cy="190500"/>
                <wp:docPr id="18" name="Picture 18"/>
                <a:graphic xmlns:a="http://schemas.openxmlformats.org/drawingml/2006/main">
                  <a:graphicData uri="http://schemas.openxmlformats.org/drawingml/2006/picture">
                    <pic:pic xmlns:pic="http://schemas.openxmlformats.org/drawingml/2006/picture">
                      <pic:nvPicPr>
                        <pic:cNvPr id="19" name="Picture 19"/>
                        <pic:cNvPicPr/>
                      </pic:nvPicPr>
                      <pic:blipFill>
                        <a:blip cstate="print" r:embed="PictureId1"/>
                        <a:stretch>
                          <a:fillRect/>
                        </a:stretch>
                      </pic:blipFill>
                      <pic:spPr>
                        <a:xfrm>
                          <a:off x="0" y="0"/>
                          <a:ext cx="914400" cy="190500"/>
                        </a:xfrm>
                        <a:prstGeom prst="rect">
                          <a:avLst/>
                        </a:prstGeom>
                      </pic:spPr>
                    </pic:pic>
                  </a:graphicData>
                </a:graphic>
              </wp:inline>
            </w:drawing>
          </w:r>
        </w:p>
      </w:tc>
    </w:tr>
  </w:tbl>
  <w:p>
    <w:pPr>
      <w:pStyle w:val="Footer"/>
      <w:rPr>
        <w:rFonts w:ascii="Poppins" w:hAnsi="Poppins" w:cs="Poppins"/>
        <w:color w:val="39238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p>
    <w:pPr>
      <w:pStyle w:val="Footer"/>
      <w:rPr>
        <w:rFonts w:ascii="Poppins" w:hAnsi="Poppins" w:cs="Poppins"/>
        <w:color w:val="392388"/>
        <w:sz w:val="20"/>
        <w:szCs w:val="20"/>
      </w:rPr>
    </w:pPr>
    <w:r>
      <w:rPr>
        <w:rFonts w:ascii="Poppins" w:hAnsi="Poppins" w:cs="Poppins"/>
        <w:color w:val="392388"/>
        <w:sz w:val="20"/>
        <w:szCs w:val="20"/>
        <w:noProof/>
      </w:rPr>
      <w:t>This report was prepared with data sourced from Defaqto Engage. Whilst every attempt has been made to ensure the accuracy of the data used in this report, items can change and we advise that you check the issues most important to you if you proceed with the purchase of the selected contract.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10490" w:type="dxa"/>
      <w:tblBorders>
        <w:top w:val="nil"/>
        <w:left w:val="nil"/>
        <w:bottom w:val="nil"/>
        <w:right w:val="nil"/>
        <w:insideH w:val="nil"/>
        <w:insideV w:val="nil"/>
      </w:tblBorders>
      <w:tblCellMar>
        <w:left w:w="0" w:type="dxa"/>
        <w:right w:w="0" w:type="dxa"/>
      </w:tblCellMar>
      <w:tblLook w:firstRow="1" w:lastRow="0" w:firstColumn="1" w:lastColumn="0" w:noHBand="0" w:noVBand="1" w:val="04A0"/>
    </w:tblPr>
    <w:tblGrid>
      <w:gridCol w:w="5812"/>
      <w:gridCol w:w="4678"/>
    </w:tblGrid>
    <w:tr>
      <w:trPr>
        <w:cnfStyle w:val="000000000000"/>
      </w:trPr>
      <w:tc>
        <w:tcPr>
          <w:cnfStyle w:val="000000000000"/>
          <w:tcW w:w="5812" w:type="dxa"/>
        </w:tcPr>
        <w:p>
          <w:pPr>
            <w:cnfStyle w:val="000000000000"/>
            <w:pStyle w:val="Footer"/>
            <w:tabs>
              <w:tab w:pos="4513" w:val="clear"/>
              <w:tab w:pos="4820" w:val="center"/>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James Poka</w:t>
          </w:r>
          <w:r>
            <w:rPr>
              <w:rFonts w:ascii="Poppins" w:hAnsi="Poppins" w:cs="Poppins"/>
              <w:color w:val="392388"/>
              <w:sz w:val="16"/>
              <w:szCs w:val="16"/>
            </w:rPr>
            <w:t xml:space="preserve"> using Defaqto Engage</w:t>
          </w:r>
          <w:r>
            <w:rPr>
              <w:rFonts w:ascii="Poppins" w:hAnsi="Poppins" w:cs="Poppins"/>
              <w:color w:val="392388"/>
              <w:sz w:val="16"/>
              <w:szCs w:val="16"/>
            </w:rPr>
            <w:br/>
          </w:r>
          <w:r>
            <w:rPr>
              <w:rFonts w:ascii="Poppins" w:hAnsi="Poppins" w:cs="Poppins"/>
              <w:color w:val="392388"/>
              <w:sz w:val="16"/>
              <w:szCs w:val="16"/>
            </w:rPr>
            <w:t xml:space="preserve">Page </w:t>
          </w:r>
          <w:sdt>
            <w:sdtPr>
              <w:rPr>
                <w:rFonts w:ascii="Poppins" w:hAnsi="Poppins" w:cs="Poppins"/>
                <w:color w:val="392388"/>
                <w:sz w:val="16"/>
                <w:szCs w:val="16"/>
              </w:rPr>
              <w:id w:val="-1254124529"/>
              <w:docPartObj>
                <w:docPartGallery w:val="Page Numbers (Bottom of Page)"/>
                <w:docPartUnique w:val="tr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w:instrText>
              </w:r>
              <w:r>
                <w:rPr>
                  <w:rFonts w:ascii="Poppins" w:hAnsi="Poppins" w:cs="Poppins"/>
                  <w:color w:val="392388"/>
                  <w:sz w:val="16"/>
                  <w:szCs w:val="16"/>
                </w:rPr>
                <w:instrText xml:space="preserve">\* MERGEFORMAT </w:instrText>
              </w:r>
              <w:r>
                <w:rPr>
                  <w:rFonts w:ascii="Poppins" w:hAnsi="Poppins" w:cs="Poppins"/>
                  <w:color w:val="392388"/>
                  <w:sz w:val="16"/>
                  <w:szCs w:val="16"/>
                </w:rPr>
                <w:fldChar w:fldCharType="separate"/>
              </w:r>
              <w:r>
                <w:rPr>
                  <w:rFonts w:ascii="Poppins" w:hAnsi="Poppins" w:cs="Poppins"/>
                  <w:color w:val="392388"/>
                  <w:sz w:val="16"/>
                  <w:szCs w:val="16"/>
                </w:rPr>
                <w:t>7</w:t>
              </w:r>
              <w:r>
                <w:rPr>
                  <w:rFonts w:ascii="Poppins" w:hAnsi="Poppins" w:cs="Poppins"/>
                  <w:color w:val="392388"/>
                  <w:sz w:val="16"/>
                  <w:szCs w:val="16"/>
                </w:rPr>
                <w:fldChar w:fldCharType="end"/>
              </w:r>
            </w:sdtContent>
          </w:sdt>
        </w:p>
      </w:tc>
      <w:tc>
        <w:tcPr>
          <w:cnfStyle w:val="000000000000"/>
          <w:tcW w:w="4678" w:type="dxa"/>
        </w:tcPr>
        <w:p>
          <w:pPr>
            <w:cnfStyle w:val="000000000000"/>
            <w:pStyle w:val="Header"/>
            <w:spacing w:before="120"/>
            <w:ind w:right="21"/>
            <w:jc w:val="right"/>
            <w:rPr>
              <w:rFonts w:ascii="Poppins" w:hAnsi="Poppins" w:cs="Poppins"/>
              <w:color w:val="392388"/>
            </w:rPr>
          </w:pPr>
          <w:r>
            <w:drawing>
              <wp:inline>
                <wp:extent cx="914400" cy="190500"/>
                <wp:docPr id="16" name="Picture 16"/>
                <a:graphic xmlns:a="http://schemas.openxmlformats.org/drawingml/2006/main">
                  <a:graphicData uri="http://schemas.openxmlformats.org/drawingml/2006/picture">
                    <pic:pic xmlns:pic="http://schemas.openxmlformats.org/drawingml/2006/picture">
                      <pic:nvPicPr>
                        <pic:cNvPr id="17" name="Picture 17"/>
                        <pic:cNvPicPr/>
                      </pic:nvPicPr>
                      <pic:blipFill>
                        <a:blip cstate="print" r:embed="PictureId1"/>
                        <a:stretch>
                          <a:fillRect/>
                        </a:stretch>
                      </pic:blipFill>
                      <pic:spPr>
                        <a:xfrm>
                          <a:off x="0" y="0"/>
                          <a:ext cx="914400" cy="190500"/>
                        </a:xfrm>
                        <a:prstGeom prst="rect">
                          <a:avLst/>
                        </a:prstGeom>
                      </pic:spPr>
                    </pic:pic>
                  </a:graphicData>
                </a:graphic>
              </wp:inline>
            </w:drawing>
          </w:r>
        </w:p>
      </w:tc>
    </w:tr>
  </w:tbl>
  <w:p>
    <w:pPr>
      <w:pStyle w:val="Footer"/>
      <w:rPr>
        <w:rFonts w:ascii="Poppins" w:hAnsi="Poppins" w:cs="Poppins"/>
        <w:color w:val="39238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10490" w:type="dxa"/>
      <w:tblBorders>
        <w:top w:val="nil"/>
        <w:left w:val="nil"/>
        <w:bottom w:val="nil"/>
        <w:right w:val="nil"/>
        <w:insideH w:val="nil"/>
        <w:insideV w:val="nil"/>
      </w:tblBorders>
      <w:tblCellMar>
        <w:left w:w="0" w:type="dxa"/>
        <w:right w:w="0" w:type="dxa"/>
      </w:tblCellMar>
      <w:tblLook w:firstRow="1" w:lastRow="0" w:firstColumn="1" w:lastColumn="0" w:noHBand="0" w:noVBand="1" w:val="04A0"/>
    </w:tblPr>
    <w:tblGrid>
      <w:gridCol w:w="5812"/>
      <w:gridCol w:w="4678"/>
    </w:tblGrid>
    <w:tr>
      <w:trPr>
        <w:cnfStyle w:val="000000000000"/>
      </w:trPr>
      <w:tc>
        <w:tcPr>
          <w:cnfStyle w:val="000000000000"/>
          <w:tcW w:w="5812" w:type="dxa"/>
        </w:tcPr>
        <w:p>
          <w:pPr>
            <w:cnfStyle w:val="000000000000"/>
            <w:pStyle w:val="Footer"/>
            <w:tabs>
              <w:tab w:pos="4513" w:val="clear"/>
              <w:tab w:pos="4820" w:val="center"/>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James Poka</w:t>
          </w:r>
          <w:r>
            <w:rPr>
              <w:rFonts w:ascii="Poppins" w:hAnsi="Poppins" w:cs="Poppins"/>
              <w:color w:val="392388"/>
              <w:sz w:val="16"/>
              <w:szCs w:val="16"/>
            </w:rPr>
            <w:t xml:space="preserve"> using Defaqto Engage</w:t>
          </w:r>
          <w:r>
            <w:rPr>
              <w:rFonts w:ascii="Poppins" w:hAnsi="Poppins" w:cs="Poppins"/>
              <w:color w:val="392388"/>
              <w:sz w:val="16"/>
              <w:szCs w:val="16"/>
            </w:rPr>
            <w:br/>
          </w:r>
          <w:r>
            <w:rPr>
              <w:rFonts w:ascii="Poppins" w:hAnsi="Poppins" w:cs="Poppins"/>
              <w:color w:val="392388"/>
              <w:sz w:val="16"/>
              <w:szCs w:val="16"/>
            </w:rPr>
            <w:t xml:space="preserve">Page </w:t>
          </w:r>
          <w:sdt>
            <w:sdtPr>
              <w:rPr>
                <w:rFonts w:ascii="Poppins" w:hAnsi="Poppins" w:cs="Poppins"/>
                <w:color w:val="392388"/>
                <w:sz w:val="16"/>
                <w:szCs w:val="16"/>
              </w:rPr>
              <w:id w:val="-1254124529"/>
              <w:docPartObj>
                <w:docPartGallery w:val="Page Numbers (Bottom of Page)"/>
                <w:docPartUnique w:val="tr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w:instrText>
              </w:r>
              <w:r>
                <w:rPr>
                  <w:rFonts w:ascii="Poppins" w:hAnsi="Poppins" w:cs="Poppins"/>
                  <w:color w:val="392388"/>
                  <w:sz w:val="16"/>
                  <w:szCs w:val="16"/>
                </w:rPr>
                <w:instrText xml:space="preserve">\* MERGEFORMAT </w:instrText>
              </w:r>
              <w:r>
                <w:rPr>
                  <w:rFonts w:ascii="Poppins" w:hAnsi="Poppins" w:cs="Poppins"/>
                  <w:color w:val="392388"/>
                  <w:sz w:val="16"/>
                  <w:szCs w:val="16"/>
                </w:rPr>
                <w:fldChar w:fldCharType="separate"/>
              </w:r>
              <w:r>
                <w:rPr>
                  <w:rFonts w:ascii="Poppins" w:hAnsi="Poppins" w:cs="Poppins"/>
                  <w:color w:val="392388"/>
                  <w:sz w:val="16"/>
                  <w:szCs w:val="16"/>
                </w:rPr>
                <w:t>8</w:t>
              </w:r>
              <w:r>
                <w:rPr>
                  <w:rFonts w:ascii="Poppins" w:hAnsi="Poppins" w:cs="Poppins"/>
                  <w:color w:val="392388"/>
                  <w:sz w:val="16"/>
                  <w:szCs w:val="16"/>
                </w:rPr>
                <w:fldChar w:fldCharType="end"/>
              </w:r>
            </w:sdtContent>
          </w:sdt>
        </w:p>
      </w:tc>
      <w:tc>
        <w:tcPr>
          <w:cnfStyle w:val="000000000000"/>
          <w:tcW w:w="4678" w:type="dxa"/>
        </w:tcPr>
        <w:p>
          <w:pPr>
            <w:cnfStyle w:val="000000000000"/>
            <w:pStyle w:val="Header"/>
            <w:spacing w:before="120"/>
            <w:ind w:right="21"/>
            <w:jc w:val="right"/>
            <w:rPr>
              <w:rFonts w:ascii="Poppins" w:hAnsi="Poppins" w:cs="Poppins"/>
              <w:color w:val="392388"/>
            </w:rPr>
          </w:pPr>
          <w:r>
            <w:drawing>
              <wp:inline>
                <wp:extent cx="914400" cy="19050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1"/>
                        <a:stretch>
                          <a:fillRect/>
                        </a:stretch>
                      </pic:blipFill>
                      <pic:spPr>
                        <a:xfrm>
                          <a:off x="0" y="0"/>
                          <a:ext cx="914400" cy="190500"/>
                        </a:xfrm>
                        <a:prstGeom prst="rect">
                          <a:avLst/>
                        </a:prstGeom>
                      </pic:spPr>
                    </pic:pic>
                  </a:graphicData>
                </a:graphic>
              </wp:inline>
            </w:drawing>
          </w:r>
        </w:p>
      </w:tc>
    </w:tr>
  </w:tbl>
  <w:p>
    <w:pPr>
      <w:pStyle w:val="Footer"/>
      <w:rPr>
        <w:rFonts w:ascii="Poppins" w:hAnsi="Poppins" w:cs="Poppins"/>
        <w:color w:val="39238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10490" w:type="dxa"/>
      <w:tblBorders>
        <w:top w:val="nil"/>
        <w:left w:val="nil"/>
        <w:bottom w:val="nil"/>
        <w:right w:val="nil"/>
        <w:insideH w:val="nil"/>
        <w:insideV w:val="nil"/>
      </w:tblBorders>
      <w:tblCellMar>
        <w:left w:w="0" w:type="dxa"/>
        <w:right w:w="0" w:type="dxa"/>
      </w:tblCellMar>
      <w:tblLook w:firstRow="1" w:lastRow="0" w:firstColumn="1" w:lastColumn="0" w:noHBand="0" w:noVBand="1" w:val="04A0"/>
    </w:tblPr>
    <w:tblGrid>
      <w:gridCol w:w="5812"/>
      <w:gridCol w:w="4678"/>
    </w:tblGrid>
    <w:tr>
      <w:trPr>
        <w:cnfStyle w:val="000000000000"/>
      </w:trPr>
      <w:tc>
        <w:tcPr>
          <w:cnfStyle w:val="000000000000"/>
          <w:tcW w:w="5812" w:type="dxa"/>
        </w:tcPr>
        <w:p>
          <w:pPr>
            <w:cnfStyle w:val="000000000000"/>
            <w:pStyle w:val="Footer"/>
            <w:tabs>
              <w:tab w:pos="4513" w:val="clear"/>
              <w:tab w:pos="4820" w:val="center"/>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James Poka</w:t>
          </w:r>
          <w:r>
            <w:rPr>
              <w:rFonts w:ascii="Poppins" w:hAnsi="Poppins" w:cs="Poppins"/>
              <w:color w:val="392388"/>
              <w:sz w:val="16"/>
              <w:szCs w:val="16"/>
            </w:rPr>
            <w:t xml:space="preserve"> using Defaqto Engage</w:t>
          </w:r>
          <w:r>
            <w:rPr>
              <w:rFonts w:ascii="Poppins" w:hAnsi="Poppins" w:cs="Poppins"/>
              <w:color w:val="392388"/>
              <w:sz w:val="16"/>
              <w:szCs w:val="16"/>
            </w:rPr>
            <w:br/>
          </w:r>
          <w:r>
            <w:rPr>
              <w:rFonts w:ascii="Poppins" w:hAnsi="Poppins" w:cs="Poppins"/>
              <w:color w:val="392388"/>
              <w:sz w:val="16"/>
              <w:szCs w:val="16"/>
            </w:rPr>
            <w:t xml:space="preserve">Page </w:t>
          </w:r>
          <w:sdt>
            <w:sdtPr>
              <w:rPr>
                <w:rFonts w:ascii="Poppins" w:hAnsi="Poppins" w:cs="Poppins"/>
                <w:color w:val="392388"/>
                <w:sz w:val="16"/>
                <w:szCs w:val="16"/>
              </w:rPr>
              <w:id w:val="-1254124529"/>
              <w:docPartObj>
                <w:docPartGallery w:val="Page Numbers (Bottom of Page)"/>
                <w:docPartUnique w:val="tr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w:instrText>
              </w:r>
              <w:r>
                <w:rPr>
                  <w:rFonts w:ascii="Poppins" w:hAnsi="Poppins" w:cs="Poppins"/>
                  <w:color w:val="392388"/>
                  <w:sz w:val="16"/>
                  <w:szCs w:val="16"/>
                </w:rPr>
                <w:instrText xml:space="preserve">\* MERGEFORMAT </w:instrText>
              </w:r>
              <w:r>
                <w:rPr>
                  <w:rFonts w:ascii="Poppins" w:hAnsi="Poppins" w:cs="Poppins"/>
                  <w:color w:val="392388"/>
                  <w:sz w:val="16"/>
                  <w:szCs w:val="16"/>
                </w:rPr>
                <w:fldChar w:fldCharType="separate"/>
              </w:r>
              <w:r>
                <w:rPr>
                  <w:rFonts w:ascii="Poppins" w:hAnsi="Poppins" w:cs="Poppins"/>
                  <w:color w:val="392388"/>
                  <w:sz w:val="16"/>
                  <w:szCs w:val="16"/>
                </w:rPr>
                <w:t>9</w:t>
              </w:r>
              <w:r>
                <w:rPr>
                  <w:rFonts w:ascii="Poppins" w:hAnsi="Poppins" w:cs="Poppins"/>
                  <w:color w:val="392388"/>
                  <w:sz w:val="16"/>
                  <w:szCs w:val="16"/>
                </w:rPr>
                <w:fldChar w:fldCharType="end"/>
              </w:r>
            </w:sdtContent>
          </w:sdt>
        </w:p>
      </w:tc>
      <w:tc>
        <w:tcPr>
          <w:cnfStyle w:val="000000000000"/>
          <w:tcW w:w="4678" w:type="dxa"/>
        </w:tcPr>
        <w:p>
          <w:pPr>
            <w:cnfStyle w:val="000000000000"/>
            <w:pStyle w:val="Header"/>
            <w:spacing w:before="120"/>
            <w:ind w:right="21"/>
            <w:jc w:val="right"/>
            <w:rPr>
              <w:rFonts w:ascii="Poppins" w:hAnsi="Poppins" w:cs="Poppins"/>
              <w:color w:val="392388"/>
            </w:rPr>
          </w:pPr>
          <w:r>
            <w:drawing>
              <wp:inline>
                <wp:extent cx="914400" cy="19050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1"/>
                        <a:stretch>
                          <a:fillRect/>
                        </a:stretch>
                      </pic:blipFill>
                      <pic:spPr>
                        <a:xfrm>
                          <a:off x="0" y="0"/>
                          <a:ext cx="914400" cy="190500"/>
                        </a:xfrm>
                        <a:prstGeom prst="rect">
                          <a:avLst/>
                        </a:prstGeom>
                      </pic:spPr>
                    </pic:pic>
                  </a:graphicData>
                </a:graphic>
              </wp:inline>
            </w:drawing>
          </w:r>
        </w:p>
      </w:tc>
    </w:tr>
  </w:tbl>
  <w:p>
    <w:pPr>
      <w:pStyle w:val="Footer"/>
      <w:rPr>
        <w:rFonts w:ascii="Poppins" w:hAnsi="Poppins" w:cs="Poppins"/>
        <w:color w:val="39238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p>
    <w:pPr>
      <w:pStyle w:val="Header"/>
      <w:ind w:right="-422"/>
      <w:jc w:val="right"/>
    </w:pPr>
  </w:p>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p>
    <w:pPr>
      <w:pStyle w:val="Header"/>
      <w:ind w:right="-422"/>
      <w:jc w:val="right"/>
    </w:pPr>
  </w:p>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p>
    <w:pPr>
      <w:pStyle w:val="Header"/>
      <w:ind w:right="-422"/>
      <w:jc w:val="right"/>
    </w:pPr>
  </w:p>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p>
    <w:pPr>
      <w:pStyle w:val="Header"/>
      <w:ind w:right="-422"/>
      <w:jc w:val="right"/>
    </w:pPr>
    <w:bookmarkStart w:id="1" w:name="_Hlk75169875"/>
    <w:bookmarkStart w:id="2" w:name="_Hlk75169876"/>
    <w:bookmarkStart w:id="3" w:name="_Hlk75169879"/>
    <w:bookmarkStart w:id="4" w:name="_Hlk75169880"/>
  </w:p>
  <w:p>
    <w:pPr>
      <w:pStyle w:val="Header"/>
    </w:pPr>
    <w:bookmarkEnd w:id="1"/>
    <w:bookmarkEnd w:id="2"/>
    <w:bookmarkEnd w:id="3"/>
  </w:p>
  <w:bookmarkEnd w:id="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useFELayout xmlns:w="http://schemas.openxmlformats.org/wordprocessingml/2006/main"/>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1"/>
  </w:compat>
  <w:docVars>
    <w:docVar w:name="__Grammarly_42____i" w:val="H4sIAAAAAAAEAKtWckksSQxILCpxzi/NK1GyMqwFAAEhoTITAAAA"/>
    <w:docVar w:name="__Grammarly_42___1" w:val="H4sIAAAAAAAEAKtWcslP9kxRslIyNDYyMjQ0MTSwMDY2Nzc2NLVQ0lEKTi0uzszPAykwrgUAFgfppywAAAA="/>
  </w:docVars>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A86A8E"/>
    <w:rsid w:val="000036E6"/>
    <w:rsid w:val="00010E1C"/>
    <w:rsid w:val="000145C0"/>
    <w:rsid w:val="00021E72"/>
    <w:rsid w:val="00032586"/>
    <w:rsid w:val="000345E7"/>
    <w:rsid w:val="00035002"/>
    <w:rsid w:val="00035B6E"/>
    <w:rsid w:val="000376F0"/>
    <w:rsid w:val="000416B3"/>
    <w:rsid w:val="000467A0"/>
    <w:rsid w:val="000839B8"/>
    <w:rsid w:val="000A3FDE"/>
    <w:rsid w:val="000A5A01"/>
    <w:rsid w:val="000C162B"/>
    <w:rsid w:val="000C22EF"/>
    <w:rsid w:val="000F01DB"/>
    <w:rsid w:val="000F3101"/>
    <w:rsid w:val="001015C4"/>
    <w:rsid w:val="00103C4C"/>
    <w:rsid w:val="0011040F"/>
    <w:rsid w:val="001118D3"/>
    <w:rsid w:val="00111A73"/>
    <w:rsid w:val="00112156"/>
    <w:rsid w:val="001138B0"/>
    <w:rsid w:val="00114620"/>
    <w:rsid w:val="001169B6"/>
    <w:rsid w:val="00116C95"/>
    <w:rsid w:val="001174DA"/>
    <w:rsid w:val="00120A7B"/>
    <w:rsid w:val="00121D62"/>
    <w:rsid w:val="00122992"/>
    <w:rsid w:val="001234C9"/>
    <w:rsid w:val="00127A51"/>
    <w:rsid w:val="00144D8B"/>
    <w:rsid w:val="001473F3"/>
    <w:rsid w:val="00161448"/>
    <w:rsid w:val="001615AE"/>
    <w:rsid w:val="00175DA9"/>
    <w:rsid w:val="001954AC"/>
    <w:rsid w:val="001A3A29"/>
    <w:rsid w:val="001A4B81"/>
    <w:rsid w:val="001B2B26"/>
    <w:rsid w:val="001C124D"/>
    <w:rsid w:val="001C1304"/>
    <w:rsid w:val="001C4A54"/>
    <w:rsid w:val="001D61D7"/>
    <w:rsid w:val="001E1B10"/>
    <w:rsid w:val="001E2F17"/>
    <w:rsid w:val="001F2A1D"/>
    <w:rsid w:val="002017D0"/>
    <w:rsid w:val="002053E0"/>
    <w:rsid w:val="00213759"/>
    <w:rsid w:val="002153CD"/>
    <w:rsid w:val="00222DB3"/>
    <w:rsid w:val="00223A88"/>
    <w:rsid w:val="002318E6"/>
    <w:rsid w:val="002365A2"/>
    <w:rsid w:val="00240677"/>
    <w:rsid w:val="00251D4E"/>
    <w:rsid w:val="002565E6"/>
    <w:rsid w:val="0026386B"/>
    <w:rsid w:val="0026455E"/>
    <w:rsid w:val="00276059"/>
    <w:rsid w:val="00292C63"/>
    <w:rsid w:val="00296C0F"/>
    <w:rsid w:val="002A72A2"/>
    <w:rsid w:val="002B06CD"/>
    <w:rsid w:val="002B316B"/>
    <w:rsid w:val="002B46D2"/>
    <w:rsid w:val="002C3F50"/>
    <w:rsid w:val="002D1542"/>
    <w:rsid w:val="002D27B3"/>
    <w:rsid w:val="002D64A0"/>
    <w:rsid w:val="002D73BD"/>
    <w:rsid w:val="002E1116"/>
    <w:rsid w:val="002E32DD"/>
    <w:rsid w:val="002E3329"/>
    <w:rsid w:val="002E5A0F"/>
    <w:rsid w:val="002F0796"/>
    <w:rsid w:val="002F398E"/>
    <w:rsid w:val="003030FB"/>
    <w:rsid w:val="00305795"/>
    <w:rsid w:val="00316D3E"/>
    <w:rsid w:val="00316F09"/>
    <w:rsid w:val="003171EC"/>
    <w:rsid w:val="00326735"/>
    <w:rsid w:val="003323D0"/>
    <w:rsid w:val="0033317F"/>
    <w:rsid w:val="00344A17"/>
    <w:rsid w:val="00350DAB"/>
    <w:rsid w:val="00365B97"/>
    <w:rsid w:val="00373B5E"/>
    <w:rsid w:val="00374EA7"/>
    <w:rsid w:val="00382E1A"/>
    <w:rsid w:val="003870FA"/>
    <w:rsid w:val="003A2D7B"/>
    <w:rsid w:val="003A5509"/>
    <w:rsid w:val="003B0894"/>
    <w:rsid w:val="003B41CE"/>
    <w:rsid w:val="003B5630"/>
    <w:rsid w:val="003C7426"/>
    <w:rsid w:val="003D08EA"/>
    <w:rsid w:val="003D2594"/>
    <w:rsid w:val="003E2A77"/>
    <w:rsid w:val="003F0D32"/>
    <w:rsid w:val="003F2F53"/>
    <w:rsid w:val="00400A25"/>
    <w:rsid w:val="00400B80"/>
    <w:rsid w:val="004012DE"/>
    <w:rsid w:val="00405514"/>
    <w:rsid w:val="00424DF7"/>
    <w:rsid w:val="00424ED0"/>
    <w:rsid w:val="00425471"/>
    <w:rsid w:val="00430D46"/>
    <w:rsid w:val="004310E5"/>
    <w:rsid w:val="00433A7F"/>
    <w:rsid w:val="00435E7C"/>
    <w:rsid w:val="00437ACE"/>
    <w:rsid w:val="00450296"/>
    <w:rsid w:val="0045079D"/>
    <w:rsid w:val="00451C64"/>
    <w:rsid w:val="00452543"/>
    <w:rsid w:val="004525D3"/>
    <w:rsid w:val="0045275C"/>
    <w:rsid w:val="0046398B"/>
    <w:rsid w:val="004863A6"/>
    <w:rsid w:val="00491C23"/>
    <w:rsid w:val="004928F3"/>
    <w:rsid w:val="00493904"/>
    <w:rsid w:val="00494B80"/>
    <w:rsid w:val="004B21FB"/>
    <w:rsid w:val="004B30F0"/>
    <w:rsid w:val="004B7E8F"/>
    <w:rsid w:val="004C7638"/>
    <w:rsid w:val="004D3329"/>
    <w:rsid w:val="004E7FDD"/>
    <w:rsid w:val="004F1216"/>
    <w:rsid w:val="00502EBE"/>
    <w:rsid w:val="00505830"/>
    <w:rsid w:val="00505E33"/>
    <w:rsid w:val="00514806"/>
    <w:rsid w:val="00517F02"/>
    <w:rsid w:val="005206B4"/>
    <w:rsid w:val="00521D89"/>
    <w:rsid w:val="00522005"/>
    <w:rsid w:val="005229A2"/>
    <w:rsid w:val="005245A4"/>
    <w:rsid w:val="00530591"/>
    <w:rsid w:val="0053559E"/>
    <w:rsid w:val="005364B5"/>
    <w:rsid w:val="00544AB2"/>
    <w:rsid w:val="00564AAD"/>
    <w:rsid w:val="00564C2D"/>
    <w:rsid w:val="005740FE"/>
    <w:rsid w:val="00584DFB"/>
    <w:rsid w:val="00591C86"/>
    <w:rsid w:val="005A17C1"/>
    <w:rsid w:val="005B27FA"/>
    <w:rsid w:val="005B330E"/>
    <w:rsid w:val="005B636A"/>
    <w:rsid w:val="005C15C1"/>
    <w:rsid w:val="005C2D44"/>
    <w:rsid w:val="005D4DAD"/>
    <w:rsid w:val="005D52F2"/>
    <w:rsid w:val="005D74D8"/>
    <w:rsid w:val="005E08E5"/>
    <w:rsid w:val="005E79B7"/>
    <w:rsid w:val="005F0058"/>
    <w:rsid w:val="005F0BEE"/>
    <w:rsid w:val="005F4FD9"/>
    <w:rsid w:val="00602C43"/>
    <w:rsid w:val="006040A7"/>
    <w:rsid w:val="00612DEF"/>
    <w:rsid w:val="006223B8"/>
    <w:rsid w:val="0062384D"/>
    <w:rsid w:val="006251AE"/>
    <w:rsid w:val="00625E85"/>
    <w:rsid w:val="00633AF4"/>
    <w:rsid w:val="00635041"/>
    <w:rsid w:val="00635240"/>
    <w:rsid w:val="006372B6"/>
    <w:rsid w:val="00643F61"/>
    <w:rsid w:val="006454BA"/>
    <w:rsid w:val="00657C51"/>
    <w:rsid w:val="00657D32"/>
    <w:rsid w:val="00660C35"/>
    <w:rsid w:val="00661163"/>
    <w:rsid w:val="006658ED"/>
    <w:rsid w:val="00667BEC"/>
    <w:rsid w:val="00682FA9"/>
    <w:rsid w:val="00683E61"/>
    <w:rsid w:val="0068553D"/>
    <w:rsid w:val="0069449F"/>
    <w:rsid w:val="006A05A3"/>
    <w:rsid w:val="006A1853"/>
    <w:rsid w:val="006A385E"/>
    <w:rsid w:val="006B47E8"/>
    <w:rsid w:val="006C05D9"/>
    <w:rsid w:val="006C1A00"/>
    <w:rsid w:val="006C642C"/>
    <w:rsid w:val="006D2779"/>
    <w:rsid w:val="006F7E8E"/>
    <w:rsid w:val="007017D2"/>
    <w:rsid w:val="00701873"/>
    <w:rsid w:val="007033EC"/>
    <w:rsid w:val="007102F1"/>
    <w:rsid w:val="00710455"/>
    <w:rsid w:val="00722FB6"/>
    <w:rsid w:val="00725AD7"/>
    <w:rsid w:val="00737FA5"/>
    <w:rsid w:val="00753007"/>
    <w:rsid w:val="0076031B"/>
    <w:rsid w:val="0077163B"/>
    <w:rsid w:val="00782671"/>
    <w:rsid w:val="00783A56"/>
    <w:rsid w:val="007859E4"/>
    <w:rsid w:val="00787FD5"/>
    <w:rsid w:val="00791970"/>
    <w:rsid w:val="007B7265"/>
    <w:rsid w:val="007C6746"/>
    <w:rsid w:val="007D35C7"/>
    <w:rsid w:val="007E42FB"/>
    <w:rsid w:val="007F0705"/>
    <w:rsid w:val="00807BCE"/>
    <w:rsid w:val="00812649"/>
    <w:rsid w:val="00830CA7"/>
    <w:rsid w:val="008405E2"/>
    <w:rsid w:val="00853CD7"/>
    <w:rsid w:val="00854987"/>
    <w:rsid w:val="00867E8A"/>
    <w:rsid w:val="008743CB"/>
    <w:rsid w:val="00877092"/>
    <w:rsid w:val="00881EFA"/>
    <w:rsid w:val="00890EA2"/>
    <w:rsid w:val="00892BCF"/>
    <w:rsid w:val="0089324D"/>
    <w:rsid w:val="00896B6C"/>
    <w:rsid w:val="008B4640"/>
    <w:rsid w:val="008C779F"/>
    <w:rsid w:val="008E3352"/>
    <w:rsid w:val="008E774C"/>
    <w:rsid w:val="00911604"/>
    <w:rsid w:val="009121EF"/>
    <w:rsid w:val="00915282"/>
    <w:rsid w:val="00916D30"/>
    <w:rsid w:val="00935991"/>
    <w:rsid w:val="00937707"/>
    <w:rsid w:val="0094484E"/>
    <w:rsid w:val="00946F0E"/>
    <w:rsid w:val="00956DA6"/>
    <w:rsid w:val="00974B87"/>
    <w:rsid w:val="00976FE7"/>
    <w:rsid w:val="00984A56"/>
    <w:rsid w:val="00985798"/>
    <w:rsid w:val="0098735A"/>
    <w:rsid w:val="00995959"/>
    <w:rsid w:val="00996DC4"/>
    <w:rsid w:val="0099756A"/>
    <w:rsid w:val="009A48A9"/>
    <w:rsid w:val="009B2538"/>
    <w:rsid w:val="009B501D"/>
    <w:rsid w:val="009C23B8"/>
    <w:rsid w:val="009C2EDA"/>
    <w:rsid w:val="009C5F48"/>
    <w:rsid w:val="009C620E"/>
    <w:rsid w:val="009C674F"/>
    <w:rsid w:val="009C7A33"/>
    <w:rsid w:val="009F3CD9"/>
    <w:rsid w:val="009F7EB2"/>
    <w:rsid w:val="00A00CF2"/>
    <w:rsid w:val="00A00E76"/>
    <w:rsid w:val="00A02015"/>
    <w:rsid w:val="00A0202A"/>
    <w:rsid w:val="00A114A7"/>
    <w:rsid w:val="00A11B04"/>
    <w:rsid w:val="00A22192"/>
    <w:rsid w:val="00A24E6A"/>
    <w:rsid w:val="00A3030D"/>
    <w:rsid w:val="00A303DD"/>
    <w:rsid w:val="00A30908"/>
    <w:rsid w:val="00A34742"/>
    <w:rsid w:val="00A3579E"/>
    <w:rsid w:val="00A43080"/>
    <w:rsid w:val="00A44727"/>
    <w:rsid w:val="00A50114"/>
    <w:rsid w:val="00A546BD"/>
    <w:rsid w:val="00A555DE"/>
    <w:rsid w:val="00A625F6"/>
    <w:rsid w:val="00A646A9"/>
    <w:rsid w:val="00A82176"/>
    <w:rsid w:val="00A83109"/>
    <w:rsid w:val="00A86A8E"/>
    <w:rsid w:val="00AA0F49"/>
    <w:rsid w:val="00AA13A2"/>
    <w:rsid w:val="00AA19F8"/>
    <w:rsid w:val="00AB1F1F"/>
    <w:rsid w:val="00AB7113"/>
    <w:rsid w:val="00AC14A8"/>
    <w:rsid w:val="00AD169C"/>
    <w:rsid w:val="00AD177F"/>
    <w:rsid w:val="00AE1800"/>
    <w:rsid w:val="00AE625A"/>
    <w:rsid w:val="00AF1B8C"/>
    <w:rsid w:val="00AF44AC"/>
    <w:rsid w:val="00AF7B17"/>
    <w:rsid w:val="00B0530B"/>
    <w:rsid w:val="00B06F89"/>
    <w:rsid w:val="00B12F3A"/>
    <w:rsid w:val="00B17E1E"/>
    <w:rsid w:val="00B23100"/>
    <w:rsid w:val="00B23BF6"/>
    <w:rsid w:val="00B3436D"/>
    <w:rsid w:val="00B41167"/>
    <w:rsid w:val="00B4137C"/>
    <w:rsid w:val="00B55896"/>
    <w:rsid w:val="00B80862"/>
    <w:rsid w:val="00B81164"/>
    <w:rsid w:val="00B82AA5"/>
    <w:rsid w:val="00B85D3F"/>
    <w:rsid w:val="00B86378"/>
    <w:rsid w:val="00B90635"/>
    <w:rsid w:val="00B97124"/>
    <w:rsid w:val="00BB6308"/>
    <w:rsid w:val="00BC6903"/>
    <w:rsid w:val="00BD1E10"/>
    <w:rsid w:val="00BE17E8"/>
    <w:rsid w:val="00BE4475"/>
    <w:rsid w:val="00BF1A49"/>
    <w:rsid w:val="00BF401E"/>
    <w:rsid w:val="00BF484E"/>
    <w:rsid w:val="00C01B40"/>
    <w:rsid w:val="00C05186"/>
    <w:rsid w:val="00C275E3"/>
    <w:rsid w:val="00C31AB3"/>
    <w:rsid w:val="00C41C0E"/>
    <w:rsid w:val="00C43443"/>
    <w:rsid w:val="00C45701"/>
    <w:rsid w:val="00C475A7"/>
    <w:rsid w:val="00C50FD8"/>
    <w:rsid w:val="00C52FC1"/>
    <w:rsid w:val="00C605A8"/>
    <w:rsid w:val="00C63763"/>
    <w:rsid w:val="00C66711"/>
    <w:rsid w:val="00C72032"/>
    <w:rsid w:val="00C736FD"/>
    <w:rsid w:val="00C75A06"/>
    <w:rsid w:val="00C77362"/>
    <w:rsid w:val="00C94D10"/>
    <w:rsid w:val="00C96A1C"/>
    <w:rsid w:val="00C976A0"/>
    <w:rsid w:val="00CA01FA"/>
    <w:rsid w:val="00CA16AC"/>
    <w:rsid w:val="00CA2BDF"/>
    <w:rsid w:val="00CA46F3"/>
    <w:rsid w:val="00CC0224"/>
    <w:rsid w:val="00CD0230"/>
    <w:rsid w:val="00CD07CB"/>
    <w:rsid w:val="00CD2D25"/>
    <w:rsid w:val="00CD2DE3"/>
    <w:rsid w:val="00CE0B5D"/>
    <w:rsid w:val="00CE3938"/>
    <w:rsid w:val="00CE4B1D"/>
    <w:rsid w:val="00D13FD9"/>
    <w:rsid w:val="00D34195"/>
    <w:rsid w:val="00D377E5"/>
    <w:rsid w:val="00D45EFA"/>
    <w:rsid w:val="00D51D6E"/>
    <w:rsid w:val="00D5204A"/>
    <w:rsid w:val="00D60A00"/>
    <w:rsid w:val="00D60F53"/>
    <w:rsid w:val="00D71D6E"/>
    <w:rsid w:val="00D72BF9"/>
    <w:rsid w:val="00D803FE"/>
    <w:rsid w:val="00D947AF"/>
    <w:rsid w:val="00D95DD9"/>
    <w:rsid w:val="00DA1FD4"/>
    <w:rsid w:val="00DA4618"/>
    <w:rsid w:val="00DA46B0"/>
    <w:rsid w:val="00DA5444"/>
    <w:rsid w:val="00DB2DAC"/>
    <w:rsid w:val="00DC231A"/>
    <w:rsid w:val="00DD19E9"/>
    <w:rsid w:val="00DD6EF3"/>
    <w:rsid w:val="00DD75AF"/>
    <w:rsid w:val="00DE1BEA"/>
    <w:rsid w:val="00DE7D10"/>
    <w:rsid w:val="00DF0FBE"/>
    <w:rsid w:val="00DF3891"/>
    <w:rsid w:val="00E03979"/>
    <w:rsid w:val="00E1045D"/>
    <w:rsid w:val="00E20639"/>
    <w:rsid w:val="00E4277A"/>
    <w:rsid w:val="00E466F6"/>
    <w:rsid w:val="00E5219B"/>
    <w:rsid w:val="00E52AF8"/>
    <w:rsid w:val="00E57243"/>
    <w:rsid w:val="00E61621"/>
    <w:rsid w:val="00E6190E"/>
    <w:rsid w:val="00E71336"/>
    <w:rsid w:val="00E82C61"/>
    <w:rsid w:val="00E8460B"/>
    <w:rsid w:val="00E84749"/>
    <w:rsid w:val="00E90461"/>
    <w:rsid w:val="00E92D5D"/>
    <w:rsid w:val="00E94EC1"/>
    <w:rsid w:val="00E959C7"/>
    <w:rsid w:val="00E9624B"/>
    <w:rsid w:val="00EA2E0B"/>
    <w:rsid w:val="00EA3847"/>
    <w:rsid w:val="00EA7AEF"/>
    <w:rsid w:val="00EB0DF8"/>
    <w:rsid w:val="00EB414F"/>
    <w:rsid w:val="00EC614D"/>
    <w:rsid w:val="00ED1682"/>
    <w:rsid w:val="00EF0EA3"/>
    <w:rsid w:val="00EF39C8"/>
    <w:rsid w:val="00EF75E1"/>
    <w:rsid w:val="00F00893"/>
    <w:rsid w:val="00F05388"/>
    <w:rsid w:val="00F10122"/>
    <w:rsid w:val="00F2521D"/>
    <w:rsid w:val="00F40C34"/>
    <w:rsid w:val="00F4546D"/>
    <w:rsid w:val="00F5529D"/>
    <w:rsid w:val="00F55DC3"/>
    <w:rsid w:val="00F72701"/>
    <w:rsid w:val="00F73E76"/>
    <w:rsid w:val="00F7552D"/>
    <w:rsid w:val="00F7696E"/>
    <w:rsid w:val="00F84796"/>
    <w:rsid w:val="00F85505"/>
    <w:rsid w:val="00F91C6E"/>
    <w:rsid w:val="00F935B9"/>
    <w:rsid w:val="00F94A28"/>
    <w:rsid w:val="00F95968"/>
    <w:rsid w:val="00F97ED1"/>
    <w:rsid w:val="00FA7877"/>
    <w:rsid w:val="00FC1B23"/>
    <w:rsid w:val="00FC3EA7"/>
    <w:rsid w:val="00FD3570"/>
    <w:rsid w:val="00FD394D"/>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GB"/>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199E2F1A"/>
  <w15:docId xmlns:w15="http://schemas.microsoft.com/office/word/2012/wordml" w15:val="{97A142A4-2469-40E1-B68D-7C6764FE7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sz w:val="22"/>
        <w:szCs w:val="22"/>
        <w:lang w:val="en-GB" w:bidi="ar-SA" w:eastAsia="en-GB"/>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before="0" w:after="160"/>
    </w:pPr>
    <w:rPr>
      <w:rFonts w:ascii="Calibri" w:eastAsia="Calibri" w:hAnsi="Calibri" w:cs="Calibri"/>
    </w:rPr>
  </w:style>
  <w:style w:type="paragraph" w:styleId="Heading1">
    <w:name w:val="heading 1"/>
    <w:next w:val="Normal"/>
    <w:link w:val="Heading1Char"/>
    <w:uiPriority w:val="9"/>
    <w:unhideWhenUsed/>
    <w:qFormat/>
    <w:pPr>
      <w:keepNext/>
      <w:keepLines/>
      <w:spacing w:before="0" w:after="0"/>
      <w:ind w:left="25"/>
      <w:outlineLvl w:val="0"/>
    </w:pPr>
    <w:rPr>
      <w:rFonts w:ascii="Poppins SemiBold" w:eastAsia="Calibri" w:hAnsi="Poppins SemiBold" w:cs="Calibri"/>
      <w:b/>
      <w:bCs/>
      <w:color w:val="3B2B8C"/>
      <w:sz w:val="76"/>
      <w:szCs w:val="76"/>
    </w:rPr>
  </w:style>
  <w:style w:type="paragraph" w:styleId="Heading2">
    <w:name w:val="heading 2"/>
    <w:next w:val="Normal"/>
    <w:link w:val="Heading2Char"/>
    <w:uiPriority w:val="9"/>
    <w:unhideWhenUsed/>
    <w:qFormat/>
    <w:pPr>
      <w:keepNext/>
      <w:keepLines/>
      <w:spacing w:before="0" w:after="161"/>
      <w:ind w:left="2"/>
      <w:outlineLvl w:val="1"/>
    </w:pPr>
    <w:rPr>
      <w:rFonts w:ascii="Poppins" w:eastAsia="Calibri" w:hAnsi="Poppins" w:cs="Calibri"/>
      <w:color w:val="392388"/>
      <w:sz w:val="44"/>
      <w:szCs w:val="44"/>
    </w:rPr>
  </w:style>
  <w:style w:type="paragraph" w:styleId="Heading3">
    <w:name w:val="heading 3"/>
    <w:next w:val="Normal"/>
    <w:link w:val="Heading3Char"/>
    <w:uiPriority w:val="9"/>
    <w:unhideWhenUsed/>
    <w:qFormat/>
    <w:pPr>
      <w:keepNext/>
      <w:keepLines/>
      <w:spacing w:before="0" w:after="0"/>
      <w:ind w:left="17" w:hanging="10"/>
      <w:outlineLvl w:val="2"/>
    </w:pPr>
    <w:rPr>
      <w:rFonts w:ascii="Poppins" w:eastAsia="Calibri" w:hAnsi="Poppins" w:cs="Calibri"/>
      <w:b/>
      <w:bCs/>
      <w:color w:val="392388"/>
      <w:sz w:val="34"/>
      <w:szCs w:val="34"/>
    </w:rPr>
  </w:style>
  <w:style w:type="paragraph" w:styleId="Heading4">
    <w:name w:val="heading 4"/>
    <w:next w:val="Normal"/>
    <w:link w:val="Heading4Char"/>
    <w:uiPriority w:val="9"/>
    <w:unhideWhenUsed/>
    <w:qFormat/>
    <w:pPr>
      <w:keepNext/>
      <w:keepLines/>
      <w:spacing w:before="0" w:after="0" w:lineRule="auto" w:line="265"/>
      <w:ind w:left="10" w:hanging="10"/>
      <w:outlineLvl w:val="3"/>
    </w:pPr>
    <w:rPr>
      <w:rFonts w:ascii="Poppins" w:eastAsia="Calibri" w:hAnsi="Poppins" w:cs="Calibri"/>
      <w:b/>
      <w:bCs/>
      <w:color w:val="392388"/>
      <w:sz w:val="28"/>
      <w:szCs w:val="28"/>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Light" w:eastAsia="Calibri Light" w:hAnsi="Calibri Light"/>
      <w:color w:val="1C1D42"/>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style>
  <w:style w:type="character" w:styleId="Heading4Char">
    <w:name w:val="Heading 4 Char"/>
    <w:link w:val="Heading4"/>
    <w:uiPriority w:val="9"/>
    <w:rPr>
      <w:rFonts w:ascii="Poppins" w:eastAsia="Calibri" w:hAnsi="Poppins" w:cs="Calibri"/>
      <w:b/>
      <w:bCs/>
      <w:color w:val="392388"/>
      <w:sz w:val="28"/>
      <w:szCs w:val="28"/>
    </w:rPr>
  </w:style>
  <w:style w:type="character" w:styleId="Heading2Char">
    <w:name w:val="Heading 2 Char"/>
    <w:link w:val="Heading2"/>
    <w:uiPriority w:val="9"/>
    <w:rPr>
      <w:rFonts w:ascii="Poppins" w:eastAsia="Calibri" w:hAnsi="Poppins" w:cs="Calibri"/>
      <w:color w:val="392388"/>
      <w:sz w:val="44"/>
      <w:szCs w:val="44"/>
    </w:rPr>
  </w:style>
  <w:style w:type="character" w:styleId="Heading1Char">
    <w:name w:val="Heading 1 Char"/>
    <w:link w:val="Heading1"/>
    <w:uiPriority w:val="9"/>
    <w:rPr>
      <w:rFonts w:ascii="Poppins SemiBold" w:eastAsia="Calibri" w:hAnsi="Poppins SemiBold" w:cs="Calibri"/>
      <w:b/>
      <w:bCs/>
      <w:color w:val="3B2B8C"/>
      <w:sz w:val="76"/>
      <w:szCs w:val="76"/>
    </w:rPr>
  </w:style>
  <w:style w:type="character" w:styleId="Heading3Char">
    <w:name w:val="Heading 3 Char"/>
    <w:link w:val="Heading3"/>
    <w:uiPriority w:val="9"/>
    <w:rPr>
      <w:rFonts w:ascii="Poppins" w:eastAsia="Calibri" w:hAnsi="Poppins" w:cs="Calibri"/>
      <w:b/>
      <w:bCs/>
      <w:color w:val="392388"/>
      <w:sz w:val="34"/>
      <w:szCs w:val="34"/>
    </w:rPr>
  </w:style>
  <w:style w:type="table" w:styleId="CSRTable4">
    <w:name w:val="CSRTable4"/>
    <w:pPr>
      <w:spacing w:after="0" w:lineRule="auto" w:line="240"/>
      <w:contextualSpacing/>
    </w:pPr>
    <w:rPr>
      <w:sz w:val="20"/>
      <w:szCs w:val="20"/>
      <w:lang w:val="en-US" w:eastAsia="en-US"/>
    </w:rPr>
    <w:tblPr>
      <w:tblStyleRowBandSize w:val="1"/>
      <w:tblStyleColBandSize w:val="1"/>
      <w:tblCellMar>
        <w:top w:w="0" w:type="dxa"/>
        <w:left w:w="0" w:type="dxa"/>
        <w:bottom w:w="0" w:type="dxa"/>
        <w:right w:w="0" w:type="dxa"/>
      </w:tblCellMar>
    </w:tblPr>
    <w:trPr/>
    <w:tcPr/>
    <w:tblStylePr w:type="firstRow">
      <w:pPr/>
      <w:rPr/>
      <w:tblPr/>
      <w:trPr/>
      <w:tcPr>
        <w:tcBorders>
          <w:top w:val="nil"/>
          <w:left w:val="nil"/>
          <w:bottom w:val="single" w:sz="4" w:color="auto"/>
          <w:right w:val="nil"/>
          <w:insideH w:val="nil"/>
          <w:insideV w:val="nil"/>
        </w:tcBorders>
      </w:tcPr>
    </w:tblStylePr>
  </w:style>
  <w:style w:type="paragraph" w:styleId="Footer">
    <w:name w:val="footer"/>
    <w:basedOn w:val="Normal"/>
    <w:link w:val="FooterChar"/>
    <w:uiPriority w:val="99"/>
    <w:unhideWhenUsed/>
    <w:pPr>
      <w:tabs>
        <w:tab w:pos="4513" w:val="center"/>
        <w:tab w:pos="9026" w:val="right"/>
      </w:tabs>
      <w:spacing w:before="0" w:after="0" w:lineRule="auto" w:line="240"/>
    </w:pPr>
    <w:rPr/>
  </w:style>
  <w:style w:type="character" w:styleId="FooterChar">
    <w:name w:val="Footer Char"/>
    <w:basedOn w:val="DefaultParagraphFont"/>
    <w:link w:val="Footer"/>
    <w:uiPriority w:val="99"/>
    <w:rPr>
      <w:rFonts w:ascii="Calibri" w:eastAsia="Calibri" w:hAnsi="Calibri" w:cs="Calibri"/>
      <w:color w:val="000000"/>
    </w:rPr>
  </w:style>
  <w:style w:type="paragraph" w:styleId="Header">
    <w:name w:val="header"/>
    <w:basedOn w:val="Normal"/>
    <w:link w:val="HeaderChar"/>
    <w:uiPriority w:val="99"/>
    <w:unhideWhenUsed/>
    <w:pPr>
      <w:tabs>
        <w:tab w:pos="4513" w:val="center"/>
        <w:tab w:pos="9026" w:val="right"/>
      </w:tabs>
      <w:spacing w:before="0" w:after="0" w:lineRule="auto" w:line="240"/>
    </w:pPr>
    <w:rPr/>
  </w:style>
  <w:style w:type="character" w:styleId="HeaderChar">
    <w:name w:val="Header Char"/>
    <w:basedOn w:val="DefaultParagraphFont"/>
    <w:link w:val="Header"/>
    <w:uiPriority w:val="99"/>
    <w:rPr>
      <w:rFonts w:ascii="Calibri" w:eastAsia="Calibri" w:hAnsi="Calibri" w:cs="Calibri"/>
      <w:color w:val="000000"/>
    </w:rPr>
  </w:style>
  <w:style w:type="paragraph" w:styleId="DefaqtoBody">
    <w:name w:val="Defaqto Body"/>
    <w:basedOn w:val="Normal"/>
    <w:link w:val="DefaqtoBodyChar"/>
    <w:qFormat/>
    <w:pPr>
      <w:spacing w:before="160" w:after="320" w:lineRule="auto" w:line="240"/>
    </w:pPr>
    <w:rPr>
      <w:rFonts w:ascii="Poppins" w:eastAsia="Cambria" w:hAnsi="Poppins" w:cs="Times New Roman"/>
      <w:color w:val="392388"/>
      <w:lang w:eastAsia="en-US"/>
    </w:rPr>
  </w:style>
  <w:style w:type="character" w:styleId="DefaqtoBodyChar">
    <w:name w:val="Defaqto Body Char"/>
    <w:link w:val="DefaqtoBody"/>
    <w:rPr>
      <w:rFonts w:ascii="Poppins" w:eastAsia="Cambria" w:hAnsi="Poppins" w:cs="Times New Roman"/>
      <w:color w:val="392388"/>
      <w:lang w:eastAsia="en-US"/>
    </w:rPr>
  </w:style>
  <w:style w:type="paragraph" w:styleId="DefaqtoCallout">
    <w:name w:val="Defaqto Callout"/>
    <w:link w:val="DefaqtoCalloutChar"/>
    <w:qFormat/>
    <w:pPr>
      <w:spacing w:before="0" w:after="0" w:lineRule="auto" w:line="240"/>
    </w:pPr>
    <w:rPr>
      <w:rFonts w:ascii="Poppins" w:eastAsia="Cambria" w:hAnsi="Poppins" w:cs="Times New Roman"/>
      <w:color w:val="392388"/>
      <w:sz w:val="16"/>
      <w:szCs w:val="16"/>
      <w:lang w:val="en-NZ" w:eastAsia="en-US"/>
      <w:noProof/>
    </w:rPr>
  </w:style>
  <w:style w:type="character" w:styleId="DefaqtoCalloutChar">
    <w:name w:val="Defaqto Callout Char"/>
    <w:link w:val="DefaqtoCallout"/>
    <w:rPr>
      <w:rFonts w:ascii="Poppins" w:eastAsia="Cambria" w:hAnsi="Poppins" w:cs="Times New Roman"/>
      <w:color w:val="392388"/>
      <w:sz w:val="16"/>
      <w:szCs w:val="16"/>
      <w:lang w:val="en-NZ" w:eastAsia="en-US"/>
      <w:noProof/>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before="0" w:after="160" w:lineRule="auto" w:line="240"/>
    </w:pPr>
    <w:rPr>
      <w:sz w:val="20"/>
      <w:szCs w:val="20"/>
    </w:rPr>
  </w:style>
  <w:style w:type="character" w:styleId="CommentTextChar">
    <w:name w:val="Comment Text Char"/>
    <w:basedOn w:val="DefaultParagraphFont"/>
    <w:link w:val="CommentText"/>
    <w:uiPriority w:val="99"/>
    <w:semiHidden/>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pPr>
      <w:spacing w:before="0" w:after="160"/>
    </w:pPr>
    <w:rPr>
      <w:b/>
      <w:bCs/>
    </w:rPr>
  </w:style>
  <w:style w:type="character" w:styleId="CommentSubjectChar">
    <w:name w:val="Comment Subject Char"/>
    <w:basedOn w:val="CommentTextChar"/>
    <w:link w:val="CommentSubject"/>
    <w:uiPriority w:val="99"/>
    <w:semiHidden/>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pPr>
      <w:spacing w:before="0" w:after="0" w:lineRule="auto" w:line="240"/>
    </w:pPr>
    <w:rPr>
      <w:rFonts w:ascii="Segoe UI" w:hAnsi="Segoe UI" w:cs="Segoe UI"/>
      <w:sz w:val="18"/>
      <w:szCs w:val="18"/>
    </w:rPr>
  </w:style>
  <w:style w:type="character" w:styleId="BalloonTextChar">
    <w:name w:val="Balloon Text Char"/>
    <w:basedOn w:val="DefaultParagraphFont"/>
    <w:link w:val="BalloonText"/>
    <w:uiPriority w:val="99"/>
    <w:semiHidden/>
    <w:rPr>
      <w:rFonts w:ascii="Segoe UI" w:eastAsia="Calibri" w:hAnsi="Segoe UI" w:cs="Segoe UI"/>
      <w:color w:val="000000"/>
      <w:sz w:val="18"/>
      <w:szCs w:val="18"/>
    </w:rPr>
  </w:style>
  <w:style w:type="paragraph" w:styleId="NoSpacing">
    <w:name w:val="No Spacing"/>
    <w:uiPriority w:val="1"/>
    <w:qFormat/>
    <w:pPr>
      <w:spacing w:before="0" w:after="0" w:lineRule="auto" w:line="240"/>
    </w:pPr>
    <w:rPr>
      <w:rFonts w:eastAsia="Calibri"/>
      <w:lang w:eastAsia="en-US"/>
    </w:rPr>
  </w:style>
  <w:style w:type="table" w:styleId="TableGrid">
    <w:name w:val="Table Grid"/>
    <w:basedOn w:val="TableNormal"/>
    <w:uiPriority w:val="39"/>
    <w:pPr>
      <w:spacing w:after="0" w:lineRule="auto" w:line="240"/>
    </w:pPr>
    <w:rPr>
      <w:rFonts w:eastAsia="Calibri"/>
      <w:lang w:eastAsia="en-US"/>
    </w:rPr>
    <w:tblPr>
      <w:tblStyleRowBandSize w:val="1"/>
      <w:tblStyleColBandSize w:val="1"/>
      <w:tblBorders>
        <w:top w:val="single" w:sz="4" w:color="auto"/>
        <w:left w:val="single" w:sz="4" w:color="auto"/>
        <w:bottom w:val="single" w:sz="4" w:color="auto"/>
        <w:right w:val="single" w:sz="4" w:color="auto"/>
        <w:insideH w:val="single" w:sz="4" w:color="auto"/>
        <w:insideV w:val="single" w:sz="4" w:color="auto"/>
      </w:tblBorders>
    </w:tblPr>
    <w:trPr/>
    <w:tcPr/>
  </w:style>
  <w:style w:type="paragraph" w:styleId="ListParagraph">
    <w:name w:val="List Paragraph"/>
    <w:basedOn w:val="Normal"/>
    <w:uiPriority w:val="34"/>
    <w:qFormat/>
    <w:pPr>
      <w:spacing w:before="0" w:after="160"/>
      <w:ind w:left="720"/>
      <w:contextualSpacing/>
    </w:pPr>
    <w:rPr/>
  </w:style>
  <w:style w:type="paragraph" w:styleId="Revision">
    <w:name w:val="Revision"/>
    <w:uiPriority w:val="99"/>
    <w:semiHidden/>
    <w:pPr>
      <w:spacing w:before="0" w:after="0" w:lineRule="auto" w:line="240"/>
    </w:pPr>
    <w:rPr>
      <w:rFonts w:ascii="Calibri" w:eastAsia="Calibri" w:hAnsi="Calibri" w:cs="Calibri"/>
      <w:color w:val="000000"/>
    </w:rPr>
  </w:style>
  <w:style w:type="table" w:styleId="CSRTable1">
    <w:name w:val="CSRTable1"/>
    <w:basedOn w:val="TableNormal"/>
    <w:uiPriority w:val="99"/>
    <w:pPr>
      <w:spacing w:after="0" w:lineRule="auto" w:line="240"/>
      <w:jc w:val="right"/>
    </w:pPr>
    <w:rPr>
      <w:rFonts w:ascii="Calibri" w:eastAsia="Times New Roman" w:hAnsi="Calibri" w:cs="Times New Roman"/>
      <w:sz w:val="20"/>
      <w:szCs w:val="20"/>
      <w:lang w:eastAsia="en-US"/>
    </w:rPr>
    <w:tblPr>
      <w:tblStyleRowBandSize w:val="1"/>
      <w:tblStyleColBandSize w:val="1"/>
      <w:tblBorders>
        <w:top w:val="single" w:sz="4" w:color="auto"/>
        <w:left w:val="single" w:sz="4" w:color="auto"/>
        <w:bottom w:val="single" w:sz="4" w:color="auto"/>
        <w:right w:val="single" w:sz="4" w:color="auto"/>
        <w:insideH w:val="single" w:sz="4" w:color="auto"/>
        <w:insideV w:val="single" w:sz="4" w:color="auto"/>
      </w:tblBorders>
    </w:tblPr>
    <w:trPr/>
    <w:tcPr>
      <w:vAlign w:val="center"/>
    </w:tcPr>
    <w:tblStylePr w:type="firstCol">
      <w:pPr>
        <w:jc w:val="left"/>
      </w:pPr>
      <w:rPr/>
      <w:tblPr/>
      <w:trPr/>
      <w:tcPr/>
    </w:tblStylePr>
    <w:tblStylePr w:type="firstRow">
      <w:pPr/>
      <w:rPr>
        <w:rFonts w:ascii="Calibri" w:hAnsi="Calibri"/>
        <w:b w:val="false"/>
        <w:bCs w:val="false"/>
        <w:sz w:val="24"/>
        <w:szCs w:val="24"/>
      </w:rPr>
      <w:tblPr/>
      <w:trPr/>
      <w:tcPr>
        <w:shd w:val="clear" w:color="auto" w:fill="E7E6E6"/>
      </w:tcPr>
    </w:tblStylePr>
  </w:style>
  <w:style w:type="paragraph" w:styleId="DefaqtoTableBody">
    <w:name w:val="Defaqto Table Body"/>
    <w:link w:val="DefaqtoTableBodyChar"/>
    <w:qFormat/>
    <w:pPr>
      <w:spacing w:before="0" w:after="0" w:lineRule="auto" w:line="240"/>
    </w:pPr>
    <w:rPr>
      <w:rFonts w:ascii="Calibri" w:eastAsia="Times New Roman" w:hAnsi="Calibri" w:cs="Arial"/>
      <w:sz w:val="16"/>
      <w:szCs w:val="16"/>
      <w:lang w:val="en-US" w:eastAsia="en-US"/>
    </w:rPr>
  </w:style>
  <w:style w:type="paragraph" w:styleId="DefaqtoTableBody2">
    <w:name w:val="Defaqto Table Body 2"/>
    <w:basedOn w:val="DefaqtoTableBody"/>
    <w:link w:val="DefaqtoTableBody2Char"/>
    <w:qFormat/>
    <w:pPr>
      <w:spacing w:before="60" w:after="60"/>
    </w:pPr>
    <w:rPr>
      <w:rFonts w:ascii="Poppins" w:hAnsi="Poppins"/>
      <w:color w:val="392388"/>
    </w:rPr>
  </w:style>
  <w:style w:type="table" w:styleId="CSRTable2">
    <w:name w:val="CSRTable2"/>
    <w:basedOn w:val="TableNormal"/>
    <w:uiPriority w:val="99"/>
    <w:pPr>
      <w:spacing w:after="0" w:lineRule="auto" w:line="240"/>
      <w:jc w:val="center"/>
    </w:pPr>
    <w:rPr>
      <w:b/>
      <w:bCs/>
      <w:sz w:val="28"/>
      <w:szCs w:val="28"/>
    </w:rPr>
    <w:tblPr>
      <w:tblStyleRowBandSize w:val="1"/>
      <w:tblStyleColBandSize w:val="1"/>
      <w:tblCellMar>
        <w:top w:w="113" w:type="dxa"/>
        <w:bottom w:w="113" w:type="dxa"/>
      </w:tblCellMar>
    </w:tblPr>
    <w:trPr/>
    <w:tcPr>
      <w:shd w:val="clear" w:color="auto" w:fill="E7E6E6"/>
    </w:tcPr>
    <w:tblStylePr w:type="firstRow">
      <w:pPr/>
      <w:rPr/>
      <w:tblPr/>
      <w:trPr/>
      <w:tcPr>
        <w:tcMar>
          <w:top w:w="284" w:type="dxa"/>
        </w:tcMar>
      </w:tcPr>
    </w:tblStylePr>
    <w:tblStylePr w:type="lastRow">
      <w:pPr/>
      <w:rPr>
        <w:rFonts w:ascii="Calibri" w:hAnsi="Calibri"/>
        <w:b w:val="false"/>
        <w:bCs w:val="false"/>
        <w:sz w:val="22"/>
        <w:szCs w:val="22"/>
      </w:rPr>
      <w:tblPr/>
      <w:trPr/>
      <w:tcPr>
        <w:tcMar>
          <w:bottom w:w="284" w:type="dxa"/>
        </w:tcMar>
      </w:tcPr>
    </w:tblStylePr>
  </w:style>
  <w:style w:type="paragraph" w:styleId="SBParagraph">
    <w:name w:val="SB Paragraph"/>
    <w:basedOn w:val="Normal"/>
    <w:link w:val="SBParagraphChar"/>
    <w:qFormat/>
    <w:pPr>
      <w:spacing w:before="0" w:after="160"/>
    </w:pPr>
    <w:rPr>
      <w:rFonts w:cs="Times New Roman"/>
      <w:color w:val="7F7F7F"/>
      <w:sz w:val="24"/>
      <w:szCs w:val="24"/>
    </w:rPr>
  </w:style>
  <w:style w:type="paragraph" w:styleId="Normal-spacebefore">
    <w:name w:val="Normal-spacebefore"/>
    <w:basedOn w:val="SBParagraph"/>
    <w:link w:val="Normal-spacebeforeChar"/>
    <w:qFormat/>
    <w:pPr>
      <w:spacing w:before="160" w:after="0"/>
    </w:pPr>
    <w:rPr/>
  </w:style>
  <w:style w:type="character" w:styleId="SBParagraphChar">
    <w:name w:val="SB Paragraph Char"/>
    <w:basedOn w:val="DefaultParagraphFont"/>
    <w:link w:val="SBParagraph"/>
    <w:rPr>
      <w:rFonts w:ascii="Calibri" w:eastAsia="Calibri" w:hAnsi="Calibri" w:cs="Times New Roman"/>
      <w:color w:val="7F7F7F"/>
      <w:sz w:val="24"/>
      <w:szCs w:val="24"/>
    </w:rPr>
  </w:style>
  <w:style w:type="character" w:styleId="Normal-spacebeforeChar">
    <w:name w:val="Normal-spacebefore Char"/>
    <w:basedOn w:val="SBParagraphChar"/>
    <w:link w:val="Normal-spacebefore"/>
    <w:rPr>
      <w:rFonts w:ascii="Calibri" w:eastAsia="Calibri" w:hAnsi="Calibri" w:cs="Calibri"/>
      <w:color w:val="7F7F7F"/>
      <w:sz w:val="24"/>
      <w:szCs w:val="24"/>
    </w:rPr>
  </w:style>
  <w:style w:type="paragraph" w:styleId="RedWarningBox">
    <w:name w:val="RedWarningBox"/>
    <w:basedOn w:val="Normal"/>
    <w:link w:val="RedWarningBoxChar"/>
    <w:qFormat/>
    <w:pPr>
      <w:spacing w:before="0" w:after="160"/>
    </w:pPr>
    <w:rPr>
      <w:rFonts w:cs="Segoe UI Symbol"/>
      <w:bdr w:val="single" w:sz="4" w:color="FF0000"/>
    </w:rPr>
  </w:style>
  <w:style w:type="character" w:styleId="RedWarningBoxChar">
    <w:name w:val="RedWarningBox Char"/>
    <w:basedOn w:val="DefaultParagraphFont"/>
    <w:link w:val="RedWarningBox"/>
    <w:rPr>
      <w:rFonts w:ascii="Calibri" w:eastAsia="Calibri" w:hAnsi="Calibri" w:cs="Segoe UI Symbol"/>
      <w:bdr w:val="single" w:sz="4" w:color="FF0000"/>
    </w:rPr>
  </w:style>
  <w:style w:type="paragraph" w:styleId="CSRHeading4">
    <w:name w:val="CSRHeading4"/>
    <w:basedOn w:val="Heading4"/>
    <w:link w:val="CSRHeading4Char"/>
    <w:pPr>
      <w:spacing w:before="0" w:after="0"/>
    </w:pPr>
    <w:rPr>
      <w:rFonts w:ascii="Calibri Light" w:hAnsi="Calibri Light"/>
      <w:b w:val="false"/>
      <w:bCs w:val="false"/>
    </w:rPr>
  </w:style>
  <w:style w:type="character" w:styleId="CSRHeading4Char">
    <w:name w:val="CSRHeading4 Char"/>
    <w:basedOn w:val="Heading4Char"/>
    <w:link w:val="CSRHeading4"/>
    <w:rPr>
      <w:rFonts w:ascii="Calibri Light" w:eastAsia="Calibri" w:hAnsi="Calibri Light"/>
      <w:b w:val="false"/>
      <w:bCs w:val="false"/>
      <w:color w:val="005392"/>
      <w:sz w:val="28"/>
      <w:szCs w:val="28"/>
    </w:rPr>
  </w:style>
  <w:style w:type="paragraph" w:styleId="CSRTable3">
    <w:name w:val="CSRTable3"/>
    <w:basedOn w:val="Normal"/>
    <w:link w:val="CSRTable3Char"/>
    <w:qFormat/>
    <w:pPr>
      <w:spacing w:before="0" w:after="0" w:lineRule="auto" w:line="276"/>
    </w:pPr>
    <w:rPr>
      <w:b/>
      <w:bCs/>
      <w:sz w:val="16"/>
      <w:szCs w:val="16"/>
    </w:rPr>
  </w:style>
  <w:style w:type="character" w:styleId="CSRTable3Char">
    <w:name w:val="CSRTable3 Char"/>
    <w:basedOn w:val="DefaultParagraphFont"/>
    <w:link w:val="CSRTable3"/>
    <w:rPr>
      <w:rFonts w:ascii="Calibri" w:eastAsia="Calibri" w:hAnsi="Calibri" w:cs="Calibri"/>
      <w:b/>
      <w:bCs/>
      <w:sz w:val="16"/>
      <w:szCs w:val="16"/>
    </w:rPr>
  </w:style>
  <w:style w:type="table" w:styleId="TableGrid0">
    <w:name w:val="TableGrid"/>
    <w:pPr>
      <w:spacing w:after="0" w:lineRule="auto" w:line="240"/>
    </w:pPr>
    <w:rPr/>
    <w:tblPr>
      <w:tblStyleRowBandSize w:val="1"/>
      <w:tblStyleColBandSize w:val="1"/>
      <w:tblCellMar>
        <w:top w:w="0" w:type="dxa"/>
        <w:left w:w="0" w:type="dxa"/>
        <w:bottom w:w="0" w:type="dxa"/>
        <w:right w:w="0" w:type="dxa"/>
      </w:tblCellMar>
    </w:tblPr>
    <w:trPr/>
    <w:tcPr/>
  </w:style>
  <w:style w:type="table" w:styleId="CSRTable5">
    <w:name w:val="CSRTable5"/>
    <w:basedOn w:val="TableNormal"/>
    <w:uiPriority w:val="99"/>
    <w:pPr>
      <w:spacing w:before="40" w:after="40"/>
      <w:jc w:val="right"/>
    </w:pPr>
    <w:rPr>
      <w:sz w:val="20"/>
      <w:szCs w:val="20"/>
    </w:rPr>
    <w:tblPr>
      <w:tblStyleRowBandSize w:val="1"/>
      <w:tblStyleColBandSize w:val="1"/>
      <w:tblBorders>
        <w:top w:val="single" w:sz="4" w:color="auto"/>
        <w:left w:val="single" w:sz="4" w:color="auto"/>
        <w:bottom w:val="single" w:sz="4" w:color="auto"/>
        <w:right w:val="single" w:sz="4" w:color="auto"/>
        <w:insideH w:val="single" w:sz="4" w:color="auto"/>
        <w:insideV w:val="single" w:sz="4" w:color="auto"/>
      </w:tblBorders>
    </w:tblPr>
    <w:trPr/>
    <w:tcPr>
      <w:vAlign w:val="center"/>
    </w:tcPr>
    <w:tblStylePr w:type="firstCol">
      <w:pPr>
        <w:jc w:val="left"/>
      </w:pPr>
      <w:rPr/>
      <w:tblPr/>
      <w:trPr/>
      <w:tcPr/>
    </w:tblStylePr>
    <w:tblStylePr w:type="firstRow">
      <w:pPr>
        <w:jc w:val="center"/>
      </w:pPr>
      <w:rPr>
        <w:rFonts w:ascii="Calibri" w:hAnsi="Calibri"/>
        <w:b w:val="false"/>
        <w:bCs w:val="false"/>
        <w:sz w:val="24"/>
        <w:szCs w:val="24"/>
      </w:rPr>
      <w:tblPr/>
      <w:trPr/>
      <w:tcPr>
        <w:shd w:val="clear" w:color="auto" w:fill="E7E6E6"/>
      </w:tcPr>
    </w:tblStylePr>
    <w:tblStylePr w:type="lastRow">
      <w:pPr/>
      <w:rPr>
        <w:color w:val="F2F2F2"/>
      </w:rPr>
      <w:tblPr/>
      <w:trPr/>
      <w:tcPr>
        <w:shd w:val="clear" w:color="auto" w:fill="EE7203"/>
      </w:tcPr>
    </w:tblStylePr>
  </w:style>
  <w:style w:type="character" w:styleId="Strong">
    <w:name w:val="Strong"/>
    <w:basedOn w:val="DefaultParagraphFont"/>
    <w:uiPriority w:val="22"/>
    <w:qFormat/>
    <w:rPr>
      <w:b/>
      <w:bCs/>
    </w:rPr>
  </w:style>
  <w:style w:type="paragraph" w:styleId="DefaqtoStrong">
    <w:name w:val="Defaqto Strong"/>
    <w:basedOn w:val="Normal"/>
    <w:link w:val="DefaqtoStrongChar"/>
    <w:qFormat/>
    <w:pPr>
      <w:spacing w:before="0" w:after="160"/>
    </w:pPr>
    <w:rPr>
      <w:rFonts w:ascii="Poppins" w:hAnsi="Poppins"/>
      <w:b/>
      <w:bCs/>
      <w:sz w:val="20"/>
      <w:szCs w:val="20"/>
    </w:rPr>
  </w:style>
  <w:style w:type="character" w:styleId="DefaqtoStrongChar">
    <w:name w:val="Defaqto Strong Char"/>
    <w:basedOn w:val="DefaultParagraphFont"/>
    <w:link w:val="DefaqtoStrong"/>
    <w:rPr>
      <w:rFonts w:ascii="Poppins" w:eastAsia="Calibri" w:hAnsi="Poppins" w:cs="Calibri"/>
      <w:b/>
      <w:bCs/>
      <w:sz w:val="20"/>
      <w:szCs w:val="20"/>
    </w:rPr>
  </w:style>
  <w:style w:type="paragraph" w:styleId="DefaqtoHeading5">
    <w:name w:val="Defaqto Heading 5"/>
    <w:basedOn w:val="Normal"/>
    <w:link w:val="DefaqtoHeading5Char"/>
    <w:qFormat/>
    <w:pPr>
      <w:spacing w:before="0" w:after="160"/>
    </w:pPr>
    <w:rPr>
      <w:rFonts w:ascii="Poppins" w:hAnsi="Poppins"/>
      <w:color w:val="392388"/>
      <w:sz w:val="24"/>
      <w:szCs w:val="24"/>
    </w:rPr>
  </w:style>
  <w:style w:type="character" w:styleId="DefaqtoHeading5Char">
    <w:name w:val="Defaqto Heading 5 Char"/>
    <w:basedOn w:val="DefaultParagraphFont"/>
    <w:link w:val="DefaqtoHeading5"/>
    <w:rPr>
      <w:rFonts w:ascii="Poppins" w:eastAsia="Calibri" w:hAnsi="Poppins" w:cs="Calibri"/>
      <w:color w:val="392388"/>
      <w:sz w:val="24"/>
      <w:szCs w:val="24"/>
    </w:rPr>
  </w:style>
  <w:style w:type="character" w:styleId="Heading5Char">
    <w:name w:val="Heading 5 Char"/>
    <w:basedOn w:val="DefaultParagraphFont"/>
    <w:link w:val="Heading5"/>
    <w:uiPriority w:val="9"/>
    <w:semiHidden/>
    <w:rPr>
      <w:rFonts w:ascii="Calibri Light" w:eastAsia="Calibri Light" w:hAnsi="Calibri Light"/>
      <w:color w:val="1C1D42"/>
    </w:rPr>
  </w:style>
  <w:style w:type="paragraph" w:styleId="Defaqtobody0">
    <w:name w:val="Defaqto body"/>
    <w:basedOn w:val="Normal"/>
    <w:link w:val="DefaqtobodyChar0"/>
    <w:pPr/>
    <w:rPr>
      <w:rFonts w:ascii="Arial" w:eastAsia="Arial" w:hAnsi="Arial" w:cs="Times New Roman"/>
      <w:color w:val="808080"/>
      <w:sz w:val="24"/>
      <w:szCs w:val="24"/>
      <w:lang w:eastAsia="en-US"/>
    </w:rPr>
  </w:style>
  <w:style w:type="character" w:styleId="DefaqtobodyChar0">
    <w:name w:val="Defaqto body Char"/>
    <w:link w:val="Defaqtobody0"/>
    <w:rPr>
      <w:rFonts w:ascii="Arial" w:eastAsia="Arial" w:hAnsi="Arial" w:cs="Times New Roman"/>
      <w:color w:val="808080"/>
      <w:sz w:val="24"/>
      <w:szCs w:val="24"/>
      <w:lang w:eastAsia="en-US"/>
    </w:rPr>
  </w:style>
  <w:style w:type="paragraph" w:styleId="DefaqtoCoverPageLevel1">
    <w:name w:val="Defaqto Cover Page Level 1"/>
    <w:link w:val="DefaqtoCoverPageLevel1Char"/>
    <w:qFormat/>
    <w:pPr>
      <w:tabs>
        <w:tab w:pos="3210" w:val="left"/>
      </w:tabs>
      <w:spacing w:before="0" w:after="0" w:lineRule="auto" w:line="240"/>
    </w:pPr>
    <w:rPr>
      <w:rFonts w:ascii="TeXGyreAdventor" w:eastAsia="Cambria" w:hAnsi="TeXGyreAdventor" w:cs="Arial"/>
      <w:color w:val="FFFFFF"/>
      <w:sz w:val="48"/>
      <w:szCs w:val="48"/>
      <w:lang w:eastAsia="en-US"/>
    </w:rPr>
  </w:style>
  <w:style w:type="character" w:styleId="DefaqtoCoverPageLevel1Char">
    <w:name w:val="Defaqto Cover Page Level 1 Char"/>
    <w:link w:val="DefaqtoCoverPageLevel1"/>
    <w:rPr>
      <w:rFonts w:ascii="TeXGyreAdventor" w:eastAsia="Cambria" w:hAnsi="TeXGyreAdventor" w:cs="Arial"/>
      <w:color w:val="FFFFFF"/>
      <w:sz w:val="48"/>
      <w:szCs w:val="48"/>
      <w:lang w:eastAsia="en-US"/>
    </w:rPr>
  </w:style>
  <w:style w:type="paragraph" w:styleId="DefaqtoCoverPageLevel2">
    <w:name w:val="Defaqto Cover Page Level 2"/>
    <w:basedOn w:val="DefaqtoCoverPageLevel1"/>
    <w:link w:val="DefaqtoCoverPageLevel2Char"/>
    <w:qFormat/>
    <w:pPr>
      <w:spacing w:before="0" w:after="0"/>
      <w:ind w:left="720"/>
    </w:pPr>
    <w:rPr>
      <w:sz w:val="32"/>
      <w:szCs w:val="32"/>
    </w:rPr>
  </w:style>
  <w:style w:type="character" w:styleId="DefaqtoCoverPageLevel2Char">
    <w:name w:val="Defaqto Cover Page Level 2 Char"/>
    <w:link w:val="DefaqtoCoverPageLevel2"/>
    <w:rPr>
      <w:rFonts w:ascii="TeXGyreAdventor" w:eastAsia="Cambria" w:hAnsi="TeXGyreAdventor" w:cs="Arial"/>
      <w:color w:val="FFFFFF"/>
      <w:sz w:val="32"/>
      <w:szCs w:val="32"/>
      <w:lang w:eastAsia="en-US"/>
    </w:rPr>
  </w:style>
  <w:style w:type="paragraph" w:styleId="DefaqtoHeading2">
    <w:name w:val="Defaqto Heading 2"/>
    <w:basedOn w:val="Heading2"/>
    <w:next w:val="DefaqtoBody"/>
    <w:link w:val="DefaqtoHeading2Char"/>
    <w:qFormat/>
    <w:pPr>
      <w:spacing w:before="120" w:after="320"/>
      <w:ind w:left="0"/>
    </w:pPr>
    <w:rPr>
      <w:rFonts w:ascii="Poppins SemiBold" w:eastAsia="Cambria" w:hAnsi="Poppins SemiBold" w:cs="Times New Roman"/>
      <w:sz w:val="32"/>
      <w:szCs w:val="32"/>
      <w:lang w:eastAsia="en-US"/>
    </w:rPr>
  </w:style>
  <w:style w:type="paragraph" w:styleId="DefaqtoHeading2-noTOC">
    <w:name w:val="Defaqto Heading 2 - no TOC"/>
    <w:basedOn w:val="DefaqtoHeading2"/>
    <w:link w:val="DefaqtoHeading2-noTOCChar"/>
    <w:qFormat/>
    <w:pPr>
      <w:spacing w:before="120" w:after="320"/>
      <w:outlineLvl w:val="9"/>
    </w:pPr>
    <w:rPr/>
  </w:style>
  <w:style w:type="character" w:styleId="DefaqtoHeading2-noTOCChar">
    <w:name w:val="Defaqto Heading 2 - no TOC Char"/>
    <w:link w:val="DefaqtoHeading2-noTOC"/>
    <w:rPr>
      <w:rFonts w:ascii="Calibri Light" w:eastAsia="Cambria" w:hAnsi="Calibri Light" w:cs="Times New Roman"/>
      <w:b/>
      <w:bCs/>
      <w:color w:val="252758"/>
      <w:sz w:val="28"/>
      <w:szCs w:val="28"/>
      <w:lang w:eastAsia="en-US"/>
    </w:rPr>
  </w:style>
  <w:style w:type="paragraph" w:styleId="DefaqtoHeading3">
    <w:name w:val="Defaqto Heading 3"/>
    <w:basedOn w:val="Heading2"/>
    <w:next w:val="DefaqtoBody"/>
    <w:link w:val="DefaqtoHeading3Char"/>
    <w:qFormat/>
    <w:pPr>
      <w:spacing w:before="0" w:after="320"/>
      <w:ind w:left="0"/>
      <w:outlineLvl w:val="2"/>
    </w:pPr>
    <w:rPr>
      <w:rFonts w:ascii="Poppins SemiBold" w:hAnsi="Poppins SemiBold"/>
      <w:sz w:val="22"/>
      <w:szCs w:val="22"/>
      <w:lang w:val="en-NZ"/>
    </w:rPr>
  </w:style>
  <w:style w:type="paragraph" w:styleId="DefaqtoHeading3-noTOC">
    <w:name w:val="Defaqto Heading 3 - no TOC"/>
    <w:basedOn w:val="DefaqtoHeading3"/>
    <w:link w:val="DefaqtoHeading3-noTOCChar"/>
    <w:qFormat/>
    <w:pPr>
      <w:spacing w:before="0" w:after="320"/>
      <w:outlineLvl w:val="9"/>
    </w:pPr>
    <w:rPr/>
  </w:style>
  <w:style w:type="character" w:styleId="DefaqtoHeading3-noTOCChar">
    <w:name w:val="Defaqto Heading 3 - no TOC Char"/>
    <w:link w:val="DefaqtoHeading3-noTOC"/>
    <w:rPr>
      <w:rFonts w:ascii="Calibri Light" w:eastAsia="Cambria" w:hAnsi="Calibri Light" w:cs="Times New Roman"/>
      <w:b/>
      <w:bCs/>
      <w:color w:val="252758"/>
      <w:sz w:val="24"/>
      <w:szCs w:val="24"/>
      <w:lang w:val="en-NZ" w:eastAsia="en-US"/>
    </w:rPr>
  </w:style>
  <w:style w:type="paragraph" w:styleId="DefaqtoIntroText">
    <w:name w:val="Defaqto Intro Text"/>
    <w:basedOn w:val="Heading2"/>
    <w:link w:val="DefaqtoIntroTextChar"/>
    <w:qFormat/>
    <w:pPr>
      <w:spacing w:before="400" w:after="360"/>
      <w:ind w:left="0"/>
      <w:outlineLvl w:val="9"/>
    </w:pPr>
    <w:rPr>
      <w:rFonts w:eastAsia="MS Gothic" w:cs="Times New Roman"/>
      <w:sz w:val="32"/>
      <w:szCs w:val="32"/>
      <w:lang w:eastAsia="en-US"/>
    </w:rPr>
  </w:style>
  <w:style w:type="character" w:styleId="DefaqtoIntroTextChar">
    <w:name w:val="Defaqto Intro Text Char"/>
    <w:link w:val="DefaqtoIntroText"/>
    <w:rPr>
      <w:rFonts w:ascii="Poppins" w:eastAsia="MS Gothic" w:hAnsi="Poppins" w:cs="Times New Roman"/>
      <w:color w:val="392388"/>
      <w:sz w:val="32"/>
      <w:szCs w:val="32"/>
      <w:lang w:eastAsia="en-US"/>
    </w:rPr>
  </w:style>
  <w:style w:type="paragraph" w:styleId="DefaqtoIntrotext0">
    <w:name w:val="Defaqto Intro text"/>
    <w:basedOn w:val="Heading2"/>
    <w:link w:val="DefaqtoIntrotextChar0"/>
    <w:pPr>
      <w:spacing w:before="400" w:after="360"/>
      <w:ind w:left="0"/>
      <w:outlineLvl w:val="9"/>
    </w:pPr>
    <w:rPr>
      <w:rFonts w:ascii="Arial" w:eastAsia="MS Gothic" w:hAnsi="Arial" w:cs="Times New Roman"/>
      <w:color w:val="00538F"/>
      <w:sz w:val="32"/>
      <w:szCs w:val="32"/>
      <w:lang w:eastAsia="en-US"/>
    </w:rPr>
  </w:style>
  <w:style w:type="character" w:styleId="DefaqtoIntrotextChar0">
    <w:name w:val="Defaqto Intro text Char"/>
    <w:link w:val="DefaqtoIntrotext0"/>
    <w:rPr>
      <w:rFonts w:ascii="Arial" w:eastAsia="MS Gothic" w:hAnsi="Arial" w:cs="Times New Roman"/>
      <w:color w:val="00538F"/>
      <w:sz w:val="32"/>
      <w:szCs w:val="32"/>
      <w:lang w:eastAsia="en-US"/>
    </w:rPr>
  </w:style>
  <w:style w:type="paragraph" w:styleId="DefaqtoLevel2">
    <w:name w:val="Defaqto Level 2"/>
    <w:basedOn w:val="Heading2"/>
    <w:link w:val="DefaqtoLevel2Char"/>
    <w:qFormat/>
    <w:pPr>
      <w:spacing w:before="240" w:after="240"/>
      <w:ind w:left="0"/>
    </w:pPr>
    <w:rPr>
      <w:rFonts w:ascii="Arial" w:eastAsia="MS Gothic" w:hAnsi="Arial" w:cs="Times New Roman"/>
      <w:b/>
      <w:bCs/>
      <w:color w:val="003479"/>
      <w:sz w:val="28"/>
      <w:szCs w:val="28"/>
      <w:lang w:eastAsia="en-US"/>
    </w:rPr>
  </w:style>
  <w:style w:type="character" w:styleId="DefaqtoLevel2Char">
    <w:name w:val="Defaqto Level 2 Char"/>
    <w:link w:val="DefaqtoLevel2"/>
    <w:rPr>
      <w:rFonts w:ascii="Arial" w:eastAsia="MS Gothic" w:hAnsi="Arial" w:cs="Times New Roman"/>
      <w:b/>
      <w:bCs/>
      <w:color w:val="003479"/>
      <w:sz w:val="28"/>
      <w:szCs w:val="28"/>
      <w:lang w:eastAsia="en-US"/>
    </w:rPr>
  </w:style>
  <w:style w:type="paragraph" w:styleId="Defaqtosmallprint">
    <w:name w:val="Defaqto smallprint"/>
    <w:basedOn w:val="Normal"/>
    <w:link w:val="DefaqtosmallprintChar"/>
    <w:qFormat/>
    <w:pPr>
      <w:keepNext/>
      <w:keepLines/>
      <w:spacing w:before="240" w:after="240"/>
    </w:pPr>
    <w:rPr>
      <w:rFonts w:ascii="Poppins" w:eastAsia="MS Gothic" w:hAnsi="Poppins" w:cs="Times New Roman"/>
      <w:color w:val="392388"/>
      <w:sz w:val="16"/>
      <w:szCs w:val="16"/>
      <w:lang w:eastAsia="en-US"/>
    </w:rPr>
  </w:style>
  <w:style w:type="character" w:styleId="DefaqtosmallprintChar">
    <w:name w:val="Defaqto smallprint Char"/>
    <w:link w:val="Defaqtosmallprint"/>
    <w:rPr>
      <w:rFonts w:ascii="Poppins" w:eastAsia="MS Gothic" w:hAnsi="Poppins" w:cs="Times New Roman"/>
      <w:color w:val="392388"/>
      <w:sz w:val="16"/>
      <w:szCs w:val="16"/>
      <w:lang w:eastAsia="en-US"/>
    </w:rPr>
  </w:style>
  <w:style w:type="paragraph" w:styleId="DefaqtoStyle">
    <w:name w:val="Defaqto Style"/>
    <w:basedOn w:val="Normal"/>
    <w:link w:val="DefaqtoStyleChar"/>
    <w:qFormat/>
    <w:pPr>
      <w:tabs>
        <w:tab w:pos="4513" w:val="center"/>
        <w:tab w:pos="9026" w:val="right"/>
      </w:tabs>
      <w:suppressAutoHyphens/>
      <w:spacing w:before="0" w:after="0" w:lineRule="auto" w:line="276"/>
      <w:ind w:right="1372"/>
    </w:pPr>
    <w:rPr>
      <w:rFonts w:ascii="Arial" w:eastAsia="Cambria" w:hAnsi="Arial" w:cs="Times New Roman"/>
      <w:color w:val="003479"/>
      <w:sz w:val="20"/>
      <w:szCs w:val="20"/>
      <w:lang w:eastAsia="en-US"/>
    </w:rPr>
  </w:style>
  <w:style w:type="character" w:styleId="DefaqtoStyleChar">
    <w:name w:val="Defaqto Style Char"/>
    <w:link w:val="DefaqtoStyle"/>
    <w:rPr>
      <w:rFonts w:ascii="Arial" w:eastAsia="Cambria" w:hAnsi="Arial" w:cs="Times New Roman"/>
      <w:color w:val="003479"/>
      <w:sz w:val="20"/>
      <w:szCs w:val="20"/>
      <w:lang w:eastAsia="en-US"/>
    </w:rPr>
  </w:style>
  <w:style w:type="table" w:styleId="DefaqtoTable">
    <w:name w:val="Defaqto Table"/>
    <w:basedOn w:val="TableNormal"/>
    <w:uiPriority w:val="99"/>
    <w:pPr>
      <w:spacing w:after="0" w:lineRule="auto" w:line="240"/>
    </w:pPr>
    <w:rPr>
      <w:rFonts w:ascii="Poppins" w:eastAsia="Times New Roman" w:hAnsi="Poppins" w:cs="Times New Roman"/>
      <w:lang w:eastAsia="en-US"/>
    </w:rPr>
    <w:tblPr>
      <w:tblStyleRowBandSize w:val="1"/>
      <w:tblStyleColBandSize w:val="1"/>
      <w:tblBorders>
        <w:top w:val="single" w:sz="4" w:color="B0A7CF"/>
        <w:left w:val="single" w:sz="4" w:color="B0A7CF"/>
        <w:bottom w:val="single" w:sz="4" w:color="B0A7CF"/>
        <w:right w:val="single" w:sz="4" w:color="B0A7CF"/>
        <w:insideH w:val="single" w:sz="4" w:color="B0A7CF"/>
        <w:insideV w:val="single" w:sz="4" w:color="B0A7CF"/>
      </w:tblBorders>
    </w:tblPr>
    <w:trPr/>
    <w:tcPr>
      <w:vAlign w:val="center"/>
    </w:tcPr>
    <w:tblStylePr w:type="band1Horz">
      <w:pPr/>
      <w:rPr>
        <w:rFonts w:ascii="Poppins" w:hAnsi="Poppins"/>
        <w:color w:val="392388"/>
        <w:sz w:val="22"/>
        <w:szCs w:val="22"/>
      </w:rPr>
      <w:tblPr/>
      <w:trPr/>
      <w:tcPr>
        <w:shd w:val="clear" w:color="auto" w:fill="FFFFFF"/>
      </w:tcPr>
    </w:tblStylePr>
    <w:tblStylePr w:type="band2Horz">
      <w:pPr/>
      <w:rPr>
        <w:rFonts w:ascii="Poppins" w:hAnsi="Poppins"/>
        <w:color w:val="392388"/>
        <w:sz w:val="22"/>
        <w:szCs w:val="22"/>
      </w:rPr>
      <w:tblPr/>
      <w:trPr/>
      <w:tcPr>
        <w:shd w:val="clear" w:color="auto" w:fill="EFEAFB"/>
      </w:tcPr>
    </w:tblStylePr>
    <w:tblStylePr w:type="firstCol">
      <w:pPr>
        <w:jc w:val="left"/>
      </w:pPr>
      <w:rPr/>
      <w:tblPr/>
      <w:trPr/>
      <w:tcPr/>
    </w:tblStylePr>
    <w:tblStylePr w:type="firstRow">
      <w:pPr/>
      <w:rPr>
        <w:rFonts w:ascii="Poppins SemiBold" w:hAnsi="Poppins SemiBold"/>
        <w:b/>
        <w:bCs/>
        <w:color w:val="392388"/>
        <w:sz w:val="22"/>
        <w:szCs w:val="22"/>
      </w:rPr>
      <w:tblPr/>
      <w:trPr/>
      <w:tcPr>
        <w:tcBorders>
          <w:bottom w:val="single" w:sz="18" w:color="614FA0"/>
        </w:tcBorders>
        <w:shd w:val="clear" w:color="auto" w:fill="FFFFFF"/>
      </w:tcPr>
    </w:tblStylePr>
  </w:style>
  <w:style w:type="character" w:styleId="DefaqtoTableBody2Char">
    <w:name w:val="Defaqto Table Body 2 Char"/>
    <w:link w:val="DefaqtoTableBody2"/>
    <w:rPr>
      <w:rFonts w:ascii="Poppins" w:eastAsia="Times New Roman" w:hAnsi="Poppins" w:cs="Arial"/>
      <w:color w:val="392388"/>
      <w:sz w:val="16"/>
      <w:szCs w:val="16"/>
      <w:lang w:val="en-US" w:eastAsia="en-US"/>
    </w:rPr>
  </w:style>
  <w:style w:type="paragraph" w:styleId="DefaqtoHeading1">
    <w:name w:val="Defaqto Heading 1"/>
    <w:basedOn w:val="Heading1"/>
    <w:next w:val="DefaqtoBody"/>
    <w:link w:val="DefaqtoHeading1Char"/>
    <w:qFormat/>
    <w:pPr>
      <w:spacing w:before="120" w:after="320"/>
      <w:ind w:left="0"/>
    </w:pPr>
    <w:rPr>
      <w:rFonts w:cs="Times New Roman"/>
      <w:b w:val="false"/>
      <w:bCs w:val="false"/>
      <w:sz w:val="48"/>
      <w:szCs w:val="48"/>
      <w:lang w:eastAsia="en-US"/>
    </w:rPr>
  </w:style>
  <w:style w:type="paragraph" w:styleId="DefaqtoContentspageheading">
    <w:name w:val="Defaqto Contents page heading"/>
    <w:basedOn w:val="DefaqtoHeading1"/>
    <w:qFormat/>
    <w:pPr>
      <w:spacing w:before="120" w:after="320"/>
      <w:outlineLvl w:val="9"/>
    </w:pPr>
    <w:rPr/>
  </w:style>
  <w:style w:type="paragraph" w:styleId="DefaqtoCoverHeading-noTOC">
    <w:name w:val="Defaqto Cover Heading - no TOC"/>
    <w:basedOn w:val="Heading1"/>
    <w:qFormat/>
    <w:pPr>
      <w:spacing w:before="0" w:after="0"/>
      <w:ind w:left="23"/>
      <w:outlineLvl w:val="9"/>
    </w:pPr>
    <w:rPr>
      <w:sz w:val="64"/>
      <w:szCs w:val="64"/>
    </w:rPr>
  </w:style>
  <w:style w:type="paragraph" w:styleId="DefaqtoBodyAfterHeading">
    <w:name w:val="Defaqto Body After Heading"/>
    <w:basedOn w:val="DefaqtoBody"/>
    <w:link w:val="DefaqtoBodyAfterHeadingChar"/>
    <w:qFormat/>
    <w:pPr>
      <w:spacing w:before="0" w:after="320"/>
    </w:pPr>
    <w:rPr/>
  </w:style>
  <w:style w:type="character" w:styleId="DefaqtoBodyAfterHeadingChar">
    <w:name w:val="Defaqto Body After Heading Char"/>
    <w:basedOn w:val="DefaqtoBodyChar"/>
    <w:link w:val="DefaqtoBodyAfterHeading"/>
    <w:rPr>
      <w:rFonts w:ascii="Calibri" w:eastAsia="Cambria" w:hAnsi="Calibri" w:cs="Times New Roman"/>
      <w:color w:val="7F7F7F"/>
      <w:sz w:val="24"/>
      <w:szCs w:val="24"/>
      <w:lang w:eastAsia="en-US"/>
    </w:rPr>
  </w:style>
  <w:style w:type="paragraph" w:styleId="DefaqtoBodyHeading">
    <w:name w:val="Defaqto Body Heading"/>
    <w:basedOn w:val="DefaqtoIntroText"/>
    <w:link w:val="DefaqtoBodyHeadingChar"/>
    <w:qFormat/>
    <w:pPr>
      <w:spacing w:before="100" w:beforeAutospacing="false" w:after="0"/>
      <w:contextualSpacing/>
    </w:pPr>
    <w:rPr>
      <w:rFonts w:eastAsia="Cambria"/>
      <w:b/>
      <w:bCs/>
      <w:color w:val="7F7F7F"/>
      <w:sz w:val="24"/>
      <w:szCs w:val="24"/>
    </w:rPr>
  </w:style>
  <w:style w:type="character" w:styleId="DefaqtoBodyHeadingChar">
    <w:name w:val="Defaqto Body Heading Char"/>
    <w:basedOn w:val="DefaqtoIntroTextChar"/>
    <w:link w:val="DefaqtoBodyHeading"/>
    <w:rPr>
      <w:rFonts w:ascii="Calibri" w:eastAsia="Cambria" w:hAnsi="Calibri" w:cs="Times New Roman"/>
      <w:b/>
      <w:bCs/>
      <w:color w:val="7F7F7F"/>
      <w:sz w:val="24"/>
      <w:szCs w:val="24"/>
      <w:lang w:eastAsia="en-US"/>
    </w:rPr>
  </w:style>
  <w:style w:type="paragraph" w:styleId="TOC5">
    <w:name w:val="toc 5"/>
    <w:basedOn w:val="Normal"/>
    <w:next w:val="Normal"/>
    <w:uiPriority w:val="39"/>
    <w:unhideWhenUsed/>
    <w:pPr>
      <w:suppressAutoHyphens/>
      <w:spacing w:before="0" w:after="0" w:lineRule="auto" w:line="276"/>
      <w:ind w:left="800"/>
    </w:pPr>
    <w:rPr>
      <w:rFonts w:ascii="Poppins" w:eastAsia="Cambria" w:hAnsi="Poppins" w:cs="Arial"/>
      <w:color w:val="392388"/>
      <w:sz w:val="18"/>
      <w:szCs w:val="18"/>
      <w:lang w:eastAsia="en-US"/>
    </w:rPr>
  </w:style>
  <w:style w:type="paragraph" w:styleId="TOC6">
    <w:name w:val="toc 6"/>
    <w:basedOn w:val="Normal"/>
    <w:next w:val="Normal"/>
    <w:uiPriority w:val="39"/>
    <w:unhideWhenUsed/>
    <w:pPr>
      <w:suppressAutoHyphens/>
      <w:spacing w:before="0" w:after="0" w:lineRule="auto" w:line="276"/>
      <w:ind w:left="1000"/>
    </w:pPr>
    <w:rPr>
      <w:rFonts w:ascii="Poppins" w:eastAsia="Cambria" w:hAnsi="Poppins" w:cs="Arial"/>
      <w:color w:val="392388"/>
      <w:sz w:val="18"/>
      <w:szCs w:val="18"/>
      <w:lang w:eastAsia="en-US"/>
    </w:rPr>
  </w:style>
  <w:style w:type="paragraph" w:styleId="TOC7">
    <w:name w:val="toc 7"/>
    <w:basedOn w:val="Normal"/>
    <w:next w:val="Normal"/>
    <w:uiPriority w:val="39"/>
    <w:unhideWhenUsed/>
    <w:pPr>
      <w:suppressAutoHyphens/>
      <w:spacing w:before="0" w:after="0" w:lineRule="auto" w:line="276"/>
      <w:ind w:left="1200"/>
    </w:pPr>
    <w:rPr>
      <w:rFonts w:ascii="Poppins" w:eastAsia="Cambria" w:hAnsi="Poppins" w:cs="Arial"/>
      <w:color w:val="392388"/>
      <w:sz w:val="18"/>
      <w:szCs w:val="18"/>
      <w:lang w:eastAsia="en-US"/>
    </w:rPr>
  </w:style>
  <w:style w:type="paragraph" w:styleId="TOC8">
    <w:name w:val="toc 8"/>
    <w:basedOn w:val="Normal"/>
    <w:next w:val="Normal"/>
    <w:uiPriority w:val="39"/>
    <w:unhideWhenUsed/>
    <w:pPr>
      <w:suppressAutoHyphens/>
      <w:spacing w:before="0" w:after="0" w:lineRule="auto" w:line="276"/>
      <w:ind w:left="1400"/>
    </w:pPr>
    <w:rPr>
      <w:rFonts w:ascii="Poppins" w:eastAsia="Cambria" w:hAnsi="Poppins" w:cs="Arial"/>
      <w:color w:val="392388"/>
      <w:sz w:val="18"/>
      <w:szCs w:val="18"/>
      <w:lang w:eastAsia="en-US"/>
    </w:rPr>
  </w:style>
  <w:style w:type="paragraph" w:styleId="TOC9">
    <w:name w:val="toc 9"/>
    <w:basedOn w:val="Normal"/>
    <w:next w:val="Normal"/>
    <w:uiPriority w:val="39"/>
    <w:unhideWhenUsed/>
    <w:pPr>
      <w:suppressAutoHyphens/>
      <w:spacing w:before="0" w:after="0" w:lineRule="auto" w:line="276"/>
      <w:ind w:left="1600"/>
    </w:pPr>
    <w:rPr>
      <w:rFonts w:ascii="Poppins" w:eastAsia="Cambria" w:hAnsi="Poppins" w:cs="Arial"/>
      <w:color w:val="392388"/>
      <w:sz w:val="18"/>
      <w:szCs w:val="18"/>
      <w:lang w:eastAsia="en-US"/>
    </w:rPr>
  </w:style>
  <w:style w:type="paragraph" w:styleId="TOCHeading">
    <w:name w:val="TOC Heading"/>
    <w:basedOn w:val="Heading1"/>
    <w:next w:val="Normal"/>
    <w:uiPriority w:val="39"/>
    <w:qFormat/>
    <w:pPr>
      <w:spacing w:before="480" w:after="0" w:lineRule="auto" w:line="276"/>
      <w:ind w:left="0"/>
      <w:outlineLvl w:val="9"/>
    </w:pPr>
    <w:rPr>
      <w:rFonts w:ascii="Poppins" w:eastAsia="MS Gothic" w:hAnsi="Poppins" w:cs="Times New Roman"/>
      <w:color w:val="392388"/>
      <w:sz w:val="28"/>
      <w:szCs w:val="28"/>
      <w:lang w:val="en-US" w:eastAsia="en-US"/>
    </w:rPr>
  </w:style>
  <w:style w:type="table" w:styleId="Custom1">
    <w:name w:val="Custom1"/>
    <w:basedOn w:val="TableNormal"/>
    <w:uiPriority w:val="99"/>
    <w:pPr>
      <w:spacing w:after="0" w:lineRule="auto" w:line="240"/>
    </w:pPr>
    <w:rPr>
      <w:rFonts w:ascii="Poppins" w:eastAsia="Times New Roman" w:hAnsi="Poppins" w:cs="Times New Roman"/>
      <w:color w:val="392388"/>
    </w:rPr>
    <w:tblPr>
      <w:tblStyleRowBandSize w:val="1"/>
      <w:tblStyleColBandSize w:val="1"/>
      <w:tblBorders>
        <w:top w:val="single" w:sz="4" w:color="B0A7CF"/>
        <w:left w:val="single" w:sz="4" w:color="B0A7CF"/>
        <w:bottom w:val="single" w:sz="4" w:color="B0A7CF"/>
        <w:right w:val="single" w:sz="4" w:color="B0A7CF"/>
        <w:insideH w:val="single" w:sz="4" w:color="B0A7CF"/>
        <w:insideV w:val="single" w:sz="4" w:color="B0A7CF"/>
      </w:tblBorders>
    </w:tblPr>
    <w:trPr/>
    <w:tcPr>
      <w:shd w:val="clear" w:color="auto" w:fill="FFFFFF"/>
    </w:tcPr>
    <w:tblStylePr w:type="band1Horz">
      <w:pPr/>
      <w:rPr>
        <w:rFonts w:ascii="Poppins" w:hAnsi="Poppins"/>
        <w:sz w:val="22"/>
        <w:szCs w:val="22"/>
      </w:rPr>
      <w:tblPr/>
      <w:trPr/>
      <w:tcPr>
        <w:shd w:val="clear" w:color="auto" w:fill="FFFFFF"/>
      </w:tcPr>
    </w:tblStylePr>
    <w:tblStylePr w:type="band2Horz">
      <w:pPr/>
      <w:rPr>
        <w:rFonts w:ascii="Poppins" w:hAnsi="Poppins"/>
        <w:sz w:val="22"/>
        <w:szCs w:val="22"/>
      </w:rPr>
      <w:tblPr/>
      <w:trPr/>
      <w:tcPr>
        <w:shd w:val="clear" w:color="auto" w:fill="EFEAFB"/>
      </w:tcPr>
    </w:tblStylePr>
    <w:tblStylePr w:type="firstCol">
      <w:pPr/>
      <w:rPr>
        <w:rFonts w:ascii="Poppins" w:hAnsi="Poppins"/>
        <w:b/>
        <w:bCs/>
        <w:sz w:val="22"/>
        <w:szCs w:val="22"/>
      </w:rPr>
      <w:tblPr/>
      <w:trPr/>
      <w:tcPr>
        <w:tcBorders>
          <w:top w:val="single" w:sz="4" w:color="B0A7CF"/>
          <w:left w:val="single" w:sz="4" w:color="B0A7CF"/>
          <w:bottom w:val="single" w:sz="4" w:color="B0A7CF"/>
          <w:right w:val="single" w:sz="18" w:color="614FA0"/>
          <w:insideH w:val="single" w:sz="4" w:color="B0A7CF"/>
          <w:insideV w:val="single" w:sz="4" w:color="B0A7CF"/>
          <w:tl2br w:val="nil"/>
          <w:tr2bl w:val="nil"/>
        </w:tcBorders>
      </w:tcPr>
    </w:tblStylePr>
  </w:style>
  <w:style w:type="table" w:styleId="Custom2">
    <w:name w:val="Custom2"/>
    <w:basedOn w:val="TableNormal"/>
    <w:uiPriority w:val="99"/>
    <w:pPr>
      <w:spacing w:after="0" w:lineRule="auto" w:line="240"/>
    </w:pPr>
    <w:rPr>
      <w:rFonts w:ascii="Times New Roman" w:eastAsia="Times New Roman" w:hAnsi="Times New Roman" w:cs="Times New Roman"/>
      <w:sz w:val="20"/>
      <w:szCs w:val="20"/>
    </w:rPr>
    <w:tblPr>
      <w:tblStyleRowBandSize w:val="1"/>
      <w:tblStyleColBandSize w:val="1"/>
    </w:tblPr>
    <w:trPr/>
    <w:tcPr/>
  </w:style>
  <w:style w:type="table" w:styleId="Custom2b">
    <w:name w:val="Custom2b"/>
    <w:basedOn w:val="Custom2"/>
    <w:uiPriority w:val="99"/>
    <w:pPr/>
    <w:rPr>
      <w:color w:val="000000"/>
    </w:rPr>
    <w:tblPr>
      <w:tblStyleRowBandSize w:val="1"/>
      <w:tblStyleColBandSize w:val="1"/>
    </w:tblPr>
    <w:trPr/>
    <w:tcPr>
      <w:shd w:val="clear" w:color="auto" w:fill="D9D9D9"/>
    </w:tcPr>
    <w:tblStylePr w:type="firstRow">
      <w:pPr/>
      <w:rPr>
        <w:b/>
        <w:bCs/>
      </w:rPr>
      <w:tblPr/>
      <w:trPr/>
      <w:tcPr/>
    </w:tblStylePr>
  </w:style>
  <w:style w:type="table" w:styleId="Custom3">
    <w:name w:val="Custom3"/>
    <w:basedOn w:val="TableNormal"/>
    <w:uiPriority w:val="99"/>
    <w:pPr>
      <w:spacing w:after="0" w:lineRule="auto" w:line="240"/>
    </w:pPr>
    <w:rPr>
      <w:rFonts w:ascii="Calibri" w:eastAsia="Times New Roman" w:hAnsi="Calibri" w:cs="Times New Roman"/>
      <w:sz w:val="20"/>
      <w:szCs w:val="20"/>
    </w:rPr>
    <w:tblPr>
      <w:tblStyleRowBandSize w:val="1"/>
      <w:tblStyleColBandSize w:val="1"/>
      <w:tblBorders>
        <w:top w:val="single" w:sz="4" w:color="A6A6A6"/>
        <w:left w:val="nil"/>
        <w:bottom w:val="single" w:sz="4" w:color="A6A6A6"/>
        <w:right w:val="nil"/>
        <w:insideH w:val="single" w:sz="4" w:color="A6A6A6"/>
        <w:insideV w:val="nil"/>
      </w:tblBorders>
    </w:tblPr>
    <w:trPr/>
    <w:tcPr>
      <w:shd w:val="clear" w:color="auto" w:fill="FFFFFF"/>
    </w:tcPr>
    <w:tblStylePr w:type="band1Horz">
      <w:pPr/>
      <w:rPr/>
      <w:tblPr/>
      <w:trPr/>
      <w:tcPr>
        <w:shd w:val="clear" w:color="auto" w:fill="FFFFFF"/>
        <w:vAlign w:val="top"/>
      </w:tcPr>
    </w:tblStylePr>
    <w:tblStylePr w:type="firstRow">
      <w:pPr/>
      <w:rPr>
        <w:b/>
        <w:bCs/>
      </w:rPr>
      <w:tblPr/>
      <w:trPr/>
      <w:tcPr>
        <w:tcBorders>
          <w:top w:val="single" w:sz="4" w:color="auto"/>
        </w:tcBorders>
        <w:shd w:val="clear" w:color="auto" w:fill="FFFFFF"/>
        <w:vAlign w:val="top"/>
      </w:tcPr>
    </w:tblStylePr>
  </w:style>
  <w:style w:type="table" w:styleId="Custom4">
    <w:name w:val="Custom4"/>
    <w:basedOn w:val="Custom1"/>
    <w:uiPriority w:val="99"/>
    <w:pPr/>
    <w:rPr/>
    <w:tblPr>
      <w:tblStyleRowBandSize w:val="1"/>
      <w:tblStyleColBandSize w:val="1"/>
      <w:tblBorders>
        <w:top w:val="single" w:sz="4" w:color="BFBFBF"/>
        <w:left w:val="nil"/>
        <w:bottom w:val="single" w:sz="4" w:color="BFBFBF"/>
        <w:right w:val="nil"/>
        <w:insideH w:val="single" w:sz="4" w:color="BFBFBF"/>
        <w:insideV w:val="nil"/>
      </w:tblBorders>
    </w:tblPr>
    <w:trPr/>
    <w:tcPr/>
    <w:tblStylePr w:type="firstCol">
      <w:pPr/>
      <w:rPr>
        <w:b w:val="false"/>
        <w:bCs w:val="false"/>
      </w:rPr>
      <w:tblPr/>
      <w:trPr/>
      <w:tcPr>
        <w:shd w:val="clear" w:color="auto" w:fill="E4E4E4"/>
      </w:tcPr>
    </w:tblStylePr>
    <w:tblStylePr w:type="firstRow">
      <w:pPr/>
      <w:rPr>
        <w:b/>
        <w:bCs/>
      </w:rPr>
      <w:tblPr/>
      <w:trPr/>
      <w:tcPr>
        <w:tcBorders>
          <w:top w:val="single" w:sz="4" w:color="auto"/>
          <w:bottom w:val="single" w:sz="4" w:color="auto"/>
        </w:tcBorders>
        <w:vAlign w:val="top"/>
      </w:tcPr>
    </w:tblStylePr>
  </w:style>
  <w:style w:type="table" w:styleId="Custom5">
    <w:name w:val="Custom5"/>
    <w:basedOn w:val="Custom3"/>
    <w:uiPriority w:val="99"/>
    <w:pPr/>
    <w:rPr>
      <w:rFonts w:ascii="Arial" w:hAnsi="Arial"/>
      <w:sz w:val="24"/>
      <w:szCs w:val="24"/>
    </w:rPr>
    <w:tblPr>
      <w:tblStyleRowBandSize w:val="1"/>
      <w:tblStyleColBandSize w:val="1"/>
      <w:tblBorders>
        <w:top w:val="nil"/>
        <w:left w:val="nil"/>
        <w:bottom w:val="single" w:sz="4" w:color="BFBFBF"/>
        <w:right w:val="nil"/>
        <w:insideH w:val="single" w:sz="4" w:color="BFBFBF"/>
        <w:insideV w:val="nil"/>
      </w:tblBorders>
    </w:tblPr>
    <w:trPr/>
    <w:tcPr/>
    <w:tblStylePr w:type="band1Horz">
      <w:pPr/>
      <w:rPr/>
      <w:tblPr/>
      <w:trPr/>
      <w:tcPr>
        <w:shd w:val="clear" w:color="auto" w:fill="FFFFFF"/>
        <w:vAlign w:val="top"/>
      </w:tcPr>
    </w:tblStylePr>
    <w:tblStylePr w:type="firstCol">
      <w:pPr>
        <w:wordWrap/>
        <w:jc w:val="center"/>
      </w:pPr>
      <w:rPr/>
      <w:tblPr/>
      <w:trPr/>
      <w:tcPr/>
    </w:tblStylePr>
    <w:tblStylePr w:type="firstRow">
      <w:pPr/>
      <w:rPr>
        <w:b/>
        <w:bCs/>
      </w:rPr>
      <w:tblPr/>
      <w:trPr/>
      <w:tcPr>
        <w:tcBorders>
          <w:top w:val="single" w:sz="4" w:color="808080"/>
          <w:bottom w:val="single" w:sz="4" w:color="808080"/>
        </w:tcBorders>
        <w:shd w:val="clear" w:color="auto" w:fill="FFFFFF"/>
        <w:vAlign w:val="top"/>
      </w:tcPr>
    </w:tblStylePr>
  </w:style>
  <w:style w:type="character" w:styleId="DefaqtoTableBodyChar">
    <w:name w:val="Defaqto Table Body Char"/>
    <w:link w:val="DefaqtoTableBody"/>
    <w:rPr>
      <w:rFonts w:ascii="Calibri" w:eastAsia="Times New Roman" w:hAnsi="Calibri" w:cs="Arial"/>
      <w:sz w:val="16"/>
      <w:szCs w:val="16"/>
      <w:lang w:val="en-US" w:eastAsia="en-US"/>
    </w:rPr>
  </w:style>
  <w:style w:type="paragraph" w:styleId="TOC1">
    <w:name w:val="toc 1"/>
    <w:basedOn w:val="Normal"/>
    <w:next w:val="Normal"/>
    <w:link w:val="TOC1Char"/>
    <w:uiPriority w:val="39"/>
    <w:pPr>
      <w:tabs>
        <w:tab w:pos="10456" w:val="right" w:leader="dot"/>
      </w:tabs>
      <w:suppressAutoHyphens/>
      <w:spacing w:before="120" w:after="120" w:lineRule="auto" w:line="276"/>
    </w:pPr>
    <w:rPr>
      <w:rFonts w:ascii="Poppins" w:eastAsia="Cambria" w:hAnsi="Poppins" w:cs="Arial"/>
      <w:b/>
      <w:bCs/>
      <w:caps/>
      <w:color w:val="392388"/>
      <w:sz w:val="20"/>
      <w:szCs w:val="20"/>
      <w:lang w:eastAsia="en-US"/>
    </w:rPr>
  </w:style>
  <w:style w:type="character" w:styleId="TOC1Char">
    <w:name w:val="TOC 1 Char"/>
    <w:link w:val="TOC1"/>
    <w:uiPriority w:val="39"/>
    <w:rPr>
      <w:rFonts w:ascii="Poppins" w:eastAsia="Cambria" w:hAnsi="Poppins" w:cs="Arial"/>
      <w:b/>
      <w:bCs/>
      <w:caps/>
      <w:color w:val="392388"/>
      <w:sz w:val="20"/>
      <w:szCs w:val="20"/>
      <w:lang w:eastAsia="en-US"/>
    </w:rPr>
  </w:style>
  <w:style w:type="paragraph" w:styleId="TOC2">
    <w:name w:val="toc 2"/>
    <w:basedOn w:val="Normal"/>
    <w:next w:val="Normal"/>
    <w:uiPriority w:val="39"/>
    <w:pPr>
      <w:suppressAutoHyphens/>
      <w:spacing w:before="0" w:after="0" w:lineRule="auto" w:line="276"/>
      <w:ind w:left="200"/>
    </w:pPr>
    <w:rPr>
      <w:rFonts w:ascii="Poppins" w:eastAsia="Cambria" w:hAnsi="Poppins" w:cs="Arial"/>
      <w:smallCaps/>
      <w:color w:val="392388"/>
      <w:sz w:val="20"/>
      <w:szCs w:val="20"/>
      <w:lang w:eastAsia="en-US"/>
    </w:rPr>
  </w:style>
  <w:style w:type="paragraph" w:styleId="TOC3">
    <w:name w:val="toc 3"/>
    <w:basedOn w:val="Normal"/>
    <w:next w:val="Normal"/>
    <w:uiPriority w:val="39"/>
    <w:pPr>
      <w:suppressAutoHyphens/>
      <w:spacing w:before="0" w:after="0" w:lineRule="auto" w:line="276"/>
      <w:ind w:left="400"/>
    </w:pPr>
    <w:rPr>
      <w:rFonts w:ascii="Poppins" w:eastAsia="Cambria" w:hAnsi="Poppins" w:cs="Arial"/>
      <w:i/>
      <w:color w:val="392388"/>
      <w:sz w:val="20"/>
      <w:szCs w:val="20"/>
      <w:lang w:eastAsia="en-US"/>
    </w:rPr>
  </w:style>
  <w:style w:type="paragraph" w:styleId="TOC4">
    <w:name w:val="toc 4"/>
    <w:basedOn w:val="Normal"/>
    <w:next w:val="Normal"/>
    <w:uiPriority w:val="39"/>
    <w:unhideWhenUsed/>
    <w:pPr>
      <w:suppressAutoHyphens/>
      <w:spacing w:before="0" w:after="0" w:lineRule="auto" w:line="276"/>
      <w:ind w:left="600"/>
    </w:pPr>
    <w:rPr>
      <w:rFonts w:ascii="Poppins" w:eastAsia="Cambria" w:hAnsi="Poppins" w:cs="Arial"/>
      <w:color w:val="392388"/>
      <w:sz w:val="18"/>
      <w:szCs w:val="18"/>
      <w:lang w:eastAsia="en-US"/>
    </w:rPr>
  </w:style>
  <w:style w:type="table" w:styleId="Custom6">
    <w:name w:val="Custom6"/>
    <w:basedOn w:val="TableNormal"/>
    <w:uiPriority w:val="99"/>
    <w:pPr>
      <w:spacing w:after="0" w:lineRule="auto" w:line="240"/>
    </w:pPr>
    <w:rPr>
      <w:rFonts w:ascii="Poppins" w:eastAsia="Times New Roman" w:hAnsi="Poppins" w:cs="Times New Roman"/>
      <w:color w:val="392388"/>
      <w:sz w:val="28"/>
      <w:szCs w:val="28"/>
    </w:rPr>
    <w:tblPr>
      <w:tblStyleRowBandSize w:val="1"/>
      <w:tblStyleColBandSize w:val="1"/>
      <w:tblCellSpacing w:w="17" w:type="dxa"/>
      <w:tblBorders>
        <w:top w:val="nil"/>
        <w:left w:val="nil"/>
        <w:bottom w:val="nil"/>
        <w:right w:val="nil"/>
        <w:insideH w:val="single" w:sz="8" w:color="B0A7CF"/>
        <w:insideV w:val="single" w:sz="8" w:color="B0A7CF"/>
      </w:tblBorders>
      <w:tblCellMar>
        <w:top w:w="85" w:type="dxa"/>
        <w:left w:w="142" w:type="dxa"/>
        <w:bottom w:w="85" w:type="dxa"/>
        <w:right w:w="142" w:type="dxa"/>
      </w:tblCellMar>
    </w:tblPr>
    <w:trPr/>
    <w:tcPr>
      <w:shd w:val="clear" w:color="auto" w:fill="FFFFFF"/>
      <w:vAlign w:val="center"/>
    </w:tcPr>
    <w:tblStylePr w:type="firstRow">
      <w:pPr/>
      <w:rPr>
        <w:b/>
        <w:bCs/>
      </w:rPr>
      <w:tblPr/>
      <w:trPr/>
      <w:tcPr/>
    </w:tblStylePr>
  </w:style>
  <w:style w:type="table" w:styleId="CustomPR1">
    <w:name w:val="CustomPR1"/>
    <w:basedOn w:val="TableNormal"/>
    <w:uiPriority w:val="99"/>
    <w:pPr>
      <w:spacing w:after="0" w:lineRule="auto" w:line="240"/>
    </w:pPr>
    <w:rPr>
      <w:rFonts w:ascii="Times New Roman" w:eastAsia="Times New Roman" w:hAnsi="Times New Roman" w:cs="Times New Roman"/>
      <w:sz w:val="20"/>
      <w:szCs w:val="20"/>
    </w:rPr>
    <w:tblPr>
      <w:tblStyleRowBandSize w:val="1"/>
      <w:tblStyleColBandSize w:val="1"/>
      <w:tblBorders>
        <w:top w:val="nil"/>
        <w:left w:val="nil"/>
        <w:bottom w:val="nil"/>
        <w:right w:val="nil"/>
        <w:insideH w:val="single" w:sz="36" w:color="FFFFFF"/>
        <w:insideV w:val="single" w:sz="36" w:color="FFFFFF"/>
      </w:tblBorders>
    </w:tblPr>
    <w:trPr/>
    <w:tcPr/>
  </w:style>
  <w:style w:type="table" w:styleId="CustomPR2">
    <w:name w:val="CustomPR2"/>
    <w:basedOn w:val="TableNormal"/>
    <w:uiPriority w:val="99"/>
    <w:pPr>
      <w:spacing w:after="0" w:lineRule="auto" w:line="240"/>
    </w:pPr>
    <w:rPr>
      <w:rFonts w:ascii="Calibri" w:eastAsia="Times New Roman" w:hAnsi="Calibri" w:cs="Times New Roman"/>
      <w:sz w:val="18"/>
      <w:szCs w:val="18"/>
    </w:rPr>
    <w:tblPr>
      <w:tblStyleRowBandSize w:val="1"/>
      <w:tblStyleColBandSize w:val="1"/>
      <w:jc w:val="center"/>
      <w:tblBorders>
        <w:top w:val="single" w:sz="4" w:color="7F7F7F"/>
        <w:left w:val="nil"/>
        <w:bottom w:val="single" w:sz="4" w:color="7F7F7F"/>
        <w:right w:val="nil"/>
        <w:insideH w:val="single" w:sz="4" w:color="7F7F7F"/>
        <w:insideV w:val="nil"/>
      </w:tblBorders>
    </w:tblPr>
    <w:trPr/>
    <w:tcPr>
      <w:tcMar>
        <w:top w:w="144" w:type="dxa"/>
        <w:left w:w="115" w:type="dxa"/>
        <w:bottom w:w="144" w:type="dxa"/>
        <w:right w:w="115" w:type="dxa"/>
      </w:tcMar>
    </w:tcPr>
    <w:tblStylePr w:type="firstRow">
      <w:pPr/>
      <w:rPr>
        <w:rFonts w:ascii="Calibri" w:hAnsi="Calibri"/>
        <w:b/>
        <w:bCs/>
        <w:sz w:val="16"/>
        <w:szCs w:val="16"/>
      </w:rPr>
      <w:tblPr/>
      <w:trPr/>
      <w:tcPr/>
    </w:tblStylePr>
  </w:style>
  <w:style w:type="table" w:styleId="CustomPR3">
    <w:name w:val="CustomPR3"/>
    <w:basedOn w:val="CustomPR1"/>
    <w:uiPriority w:val="99"/>
    <w:pPr/>
    <w:rPr/>
    <w:tblPr>
      <w:tblStyleRowBandSize w:val="1"/>
      <w:tblStyleColBandSize w:val="1"/>
      <w:tblBorders>
        <w:top w:val="nil"/>
        <w:left w:val="nil"/>
        <w:bottom w:val="nil"/>
        <w:right w:val="nil"/>
        <w:insideH w:val="nil"/>
        <w:insideV w:val="nil"/>
      </w:tblBorders>
    </w:tblPr>
    <w:trPr/>
    <w:tcPr/>
    <w:tblStylePr w:type="firstRow">
      <w:pPr/>
      <w:rPr>
        <w:b/>
        <w:bCs/>
      </w:rPr>
      <w:tblPr/>
      <w:trPr/>
      <w:tcPr/>
    </w:tblStylePr>
    <w:tblStylePr w:type="lastRow">
      <w:pPr/>
      <w:rPr>
        <w:b/>
        <w:bCs/>
      </w:rPr>
      <w:tblPr/>
      <w:trPr/>
      <w:tcPr/>
    </w:tblStylePr>
  </w:style>
  <w:style w:type="table" w:styleId="DefaqtoTable-Plain">
    <w:name w:val="Defaqto Table - Plain"/>
    <w:basedOn w:val="TableNormal"/>
    <w:uiPriority w:val="99"/>
    <w:pPr>
      <w:spacing w:after="0" w:lineRule="auto" w:line="240"/>
    </w:pPr>
    <w:rPr>
      <w:rFonts w:ascii="Poppins" w:eastAsia="Times New Roman" w:hAnsi="Poppins" w:cs="Times New Roman"/>
      <w:color w:val="392388"/>
      <w:sz w:val="20"/>
      <w:szCs w:val="20"/>
    </w:rPr>
    <w:tblPr>
      <w:tblStyleRowBandSize w:val="1"/>
      <w:tblStyleColBandSize w:val="1"/>
    </w:tblPr>
    <w:trPr/>
    <w:tcPr/>
  </w:style>
  <w:style w:type="table" w:styleId="CustomPR4">
    <w:name w:val="CustomPR4"/>
    <w:basedOn w:val="DefaqtoTable-Plain"/>
    <w:uiPriority w:val="99"/>
    <w:pPr/>
    <w:rPr>
      <w:rFonts w:ascii="Calibri" w:hAnsi="Calibri"/>
      <w:color w:val="000000"/>
    </w:rPr>
    <w:tblPr>
      <w:tblStyleRowBandSize w:val="1"/>
      <w:tblStyleColBandSize w:val="1"/>
      <w:tblCellSpacing w:w="17" w:type="dxa"/>
      <w:tblBorders>
        <w:top w:val="nil"/>
        <w:left w:val="nil"/>
        <w:bottom w:val="nil"/>
        <w:right w:val="nil"/>
        <w:insideH w:val="nil"/>
        <w:insideV w:val="nil"/>
      </w:tblBorders>
      <w:tblCellMar>
        <w:top w:w="85" w:type="dxa"/>
        <w:left w:w="142" w:type="dxa"/>
        <w:bottom w:w="85" w:type="dxa"/>
        <w:right w:w="142" w:type="dxa"/>
      </w:tblCellMar>
    </w:tblPr>
    <w:trPr/>
    <w:tcPr>
      <w:shd w:val="clear" w:color="auto" w:fill="D9D9D9"/>
      <w:vAlign w:val="center"/>
    </w:tcPr>
    <w:tblStylePr w:type="firstCol">
      <w:pPr/>
      <w:rPr>
        <w:b/>
        <w:bCs/>
      </w:rPr>
      <w:tblPr/>
      <w:trPr/>
      <w:tcPr/>
    </w:tblStylePr>
    <w:tblStylePr w:type="firstRow">
      <w:pPr/>
      <w:rPr>
        <w:b w:val="false"/>
        <w:bCs w:val="false"/>
      </w:rPr>
      <w:tblPr/>
      <w:trPr/>
      <w:tcPr/>
    </w:tblStylePr>
    <w:tblStylePr w:type="nwCell">
      <w:pPr/>
      <w:rPr>
        <w:b/>
        <w:bCs/>
      </w:rPr>
      <w:tblPr/>
      <w:trPr/>
      <w:tcPr/>
    </w:tblStylePr>
  </w:style>
  <w:style w:type="table" w:styleId="CustomPR5">
    <w:name w:val="CustomPR5"/>
    <w:basedOn w:val="Custom4"/>
    <w:uiPriority w:val="99"/>
    <w:pPr>
      <w:spacing w:lineRule="auto" w:line="360"/>
    </w:pPr>
    <w:rPr>
      <w:rFonts w:ascii="Calibri" w:hAnsi="Calibri"/>
    </w:rPr>
    <w:tblPr>
      <w:tblStyleRowBandSize w:val="1"/>
      <w:tblStyleColBandSize w:val="1"/>
      <w:tblBorders>
        <w:top w:val="single" w:sz="4" w:color="auto"/>
        <w:left w:val="nil"/>
        <w:bottom w:val="nil"/>
        <w:right w:val="nil"/>
        <w:insideH w:val="nil"/>
        <w:insideV w:val="nil"/>
      </w:tblBorders>
    </w:tblPr>
    <w:trPr/>
    <w:tcPr/>
    <w:tblStylePr w:type="firstCol">
      <w:pPr/>
      <w:rPr>
        <w:b w:val="false"/>
        <w:bCs w:val="false"/>
      </w:rPr>
      <w:tblPr/>
      <w:trPr/>
      <w:tcPr>
        <w:shd w:val="clear" w:color="auto" w:fill="E4E4E4"/>
      </w:tcPr>
    </w:tblStylePr>
    <w:tblStylePr w:type="firstRow">
      <w:pPr/>
      <w:rPr>
        <w:b/>
        <w:bCs/>
      </w:rPr>
      <w:tblPr/>
      <w:trPr/>
      <w:tcPr>
        <w:tcBorders>
          <w:top w:val="nil"/>
          <w:left w:val="nil"/>
          <w:bottom w:val="single" w:sz="4" w:color="auto"/>
          <w:right w:val="nil"/>
          <w:tl2br w:val="nil"/>
          <w:tr2bl w:val="nil"/>
        </w:tcBorders>
        <w:vAlign w:val="top"/>
      </w:tcPr>
    </w:tblStylePr>
  </w:style>
  <w:style w:type="table" w:styleId="DefaqtoChartBorder">
    <w:name w:val="Defaqto Chart Border"/>
    <w:basedOn w:val="TableNormal"/>
    <w:qFormat/>
    <w:pPr>
      <w:spacing w:after="0" w:lineRule="auto" w:line="240"/>
    </w:pPr>
    <w:rPr>
      <w:rFonts w:ascii="Calibri" w:eastAsia="Calibri" w:hAnsi="Calibri" w:cs="Times New Roman"/>
    </w:rPr>
    <w:tblPr>
      <w:tblStyleRowBandSize w:val="1"/>
      <w:tblStyleColBandSize w:val="1"/>
      <w:tblCellMar>
        <w:left w:w="0" w:type="dxa"/>
        <w:right w:w="0" w:type="dxa"/>
      </w:tblCellMar>
    </w:tblPr>
    <w:trPr/>
    <w:tcPr/>
    <w:tblStylePr w:type="firstCol">
      <w:pPr/>
      <w:rPr/>
      <w:tblPr/>
      <w:trPr/>
      <w:tcPr>
        <w:tcBorders>
          <w:top w:val="nil"/>
          <w:left w:val="nil"/>
          <w:bottom w:val="nil"/>
          <w:right w:val="nil"/>
          <w:insideH w:val="nil"/>
          <w:insideV w:val="nil"/>
          <w:tl2br w:val="nil"/>
          <w:tr2bl w:val="nil"/>
        </w:tcBorders>
      </w:tcPr>
    </w:tblStylePr>
    <w:tblStylePr w:type="firstRow">
      <w:pPr/>
      <w:rPr/>
      <w:tblPr/>
      <w:trPr/>
      <w:tcPr>
        <w:tcBorders>
          <w:top w:val="nil"/>
          <w:left w:val="nil"/>
          <w:bottom w:val="nil"/>
          <w:right w:val="nil"/>
          <w:insideH w:val="nil"/>
          <w:insideV w:val="nil"/>
          <w:tl2br w:val="nil"/>
          <w:tr2bl w:val="nil"/>
        </w:tcBorders>
      </w:tcPr>
    </w:tblStylePr>
    <w:tblStylePr w:type="lastRow">
      <w:pPr/>
      <w:rPr/>
      <w:tblPr/>
      <w:trPr/>
      <w:tcPr>
        <w:tcBorders>
          <w:top w:val="nil"/>
          <w:left w:val="nil"/>
          <w:bottom w:val="nil"/>
          <w:right w:val="nil"/>
          <w:insideH w:val="nil"/>
          <w:insideV w:val="nil"/>
        </w:tcBorders>
      </w:tcPr>
    </w:tblStylePr>
    <w:tblStylePr w:type="nwCell">
      <w:pPr/>
      <w:rPr/>
      <w:tblPr/>
      <w:trPr/>
      <w:tcPr>
        <w:tcBorders>
          <w:top w:val="single" w:sz="12" w:color="D0CECE"/>
          <w:left w:val="single" w:sz="12" w:color="D0CECE"/>
          <w:bottom w:val="single" w:sz="12" w:color="D0CECE"/>
          <w:right w:val="single" w:sz="12" w:color="D0CECE"/>
        </w:tcBorders>
      </w:tcPr>
    </w:tblStylePr>
    <w:tblStylePr w:type="swCell">
      <w:pPr>
        <w:jc w:val="center"/>
      </w:pPr>
      <w:rPr>
        <w:b/>
        <w:bCs/>
      </w:rPr>
      <w:tblPr/>
      <w:trPr/>
      <w:tcPr>
        <w:vAlign w:val="center"/>
      </w:tcPr>
    </w:tblStylePr>
  </w:style>
  <w:style w:type="character" w:styleId="DefaqtoHeading1Char">
    <w:name w:val="Defaqto Heading 1 Char"/>
    <w:link w:val="DefaqtoHeading1"/>
    <w:rPr>
      <w:rFonts w:ascii="Poppins SemiBold" w:eastAsia="Calibri" w:hAnsi="Poppins SemiBold" w:cs="Times New Roman"/>
      <w:color w:val="3B2B8C"/>
      <w:sz w:val="48"/>
      <w:szCs w:val="48"/>
      <w:lang w:eastAsia="en-US"/>
    </w:rPr>
  </w:style>
  <w:style w:type="paragraph" w:styleId="DefaqtoHeading1-noTOC">
    <w:name w:val="Defaqto Heading 1 - no TOC"/>
    <w:basedOn w:val="DefaqtoHeading1"/>
    <w:qFormat/>
    <w:pPr>
      <w:spacing w:before="240" w:after="320" w:lineRule="exact" w:line="640"/>
      <w:outlineLvl w:val="9"/>
    </w:pPr>
    <w:rPr>
      <w:position w:val="6"/>
      <w:lang w:eastAsia="en-GB"/>
    </w:rPr>
  </w:style>
  <w:style w:type="character" w:styleId="DefaqtoHeading2Char">
    <w:name w:val="Defaqto Heading 2 Char"/>
    <w:link w:val="DefaqtoHeading2"/>
    <w:rPr>
      <w:rFonts w:ascii="Poppins SemiBold" w:eastAsia="Cambria" w:hAnsi="Poppins SemiBold" w:cs="Times New Roman"/>
      <w:color w:val="392388"/>
      <w:sz w:val="32"/>
      <w:szCs w:val="32"/>
      <w:lang w:eastAsia="en-US"/>
    </w:rPr>
  </w:style>
  <w:style w:type="character" w:styleId="DefaqtoHeading3Char">
    <w:name w:val="Defaqto Heading 3 Char"/>
    <w:link w:val="DefaqtoHeading3"/>
    <w:rPr>
      <w:rFonts w:ascii="Poppins SemiBold" w:eastAsia="Calibri" w:hAnsi="Poppins SemiBold" w:cs="Calibri"/>
      <w:color w:val="392388"/>
      <w:lang w:val="en-NZ"/>
    </w:rPr>
  </w:style>
  <w:style w:type="paragraph" w:styleId="DefaqtoHeading4">
    <w:name w:val="Defaqto Heading 4"/>
    <w:basedOn w:val="DefaqtoHeading3"/>
    <w:next w:val="DefaqtoBody"/>
    <w:qFormat/>
    <w:pPr>
      <w:spacing w:before="0" w:after="320"/>
      <w:ind w:left="11" w:hanging="11"/>
      <w:outlineLvl w:val="3"/>
    </w:pPr>
    <w:rPr/>
  </w:style>
  <w:style w:type="table" w:styleId="DefaqtoQuestionnaire">
    <w:name w:val="Defaqto Questionnaire"/>
    <w:basedOn w:val="TableNormal"/>
    <w:uiPriority w:val="99"/>
    <w:pPr>
      <w:spacing w:before="100" w:after="0" w:lineRule="auto" w:line="276"/>
    </w:pPr>
    <w:rPr>
      <w:rFonts w:ascii="Arial" w:eastAsia="Times New Roman" w:hAnsi="Arial" w:cs="Times New Roman"/>
      <w:color w:val="595959"/>
      <w:sz w:val="18"/>
      <w:szCs w:val="18"/>
    </w:rPr>
    <w:tblPr>
      <w:tblStyleRowBandSize w:val="1"/>
      <w:tblStyleColBandSize w:val="1"/>
      <w:tblBorders>
        <w:top w:val="single" w:sz="4" w:color="D0CECE"/>
        <w:left w:val="single" w:sz="4" w:color="D0CECE"/>
        <w:bottom w:val="single" w:sz="4" w:color="D0CECE"/>
        <w:right w:val="single" w:sz="4" w:color="D0CECE"/>
        <w:insideH w:val="single" w:sz="4" w:color="D0CECE"/>
        <w:insideV w:val="single" w:sz="4" w:color="D0CECE"/>
      </w:tblBorders>
    </w:tblPr>
    <w:trPr/>
    <w:tcPr>
      <w:shd w:val="clear" w:color="auto" w:fill="auto"/>
      <w:tcMar>
        <w:top w:w="108" w:type="dxa"/>
        <w:bottom w:w="108" w:type="dxa"/>
      </w:tcMar>
    </w:tcPr>
    <w:tblStylePr w:type="band1Horz">
      <w:pPr/>
      <w:rPr>
        <w:rFonts w:ascii="Arial" w:hAnsi="Arial"/>
        <w:sz w:val="18"/>
        <w:szCs w:val="18"/>
      </w:rPr>
      <w:tblPr/>
      <w:trPr/>
      <w:tcPr>
        <w:shd w:val="clear" w:color="auto" w:fill="E2EBCF"/>
      </w:tcPr>
    </w:tblStylePr>
    <w:tblStylePr w:type="band2Horz">
      <w:pPr/>
      <w:rPr>
        <w:rFonts w:ascii="Arial" w:hAnsi="Arial"/>
        <w:sz w:val="18"/>
        <w:szCs w:val="18"/>
      </w:rPr>
      <w:tblPr/>
      <w:trPr/>
      <w:tcPr/>
    </w:tblStylePr>
    <w:tblStylePr w:type="firstRow">
      <w:pPr/>
      <w:rPr>
        <w:rFonts w:ascii="Arial" w:hAnsi="Arial"/>
        <w:b/>
        <w:bCs/>
        <w:sz w:val="18"/>
        <w:szCs w:val="18"/>
      </w:rPr>
      <w:tblPr/>
      <w:trPr/>
      <w:tcPr/>
    </w:tblStylePr>
  </w:style>
  <w:style w:type="table" w:styleId="DefaqtoStarRatingsTable">
    <w:name w:val="Defaqto Star Ratings Table"/>
    <w:basedOn w:val="TableNormal"/>
    <w:uiPriority w:val="99"/>
    <w:pPr>
      <w:spacing w:after="0" w:lineRule="auto" w:line="240"/>
      <w:jc w:val="center"/>
    </w:pPr>
    <w:rPr>
      <w:rFonts w:ascii="Poppins" w:hAnsi="Poppins"/>
      <w:color w:val="392388"/>
    </w:rPr>
    <w:tblPr>
      <w:tblStyleRowBandSize w:val="1"/>
      <w:tblStyleColBandSize w:val="1"/>
      <w:tblBorders>
        <w:top w:val="single" w:sz="4" w:color="B0A7CF"/>
        <w:left w:val="single" w:sz="4" w:color="B0A7CF"/>
        <w:bottom w:val="single" w:sz="4" w:color="B0A7CF"/>
        <w:right w:val="single" w:sz="4" w:color="B0A7CF"/>
      </w:tblBorders>
    </w:tblPr>
    <w:trPr/>
    <w:tcPr>
      <w:shd w:val="clear" w:color="auto" w:fill="auto"/>
      <w:vAlign w:val="center"/>
    </w:tcPr>
  </w:style>
  <w:style w:type="paragraph" w:styleId="DefaqtoTableBody3">
    <w:name w:val="Defaqto Table Body 3"/>
    <w:basedOn w:val="Normal"/>
    <w:qFormat/>
    <w:pPr>
      <w:spacing w:before="60" w:after="60" w:lineRule="auto" w:line="240"/>
    </w:pPr>
    <w:rPr>
      <w:rFonts w:ascii="Arial" w:eastAsia="Times New Roman" w:hAnsi="Arial" w:cs="Arial"/>
      <w:color w:val="595959"/>
      <w:sz w:val="18"/>
      <w:szCs w:val="18"/>
      <w:lang w:val="en-US"/>
    </w:rPr>
  </w:style>
  <w:style w:type="paragraph" w:styleId="Defaqtotableheader">
    <w:name w:val="Defaqto table header"/>
    <w:basedOn w:val="Normal"/>
    <w:link w:val="DefaqtotableheaderChar"/>
    <w:qFormat/>
    <w:pPr>
      <w:spacing w:before="0" w:after="0"/>
    </w:pPr>
    <w:rPr>
      <w:rFonts w:ascii="Arial" w:eastAsia="Arial" w:hAnsi="Arial" w:cs="Times New Roman"/>
      <w:color w:val="FFFFFF"/>
      <w:lang w:eastAsia="en-US"/>
    </w:rPr>
  </w:style>
  <w:style w:type="character" w:styleId="DefaqtotableheaderChar">
    <w:name w:val="Defaqto table header Char"/>
    <w:link w:val="Defaqtotableheader"/>
    <w:rPr>
      <w:rFonts w:ascii="Arial" w:eastAsia="Arial" w:hAnsi="Arial" w:cs="Times New Roman"/>
      <w:color w:val="FFFFFF"/>
      <w:lang w:eastAsia="en-US"/>
    </w:rPr>
  </w:style>
  <w:style w:type="table" w:styleId="DefaqtoTableOLD">
    <w:name w:val="Defaqto Table OLD"/>
    <w:basedOn w:val="TableNormal"/>
    <w:uiPriority w:val="99"/>
    <w:pPr>
      <w:spacing w:after="0" w:lineRule="auto" w:line="240"/>
    </w:pPr>
    <w:rPr>
      <w:rFonts w:ascii="Calibri" w:eastAsia="Times New Roman" w:hAnsi="Calibri" w:cs="Times New Roman"/>
      <w:sz w:val="16"/>
      <w:szCs w:val="16"/>
    </w:rPr>
    <w:tblPr>
      <w:tblStyleRowBandSize w:val="1"/>
      <w:tblStyleColBandSize w:val="1"/>
      <w:tblBorders>
        <w:top w:val="single" w:sz="4" w:color="7F7F7F"/>
        <w:left w:val="nil"/>
        <w:bottom w:val="single" w:sz="4" w:color="7F7F7F"/>
        <w:right w:val="nil"/>
        <w:insideH w:val="nil"/>
        <w:insideV w:val="nil"/>
      </w:tblBorders>
      <w:tblCellMar>
        <w:top w:w="28" w:type="dxa"/>
        <w:bottom w:w="28" w:type="dxa"/>
      </w:tblCellMar>
    </w:tblPr>
    <w:trPr/>
    <w:tcPr/>
    <w:tblStylePr w:type="band1Horz">
      <w:pPr/>
      <w:rPr/>
      <w:tblPr/>
      <w:trPr/>
      <w:tcPr>
        <w:tcBorders>
          <w:top w:val="single" w:sz="4" w:color="7F7F7F"/>
          <w:bottom w:val="single" w:sz="4" w:color="7F7F7F"/>
        </w:tcBorders>
        <w:vAlign w:val="top"/>
      </w:tcPr>
    </w:tblStylePr>
    <w:tblStylePr w:type="band1Vert">
      <w:pPr/>
      <w:rPr/>
      <w:tblPr/>
      <w:trPr/>
      <w:tcPr>
        <w:tcBorders>
          <w:left w:val="single" w:sz="4" w:color="7F7F7F"/>
          <w:right w:val="single" w:sz="4" w:color="7F7F7F"/>
        </w:tcBorders>
        <w:vAlign w:val="top"/>
      </w:tcPr>
    </w:tblStylePr>
    <w:tblStylePr w:type="band2Vert">
      <w:pPr/>
      <w:rPr/>
      <w:tblPr/>
      <w:trPr/>
      <w:tcPr>
        <w:tcBorders>
          <w:left w:val="single" w:sz="4" w:color="7F7F7F"/>
          <w:right w:val="single" w:sz="4" w:color="7F7F7F"/>
        </w:tcBorders>
        <w:vAlign w:val="top"/>
      </w:tcPr>
    </w:tblStylePr>
    <w:tblStylePr w:type="firstCol">
      <w:pPr/>
      <w:rPr>
        <w:b/>
        <w:bCs/>
      </w:rPr>
      <w:tblPr/>
      <w:trPr/>
      <w:tcPr/>
    </w:tblStylePr>
    <w:tblStylePr w:type="lastCol">
      <w:pPr/>
      <w:rPr>
        <w:b/>
        <w:bCs/>
      </w:rPr>
      <w:tblPr/>
      <w:trPr/>
      <w:tcPr/>
    </w:tblStylePr>
    <w:tblStylePr w:type="firstRow">
      <w:pPr/>
      <w:rPr>
        <w:rFonts w:ascii="Times New Roman" w:hAnsi="Times New Roman"/>
        <w:b/>
        <w:bCs/>
        <w:sz w:val="16"/>
        <w:szCs w:val="16"/>
      </w:rPr>
      <w:tblPr/>
      <w:trPr/>
      <w:tcPr>
        <w:tcBorders>
          <w:bottom w:val="single" w:sz="4" w:color="7F7F7F"/>
        </w:tcBorders>
        <w:vAlign w:val="center"/>
      </w:tcPr>
    </w:tblStylePr>
    <w:tblStylePr w:type="lastRow">
      <w:pPr/>
      <w:rPr>
        <w:b/>
        <w:bCs/>
      </w:rPr>
      <w:tblPr/>
      <w:trPr/>
      <w:tcPr>
        <w:tcBorders>
          <w:top w:val="single" w:sz="4" w:color="7F7F7F"/>
        </w:tcBorders>
        <w:vAlign w:val="top"/>
      </w:tcPr>
    </w:tblStyle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paragraph" w:styleId="Recommendation Heading">
    <w:name w:val="Recommendation Heading"/>
    <w:basedOn w:val="DefaqtoContentspageheading"/>
    <w:qFormat/>
    <w:pPr>
      <w:spacing w:before="240" w:after="320" w:lineRule="exact" w:line="640"/>
    </w:pPr>
    <w:rPr>
      <w:position w:val="6"/>
    </w:rPr>
  </w:style>
  <w:style w:type="paragraph" w:styleId="CSRHeading2">
    <w:name w:val="CSRHeading2"/>
    <w:basedOn w:val="Heading2"/>
    <w:qFormat/>
    <w:pPr>
      <w:spacing w:before="0" w:after="0"/>
      <w:ind w:left="0"/>
    </w:pPr>
    <w:rPr>
      <w:rFonts w:ascii="Calibri Light" w:hAnsi="Calibri Light"/>
      <w:color w:val="005493"/>
      <w:sz w:val="76"/>
      <w:szCs w:val="76"/>
    </w:rPr>
  </w:style>
  <w:style w:type="paragraph" w:styleId="CSRHeading3 - no TOC">
    <w:name w:val="CSRHeading3 - no TOC"/>
    <w:basedOn w:val="Normal"/>
    <w:qFormat/>
    <w:pPr>
      <w:spacing w:before="0" w:after="160" w:lineRule="auto" w:line="256"/>
    </w:pPr>
    <w:rPr>
      <w:rFonts w:ascii="Calibri Light" w:hAnsi="Calibri Light"/>
      <w:color w:val="005392"/>
      <w:sz w:val="44"/>
      <w:szCs w:val="44"/>
    </w:rPr>
  </w:style>
  <w:style w:type="paragraph" w:styleId="CSRHeading5">
    <w:name w:val="CSRHeading5"/>
    <w:basedOn w:val="Heading5"/>
    <w:qFormat/>
    <w:pPr>
      <w:spacing w:before="40" w:after="0"/>
    </w:pPr>
    <w:rPr>
      <w:color w:val="005493"/>
      <w:sz w:val="24"/>
      <w:szCs w:val="24"/>
    </w:rPr>
  </w:style>
  <w:style w:type="character" w:styleId="CSRHeading2 Char">
    <w:name w:val="CSRHeading2 Char"/>
    <w:basedOn w:val="Heading2Char"/>
    <w:qFormat/>
    <w:rPr>
      <w:rFonts w:ascii="Calibri Light" w:eastAsia="Calibri" w:hAnsi="Calibri Light"/>
      <w:color w:val="005493"/>
      <w:sz w:val="76"/>
      <w:szCs w:val="76"/>
    </w:rPr>
  </w:style>
  <w:style w:type="character" w:styleId="CSRHeading3 - no TOC Char">
    <w:name w:val="CSRHeading3 - no TOC Char"/>
    <w:basedOn w:val="DefaultParagraphFont"/>
    <w:qFormat/>
    <w:rPr>
      <w:rFonts w:ascii="Calibri Light" w:eastAsia="Calibri" w:hAnsi="Calibri Light"/>
      <w:color w:val="005392"/>
      <w:sz w:val="44"/>
      <w:szCs w:val="44"/>
    </w:rPr>
  </w:style>
  <w:style w:type="character" w:styleId="CSRHeading5 Char">
    <w:name w:val="CSRHeading5 Char"/>
    <w:basedOn w:val="DefaultParagraphFont"/>
    <w:qFormat/>
    <w:rPr>
      <w:rFonts w:ascii="Calibri Light" w:eastAsia="Calibri Light" w:hAnsi="Calibri Light"/>
      <w:color w:val="005493"/>
      <w:sz w:val="24"/>
      <w:szCs w:val="24"/>
    </w:rPr>
  </w:style>
  <w:style w:type="character" w:styleId="Hyperlink">
    <w:name w:val="Hyperlink"/>
    <w:basedOn w:val="DefaultParagraphFont"/>
    <w:qFormat/>
    <w:rPr>
      <w:color w:val="005493"/>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03972">
      <w:bodyDiv w:val="1"/>
      <w:marLeft w:val="0"/>
      <w:marRight w:val="0"/>
      <w:marTop w:val="0"/>
      <w:marBottom w:val="0"/>
      <w:divBdr>
        <w:top w:val="none" w:sz="0" w:space="0" w:color="auto"/>
        <w:left w:val="none" w:sz="0" w:space="0" w:color="auto"/>
        <w:bottom w:val="none" w:sz="0" w:space="0" w:color="auto"/>
        <w:right w:val="none" w:sz="0" w:space="0" w:color="auto"/>
      </w:divBdr>
    </w:div>
    <w:div w:id="428891026">
      <w:bodyDiv w:val="1"/>
      <w:marLeft w:val="0"/>
      <w:marRight w:val="0"/>
      <w:marTop w:val="0"/>
      <w:marBottom w:val="0"/>
      <w:divBdr>
        <w:top w:val="none" w:sz="0" w:space="0" w:color="auto"/>
        <w:left w:val="none" w:sz="0" w:space="0" w:color="auto"/>
        <w:bottom w:val="none" w:sz="0" w:space="0" w:color="auto"/>
        <w:right w:val="none" w:sz="0" w:space="0" w:color="auto"/>
      </w:divBdr>
    </w:div>
    <w:div w:id="716516061">
      <w:bodyDiv w:val="1"/>
      <w:marLeft w:val="0"/>
      <w:marRight w:val="0"/>
      <w:marTop w:val="0"/>
      <w:marBottom w:val="0"/>
      <w:divBdr>
        <w:top w:val="none" w:sz="0" w:space="0" w:color="auto"/>
        <w:left w:val="none" w:sz="0" w:space="0" w:color="auto"/>
        <w:bottom w:val="none" w:sz="0" w:space="0" w:color="auto"/>
        <w:right w:val="none" w:sz="0" w:space="0" w:color="auto"/>
      </w:divBdr>
    </w:div>
    <w:div w:id="760875425">
      <w:bodyDiv w:val="1"/>
      <w:marLeft w:val="0"/>
      <w:marRight w:val="0"/>
      <w:marTop w:val="0"/>
      <w:marBottom w:val="0"/>
      <w:divBdr>
        <w:top w:val="none" w:sz="0" w:space="0" w:color="auto"/>
        <w:left w:val="none" w:sz="0" w:space="0" w:color="auto"/>
        <w:bottom w:val="none" w:sz="0" w:space="0" w:color="auto"/>
        <w:right w:val="none" w:sz="0" w:space="0" w:color="auto"/>
      </w:divBdr>
    </w:div>
    <w:div w:id="793907003">
      <w:bodyDiv w:val="1"/>
      <w:marLeft w:val="0"/>
      <w:marRight w:val="0"/>
      <w:marTop w:val="0"/>
      <w:marBottom w:val="0"/>
      <w:divBdr>
        <w:top w:val="none" w:sz="0" w:space="0" w:color="auto"/>
        <w:left w:val="none" w:sz="0" w:space="0" w:color="auto"/>
        <w:bottom w:val="none" w:sz="0" w:space="0" w:color="auto"/>
        <w:right w:val="none" w:sz="0" w:space="0" w:color="auto"/>
      </w:divBdr>
    </w:div>
    <w:div w:id="821578545">
      <w:bodyDiv w:val="1"/>
      <w:marLeft w:val="0"/>
      <w:marRight w:val="0"/>
      <w:marTop w:val="0"/>
      <w:marBottom w:val="0"/>
      <w:divBdr>
        <w:top w:val="none" w:sz="0" w:space="0" w:color="auto"/>
        <w:left w:val="none" w:sz="0" w:space="0" w:color="auto"/>
        <w:bottom w:val="none" w:sz="0" w:space="0" w:color="auto"/>
        <w:right w:val="none" w:sz="0" w:space="0" w:color="auto"/>
      </w:divBdr>
    </w:div>
    <w:div w:id="1282107495">
      <w:bodyDiv w:val="1"/>
      <w:marLeft w:val="0"/>
      <w:marRight w:val="0"/>
      <w:marTop w:val="0"/>
      <w:marBottom w:val="0"/>
      <w:divBdr>
        <w:top w:val="none" w:sz="0" w:space="0" w:color="auto"/>
        <w:left w:val="none" w:sz="0" w:space="0" w:color="auto"/>
        <w:bottom w:val="none" w:sz="0" w:space="0" w:color="auto"/>
        <w:right w:val="none" w:sz="0" w:space="0" w:color="auto"/>
      </w:divBdr>
    </w:div>
    <w:div w:id="1335760845">
      <w:bodyDiv w:val="1"/>
      <w:marLeft w:val="0"/>
      <w:marRight w:val="0"/>
      <w:marTop w:val="0"/>
      <w:marBottom w:val="0"/>
      <w:divBdr>
        <w:top w:val="none" w:sz="0" w:space="0" w:color="auto"/>
        <w:left w:val="none" w:sz="0" w:space="0" w:color="auto"/>
        <w:bottom w:val="none" w:sz="0" w:space="0" w:color="auto"/>
        <w:right w:val="none" w:sz="0" w:space="0" w:color="auto"/>
      </w:divBdr>
    </w:div>
    <w:div w:id="1433010434">
      <w:bodyDiv w:val="1"/>
      <w:marLeft w:val="0"/>
      <w:marRight w:val="0"/>
      <w:marTop w:val="0"/>
      <w:marBottom w:val="0"/>
      <w:divBdr>
        <w:top w:val="none" w:sz="0" w:space="0" w:color="auto"/>
        <w:left w:val="none" w:sz="0" w:space="0" w:color="auto"/>
        <w:bottom w:val="none" w:sz="0" w:space="0" w:color="auto"/>
        <w:right w:val="none" w:sz="0" w:space="0" w:color="auto"/>
      </w:divBdr>
    </w:div>
    <w:div w:id="1435635480">
      <w:bodyDiv w:val="1"/>
      <w:marLeft w:val="0"/>
      <w:marRight w:val="0"/>
      <w:marTop w:val="0"/>
      <w:marBottom w:val="0"/>
      <w:divBdr>
        <w:top w:val="none" w:sz="0" w:space="0" w:color="auto"/>
        <w:left w:val="none" w:sz="0" w:space="0" w:color="auto"/>
        <w:bottom w:val="none" w:sz="0" w:space="0" w:color="auto"/>
        <w:right w:val="none" w:sz="0" w:space="0" w:color="auto"/>
      </w:divBdr>
    </w:div>
    <w:div w:id="1532693411">
      <w:bodyDiv w:val="1"/>
      <w:marLeft w:val="0"/>
      <w:marRight w:val="0"/>
      <w:marTop w:val="0"/>
      <w:marBottom w:val="0"/>
      <w:divBdr>
        <w:top w:val="none" w:sz="0" w:space="0" w:color="auto"/>
        <w:left w:val="none" w:sz="0" w:space="0" w:color="auto"/>
        <w:bottom w:val="none" w:sz="0" w:space="0" w:color="auto"/>
        <w:right w:val="none" w:sz="0" w:space="0" w:color="auto"/>
      </w:divBdr>
    </w:div>
    <w:div w:id="1807580747">
      <w:bodyDiv w:val="1"/>
      <w:marLeft w:val="0"/>
      <w:marRight w:val="0"/>
      <w:marTop w:val="0"/>
      <w:marBottom w:val="0"/>
      <w:divBdr>
        <w:top w:val="none" w:sz="0" w:space="0" w:color="auto"/>
        <w:left w:val="none" w:sz="0" w:space="0" w:color="auto"/>
        <w:bottom w:val="none" w:sz="0" w:space="0" w:color="auto"/>
        <w:right w:val="none" w:sz="0" w:space="0" w:color="auto"/>
      </w:divBdr>
    </w:div>
    <w:div w:id="1970434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Relationships xmlns="http://schemas.openxmlformats.org/package/2006/relationships"><Relationship Id="rId13" Type="http://schemas.openxmlformats.org/officeDocument/2006/relationships/fontTable" Target="fontTable.xml" /><Relationship Id="rId5" Type="http://schemas.openxmlformats.org/officeDocument/2006/relationships/webSettings" Target="webSettings.xml" /><Relationship Id="rId14" Type="http://schemas.openxmlformats.org/officeDocument/2006/relationships/theme" Target="theme/theme1.xml" /><Relationship Id="PictureId1" Type="http://schemas.openxmlformats.org/officeDocument/2006/relationships/image" Target="media/image1.png" /><Relationship Id="gemHfRid1" Type="http://schemas.openxmlformats.org/officeDocument/2006/relationships/header" Target="header1.xml" /><Relationship Id="gemHfRid2" Type="http://schemas.openxmlformats.org/officeDocument/2006/relationships/footer" Target="footer1.xml" /><Relationship Id="gemHfRid3" Type="http://schemas.openxmlformats.org/officeDocument/2006/relationships/footer" Target="footer2.xml" /><Relationship Id="PictureId2" Type="http://schemas.openxmlformats.org/officeDocument/2006/relationships/image" Target="media/image2.png" /><Relationship Id="PictureId3" Type="http://schemas.openxmlformats.org/officeDocument/2006/relationships/image" Target="media/image3.png" /><Relationship Id="PictureId4" Type="http://schemas.openxmlformats.org/officeDocument/2006/relationships/image" Target="media/image4.png" /><Relationship Id="gemHfRid7" Type="http://schemas.openxmlformats.org/officeDocument/2006/relationships/header" Target="header2.xml" /><Relationship Id="gemHfRid8" Type="http://schemas.openxmlformats.org/officeDocument/2006/relationships/footer" Target="footer3.xml" /><Relationship Id="gemHfRid9" Type="http://schemas.openxmlformats.org/officeDocument/2006/relationships/header" Target="header3.xml" /><Relationship Id="gemHfRid10" Type="http://schemas.openxmlformats.org/officeDocument/2006/relationships/footer" Target="footer4.xml" /><Relationship Id="gemHfRid11" Type="http://schemas.openxmlformats.org/officeDocument/2006/relationships/header" Target="header4.xml" /><Relationship Id="gemHfRid12" Type="http://schemas.openxmlformats.org/officeDocument/2006/relationships/footer" Target="footer5.xml" /><Relationship Id="gemHfRid13" Type="http://schemas.openxmlformats.org/officeDocument/2006/relationships/header" Target="header5.xml" /><Relationship Id="gemHfRid14" Type="http://schemas.openxmlformats.org/officeDocument/2006/relationships/footer" Target="footer6.xml" /><Relationship Id="customXmlRid1" Type="http://schemas.openxmlformats.org/officeDocument/2006/relationships/customXml" Target="/customXml/item1.xml" /><Relationship Id="rId1" Type="http://schemas.openxmlformats.org/officeDocument/2006/relationships/settings" Target="settings.xml" /><Relationship Id="rId2" Type="http://schemas.openxmlformats.org/officeDocument/2006/relationships/styles" Target="styles.xml" /></Relationships>
</file>

<file path=word/_rels/footer1.xml.rels><?xml version="1.0" encoding="utf-8" standalone="yes"?><Relationships xmlns="http://schemas.openxmlformats.org/package/2006/relationships"><Relationship Id="PictureId1" Type="http://schemas.openxmlformats.org/officeDocument/2006/relationships/image" Target="media/image5.png" /></Relationships>
</file>

<file path=word/_rels/footer4.xml.rels><?xml version="1.0" encoding="utf-8" standalone="yes"?><Relationships xmlns="http://schemas.openxmlformats.org/package/2006/relationships"><Relationship Id="PictureId1" Type="http://schemas.openxmlformats.org/officeDocument/2006/relationships/image" Target="media/image5.png" /></Relationships>
</file>

<file path=word/_rels/footer5.xml.rels><?xml version="1.0" encoding="utf-8" standalone="yes"?><Relationships xmlns="http://schemas.openxmlformats.org/package/2006/relationships"><Relationship Id="PictureId1" Type="http://schemas.openxmlformats.org/officeDocument/2006/relationships/image" Target="media/image5.png" /></Relationships>
</file>

<file path=word/_rels/footer6.xml.rels><?xml version="1.0" encoding="utf-8" standalone="yes"?><Relationships xmlns="http://schemas.openxmlformats.org/package/2006/relationships"><Relationship Id="PictureId1" Type="http://schemas.openxmlformats.org/officeDocument/2006/relationships/image" Target="media/image5.png" /></Relationships>
</file>

<file path=word/theme/theme1.xml><?xml version="1.0" encoding="utf-8"?>
<a:theme xmlns:a="http://schemas.openxmlformats.org/drawingml/2006/main" name="Office Theme">
  <a:themeElements>
    <a:clrScheme name="Ratings colour palette 2">
      <a:dk1>
        <a:sysClr val="windowText" lastClr="000000"/>
      </a:dk1>
      <a:lt1>
        <a:sysClr val="window" lastClr="FFFFFF"/>
      </a:lt1>
      <a:dk2>
        <a:srgbClr val="44546A"/>
      </a:dk2>
      <a:lt2>
        <a:srgbClr val="E7E6E6"/>
      </a:lt2>
      <a:accent1>
        <a:srgbClr val="252758"/>
      </a:accent1>
      <a:accent2>
        <a:srgbClr val="005493"/>
      </a:accent2>
      <a:accent3>
        <a:srgbClr val="9AC1E0"/>
      </a:accent3>
      <a:accent4>
        <a:srgbClr val="4A4A49"/>
      </a:accent4>
      <a:accent5>
        <a:srgbClr val="EE7203"/>
      </a:accent5>
      <a:accent6>
        <a:srgbClr val="005493"/>
      </a:accent6>
      <a:hlink>
        <a:srgbClr val="005493"/>
      </a:hlink>
      <a:folHlink>
        <a:srgbClr val="9AC1E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DCAE27-1D02-4879-A4B7-CBE5F898D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0</TotalTime>
  <Pages>1</Pages>
  <Words>59</Words>
  <Characters>338</Characters>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 Rees</dc:creator>
  <cp:lastModifiedBy>Alexander Rees</cp:lastModifiedBy>
  <dcterms:created xsi:type="dcterms:W3CDTF">2026-01-13T13:15:00Z</dcterms:created>
  <dcterms:modified xsi:type="dcterms:W3CDTF">2026-01-13T13:17:00Z</dcterms:modified>
  <cp:revision xmlns:cp="http://schemas.openxmlformats.org/package/2006/metadata/core-properties">3</cp:revision>
</cp:coreProperties>
</file>