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69E6B" w14:textId="77777777" w:rsidR="007720DF" w:rsidRDefault="007720DF" w:rsidP="007720DF">
      <w:pPr>
        <w:pStyle w:val="DefaqtoHeading2-noTOC"/>
      </w:pPr>
      <w:r>
        <w:rPr>
          <w:lang w:val="en-NZ"/>
        </w:rPr>
        <w:t>Existing Holdings</w:t>
      </w:r>
    </w:p>
    <w:tbl>
      <w:tblPr>
        <w:tblW w:w="0" w:type="auto"/>
        <w:tblCellSpacing w:w="22" w:type="dxa"/>
        <w:tblBorders>
          <w:top w:val="nil"/>
          <w:left w:val="nil"/>
          <w:bottom w:val="nil"/>
          <w:right w:val="nil"/>
          <w:insideH w:val="nil"/>
          <w:insideV w:val="nil"/>
        </w:tblBorders>
        <w:tblLayout w:type="fixed"/>
        <w:tblCellMar>
          <w:top w:w="28" w:type="dxa"/>
          <w:bottom w:w="28" w:type="dxa"/>
        </w:tblCellMar>
        <w:tblLook w:val="04A0" w:firstRow="1" w:lastRow="0" w:firstColumn="1" w:lastColumn="0" w:noHBand="0" w:noVBand="1"/>
      </w:tblPr>
      <w:tblGrid>
        <w:gridCol w:w="2704"/>
        <w:gridCol w:w="2704"/>
      </w:tblGrid>
      <w:tr w:rsidR="007720DF" w14:paraId="33C0F2D3" w14:textId="77777777" w:rsidTr="00F94A32">
        <w:trPr>
          <w:tblCellSpacing w:w="22" w:type="dxa"/>
        </w:trPr>
        <w:tc>
          <w:tcPr>
            <w:tcW w:w="2638" w:type="dxa"/>
            <w:tcBorders>
              <w:top w:val="single" w:sz="4" w:space="0" w:color="B0A7CF"/>
              <w:left w:val="single" w:sz="4" w:space="0" w:color="B0A7CF"/>
              <w:bottom w:val="single" w:sz="4" w:space="0" w:color="B0A7CF"/>
              <w:right w:val="single" w:sz="4" w:space="0" w:color="B0A7CF"/>
            </w:tcBorders>
            <w:vAlign w:val="center"/>
            <w:hideMark/>
          </w:tcPr>
          <w:p w14:paraId="1E58128A" w14:textId="77777777" w:rsidR="007720DF" w:rsidRDefault="007720DF" w:rsidP="00F94A32">
            <w:pPr>
              <w:pStyle w:val="Tag"/>
              <w:spacing w:before="240" w:after="240" w:line="256" w:lineRule="auto"/>
              <w:jc w:val="center"/>
              <w:rPr>
                <w:rFonts w:ascii="Poppins" w:hAnsi="Poppins" w:cs="Poppins"/>
                <w:color w:val="392388"/>
              </w:rPr>
            </w:pPr>
            <w:r>
              <w:rPr>
                <w:rFonts w:ascii="Poppins" w:hAnsi="Poppins" w:cs="Poppins"/>
                <w:color w:val="392388"/>
                <w:sz w:val="48"/>
                <w:szCs w:val="48"/>
                <w:lang w:val="en-NZ"/>
              </w:rPr>
              <w:t>11.30</w:t>
            </w:r>
            <w:r>
              <w:rPr>
                <w:rFonts w:ascii="Poppins" w:hAnsi="Poppins" w:cs="Poppins"/>
                <w:b w:val="0"/>
                <w:bCs w:val="0"/>
                <w:color w:val="392388"/>
                <w:sz w:val="22"/>
                <w:szCs w:val="22"/>
                <w:lang w:val="en-NZ"/>
              </w:rPr>
              <w:br/>
            </w:r>
            <w:r>
              <w:rPr>
                <w:rFonts w:ascii="Poppins" w:hAnsi="Poppins" w:cs="Poppins"/>
                <w:b w:val="0"/>
                <w:bCs w:val="0"/>
                <w:color w:val="392388"/>
                <w:sz w:val="20"/>
                <w:szCs w:val="20"/>
                <w:lang w:val="en-NZ"/>
              </w:rPr>
              <w:t>10 Year Volatility</w:t>
            </w:r>
            <w:r>
              <w:rPr>
                <w:rFonts w:ascii="Poppins" w:hAnsi="Poppins" w:cs="Poppins"/>
                <w:b w:val="0"/>
                <w:bCs w:val="0"/>
                <w:color w:val="392388"/>
                <w:sz w:val="20"/>
                <w:szCs w:val="20"/>
                <w:vertAlign w:val="superscript"/>
                <w:lang w:val="en-NZ"/>
              </w:rPr>
              <w:t>[2]</w:t>
            </w:r>
          </w:p>
        </w:tc>
        <w:tc>
          <w:tcPr>
            <w:tcW w:w="2638" w:type="dxa"/>
            <w:tcBorders>
              <w:top w:val="single" w:sz="4" w:space="0" w:color="B0A7CF"/>
              <w:left w:val="single" w:sz="4" w:space="0" w:color="B0A7CF"/>
              <w:bottom w:val="single" w:sz="4" w:space="0" w:color="B0A7CF"/>
              <w:right w:val="single" w:sz="4" w:space="0" w:color="B0A7CF"/>
            </w:tcBorders>
            <w:vAlign w:val="center"/>
            <w:hideMark/>
          </w:tcPr>
          <w:p w14:paraId="33CBFD4B" w14:textId="77777777" w:rsidR="007720DF" w:rsidRDefault="007720DF" w:rsidP="00F94A32">
            <w:pPr>
              <w:pStyle w:val="DefaqtoBody"/>
              <w:spacing w:before="240" w:after="240"/>
              <w:jc w:val="center"/>
              <w:rPr>
                <w:rFonts w:ascii="Poppins" w:hAnsi="Poppins" w:cs="Poppins"/>
                <w:color w:val="392388"/>
              </w:rPr>
            </w:pPr>
            <w:r>
              <w:rPr>
                <w:rFonts w:ascii="Poppins" w:hAnsi="Poppins" w:cs="Poppins"/>
                <w:b/>
                <w:bCs/>
                <w:color w:val="392388"/>
                <w:sz w:val="48"/>
                <w:szCs w:val="48"/>
                <w:lang w:val="en-NZ"/>
              </w:rPr>
              <w:t>6</w:t>
            </w:r>
            <w:r>
              <w:rPr>
                <w:rFonts w:ascii="Poppins" w:hAnsi="Poppins" w:cs="Poppins"/>
                <w:color w:val="392388"/>
                <w:sz w:val="20"/>
                <w:szCs w:val="20"/>
                <w:lang w:val="en-NZ"/>
              </w:rPr>
              <w:br/>
              <w:t>Balanced Growth</w:t>
            </w:r>
            <w:r>
              <w:rPr>
                <w:rFonts w:ascii="Poppins" w:hAnsi="Poppins" w:cs="Poppins"/>
                <w:color w:val="392388"/>
                <w:sz w:val="20"/>
                <w:szCs w:val="20"/>
                <w:vertAlign w:val="superscript"/>
                <w:lang w:val="en-NZ"/>
              </w:rPr>
              <w:t>[4]</w:t>
            </w:r>
          </w:p>
        </w:tc>
      </w:tr>
    </w:tbl>
    <w:p w14:paraId="0C30548F" w14:textId="77777777" w:rsidR="007720DF" w:rsidRDefault="007720DF" w:rsidP="007720DF">
      <w:pPr>
        <w:pStyle w:val="Tag"/>
        <w:rPr>
          <w:rFonts w:ascii="Calibri" w:hAnsi="Calibri"/>
          <w:color w:val="392388"/>
          <w:sz w:val="20"/>
          <w:szCs w:val="20"/>
          <w:lang w:val="en-NZ"/>
        </w:rPr>
      </w:pPr>
    </w:p>
    <w:p w14:paraId="3528A580" w14:textId="77777777" w:rsidR="007720DF" w:rsidRDefault="007720DF" w:rsidP="007720DF">
      <w:pPr>
        <w:pStyle w:val="Defaqtosmallprint"/>
        <w:rPr>
          <w:rFonts w:ascii="Lucida Sans" w:hAnsi="Lucida Sans"/>
          <w:lang w:val="en-NZ"/>
        </w:rPr>
      </w:pPr>
      <w:r>
        <w:rPr>
          <w:rFonts w:ascii="Lucida Sans" w:hAnsi="Lucida Sans"/>
          <w:lang w:val="en-NZ"/>
        </w:rPr>
        <w:t xml:space="preserve"> </w:t>
      </w:r>
      <w:r>
        <w:rPr>
          <w:rFonts w:ascii="Lucida Sans" w:hAnsi="Lucida Sans"/>
          <w:lang w:val="en-NZ"/>
        </w:rPr>
        <w:br/>
        <w:t>[2]Portfolio future volatility is calculated as the standard deviation of the portfolio's simulated future values over a 10 year term using the portfolio's asset allocation.  Simulated future values are based on stochastic simulations carried out with return, volatility and correlation projections for the underlying asset classes from Hymans Robertson.</w:t>
      </w:r>
      <w:r>
        <w:rPr>
          <w:rFonts w:ascii="Lucida Sans" w:hAnsi="Lucida Sans"/>
          <w:lang w:val="en-NZ"/>
        </w:rPr>
        <w:br/>
        <w:t>[4] As a Balanced Growth investor you do not see yourself as a cautious person and have no strong positive or negative associations with the notion of taking risk.  If you have experience of investments and a degree of understanding of financial matters then you may be suited to a Balanced Growth approach to investing.  You may also be suited to this approach if you make investment decisions reasonably quickly and don’t tend to be particularly anxious about those decisions.  As a Balanced Growth investor you can be inclined to look for a combination of investments with differing levels of risk and understand that you may need to take some risk to meet your investment goals.</w:t>
      </w:r>
      <w:r>
        <w:rPr>
          <w:rFonts w:ascii="Lucida Sans" w:hAnsi="Lucida Sans"/>
          <w:lang w:val="en-NZ"/>
        </w:rPr>
        <w:br/>
      </w:r>
    </w:p>
    <w:tbl>
      <w:tblPr>
        <w:tblStyle w:val="DefaqtoTable"/>
        <w:tblW w:w="5000" w:type="pct"/>
        <w:tblLayout w:type="fixed"/>
        <w:tblLook w:val="0420" w:firstRow="1" w:lastRow="0" w:firstColumn="0" w:lastColumn="0" w:noHBand="0" w:noVBand="1"/>
      </w:tblPr>
      <w:tblGrid>
        <w:gridCol w:w="4616"/>
        <w:gridCol w:w="4367"/>
        <w:gridCol w:w="1633"/>
      </w:tblGrid>
      <w:tr w:rsidR="007720DF" w14:paraId="03D8CECD" w14:textId="77777777" w:rsidTr="00F94A32">
        <w:trPr>
          <w:cnfStyle w:val="100000000000" w:firstRow="1" w:lastRow="0" w:firstColumn="0" w:lastColumn="0" w:oddVBand="0" w:evenVBand="0" w:oddHBand="0" w:evenHBand="0" w:firstRowFirstColumn="0" w:firstRowLastColumn="0" w:lastRowFirstColumn="0" w:lastRowLastColumn="0"/>
        </w:trPr>
        <w:tc>
          <w:tcPr>
            <w:tcW w:w="2174" w:type="pct"/>
          </w:tcPr>
          <w:p w14:paraId="7361F823" w14:textId="77777777" w:rsidR="007720DF" w:rsidRDefault="007720DF" w:rsidP="00F94A32">
            <w:pPr>
              <w:pStyle w:val="DefaqtoTableBody2"/>
              <w:rPr>
                <w:b w:val="0"/>
                <w:bCs w:val="0"/>
              </w:rPr>
            </w:pPr>
            <w:r>
              <w:t>Investment</w:t>
            </w:r>
          </w:p>
        </w:tc>
        <w:tc>
          <w:tcPr>
            <w:tcW w:w="2057" w:type="pct"/>
          </w:tcPr>
          <w:p w14:paraId="1079525A" w14:textId="77777777" w:rsidR="007720DF" w:rsidRDefault="007720DF" w:rsidP="00F94A32">
            <w:pPr>
              <w:pStyle w:val="DefaqtoTableBody2"/>
              <w:rPr>
                <w:b w:val="0"/>
                <w:bCs w:val="0"/>
              </w:rPr>
            </w:pPr>
            <w:r>
              <w:t>Provider</w:t>
            </w:r>
            <w:r>
              <w:tab/>
            </w:r>
          </w:p>
        </w:tc>
        <w:tc>
          <w:tcPr>
            <w:tcW w:w="769" w:type="pct"/>
          </w:tcPr>
          <w:p w14:paraId="1958EF16" w14:textId="77777777" w:rsidR="007720DF" w:rsidRDefault="007720DF" w:rsidP="00F94A32">
            <w:pPr>
              <w:pStyle w:val="DefaqtoTableBody2"/>
              <w:jc w:val="right"/>
              <w:rPr>
                <w:b w:val="0"/>
                <w:bCs w:val="0"/>
              </w:rPr>
            </w:pPr>
            <w:r>
              <w:t>% Invested</w:t>
            </w:r>
          </w:p>
        </w:tc>
      </w:tr>
      <w:tr w:rsidR="007720DF" w14:paraId="073D3197" w14:textId="77777777" w:rsidTr="00F94A32">
        <w:tc>
          <w:tcPr>
            <w:tcW w:w="2174" w:type="pct"/>
          </w:tcPr>
          <w:p w14:paraId="2F823D9B" w14:textId="77777777" w:rsidR="007720DF" w:rsidRDefault="007720DF" w:rsidP="00F94A32">
            <w:pPr>
              <w:pStyle w:val="DefaqtoTableBody2"/>
            </w:pPr>
            <w:r>
              <w:rPr>
                <w:lang w:val="en-NZ"/>
              </w:rPr>
              <w:t xml:space="preserve">True Potential Allianz Balanced </w:t>
            </w:r>
            <w:proofErr w:type="spellStart"/>
            <w:r>
              <w:rPr>
                <w:lang w:val="en-NZ"/>
              </w:rPr>
              <w:t>Acc</w:t>
            </w:r>
            <w:proofErr w:type="spellEnd"/>
            <w:r>
              <w:rPr>
                <w:lang w:val="en-NZ"/>
              </w:rPr>
              <w:t xml:space="preserve"> (GBP)</w:t>
            </w:r>
          </w:p>
        </w:tc>
        <w:tc>
          <w:tcPr>
            <w:tcW w:w="2057" w:type="pct"/>
          </w:tcPr>
          <w:p w14:paraId="32822074" w14:textId="77777777" w:rsidR="007720DF" w:rsidRDefault="007720DF" w:rsidP="00F94A32">
            <w:pPr>
              <w:pStyle w:val="DefaqtoTableBody2"/>
            </w:pPr>
            <w:r>
              <w:rPr>
                <w:lang w:val="en-NZ"/>
              </w:rPr>
              <w:t>True Potential Administration LLP</w:t>
            </w:r>
          </w:p>
        </w:tc>
        <w:tc>
          <w:tcPr>
            <w:tcW w:w="769" w:type="pct"/>
          </w:tcPr>
          <w:p w14:paraId="4523BE02" w14:textId="77777777" w:rsidR="007720DF" w:rsidRDefault="007720DF" w:rsidP="00F94A32">
            <w:pPr>
              <w:pStyle w:val="DefaqtoTableBody2"/>
              <w:jc w:val="right"/>
            </w:pPr>
            <w:r>
              <w:rPr>
                <w:lang w:val="en-NZ"/>
              </w:rPr>
              <w:t>12.01</w:t>
            </w:r>
          </w:p>
        </w:tc>
      </w:tr>
      <w:tr w:rsidR="007720DF" w14:paraId="54EC65CC" w14:textId="77777777" w:rsidTr="00F94A32">
        <w:tc>
          <w:tcPr>
            <w:tcW w:w="2174" w:type="pct"/>
          </w:tcPr>
          <w:p w14:paraId="51A41FAF" w14:textId="77777777" w:rsidR="007720DF" w:rsidRDefault="007720DF" w:rsidP="00F94A32">
            <w:pPr>
              <w:pStyle w:val="DefaqtoTableBody2"/>
            </w:pPr>
            <w:r>
              <w:rPr>
                <w:lang w:val="en-NZ"/>
              </w:rPr>
              <w:t xml:space="preserve">True Potential Goldman Sachs Balanced </w:t>
            </w:r>
            <w:proofErr w:type="spellStart"/>
            <w:r>
              <w:rPr>
                <w:lang w:val="en-NZ"/>
              </w:rPr>
              <w:t>Acc</w:t>
            </w:r>
            <w:proofErr w:type="spellEnd"/>
            <w:r>
              <w:rPr>
                <w:lang w:val="en-NZ"/>
              </w:rPr>
              <w:t xml:space="preserve"> (GBP)</w:t>
            </w:r>
          </w:p>
        </w:tc>
        <w:tc>
          <w:tcPr>
            <w:tcW w:w="2057" w:type="pct"/>
          </w:tcPr>
          <w:p w14:paraId="20604E66" w14:textId="77777777" w:rsidR="007720DF" w:rsidRDefault="007720DF" w:rsidP="00F94A32">
            <w:pPr>
              <w:pStyle w:val="DefaqtoTableBody2"/>
            </w:pPr>
            <w:r>
              <w:rPr>
                <w:lang w:val="en-NZ"/>
              </w:rPr>
              <w:t>True Potential Administration LLP</w:t>
            </w:r>
          </w:p>
        </w:tc>
        <w:tc>
          <w:tcPr>
            <w:tcW w:w="769" w:type="pct"/>
          </w:tcPr>
          <w:p w14:paraId="29AC6005" w14:textId="77777777" w:rsidR="007720DF" w:rsidRDefault="007720DF" w:rsidP="00F94A32">
            <w:pPr>
              <w:pStyle w:val="DefaqtoTableBody2"/>
              <w:jc w:val="right"/>
            </w:pPr>
            <w:r>
              <w:rPr>
                <w:lang w:val="en-NZ"/>
              </w:rPr>
              <w:t>5.97</w:t>
            </w:r>
          </w:p>
        </w:tc>
      </w:tr>
      <w:tr w:rsidR="007720DF" w14:paraId="06D74826" w14:textId="77777777" w:rsidTr="00F94A32">
        <w:tc>
          <w:tcPr>
            <w:tcW w:w="2174" w:type="pct"/>
          </w:tcPr>
          <w:p w14:paraId="0C0A35FA" w14:textId="77777777" w:rsidR="007720DF" w:rsidRDefault="007720DF" w:rsidP="00F94A32">
            <w:pPr>
              <w:pStyle w:val="DefaqtoTableBody2"/>
            </w:pPr>
            <w:r>
              <w:rPr>
                <w:lang w:val="en-NZ"/>
              </w:rPr>
              <w:t xml:space="preserve">True Potential Growth-Aligned Aggressive </w:t>
            </w:r>
            <w:proofErr w:type="spellStart"/>
            <w:r>
              <w:rPr>
                <w:lang w:val="en-NZ"/>
              </w:rPr>
              <w:t>Acc</w:t>
            </w:r>
            <w:proofErr w:type="spellEnd"/>
            <w:r>
              <w:rPr>
                <w:lang w:val="en-NZ"/>
              </w:rPr>
              <w:t xml:space="preserve"> (GBP)</w:t>
            </w:r>
          </w:p>
        </w:tc>
        <w:tc>
          <w:tcPr>
            <w:tcW w:w="2057" w:type="pct"/>
          </w:tcPr>
          <w:p w14:paraId="7EC57CC0" w14:textId="77777777" w:rsidR="007720DF" w:rsidRDefault="007720DF" w:rsidP="00F94A32">
            <w:pPr>
              <w:pStyle w:val="DefaqtoTableBody2"/>
            </w:pPr>
            <w:r>
              <w:rPr>
                <w:lang w:val="en-NZ"/>
              </w:rPr>
              <w:t>True Potential Administration LLP</w:t>
            </w:r>
          </w:p>
        </w:tc>
        <w:tc>
          <w:tcPr>
            <w:tcW w:w="769" w:type="pct"/>
          </w:tcPr>
          <w:p w14:paraId="794FD625" w14:textId="77777777" w:rsidR="007720DF" w:rsidRDefault="007720DF" w:rsidP="00F94A32">
            <w:pPr>
              <w:pStyle w:val="DefaqtoTableBody2"/>
              <w:jc w:val="right"/>
            </w:pPr>
            <w:r>
              <w:rPr>
                <w:lang w:val="en-NZ"/>
              </w:rPr>
              <w:t>23.07</w:t>
            </w:r>
          </w:p>
        </w:tc>
      </w:tr>
      <w:tr w:rsidR="007720DF" w14:paraId="52944E3A" w14:textId="77777777" w:rsidTr="00F94A32">
        <w:tc>
          <w:tcPr>
            <w:tcW w:w="2174" w:type="pct"/>
          </w:tcPr>
          <w:p w14:paraId="0BF79347" w14:textId="77777777" w:rsidR="007720DF" w:rsidRDefault="007720DF" w:rsidP="00F94A32">
            <w:pPr>
              <w:pStyle w:val="DefaqtoTableBody2"/>
            </w:pPr>
            <w:r>
              <w:rPr>
                <w:lang w:val="en-NZ"/>
              </w:rPr>
              <w:t xml:space="preserve">True Potential Schroders Balanced </w:t>
            </w:r>
            <w:proofErr w:type="spellStart"/>
            <w:r>
              <w:rPr>
                <w:lang w:val="en-NZ"/>
              </w:rPr>
              <w:t>Acc</w:t>
            </w:r>
            <w:proofErr w:type="spellEnd"/>
            <w:r>
              <w:rPr>
                <w:lang w:val="en-NZ"/>
              </w:rPr>
              <w:t xml:space="preserve"> (GBP)</w:t>
            </w:r>
          </w:p>
        </w:tc>
        <w:tc>
          <w:tcPr>
            <w:tcW w:w="2057" w:type="pct"/>
          </w:tcPr>
          <w:p w14:paraId="33D9CA7C" w14:textId="77777777" w:rsidR="007720DF" w:rsidRDefault="007720DF" w:rsidP="00F94A32">
            <w:pPr>
              <w:pStyle w:val="DefaqtoTableBody2"/>
            </w:pPr>
            <w:r>
              <w:rPr>
                <w:lang w:val="en-NZ"/>
              </w:rPr>
              <w:t>True Potential Administration LLP</w:t>
            </w:r>
          </w:p>
        </w:tc>
        <w:tc>
          <w:tcPr>
            <w:tcW w:w="769" w:type="pct"/>
          </w:tcPr>
          <w:p w14:paraId="4539B9A8" w14:textId="77777777" w:rsidR="007720DF" w:rsidRDefault="007720DF" w:rsidP="00F94A32">
            <w:pPr>
              <w:pStyle w:val="DefaqtoTableBody2"/>
              <w:jc w:val="right"/>
            </w:pPr>
            <w:r>
              <w:rPr>
                <w:lang w:val="en-NZ"/>
              </w:rPr>
              <w:t>5.10</w:t>
            </w:r>
          </w:p>
        </w:tc>
      </w:tr>
      <w:tr w:rsidR="007720DF" w14:paraId="5ABE0629" w14:textId="77777777" w:rsidTr="00F94A32">
        <w:tc>
          <w:tcPr>
            <w:tcW w:w="2174" w:type="pct"/>
          </w:tcPr>
          <w:p w14:paraId="1E89EC00" w14:textId="77777777" w:rsidR="007720DF" w:rsidRDefault="007720DF" w:rsidP="00F94A32">
            <w:pPr>
              <w:pStyle w:val="DefaqtoTableBody2"/>
            </w:pPr>
            <w:r>
              <w:rPr>
                <w:lang w:val="en-NZ"/>
              </w:rPr>
              <w:t>True Potential SEI Aggressive Inc (GBP)</w:t>
            </w:r>
          </w:p>
        </w:tc>
        <w:tc>
          <w:tcPr>
            <w:tcW w:w="2057" w:type="pct"/>
          </w:tcPr>
          <w:p w14:paraId="2C2F892D" w14:textId="77777777" w:rsidR="007720DF" w:rsidRDefault="007720DF" w:rsidP="00F94A32">
            <w:pPr>
              <w:pStyle w:val="DefaqtoTableBody2"/>
            </w:pPr>
            <w:r>
              <w:rPr>
                <w:lang w:val="en-NZ"/>
              </w:rPr>
              <w:t>True Potential Administration LLP</w:t>
            </w:r>
          </w:p>
        </w:tc>
        <w:tc>
          <w:tcPr>
            <w:tcW w:w="769" w:type="pct"/>
          </w:tcPr>
          <w:p w14:paraId="36AE60A2" w14:textId="77777777" w:rsidR="007720DF" w:rsidRDefault="007720DF" w:rsidP="00F94A32">
            <w:pPr>
              <w:pStyle w:val="DefaqtoTableBody2"/>
              <w:jc w:val="right"/>
            </w:pPr>
            <w:r>
              <w:rPr>
                <w:lang w:val="en-NZ"/>
              </w:rPr>
              <w:t>15.55</w:t>
            </w:r>
          </w:p>
        </w:tc>
      </w:tr>
      <w:tr w:rsidR="007720DF" w14:paraId="12378024" w14:textId="77777777" w:rsidTr="00F94A32">
        <w:tc>
          <w:tcPr>
            <w:tcW w:w="2174" w:type="pct"/>
          </w:tcPr>
          <w:p w14:paraId="46FF2E88" w14:textId="77777777" w:rsidR="007720DF" w:rsidRDefault="007720DF" w:rsidP="00F94A32">
            <w:pPr>
              <w:pStyle w:val="DefaqtoTableBody2"/>
            </w:pPr>
            <w:r>
              <w:rPr>
                <w:lang w:val="en-NZ"/>
              </w:rPr>
              <w:t xml:space="preserve">True Potential </w:t>
            </w:r>
            <w:proofErr w:type="spellStart"/>
            <w:r>
              <w:rPr>
                <w:lang w:val="en-NZ"/>
              </w:rPr>
              <w:t>TrinityBridge</w:t>
            </w:r>
            <w:proofErr w:type="spellEnd"/>
            <w:r>
              <w:rPr>
                <w:lang w:val="en-NZ"/>
              </w:rPr>
              <w:t xml:space="preserve"> Balanced A </w:t>
            </w:r>
            <w:proofErr w:type="spellStart"/>
            <w:r>
              <w:rPr>
                <w:lang w:val="en-NZ"/>
              </w:rPr>
              <w:t>Acc</w:t>
            </w:r>
            <w:proofErr w:type="spellEnd"/>
            <w:r>
              <w:rPr>
                <w:lang w:val="en-NZ"/>
              </w:rPr>
              <w:t xml:space="preserve"> Shares (GBP)</w:t>
            </w:r>
          </w:p>
        </w:tc>
        <w:tc>
          <w:tcPr>
            <w:tcW w:w="2057" w:type="pct"/>
          </w:tcPr>
          <w:p w14:paraId="46A8F6DD" w14:textId="77777777" w:rsidR="007720DF" w:rsidRDefault="007720DF" w:rsidP="00F94A32">
            <w:pPr>
              <w:pStyle w:val="DefaqtoTableBody2"/>
            </w:pPr>
            <w:r>
              <w:rPr>
                <w:lang w:val="en-NZ"/>
              </w:rPr>
              <w:t>True Potential Administration LLP</w:t>
            </w:r>
          </w:p>
        </w:tc>
        <w:tc>
          <w:tcPr>
            <w:tcW w:w="769" w:type="pct"/>
          </w:tcPr>
          <w:p w14:paraId="5B1365DC" w14:textId="77777777" w:rsidR="007720DF" w:rsidRDefault="007720DF" w:rsidP="00F94A32">
            <w:pPr>
              <w:pStyle w:val="DefaqtoTableBody2"/>
              <w:jc w:val="right"/>
            </w:pPr>
            <w:r>
              <w:rPr>
                <w:lang w:val="en-NZ"/>
              </w:rPr>
              <w:t>16.65</w:t>
            </w:r>
          </w:p>
        </w:tc>
      </w:tr>
      <w:tr w:rsidR="007720DF" w14:paraId="6F2AD2B9" w14:textId="77777777" w:rsidTr="00F94A32">
        <w:tc>
          <w:tcPr>
            <w:tcW w:w="2174" w:type="pct"/>
          </w:tcPr>
          <w:p w14:paraId="763BA909" w14:textId="77777777" w:rsidR="007720DF" w:rsidRDefault="007720DF" w:rsidP="00F94A32">
            <w:pPr>
              <w:pStyle w:val="DefaqtoTableBody2"/>
            </w:pPr>
            <w:r>
              <w:rPr>
                <w:lang w:val="en-NZ"/>
              </w:rPr>
              <w:t xml:space="preserve">True Potential UBS Aggressive </w:t>
            </w:r>
            <w:proofErr w:type="spellStart"/>
            <w:r>
              <w:rPr>
                <w:lang w:val="en-NZ"/>
              </w:rPr>
              <w:t>Acc</w:t>
            </w:r>
            <w:proofErr w:type="spellEnd"/>
            <w:r>
              <w:rPr>
                <w:lang w:val="en-NZ"/>
              </w:rPr>
              <w:t xml:space="preserve"> (GBP)</w:t>
            </w:r>
          </w:p>
        </w:tc>
        <w:tc>
          <w:tcPr>
            <w:tcW w:w="2057" w:type="pct"/>
          </w:tcPr>
          <w:p w14:paraId="69D0B4CE" w14:textId="77777777" w:rsidR="007720DF" w:rsidRDefault="007720DF" w:rsidP="00F94A32">
            <w:pPr>
              <w:pStyle w:val="DefaqtoTableBody2"/>
            </w:pPr>
            <w:r>
              <w:rPr>
                <w:lang w:val="en-NZ"/>
              </w:rPr>
              <w:t>True Potential Administration LLP</w:t>
            </w:r>
          </w:p>
        </w:tc>
        <w:tc>
          <w:tcPr>
            <w:tcW w:w="769" w:type="pct"/>
          </w:tcPr>
          <w:p w14:paraId="06B52A77" w14:textId="77777777" w:rsidR="007720DF" w:rsidRDefault="007720DF" w:rsidP="00F94A32">
            <w:pPr>
              <w:pStyle w:val="DefaqtoTableBody2"/>
              <w:jc w:val="right"/>
            </w:pPr>
            <w:r>
              <w:rPr>
                <w:lang w:val="en-NZ"/>
              </w:rPr>
              <w:t>21.65</w:t>
            </w:r>
          </w:p>
        </w:tc>
      </w:tr>
    </w:tbl>
    <w:p w14:paraId="58E2E596" w14:textId="77777777" w:rsidR="007720DF" w:rsidRDefault="007720DF" w:rsidP="007720DF">
      <w:pPr>
        <w:pStyle w:val="Tag"/>
        <w:rPr>
          <w:color w:val="392388"/>
        </w:rPr>
        <w:sectPr w:rsidR="007720DF" w:rsidSect="007720DF">
          <w:headerReference w:type="default" r:id="rId6"/>
          <w:footerReference w:type="default" r:id="rId7"/>
          <w:pgSz w:w="11906" w:h="16838"/>
          <w:pgMar w:top="964" w:right="640" w:bottom="376" w:left="640" w:header="300" w:footer="160" w:gutter="0"/>
          <w:cols w:space="708"/>
          <w:docGrid w:linePitch="360"/>
        </w:sectPr>
      </w:pPr>
    </w:p>
    <w:p w14:paraId="138E985E" w14:textId="77777777" w:rsidR="007720DF" w:rsidRDefault="007720DF" w:rsidP="007720DF">
      <w:pPr>
        <w:pStyle w:val="DefaqtoHeading2-noTOC"/>
      </w:pPr>
      <w:r>
        <w:lastRenderedPageBreak/>
        <w:t>Asset allocation</w:t>
      </w:r>
    </w:p>
    <w:p w14:paraId="6077FEB3" w14:textId="77777777" w:rsidR="007720DF" w:rsidRDefault="007720DF" w:rsidP="007720DF">
      <w:pPr>
        <w:rPr>
          <w:color w:val="392388"/>
          <w:lang w:val="en-NZ"/>
        </w:rPr>
      </w:pPr>
    </w:p>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4275"/>
        <w:gridCol w:w="4751"/>
      </w:tblGrid>
      <w:tr w:rsidR="007720DF" w14:paraId="40DC3AB5" w14:textId="77777777" w:rsidTr="00F94A32">
        <w:trPr>
          <w:tblCellSpacing w:w="15" w:type="dxa"/>
        </w:trPr>
        <w:tc>
          <w:tcPr>
            <w:tcW w:w="1000" w:type="pct"/>
          </w:tcPr>
          <w:p w14:paraId="76730DD6" w14:textId="54C28AF4" w:rsidR="007720DF" w:rsidRDefault="007720DF" w:rsidP="00F94A32">
            <w:r>
              <w:rPr>
                <w:noProof/>
              </w:rPr>
              <w:drawing>
                <wp:inline distT="0" distB="0" distL="0" distR="0" wp14:anchorId="37990877" wp14:editId="3B0F4B25">
                  <wp:extent cx="2667000" cy="2667000"/>
                  <wp:effectExtent l="0" t="0" r="0" b="0"/>
                  <wp:docPr id="8307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0" cy="2667000"/>
                          </a:xfrm>
                          <a:prstGeom prst="rect">
                            <a:avLst/>
                          </a:prstGeom>
                          <a:noFill/>
                          <a:ln>
                            <a:noFill/>
                          </a:ln>
                        </pic:spPr>
                      </pic:pic>
                    </a:graphicData>
                  </a:graphic>
                </wp:inline>
              </w:drawing>
            </w:r>
            <w:r>
              <w:rPr>
                <w:rFonts w:ascii="Poppins" w:eastAsia="Poppins" w:hAnsi="Poppins" w:cs="Poppins"/>
                <w:sz w:val="16"/>
                <w:szCs w:val="16"/>
              </w:rPr>
              <w:t xml:space="preserve"> </w:t>
            </w:r>
          </w:p>
        </w:tc>
        <w:tc>
          <w:tcPr>
            <w:tcW w:w="0" w:type="auto"/>
          </w:tcPr>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195"/>
              <w:gridCol w:w="2863"/>
              <w:gridCol w:w="498"/>
              <w:gridCol w:w="600"/>
              <w:gridCol w:w="520"/>
            </w:tblGrid>
            <w:tr w:rsidR="007720DF" w14:paraId="376C8B41" w14:textId="77777777" w:rsidTr="00F94A32">
              <w:trPr>
                <w:trHeight w:val="400"/>
                <w:tblCellSpacing w:w="15" w:type="dxa"/>
              </w:trPr>
              <w:tc>
                <w:tcPr>
                  <w:tcW w:w="120" w:type="dxa"/>
                  <w:gridSpan w:val="2"/>
                  <w:tcBorders>
                    <w:bottom w:val="single" w:sz="4" w:space="0" w:color="000000"/>
                  </w:tcBorders>
                </w:tcPr>
                <w:p w14:paraId="36E6D1C4" w14:textId="77777777" w:rsidR="007720DF" w:rsidRDefault="007720DF" w:rsidP="00F94A32">
                  <w:pPr>
                    <w:spacing w:before="0" w:line="240" w:lineRule="auto"/>
                  </w:pPr>
                  <w:r>
                    <w:rPr>
                      <w:rFonts w:ascii="Poppins" w:eastAsia="Poppins" w:hAnsi="Poppins" w:cs="Poppins"/>
                      <w:b/>
                      <w:bCs/>
                      <w:sz w:val="16"/>
                      <w:szCs w:val="16"/>
                    </w:rPr>
                    <w:t>ASSET ALLOCATION⁽¹⁾</w:t>
                  </w:r>
                </w:p>
              </w:tc>
              <w:tc>
                <w:tcPr>
                  <w:tcW w:w="550" w:type="pct"/>
                  <w:tcBorders>
                    <w:bottom w:val="single" w:sz="4" w:space="0" w:color="000000"/>
                  </w:tcBorders>
                </w:tcPr>
                <w:p w14:paraId="500A0BF7" w14:textId="77777777" w:rsidR="007720DF" w:rsidRDefault="007720DF" w:rsidP="00F94A32">
                  <w:pPr>
                    <w:spacing w:before="0" w:line="240" w:lineRule="auto"/>
                    <w:jc w:val="right"/>
                  </w:pPr>
                  <w:r>
                    <w:rPr>
                      <w:rFonts w:ascii="Poppins" w:eastAsia="Poppins" w:hAnsi="Poppins" w:cs="Poppins"/>
                      <w:b/>
                      <w:bCs/>
                      <w:sz w:val="16"/>
                      <w:szCs w:val="16"/>
                    </w:rPr>
                    <w:t xml:space="preserve">NET %⁽²⁾ </w:t>
                  </w:r>
                </w:p>
              </w:tc>
              <w:tc>
                <w:tcPr>
                  <w:tcW w:w="550" w:type="pct"/>
                  <w:tcBorders>
                    <w:bottom w:val="single" w:sz="4" w:space="0" w:color="000000"/>
                  </w:tcBorders>
                </w:tcPr>
                <w:p w14:paraId="2C79F2AD" w14:textId="77777777" w:rsidR="007720DF" w:rsidRDefault="007720DF" w:rsidP="00F94A32">
                  <w:pPr>
                    <w:spacing w:before="0" w:line="240" w:lineRule="auto"/>
                    <w:jc w:val="right"/>
                  </w:pPr>
                  <w:r>
                    <w:rPr>
                      <w:rFonts w:ascii="Poppins" w:eastAsia="Poppins" w:hAnsi="Poppins" w:cs="Poppins"/>
                      <w:b/>
                      <w:bCs/>
                      <w:sz w:val="16"/>
                      <w:szCs w:val="16"/>
                    </w:rPr>
                    <w:t>SHORT %</w:t>
                  </w:r>
                </w:p>
              </w:tc>
              <w:tc>
                <w:tcPr>
                  <w:tcW w:w="550" w:type="pct"/>
                  <w:tcBorders>
                    <w:bottom w:val="single" w:sz="4" w:space="0" w:color="000000"/>
                  </w:tcBorders>
                </w:tcPr>
                <w:p w14:paraId="5D5F988F" w14:textId="77777777" w:rsidR="007720DF" w:rsidRDefault="007720DF" w:rsidP="00F94A32">
                  <w:pPr>
                    <w:spacing w:before="0" w:line="240" w:lineRule="auto"/>
                    <w:jc w:val="right"/>
                  </w:pPr>
                  <w:r>
                    <w:rPr>
                      <w:rFonts w:ascii="Poppins" w:eastAsia="Poppins" w:hAnsi="Poppins" w:cs="Poppins"/>
                      <w:b/>
                      <w:bCs/>
                      <w:sz w:val="16"/>
                      <w:szCs w:val="16"/>
                    </w:rPr>
                    <w:t>LONG %</w:t>
                  </w:r>
                </w:p>
              </w:tc>
            </w:tr>
            <w:tr w:rsidR="007720DF" w14:paraId="28987A9B" w14:textId="77777777" w:rsidTr="00F94A32">
              <w:trPr>
                <w:tblCellSpacing w:w="15" w:type="dxa"/>
              </w:trPr>
              <w:tc>
                <w:tcPr>
                  <w:tcW w:w="0" w:type="auto"/>
                  <w:vAlign w:val="center"/>
                </w:tcPr>
                <w:p w14:paraId="5A270644" w14:textId="77777777" w:rsidR="007720DF" w:rsidRDefault="007720DF" w:rsidP="00F94A32">
                  <w:pPr>
                    <w:spacing w:before="0" w:line="240" w:lineRule="auto"/>
                  </w:pPr>
                  <w:r>
                    <w:rPr>
                      <w:rFonts w:ascii="Wingdings" w:eastAsia="Wingdings" w:hAnsi="Wingdings" w:cs="Wingdings"/>
                      <w:color w:val="8E44AD"/>
                      <w:sz w:val="16"/>
                      <w:szCs w:val="16"/>
                    </w:rPr>
                    <w:t>l</w:t>
                  </w:r>
                </w:p>
              </w:tc>
              <w:tc>
                <w:tcPr>
                  <w:tcW w:w="0" w:type="auto"/>
                  <w:vAlign w:val="center"/>
                </w:tcPr>
                <w:p w14:paraId="26284DC0" w14:textId="77777777" w:rsidR="007720DF" w:rsidRDefault="007720DF" w:rsidP="00F94A32">
                  <w:pPr>
                    <w:spacing w:before="0" w:line="240" w:lineRule="auto"/>
                  </w:pPr>
                  <w:r>
                    <w:rPr>
                      <w:rFonts w:ascii="Poppins" w:eastAsia="Poppins" w:hAnsi="Poppins" w:cs="Poppins"/>
                      <w:sz w:val="16"/>
                      <w:szCs w:val="16"/>
                    </w:rPr>
                    <w:t>North America Equity</w:t>
                  </w:r>
                </w:p>
              </w:tc>
              <w:tc>
                <w:tcPr>
                  <w:tcW w:w="550" w:type="pct"/>
                  <w:vAlign w:val="center"/>
                </w:tcPr>
                <w:p w14:paraId="733B7991" w14:textId="77777777" w:rsidR="007720DF" w:rsidRDefault="007720DF" w:rsidP="00F94A32">
                  <w:pPr>
                    <w:spacing w:before="0" w:line="240" w:lineRule="auto"/>
                    <w:jc w:val="right"/>
                  </w:pPr>
                  <w:r>
                    <w:rPr>
                      <w:rFonts w:ascii="Poppins" w:eastAsia="Poppins" w:hAnsi="Poppins" w:cs="Poppins"/>
                      <w:sz w:val="16"/>
                      <w:szCs w:val="16"/>
                    </w:rPr>
                    <w:t>36.31</w:t>
                  </w:r>
                </w:p>
              </w:tc>
              <w:tc>
                <w:tcPr>
                  <w:tcW w:w="550" w:type="pct"/>
                  <w:vAlign w:val="center"/>
                </w:tcPr>
                <w:p w14:paraId="4BB3A011" w14:textId="77777777" w:rsidR="007720DF" w:rsidRDefault="007720DF" w:rsidP="00F94A32">
                  <w:pPr>
                    <w:spacing w:before="0" w:line="240" w:lineRule="auto"/>
                    <w:jc w:val="right"/>
                  </w:pPr>
                  <w:r>
                    <w:rPr>
                      <w:rFonts w:ascii="Poppins" w:eastAsia="Poppins" w:hAnsi="Poppins" w:cs="Poppins"/>
                      <w:sz w:val="16"/>
                      <w:szCs w:val="16"/>
                    </w:rPr>
                    <w:t>-0.11</w:t>
                  </w:r>
                </w:p>
              </w:tc>
              <w:tc>
                <w:tcPr>
                  <w:tcW w:w="550" w:type="pct"/>
                  <w:vAlign w:val="center"/>
                </w:tcPr>
                <w:p w14:paraId="451097B3" w14:textId="77777777" w:rsidR="007720DF" w:rsidRDefault="007720DF" w:rsidP="00F94A32">
                  <w:pPr>
                    <w:spacing w:before="0" w:line="240" w:lineRule="auto"/>
                    <w:jc w:val="right"/>
                  </w:pPr>
                  <w:r>
                    <w:rPr>
                      <w:rFonts w:ascii="Poppins" w:eastAsia="Poppins" w:hAnsi="Poppins" w:cs="Poppins"/>
                      <w:sz w:val="16"/>
                      <w:szCs w:val="16"/>
                    </w:rPr>
                    <w:t>36.42</w:t>
                  </w:r>
                </w:p>
              </w:tc>
            </w:tr>
            <w:tr w:rsidR="007720DF" w14:paraId="7619D195" w14:textId="77777777" w:rsidTr="00F94A32">
              <w:trPr>
                <w:tblCellSpacing w:w="15" w:type="dxa"/>
              </w:trPr>
              <w:tc>
                <w:tcPr>
                  <w:tcW w:w="0" w:type="auto"/>
                  <w:vAlign w:val="center"/>
                </w:tcPr>
                <w:p w14:paraId="7CA45835" w14:textId="77777777" w:rsidR="007720DF" w:rsidRDefault="007720DF" w:rsidP="00F94A32">
                  <w:pPr>
                    <w:spacing w:before="0" w:line="240" w:lineRule="auto"/>
                  </w:pPr>
                  <w:r>
                    <w:rPr>
                      <w:rFonts w:ascii="Wingdings" w:eastAsia="Wingdings" w:hAnsi="Wingdings" w:cs="Wingdings"/>
                      <w:color w:val="A0A5A9"/>
                      <w:sz w:val="16"/>
                      <w:szCs w:val="16"/>
                    </w:rPr>
                    <w:t>l</w:t>
                  </w:r>
                </w:p>
              </w:tc>
              <w:tc>
                <w:tcPr>
                  <w:tcW w:w="0" w:type="auto"/>
                  <w:vAlign w:val="center"/>
                </w:tcPr>
                <w:p w14:paraId="47D8E988" w14:textId="77777777" w:rsidR="007720DF" w:rsidRDefault="007720DF" w:rsidP="00F94A32">
                  <w:pPr>
                    <w:spacing w:before="0" w:line="240" w:lineRule="auto"/>
                  </w:pPr>
                  <w:r>
                    <w:rPr>
                      <w:rFonts w:ascii="Poppins" w:eastAsia="Poppins" w:hAnsi="Poppins" w:cs="Poppins"/>
                      <w:sz w:val="16"/>
                      <w:szCs w:val="16"/>
                    </w:rPr>
                    <w:t>Global (ex-UK) Fixed Income</w:t>
                  </w:r>
                </w:p>
              </w:tc>
              <w:tc>
                <w:tcPr>
                  <w:tcW w:w="550" w:type="pct"/>
                  <w:vAlign w:val="center"/>
                </w:tcPr>
                <w:p w14:paraId="6783DF0B" w14:textId="77777777" w:rsidR="007720DF" w:rsidRDefault="007720DF" w:rsidP="00F94A32">
                  <w:pPr>
                    <w:spacing w:before="0" w:line="240" w:lineRule="auto"/>
                    <w:jc w:val="right"/>
                  </w:pPr>
                  <w:r>
                    <w:rPr>
                      <w:rFonts w:ascii="Poppins" w:eastAsia="Poppins" w:hAnsi="Poppins" w:cs="Poppins"/>
                      <w:sz w:val="16"/>
                      <w:szCs w:val="16"/>
                    </w:rPr>
                    <w:t>19.87</w:t>
                  </w:r>
                </w:p>
              </w:tc>
              <w:tc>
                <w:tcPr>
                  <w:tcW w:w="550" w:type="pct"/>
                  <w:vAlign w:val="center"/>
                </w:tcPr>
                <w:p w14:paraId="4910A4A1" w14:textId="77777777" w:rsidR="007720DF" w:rsidRDefault="007720DF" w:rsidP="00F94A32">
                  <w:pPr>
                    <w:spacing w:before="0" w:line="240" w:lineRule="auto"/>
                    <w:jc w:val="right"/>
                  </w:pPr>
                  <w:r>
                    <w:rPr>
                      <w:rFonts w:ascii="Poppins" w:eastAsia="Poppins" w:hAnsi="Poppins" w:cs="Poppins"/>
                      <w:sz w:val="16"/>
                      <w:szCs w:val="16"/>
                    </w:rPr>
                    <w:t>-3.21</w:t>
                  </w:r>
                </w:p>
              </w:tc>
              <w:tc>
                <w:tcPr>
                  <w:tcW w:w="550" w:type="pct"/>
                  <w:vAlign w:val="center"/>
                </w:tcPr>
                <w:p w14:paraId="1E888317" w14:textId="77777777" w:rsidR="007720DF" w:rsidRDefault="007720DF" w:rsidP="00F94A32">
                  <w:pPr>
                    <w:spacing w:before="0" w:line="240" w:lineRule="auto"/>
                    <w:jc w:val="right"/>
                  </w:pPr>
                  <w:r>
                    <w:rPr>
                      <w:rFonts w:ascii="Poppins" w:eastAsia="Poppins" w:hAnsi="Poppins" w:cs="Poppins"/>
                      <w:sz w:val="16"/>
                      <w:szCs w:val="16"/>
                    </w:rPr>
                    <w:t>23.08</w:t>
                  </w:r>
                </w:p>
              </w:tc>
            </w:tr>
            <w:tr w:rsidR="007720DF" w14:paraId="0510FEEE" w14:textId="77777777" w:rsidTr="00F94A32">
              <w:trPr>
                <w:tblCellSpacing w:w="15" w:type="dxa"/>
              </w:trPr>
              <w:tc>
                <w:tcPr>
                  <w:tcW w:w="0" w:type="auto"/>
                  <w:vAlign w:val="center"/>
                </w:tcPr>
                <w:p w14:paraId="578A453A" w14:textId="77777777" w:rsidR="007720DF" w:rsidRDefault="007720DF" w:rsidP="00F94A32">
                  <w:pPr>
                    <w:spacing w:before="0" w:line="240" w:lineRule="auto"/>
                  </w:pPr>
                  <w:r>
                    <w:rPr>
                      <w:rFonts w:ascii="Wingdings" w:eastAsia="Wingdings" w:hAnsi="Wingdings" w:cs="Wingdings"/>
                      <w:color w:val="3FC6D4"/>
                      <w:sz w:val="16"/>
                      <w:szCs w:val="16"/>
                    </w:rPr>
                    <w:t>l</w:t>
                  </w:r>
                </w:p>
              </w:tc>
              <w:tc>
                <w:tcPr>
                  <w:tcW w:w="0" w:type="auto"/>
                  <w:vAlign w:val="center"/>
                </w:tcPr>
                <w:p w14:paraId="6E8EA4E6" w14:textId="77777777" w:rsidR="007720DF" w:rsidRDefault="007720DF" w:rsidP="00F94A32">
                  <w:pPr>
                    <w:spacing w:before="0" w:line="240" w:lineRule="auto"/>
                  </w:pPr>
                  <w:r>
                    <w:rPr>
                      <w:rFonts w:ascii="Poppins" w:eastAsia="Poppins" w:hAnsi="Poppins" w:cs="Poppins"/>
                      <w:sz w:val="16"/>
                      <w:szCs w:val="16"/>
                    </w:rPr>
                    <w:t>Europe (ex-UK) Equity</w:t>
                  </w:r>
                </w:p>
              </w:tc>
              <w:tc>
                <w:tcPr>
                  <w:tcW w:w="550" w:type="pct"/>
                  <w:vAlign w:val="center"/>
                </w:tcPr>
                <w:p w14:paraId="7158FBCB" w14:textId="77777777" w:rsidR="007720DF" w:rsidRDefault="007720DF" w:rsidP="00F94A32">
                  <w:pPr>
                    <w:spacing w:before="0" w:line="240" w:lineRule="auto"/>
                    <w:jc w:val="right"/>
                  </w:pPr>
                  <w:r>
                    <w:rPr>
                      <w:rFonts w:ascii="Poppins" w:eastAsia="Poppins" w:hAnsi="Poppins" w:cs="Poppins"/>
                      <w:sz w:val="16"/>
                      <w:szCs w:val="16"/>
                    </w:rPr>
                    <w:t>15.23</w:t>
                  </w:r>
                </w:p>
              </w:tc>
              <w:tc>
                <w:tcPr>
                  <w:tcW w:w="550" w:type="pct"/>
                  <w:vAlign w:val="center"/>
                </w:tcPr>
                <w:p w14:paraId="7DC09ED7" w14:textId="77777777" w:rsidR="007720DF" w:rsidRDefault="007720DF" w:rsidP="00F94A32">
                  <w:pPr>
                    <w:spacing w:before="0" w:line="240" w:lineRule="auto"/>
                    <w:jc w:val="right"/>
                  </w:pPr>
                  <w:r>
                    <w:rPr>
                      <w:rFonts w:ascii="Poppins" w:eastAsia="Poppins" w:hAnsi="Poppins" w:cs="Poppins"/>
                      <w:sz w:val="16"/>
                      <w:szCs w:val="16"/>
                    </w:rPr>
                    <w:t>-0.02</w:t>
                  </w:r>
                </w:p>
              </w:tc>
              <w:tc>
                <w:tcPr>
                  <w:tcW w:w="550" w:type="pct"/>
                  <w:vAlign w:val="center"/>
                </w:tcPr>
                <w:p w14:paraId="619AA74C" w14:textId="77777777" w:rsidR="007720DF" w:rsidRDefault="007720DF" w:rsidP="00F94A32">
                  <w:pPr>
                    <w:spacing w:before="0" w:line="240" w:lineRule="auto"/>
                    <w:jc w:val="right"/>
                  </w:pPr>
                  <w:r>
                    <w:rPr>
                      <w:rFonts w:ascii="Poppins" w:eastAsia="Poppins" w:hAnsi="Poppins" w:cs="Poppins"/>
                      <w:sz w:val="16"/>
                      <w:szCs w:val="16"/>
                    </w:rPr>
                    <w:t>15.25</w:t>
                  </w:r>
                </w:p>
              </w:tc>
            </w:tr>
            <w:tr w:rsidR="007720DF" w14:paraId="0EB3AA05" w14:textId="77777777" w:rsidTr="00F94A32">
              <w:trPr>
                <w:tblCellSpacing w:w="15" w:type="dxa"/>
              </w:trPr>
              <w:tc>
                <w:tcPr>
                  <w:tcW w:w="0" w:type="auto"/>
                  <w:vAlign w:val="center"/>
                </w:tcPr>
                <w:p w14:paraId="7810AEA6" w14:textId="77777777" w:rsidR="007720DF" w:rsidRDefault="007720DF" w:rsidP="00F94A32">
                  <w:pPr>
                    <w:spacing w:before="0" w:line="240" w:lineRule="auto"/>
                  </w:pPr>
                  <w:r>
                    <w:rPr>
                      <w:rFonts w:ascii="Wingdings" w:eastAsia="Wingdings" w:hAnsi="Wingdings" w:cs="Wingdings"/>
                      <w:color w:val="16A085"/>
                      <w:sz w:val="16"/>
                      <w:szCs w:val="16"/>
                    </w:rPr>
                    <w:t>l</w:t>
                  </w:r>
                </w:p>
              </w:tc>
              <w:tc>
                <w:tcPr>
                  <w:tcW w:w="0" w:type="auto"/>
                  <w:vAlign w:val="center"/>
                </w:tcPr>
                <w:p w14:paraId="33090D5E" w14:textId="77777777" w:rsidR="007720DF" w:rsidRDefault="007720DF" w:rsidP="00F94A32">
                  <w:pPr>
                    <w:spacing w:before="0" w:line="240" w:lineRule="auto"/>
                  </w:pPr>
                  <w:r>
                    <w:rPr>
                      <w:rFonts w:ascii="Poppins" w:eastAsia="Poppins" w:hAnsi="Poppins" w:cs="Poppins"/>
                      <w:sz w:val="16"/>
                      <w:szCs w:val="16"/>
                    </w:rPr>
                    <w:t>Japan Equity</w:t>
                  </w:r>
                </w:p>
              </w:tc>
              <w:tc>
                <w:tcPr>
                  <w:tcW w:w="550" w:type="pct"/>
                  <w:vAlign w:val="center"/>
                </w:tcPr>
                <w:p w14:paraId="7D529ABF" w14:textId="77777777" w:rsidR="007720DF" w:rsidRDefault="007720DF" w:rsidP="00F94A32">
                  <w:pPr>
                    <w:spacing w:before="0" w:line="240" w:lineRule="auto"/>
                    <w:jc w:val="right"/>
                  </w:pPr>
                  <w:r>
                    <w:rPr>
                      <w:rFonts w:ascii="Poppins" w:eastAsia="Poppins" w:hAnsi="Poppins" w:cs="Poppins"/>
                      <w:sz w:val="16"/>
                      <w:szCs w:val="16"/>
                    </w:rPr>
                    <w:t>6.13</w:t>
                  </w:r>
                </w:p>
              </w:tc>
              <w:tc>
                <w:tcPr>
                  <w:tcW w:w="550" w:type="pct"/>
                  <w:vAlign w:val="center"/>
                </w:tcPr>
                <w:p w14:paraId="65079C27" w14:textId="77777777" w:rsidR="007720DF" w:rsidRDefault="007720DF" w:rsidP="00F94A32">
                  <w:pPr>
                    <w:spacing w:before="0" w:line="240" w:lineRule="auto"/>
                    <w:jc w:val="right"/>
                  </w:pPr>
                  <w:r>
                    <w:rPr>
                      <w:rFonts w:ascii="Poppins" w:eastAsia="Poppins" w:hAnsi="Poppins" w:cs="Poppins"/>
                      <w:sz w:val="16"/>
                      <w:szCs w:val="16"/>
                    </w:rPr>
                    <w:t>0.00</w:t>
                  </w:r>
                </w:p>
              </w:tc>
              <w:tc>
                <w:tcPr>
                  <w:tcW w:w="550" w:type="pct"/>
                  <w:vAlign w:val="center"/>
                </w:tcPr>
                <w:p w14:paraId="6FFE6D4A" w14:textId="77777777" w:rsidR="007720DF" w:rsidRDefault="007720DF" w:rsidP="00F94A32">
                  <w:pPr>
                    <w:spacing w:before="0" w:line="240" w:lineRule="auto"/>
                    <w:jc w:val="right"/>
                  </w:pPr>
                  <w:r>
                    <w:rPr>
                      <w:rFonts w:ascii="Poppins" w:eastAsia="Poppins" w:hAnsi="Poppins" w:cs="Poppins"/>
                      <w:sz w:val="16"/>
                      <w:szCs w:val="16"/>
                    </w:rPr>
                    <w:t>6.13</w:t>
                  </w:r>
                </w:p>
              </w:tc>
            </w:tr>
            <w:tr w:rsidR="007720DF" w14:paraId="2B641D89" w14:textId="77777777" w:rsidTr="00F94A32">
              <w:trPr>
                <w:tblCellSpacing w:w="15" w:type="dxa"/>
              </w:trPr>
              <w:tc>
                <w:tcPr>
                  <w:tcW w:w="0" w:type="auto"/>
                  <w:vAlign w:val="center"/>
                </w:tcPr>
                <w:p w14:paraId="1D8E384B" w14:textId="77777777" w:rsidR="007720DF" w:rsidRDefault="007720DF" w:rsidP="00F94A32">
                  <w:pPr>
                    <w:spacing w:before="0" w:line="240" w:lineRule="auto"/>
                  </w:pPr>
                  <w:r>
                    <w:rPr>
                      <w:rFonts w:ascii="Wingdings" w:eastAsia="Wingdings" w:hAnsi="Wingdings" w:cs="Wingdings"/>
                      <w:color w:val="FFE382"/>
                      <w:sz w:val="16"/>
                      <w:szCs w:val="16"/>
                    </w:rPr>
                    <w:t>l</w:t>
                  </w:r>
                </w:p>
              </w:tc>
              <w:tc>
                <w:tcPr>
                  <w:tcW w:w="0" w:type="auto"/>
                  <w:vAlign w:val="center"/>
                </w:tcPr>
                <w:p w14:paraId="74124ABE" w14:textId="77777777" w:rsidR="007720DF" w:rsidRDefault="007720DF" w:rsidP="00F94A32">
                  <w:pPr>
                    <w:spacing w:before="0" w:line="240" w:lineRule="auto"/>
                  </w:pPr>
                  <w:r>
                    <w:rPr>
                      <w:rFonts w:ascii="Poppins" w:eastAsia="Poppins" w:hAnsi="Poppins" w:cs="Poppins"/>
                      <w:sz w:val="16"/>
                      <w:szCs w:val="16"/>
                    </w:rPr>
                    <w:t>UK Equity</w:t>
                  </w:r>
                </w:p>
              </w:tc>
              <w:tc>
                <w:tcPr>
                  <w:tcW w:w="550" w:type="pct"/>
                  <w:vAlign w:val="center"/>
                </w:tcPr>
                <w:p w14:paraId="7CCA4F62" w14:textId="77777777" w:rsidR="007720DF" w:rsidRDefault="007720DF" w:rsidP="00F94A32">
                  <w:pPr>
                    <w:spacing w:before="0" w:line="240" w:lineRule="auto"/>
                    <w:jc w:val="right"/>
                  </w:pPr>
                  <w:r>
                    <w:rPr>
                      <w:rFonts w:ascii="Poppins" w:eastAsia="Poppins" w:hAnsi="Poppins" w:cs="Poppins"/>
                      <w:sz w:val="16"/>
                      <w:szCs w:val="16"/>
                    </w:rPr>
                    <w:t>5.91</w:t>
                  </w:r>
                </w:p>
              </w:tc>
              <w:tc>
                <w:tcPr>
                  <w:tcW w:w="550" w:type="pct"/>
                  <w:vAlign w:val="center"/>
                </w:tcPr>
                <w:p w14:paraId="7854663F" w14:textId="77777777" w:rsidR="007720DF" w:rsidRDefault="007720DF" w:rsidP="00F94A32">
                  <w:pPr>
                    <w:spacing w:before="0" w:line="240" w:lineRule="auto"/>
                    <w:jc w:val="right"/>
                  </w:pPr>
                  <w:r>
                    <w:rPr>
                      <w:rFonts w:ascii="Poppins" w:eastAsia="Poppins" w:hAnsi="Poppins" w:cs="Poppins"/>
                      <w:sz w:val="16"/>
                      <w:szCs w:val="16"/>
                    </w:rPr>
                    <w:t>-0.10</w:t>
                  </w:r>
                </w:p>
              </w:tc>
              <w:tc>
                <w:tcPr>
                  <w:tcW w:w="550" w:type="pct"/>
                  <w:vAlign w:val="center"/>
                </w:tcPr>
                <w:p w14:paraId="58E384A2" w14:textId="77777777" w:rsidR="007720DF" w:rsidRDefault="007720DF" w:rsidP="00F94A32">
                  <w:pPr>
                    <w:spacing w:before="0" w:line="240" w:lineRule="auto"/>
                    <w:jc w:val="right"/>
                  </w:pPr>
                  <w:r>
                    <w:rPr>
                      <w:rFonts w:ascii="Poppins" w:eastAsia="Poppins" w:hAnsi="Poppins" w:cs="Poppins"/>
                      <w:sz w:val="16"/>
                      <w:szCs w:val="16"/>
                    </w:rPr>
                    <w:t>6.01</w:t>
                  </w:r>
                </w:p>
              </w:tc>
            </w:tr>
            <w:tr w:rsidR="007720DF" w14:paraId="40EE6FC2" w14:textId="77777777" w:rsidTr="00F94A32">
              <w:trPr>
                <w:tblCellSpacing w:w="15" w:type="dxa"/>
              </w:trPr>
              <w:tc>
                <w:tcPr>
                  <w:tcW w:w="0" w:type="auto"/>
                  <w:vAlign w:val="center"/>
                </w:tcPr>
                <w:p w14:paraId="3ACDCCB6" w14:textId="77777777" w:rsidR="007720DF" w:rsidRDefault="007720DF" w:rsidP="00F94A32">
                  <w:pPr>
                    <w:spacing w:before="0" w:line="240" w:lineRule="auto"/>
                  </w:pPr>
                  <w:r>
                    <w:rPr>
                      <w:rFonts w:ascii="Wingdings" w:eastAsia="Wingdings" w:hAnsi="Wingdings" w:cs="Wingdings"/>
                      <w:color w:val="D35400"/>
                      <w:sz w:val="16"/>
                      <w:szCs w:val="16"/>
                    </w:rPr>
                    <w:t>l</w:t>
                  </w:r>
                </w:p>
              </w:tc>
              <w:tc>
                <w:tcPr>
                  <w:tcW w:w="0" w:type="auto"/>
                  <w:vAlign w:val="center"/>
                </w:tcPr>
                <w:p w14:paraId="043347F3" w14:textId="77777777" w:rsidR="007720DF" w:rsidRDefault="007720DF" w:rsidP="00F94A32">
                  <w:pPr>
                    <w:spacing w:before="0" w:line="240" w:lineRule="auto"/>
                  </w:pPr>
                  <w:r>
                    <w:rPr>
                      <w:rFonts w:ascii="Poppins" w:eastAsia="Poppins" w:hAnsi="Poppins" w:cs="Poppins"/>
                      <w:sz w:val="16"/>
                      <w:szCs w:val="16"/>
                    </w:rPr>
                    <w:t>UK Government Bonds</w:t>
                  </w:r>
                </w:p>
              </w:tc>
              <w:tc>
                <w:tcPr>
                  <w:tcW w:w="550" w:type="pct"/>
                  <w:vAlign w:val="center"/>
                </w:tcPr>
                <w:p w14:paraId="3E5BE2FC" w14:textId="77777777" w:rsidR="007720DF" w:rsidRDefault="007720DF" w:rsidP="00F94A32">
                  <w:pPr>
                    <w:spacing w:before="0" w:line="240" w:lineRule="auto"/>
                    <w:jc w:val="right"/>
                  </w:pPr>
                  <w:r>
                    <w:rPr>
                      <w:rFonts w:ascii="Poppins" w:eastAsia="Poppins" w:hAnsi="Poppins" w:cs="Poppins"/>
                      <w:sz w:val="16"/>
                      <w:szCs w:val="16"/>
                    </w:rPr>
                    <w:t>5.51</w:t>
                  </w:r>
                </w:p>
              </w:tc>
              <w:tc>
                <w:tcPr>
                  <w:tcW w:w="550" w:type="pct"/>
                  <w:vAlign w:val="center"/>
                </w:tcPr>
                <w:p w14:paraId="661FAFBE" w14:textId="77777777" w:rsidR="007720DF" w:rsidRDefault="007720DF" w:rsidP="00F94A32">
                  <w:pPr>
                    <w:spacing w:before="0" w:line="240" w:lineRule="auto"/>
                    <w:jc w:val="right"/>
                  </w:pPr>
                  <w:r>
                    <w:rPr>
                      <w:rFonts w:ascii="Poppins" w:eastAsia="Poppins" w:hAnsi="Poppins" w:cs="Poppins"/>
                      <w:sz w:val="16"/>
                      <w:szCs w:val="16"/>
                    </w:rPr>
                    <w:t>0.00</w:t>
                  </w:r>
                </w:p>
              </w:tc>
              <w:tc>
                <w:tcPr>
                  <w:tcW w:w="550" w:type="pct"/>
                  <w:vAlign w:val="center"/>
                </w:tcPr>
                <w:p w14:paraId="68A5EFD3" w14:textId="77777777" w:rsidR="007720DF" w:rsidRDefault="007720DF" w:rsidP="00F94A32">
                  <w:pPr>
                    <w:spacing w:before="0" w:line="240" w:lineRule="auto"/>
                    <w:jc w:val="right"/>
                  </w:pPr>
                  <w:r>
                    <w:rPr>
                      <w:rFonts w:ascii="Poppins" w:eastAsia="Poppins" w:hAnsi="Poppins" w:cs="Poppins"/>
                      <w:sz w:val="16"/>
                      <w:szCs w:val="16"/>
                    </w:rPr>
                    <w:t>5.51</w:t>
                  </w:r>
                </w:p>
              </w:tc>
            </w:tr>
            <w:tr w:rsidR="007720DF" w14:paraId="7420124E" w14:textId="77777777" w:rsidTr="00F94A32">
              <w:trPr>
                <w:tblCellSpacing w:w="15" w:type="dxa"/>
              </w:trPr>
              <w:tc>
                <w:tcPr>
                  <w:tcW w:w="0" w:type="auto"/>
                  <w:vAlign w:val="center"/>
                </w:tcPr>
                <w:p w14:paraId="164233DB" w14:textId="77777777" w:rsidR="007720DF" w:rsidRDefault="007720DF" w:rsidP="00F94A32">
                  <w:pPr>
                    <w:spacing w:before="0" w:line="240" w:lineRule="auto"/>
                  </w:pPr>
                  <w:r>
                    <w:rPr>
                      <w:rFonts w:ascii="Wingdings" w:eastAsia="Wingdings" w:hAnsi="Wingdings" w:cs="Wingdings"/>
                      <w:color w:val="727E7E"/>
                      <w:sz w:val="16"/>
                      <w:szCs w:val="16"/>
                    </w:rPr>
                    <w:t>l</w:t>
                  </w:r>
                </w:p>
              </w:tc>
              <w:tc>
                <w:tcPr>
                  <w:tcW w:w="0" w:type="auto"/>
                  <w:vAlign w:val="center"/>
                </w:tcPr>
                <w:p w14:paraId="04CC0BE3" w14:textId="77777777" w:rsidR="007720DF" w:rsidRDefault="007720DF" w:rsidP="00F94A32">
                  <w:pPr>
                    <w:spacing w:before="0" w:line="240" w:lineRule="auto"/>
                  </w:pPr>
                  <w:r>
                    <w:rPr>
                      <w:rFonts w:ascii="Poppins" w:eastAsia="Poppins" w:hAnsi="Poppins" w:cs="Poppins"/>
                      <w:sz w:val="16"/>
                      <w:szCs w:val="16"/>
                    </w:rPr>
                    <w:t>Emerging Markets Equity</w:t>
                  </w:r>
                </w:p>
              </w:tc>
              <w:tc>
                <w:tcPr>
                  <w:tcW w:w="550" w:type="pct"/>
                  <w:vAlign w:val="center"/>
                </w:tcPr>
                <w:p w14:paraId="22F0C734" w14:textId="77777777" w:rsidR="007720DF" w:rsidRDefault="007720DF" w:rsidP="00F94A32">
                  <w:pPr>
                    <w:spacing w:before="0" w:line="240" w:lineRule="auto"/>
                    <w:jc w:val="right"/>
                  </w:pPr>
                  <w:r>
                    <w:rPr>
                      <w:rFonts w:ascii="Poppins" w:eastAsia="Poppins" w:hAnsi="Poppins" w:cs="Poppins"/>
                      <w:sz w:val="16"/>
                      <w:szCs w:val="16"/>
                    </w:rPr>
                    <w:t>5.31</w:t>
                  </w:r>
                </w:p>
              </w:tc>
              <w:tc>
                <w:tcPr>
                  <w:tcW w:w="550" w:type="pct"/>
                  <w:vAlign w:val="center"/>
                </w:tcPr>
                <w:p w14:paraId="0A16D12A" w14:textId="77777777" w:rsidR="007720DF" w:rsidRDefault="007720DF" w:rsidP="00F94A32">
                  <w:pPr>
                    <w:spacing w:before="0" w:line="240" w:lineRule="auto"/>
                    <w:jc w:val="right"/>
                  </w:pPr>
                  <w:r>
                    <w:rPr>
                      <w:rFonts w:ascii="Poppins" w:eastAsia="Poppins" w:hAnsi="Poppins" w:cs="Poppins"/>
                      <w:sz w:val="16"/>
                      <w:szCs w:val="16"/>
                    </w:rPr>
                    <w:t>-0.01</w:t>
                  </w:r>
                </w:p>
              </w:tc>
              <w:tc>
                <w:tcPr>
                  <w:tcW w:w="550" w:type="pct"/>
                  <w:vAlign w:val="center"/>
                </w:tcPr>
                <w:p w14:paraId="2862DF5F" w14:textId="77777777" w:rsidR="007720DF" w:rsidRDefault="007720DF" w:rsidP="00F94A32">
                  <w:pPr>
                    <w:spacing w:before="0" w:line="240" w:lineRule="auto"/>
                    <w:jc w:val="right"/>
                  </w:pPr>
                  <w:r>
                    <w:rPr>
                      <w:rFonts w:ascii="Poppins" w:eastAsia="Poppins" w:hAnsi="Poppins" w:cs="Poppins"/>
                      <w:sz w:val="16"/>
                      <w:szCs w:val="16"/>
                    </w:rPr>
                    <w:t>5.32</w:t>
                  </w:r>
                </w:p>
              </w:tc>
            </w:tr>
            <w:tr w:rsidR="007720DF" w14:paraId="49B21384" w14:textId="77777777" w:rsidTr="00F94A32">
              <w:trPr>
                <w:tblCellSpacing w:w="15" w:type="dxa"/>
              </w:trPr>
              <w:tc>
                <w:tcPr>
                  <w:tcW w:w="0" w:type="auto"/>
                  <w:vAlign w:val="center"/>
                </w:tcPr>
                <w:p w14:paraId="0D6B2F87" w14:textId="77777777" w:rsidR="007720DF" w:rsidRDefault="007720DF" w:rsidP="00F94A32">
                  <w:pPr>
                    <w:spacing w:before="0" w:line="240" w:lineRule="auto"/>
                  </w:pPr>
                  <w:r>
                    <w:rPr>
                      <w:rFonts w:ascii="Wingdings" w:eastAsia="Wingdings" w:hAnsi="Wingdings" w:cs="Wingdings"/>
                      <w:color w:val="2CABFF"/>
                      <w:sz w:val="16"/>
                      <w:szCs w:val="16"/>
                    </w:rPr>
                    <w:t>l</w:t>
                  </w:r>
                </w:p>
              </w:tc>
              <w:tc>
                <w:tcPr>
                  <w:tcW w:w="0" w:type="auto"/>
                  <w:vAlign w:val="center"/>
                </w:tcPr>
                <w:p w14:paraId="640B04D0" w14:textId="77777777" w:rsidR="007720DF" w:rsidRDefault="007720DF" w:rsidP="00F94A32">
                  <w:pPr>
                    <w:spacing w:before="0" w:line="240" w:lineRule="auto"/>
                  </w:pPr>
                  <w:r>
                    <w:rPr>
                      <w:rFonts w:ascii="Poppins" w:eastAsia="Poppins" w:hAnsi="Poppins" w:cs="Poppins"/>
                      <w:sz w:val="16"/>
                      <w:szCs w:val="16"/>
                    </w:rPr>
                    <w:t>Cash - Short Term Money Market</w:t>
                  </w:r>
                </w:p>
              </w:tc>
              <w:tc>
                <w:tcPr>
                  <w:tcW w:w="550" w:type="pct"/>
                  <w:vAlign w:val="center"/>
                </w:tcPr>
                <w:p w14:paraId="15C4974D" w14:textId="77777777" w:rsidR="007720DF" w:rsidRDefault="007720DF" w:rsidP="00F94A32">
                  <w:pPr>
                    <w:spacing w:before="0" w:line="240" w:lineRule="auto"/>
                    <w:jc w:val="right"/>
                  </w:pPr>
                  <w:r>
                    <w:rPr>
                      <w:rFonts w:ascii="Poppins" w:eastAsia="Poppins" w:hAnsi="Poppins" w:cs="Poppins"/>
                      <w:sz w:val="16"/>
                      <w:szCs w:val="16"/>
                    </w:rPr>
                    <w:t>4.11</w:t>
                  </w:r>
                </w:p>
              </w:tc>
              <w:tc>
                <w:tcPr>
                  <w:tcW w:w="550" w:type="pct"/>
                  <w:vAlign w:val="center"/>
                </w:tcPr>
                <w:p w14:paraId="31ED227D" w14:textId="77777777" w:rsidR="007720DF" w:rsidRDefault="007720DF" w:rsidP="00F94A32">
                  <w:pPr>
                    <w:spacing w:before="0" w:line="240" w:lineRule="auto"/>
                    <w:jc w:val="right"/>
                  </w:pPr>
                  <w:r>
                    <w:rPr>
                      <w:rFonts w:ascii="Poppins" w:eastAsia="Poppins" w:hAnsi="Poppins" w:cs="Poppins"/>
                      <w:sz w:val="16"/>
                      <w:szCs w:val="16"/>
                    </w:rPr>
                    <w:t>-0.61</w:t>
                  </w:r>
                </w:p>
              </w:tc>
              <w:tc>
                <w:tcPr>
                  <w:tcW w:w="550" w:type="pct"/>
                  <w:vAlign w:val="center"/>
                </w:tcPr>
                <w:p w14:paraId="7150F41E" w14:textId="77777777" w:rsidR="007720DF" w:rsidRDefault="007720DF" w:rsidP="00F94A32">
                  <w:pPr>
                    <w:spacing w:before="0" w:line="240" w:lineRule="auto"/>
                    <w:jc w:val="right"/>
                  </w:pPr>
                  <w:r>
                    <w:rPr>
                      <w:rFonts w:ascii="Poppins" w:eastAsia="Poppins" w:hAnsi="Poppins" w:cs="Poppins"/>
                      <w:sz w:val="16"/>
                      <w:szCs w:val="16"/>
                    </w:rPr>
                    <w:t>4.72</w:t>
                  </w:r>
                </w:p>
              </w:tc>
            </w:tr>
            <w:tr w:rsidR="007720DF" w14:paraId="56C9B8A3" w14:textId="77777777" w:rsidTr="00F94A32">
              <w:trPr>
                <w:tblCellSpacing w:w="15" w:type="dxa"/>
              </w:trPr>
              <w:tc>
                <w:tcPr>
                  <w:tcW w:w="0" w:type="auto"/>
                  <w:vAlign w:val="center"/>
                </w:tcPr>
                <w:p w14:paraId="4FA38917" w14:textId="77777777" w:rsidR="007720DF" w:rsidRDefault="007720DF" w:rsidP="00F94A32">
                  <w:pPr>
                    <w:spacing w:before="0" w:line="240" w:lineRule="auto"/>
                  </w:pPr>
                  <w:r>
                    <w:rPr>
                      <w:rFonts w:ascii="Wingdings" w:eastAsia="Wingdings" w:hAnsi="Wingdings" w:cs="Wingdings"/>
                      <w:color w:val="F39C12"/>
                      <w:sz w:val="16"/>
                      <w:szCs w:val="16"/>
                    </w:rPr>
                    <w:t>l</w:t>
                  </w:r>
                </w:p>
              </w:tc>
              <w:tc>
                <w:tcPr>
                  <w:tcW w:w="0" w:type="auto"/>
                  <w:vAlign w:val="center"/>
                </w:tcPr>
                <w:p w14:paraId="4FCF24E6" w14:textId="77777777" w:rsidR="007720DF" w:rsidRDefault="007720DF" w:rsidP="00F94A32">
                  <w:pPr>
                    <w:spacing w:before="0" w:line="240" w:lineRule="auto"/>
                  </w:pPr>
                  <w:r>
                    <w:rPr>
                      <w:rFonts w:ascii="Poppins" w:eastAsia="Poppins" w:hAnsi="Poppins" w:cs="Poppins"/>
                      <w:sz w:val="16"/>
                      <w:szCs w:val="16"/>
                    </w:rPr>
                    <w:t>Developed Pacific (ex-Japan) Equity</w:t>
                  </w:r>
                </w:p>
              </w:tc>
              <w:tc>
                <w:tcPr>
                  <w:tcW w:w="550" w:type="pct"/>
                  <w:vAlign w:val="center"/>
                </w:tcPr>
                <w:p w14:paraId="58C77AD2" w14:textId="77777777" w:rsidR="007720DF" w:rsidRDefault="007720DF" w:rsidP="00F94A32">
                  <w:pPr>
                    <w:spacing w:before="0" w:line="240" w:lineRule="auto"/>
                    <w:jc w:val="right"/>
                  </w:pPr>
                  <w:r>
                    <w:rPr>
                      <w:rFonts w:ascii="Poppins" w:eastAsia="Poppins" w:hAnsi="Poppins" w:cs="Poppins"/>
                      <w:sz w:val="16"/>
                      <w:szCs w:val="16"/>
                    </w:rPr>
                    <w:t>3.62</w:t>
                  </w:r>
                </w:p>
              </w:tc>
              <w:tc>
                <w:tcPr>
                  <w:tcW w:w="550" w:type="pct"/>
                  <w:vAlign w:val="center"/>
                </w:tcPr>
                <w:p w14:paraId="77BFC05F" w14:textId="77777777" w:rsidR="007720DF" w:rsidRDefault="007720DF" w:rsidP="00F94A32">
                  <w:pPr>
                    <w:spacing w:before="0" w:line="240" w:lineRule="auto"/>
                    <w:jc w:val="right"/>
                  </w:pPr>
                  <w:r>
                    <w:rPr>
                      <w:rFonts w:ascii="Poppins" w:eastAsia="Poppins" w:hAnsi="Poppins" w:cs="Poppins"/>
                      <w:sz w:val="16"/>
                      <w:szCs w:val="16"/>
                    </w:rPr>
                    <w:t>-0.55</w:t>
                  </w:r>
                </w:p>
              </w:tc>
              <w:tc>
                <w:tcPr>
                  <w:tcW w:w="550" w:type="pct"/>
                  <w:vAlign w:val="center"/>
                </w:tcPr>
                <w:p w14:paraId="124406E8" w14:textId="77777777" w:rsidR="007720DF" w:rsidRDefault="007720DF" w:rsidP="00F94A32">
                  <w:pPr>
                    <w:spacing w:before="0" w:line="240" w:lineRule="auto"/>
                    <w:jc w:val="right"/>
                  </w:pPr>
                  <w:r>
                    <w:rPr>
                      <w:rFonts w:ascii="Poppins" w:eastAsia="Poppins" w:hAnsi="Poppins" w:cs="Poppins"/>
                      <w:sz w:val="16"/>
                      <w:szCs w:val="16"/>
                    </w:rPr>
                    <w:t>4.17</w:t>
                  </w:r>
                </w:p>
              </w:tc>
            </w:tr>
            <w:tr w:rsidR="007720DF" w14:paraId="5A68FF43" w14:textId="77777777" w:rsidTr="00F94A32">
              <w:trPr>
                <w:tblCellSpacing w:w="15" w:type="dxa"/>
              </w:trPr>
              <w:tc>
                <w:tcPr>
                  <w:tcW w:w="0" w:type="auto"/>
                  <w:vAlign w:val="center"/>
                </w:tcPr>
                <w:p w14:paraId="13BD3490" w14:textId="77777777" w:rsidR="007720DF" w:rsidRDefault="007720DF" w:rsidP="00F94A32">
                  <w:pPr>
                    <w:spacing w:before="0" w:line="240" w:lineRule="auto"/>
                  </w:pPr>
                  <w:r>
                    <w:rPr>
                      <w:rFonts w:ascii="Wingdings" w:eastAsia="Wingdings" w:hAnsi="Wingdings" w:cs="Wingdings"/>
                      <w:color w:val="E95F7A"/>
                      <w:sz w:val="16"/>
                      <w:szCs w:val="16"/>
                    </w:rPr>
                    <w:t>l</w:t>
                  </w:r>
                </w:p>
              </w:tc>
              <w:tc>
                <w:tcPr>
                  <w:tcW w:w="0" w:type="auto"/>
                  <w:vAlign w:val="center"/>
                </w:tcPr>
                <w:p w14:paraId="5C9628A4" w14:textId="77777777" w:rsidR="007720DF" w:rsidRDefault="007720DF" w:rsidP="00F94A32">
                  <w:pPr>
                    <w:spacing w:before="0" w:line="240" w:lineRule="auto"/>
                  </w:pPr>
                  <w:r>
                    <w:rPr>
                      <w:rFonts w:ascii="Poppins" w:eastAsia="Poppins" w:hAnsi="Poppins" w:cs="Poppins"/>
                      <w:sz w:val="16"/>
                      <w:szCs w:val="16"/>
                    </w:rPr>
                    <w:t>Commodities</w:t>
                  </w:r>
                </w:p>
              </w:tc>
              <w:tc>
                <w:tcPr>
                  <w:tcW w:w="550" w:type="pct"/>
                  <w:vAlign w:val="center"/>
                </w:tcPr>
                <w:p w14:paraId="07A1FB7D" w14:textId="77777777" w:rsidR="007720DF" w:rsidRDefault="007720DF" w:rsidP="00F94A32">
                  <w:pPr>
                    <w:spacing w:before="0" w:line="240" w:lineRule="auto"/>
                    <w:jc w:val="right"/>
                  </w:pPr>
                  <w:r>
                    <w:rPr>
                      <w:rFonts w:ascii="Poppins" w:eastAsia="Poppins" w:hAnsi="Poppins" w:cs="Poppins"/>
                      <w:sz w:val="16"/>
                      <w:szCs w:val="16"/>
                    </w:rPr>
                    <w:t>2.96</w:t>
                  </w:r>
                </w:p>
              </w:tc>
              <w:tc>
                <w:tcPr>
                  <w:tcW w:w="550" w:type="pct"/>
                  <w:vAlign w:val="center"/>
                </w:tcPr>
                <w:p w14:paraId="6C39B111" w14:textId="77777777" w:rsidR="007720DF" w:rsidRDefault="007720DF" w:rsidP="00F94A32">
                  <w:pPr>
                    <w:spacing w:before="0" w:line="240" w:lineRule="auto"/>
                    <w:jc w:val="right"/>
                  </w:pPr>
                  <w:r>
                    <w:rPr>
                      <w:rFonts w:ascii="Poppins" w:eastAsia="Poppins" w:hAnsi="Poppins" w:cs="Poppins"/>
                      <w:sz w:val="16"/>
                      <w:szCs w:val="16"/>
                    </w:rPr>
                    <w:t>0.00</w:t>
                  </w:r>
                </w:p>
              </w:tc>
              <w:tc>
                <w:tcPr>
                  <w:tcW w:w="550" w:type="pct"/>
                  <w:vAlign w:val="center"/>
                </w:tcPr>
                <w:p w14:paraId="7C4ABE07" w14:textId="77777777" w:rsidR="007720DF" w:rsidRDefault="007720DF" w:rsidP="00F94A32">
                  <w:pPr>
                    <w:spacing w:before="0" w:line="240" w:lineRule="auto"/>
                    <w:jc w:val="right"/>
                  </w:pPr>
                  <w:r>
                    <w:rPr>
                      <w:rFonts w:ascii="Poppins" w:eastAsia="Poppins" w:hAnsi="Poppins" w:cs="Poppins"/>
                      <w:sz w:val="16"/>
                      <w:szCs w:val="16"/>
                    </w:rPr>
                    <w:t>2.96</w:t>
                  </w:r>
                </w:p>
              </w:tc>
            </w:tr>
            <w:tr w:rsidR="007720DF" w14:paraId="17DF27A6" w14:textId="77777777" w:rsidTr="00F94A32">
              <w:trPr>
                <w:tblCellSpacing w:w="15" w:type="dxa"/>
              </w:trPr>
              <w:tc>
                <w:tcPr>
                  <w:tcW w:w="0" w:type="auto"/>
                  <w:vAlign w:val="center"/>
                </w:tcPr>
                <w:p w14:paraId="09159CC3" w14:textId="77777777" w:rsidR="007720DF" w:rsidRDefault="007720DF" w:rsidP="00F94A32">
                  <w:pPr>
                    <w:spacing w:before="0" w:line="240" w:lineRule="auto"/>
                  </w:pPr>
                  <w:r>
                    <w:rPr>
                      <w:rFonts w:ascii="Wingdings" w:eastAsia="Wingdings" w:hAnsi="Wingdings" w:cs="Wingdings"/>
                      <w:color w:val="C0392B"/>
                      <w:sz w:val="16"/>
                      <w:szCs w:val="16"/>
                    </w:rPr>
                    <w:t>l</w:t>
                  </w:r>
                </w:p>
              </w:tc>
              <w:tc>
                <w:tcPr>
                  <w:tcW w:w="0" w:type="auto"/>
                  <w:vAlign w:val="center"/>
                </w:tcPr>
                <w:p w14:paraId="1D2B9C24" w14:textId="77777777" w:rsidR="007720DF" w:rsidRDefault="007720DF" w:rsidP="00F94A32">
                  <w:pPr>
                    <w:spacing w:before="0" w:line="240" w:lineRule="auto"/>
                  </w:pPr>
                  <w:r>
                    <w:rPr>
                      <w:rFonts w:ascii="Poppins" w:eastAsia="Poppins" w:hAnsi="Poppins" w:cs="Poppins"/>
                      <w:sz w:val="16"/>
                      <w:szCs w:val="16"/>
                    </w:rPr>
                    <w:t>UK Corporate Bonds</w:t>
                  </w:r>
                </w:p>
              </w:tc>
              <w:tc>
                <w:tcPr>
                  <w:tcW w:w="550" w:type="pct"/>
                  <w:vAlign w:val="center"/>
                </w:tcPr>
                <w:p w14:paraId="2D11C681" w14:textId="77777777" w:rsidR="007720DF" w:rsidRDefault="007720DF" w:rsidP="00F94A32">
                  <w:pPr>
                    <w:spacing w:before="0" w:line="240" w:lineRule="auto"/>
                    <w:jc w:val="right"/>
                  </w:pPr>
                  <w:r>
                    <w:rPr>
                      <w:rFonts w:ascii="Poppins" w:eastAsia="Poppins" w:hAnsi="Poppins" w:cs="Poppins"/>
                      <w:sz w:val="16"/>
                      <w:szCs w:val="16"/>
                    </w:rPr>
                    <w:t>1.74</w:t>
                  </w:r>
                </w:p>
              </w:tc>
              <w:tc>
                <w:tcPr>
                  <w:tcW w:w="550" w:type="pct"/>
                  <w:vAlign w:val="center"/>
                </w:tcPr>
                <w:p w14:paraId="1DF909E6" w14:textId="77777777" w:rsidR="007720DF" w:rsidRDefault="007720DF" w:rsidP="00F94A32">
                  <w:pPr>
                    <w:spacing w:before="0" w:line="240" w:lineRule="auto"/>
                    <w:jc w:val="right"/>
                  </w:pPr>
                  <w:r>
                    <w:rPr>
                      <w:rFonts w:ascii="Poppins" w:eastAsia="Poppins" w:hAnsi="Poppins" w:cs="Poppins"/>
                      <w:sz w:val="16"/>
                      <w:szCs w:val="16"/>
                    </w:rPr>
                    <w:t>0.00</w:t>
                  </w:r>
                </w:p>
              </w:tc>
              <w:tc>
                <w:tcPr>
                  <w:tcW w:w="550" w:type="pct"/>
                  <w:vAlign w:val="center"/>
                </w:tcPr>
                <w:p w14:paraId="75FD7785" w14:textId="77777777" w:rsidR="007720DF" w:rsidRDefault="007720DF" w:rsidP="00F94A32">
                  <w:pPr>
                    <w:spacing w:before="0" w:line="240" w:lineRule="auto"/>
                    <w:jc w:val="right"/>
                  </w:pPr>
                  <w:r>
                    <w:rPr>
                      <w:rFonts w:ascii="Poppins" w:eastAsia="Poppins" w:hAnsi="Poppins" w:cs="Poppins"/>
                      <w:sz w:val="16"/>
                      <w:szCs w:val="16"/>
                    </w:rPr>
                    <w:t>1.74</w:t>
                  </w:r>
                </w:p>
              </w:tc>
            </w:tr>
            <w:tr w:rsidR="007720DF" w14:paraId="6C38E82F" w14:textId="77777777" w:rsidTr="00F94A32">
              <w:trPr>
                <w:tblCellSpacing w:w="15" w:type="dxa"/>
              </w:trPr>
              <w:tc>
                <w:tcPr>
                  <w:tcW w:w="0" w:type="auto"/>
                  <w:vAlign w:val="center"/>
                </w:tcPr>
                <w:p w14:paraId="6700C85F" w14:textId="77777777" w:rsidR="007720DF" w:rsidRDefault="007720DF" w:rsidP="00F94A32">
                  <w:pPr>
                    <w:spacing w:before="0" w:line="240" w:lineRule="auto"/>
                  </w:pPr>
                  <w:r>
                    <w:rPr>
                      <w:rFonts w:ascii="Wingdings" w:eastAsia="Wingdings" w:hAnsi="Wingdings" w:cs="Wingdings"/>
                      <w:color w:val="6B4723"/>
                      <w:sz w:val="16"/>
                      <w:szCs w:val="16"/>
                    </w:rPr>
                    <w:t>l</w:t>
                  </w:r>
                </w:p>
              </w:tc>
              <w:tc>
                <w:tcPr>
                  <w:tcW w:w="0" w:type="auto"/>
                  <w:vAlign w:val="center"/>
                </w:tcPr>
                <w:p w14:paraId="2413BFC7" w14:textId="77777777" w:rsidR="007720DF" w:rsidRDefault="007720DF" w:rsidP="00F94A32">
                  <w:pPr>
                    <w:spacing w:before="0" w:line="240" w:lineRule="auto"/>
                  </w:pPr>
                  <w:r>
                    <w:rPr>
                      <w:rFonts w:ascii="Poppins" w:eastAsia="Poppins" w:hAnsi="Poppins" w:cs="Poppins"/>
                      <w:sz w:val="16"/>
                      <w:szCs w:val="16"/>
                    </w:rPr>
                    <w:t>Absolute Return</w:t>
                  </w:r>
                </w:p>
              </w:tc>
              <w:tc>
                <w:tcPr>
                  <w:tcW w:w="550" w:type="pct"/>
                  <w:vAlign w:val="center"/>
                </w:tcPr>
                <w:p w14:paraId="24B0F1E9" w14:textId="77777777" w:rsidR="007720DF" w:rsidRDefault="007720DF" w:rsidP="00F94A32">
                  <w:pPr>
                    <w:spacing w:before="0" w:line="240" w:lineRule="auto"/>
                    <w:jc w:val="right"/>
                  </w:pPr>
                  <w:r>
                    <w:rPr>
                      <w:rFonts w:ascii="Poppins" w:eastAsia="Poppins" w:hAnsi="Poppins" w:cs="Poppins"/>
                      <w:sz w:val="16"/>
                      <w:szCs w:val="16"/>
                    </w:rPr>
                    <w:t>0.97</w:t>
                  </w:r>
                </w:p>
              </w:tc>
              <w:tc>
                <w:tcPr>
                  <w:tcW w:w="550" w:type="pct"/>
                  <w:vAlign w:val="center"/>
                </w:tcPr>
                <w:p w14:paraId="333D4F76" w14:textId="77777777" w:rsidR="007720DF" w:rsidRDefault="007720DF" w:rsidP="00F94A32">
                  <w:pPr>
                    <w:spacing w:before="0" w:line="240" w:lineRule="auto"/>
                    <w:jc w:val="right"/>
                  </w:pPr>
                  <w:r>
                    <w:rPr>
                      <w:rFonts w:ascii="Poppins" w:eastAsia="Poppins" w:hAnsi="Poppins" w:cs="Poppins"/>
                      <w:sz w:val="16"/>
                      <w:szCs w:val="16"/>
                    </w:rPr>
                    <w:t>0.00</w:t>
                  </w:r>
                </w:p>
              </w:tc>
              <w:tc>
                <w:tcPr>
                  <w:tcW w:w="550" w:type="pct"/>
                  <w:vAlign w:val="center"/>
                </w:tcPr>
                <w:p w14:paraId="521E3736" w14:textId="77777777" w:rsidR="007720DF" w:rsidRDefault="007720DF" w:rsidP="00F94A32">
                  <w:pPr>
                    <w:spacing w:before="0" w:line="240" w:lineRule="auto"/>
                    <w:jc w:val="right"/>
                  </w:pPr>
                  <w:r>
                    <w:rPr>
                      <w:rFonts w:ascii="Poppins" w:eastAsia="Poppins" w:hAnsi="Poppins" w:cs="Poppins"/>
                      <w:sz w:val="16"/>
                      <w:szCs w:val="16"/>
                    </w:rPr>
                    <w:t>0.97</w:t>
                  </w:r>
                </w:p>
              </w:tc>
            </w:tr>
            <w:tr w:rsidR="007720DF" w14:paraId="314C3E3D" w14:textId="77777777" w:rsidTr="00F94A32">
              <w:trPr>
                <w:tblCellSpacing w:w="15" w:type="dxa"/>
              </w:trPr>
              <w:tc>
                <w:tcPr>
                  <w:tcW w:w="0" w:type="auto"/>
                  <w:vAlign w:val="center"/>
                </w:tcPr>
                <w:p w14:paraId="5E303D8C" w14:textId="77777777" w:rsidR="007720DF" w:rsidRDefault="007720DF" w:rsidP="00F94A32">
                  <w:pPr>
                    <w:spacing w:before="0" w:line="240" w:lineRule="auto"/>
                  </w:pPr>
                  <w:r>
                    <w:rPr>
                      <w:rFonts w:ascii="Wingdings" w:eastAsia="Wingdings" w:hAnsi="Wingdings" w:cs="Wingdings"/>
                      <w:color w:val="2980B9"/>
                      <w:sz w:val="16"/>
                      <w:szCs w:val="16"/>
                    </w:rPr>
                    <w:t>l</w:t>
                  </w:r>
                </w:p>
              </w:tc>
              <w:tc>
                <w:tcPr>
                  <w:tcW w:w="0" w:type="auto"/>
                  <w:vAlign w:val="center"/>
                </w:tcPr>
                <w:p w14:paraId="7BB6020A" w14:textId="77777777" w:rsidR="007720DF" w:rsidRDefault="007720DF" w:rsidP="00F94A32">
                  <w:pPr>
                    <w:spacing w:before="0" w:line="240" w:lineRule="auto"/>
                  </w:pPr>
                  <w:r>
                    <w:rPr>
                      <w:rFonts w:ascii="Poppins" w:eastAsia="Poppins" w:hAnsi="Poppins" w:cs="Poppins"/>
                      <w:sz w:val="16"/>
                      <w:szCs w:val="16"/>
                    </w:rPr>
                    <w:t>UK Index Linked Bonds</w:t>
                  </w:r>
                </w:p>
              </w:tc>
              <w:tc>
                <w:tcPr>
                  <w:tcW w:w="550" w:type="pct"/>
                  <w:vAlign w:val="center"/>
                </w:tcPr>
                <w:p w14:paraId="10794634" w14:textId="77777777" w:rsidR="007720DF" w:rsidRDefault="007720DF" w:rsidP="00F94A32">
                  <w:pPr>
                    <w:spacing w:before="0" w:line="240" w:lineRule="auto"/>
                    <w:jc w:val="right"/>
                  </w:pPr>
                  <w:r>
                    <w:rPr>
                      <w:rFonts w:ascii="Poppins" w:eastAsia="Poppins" w:hAnsi="Poppins" w:cs="Poppins"/>
                      <w:sz w:val="16"/>
                      <w:szCs w:val="16"/>
                    </w:rPr>
                    <w:t>0.07</w:t>
                  </w:r>
                </w:p>
              </w:tc>
              <w:tc>
                <w:tcPr>
                  <w:tcW w:w="550" w:type="pct"/>
                  <w:vAlign w:val="center"/>
                </w:tcPr>
                <w:p w14:paraId="1786E314" w14:textId="77777777" w:rsidR="007720DF" w:rsidRDefault="007720DF" w:rsidP="00F94A32">
                  <w:pPr>
                    <w:spacing w:before="0" w:line="240" w:lineRule="auto"/>
                    <w:jc w:val="right"/>
                  </w:pPr>
                  <w:r>
                    <w:rPr>
                      <w:rFonts w:ascii="Poppins" w:eastAsia="Poppins" w:hAnsi="Poppins" w:cs="Poppins"/>
                      <w:sz w:val="16"/>
                      <w:szCs w:val="16"/>
                    </w:rPr>
                    <w:t>0.00</w:t>
                  </w:r>
                </w:p>
              </w:tc>
              <w:tc>
                <w:tcPr>
                  <w:tcW w:w="550" w:type="pct"/>
                  <w:vAlign w:val="center"/>
                </w:tcPr>
                <w:p w14:paraId="2CC233DC" w14:textId="77777777" w:rsidR="007720DF" w:rsidRDefault="007720DF" w:rsidP="00F94A32">
                  <w:pPr>
                    <w:spacing w:before="0" w:line="240" w:lineRule="auto"/>
                    <w:jc w:val="right"/>
                  </w:pPr>
                  <w:r>
                    <w:rPr>
                      <w:rFonts w:ascii="Poppins" w:eastAsia="Poppins" w:hAnsi="Poppins" w:cs="Poppins"/>
                      <w:sz w:val="16"/>
                      <w:szCs w:val="16"/>
                    </w:rPr>
                    <w:t>0.07</w:t>
                  </w:r>
                </w:p>
              </w:tc>
            </w:tr>
            <w:tr w:rsidR="007720DF" w14:paraId="2F904065" w14:textId="77777777" w:rsidTr="00F94A32">
              <w:trPr>
                <w:tblCellSpacing w:w="15" w:type="dxa"/>
              </w:trPr>
              <w:tc>
                <w:tcPr>
                  <w:tcW w:w="0" w:type="auto"/>
                  <w:vAlign w:val="center"/>
                </w:tcPr>
                <w:p w14:paraId="54FC704B" w14:textId="77777777" w:rsidR="007720DF" w:rsidRDefault="007720DF" w:rsidP="00F94A32">
                  <w:pPr>
                    <w:spacing w:before="0" w:line="240" w:lineRule="auto"/>
                  </w:pPr>
                  <w:r>
                    <w:rPr>
                      <w:rFonts w:ascii="Wingdings" w:eastAsia="Wingdings" w:hAnsi="Wingdings" w:cs="Wingdings"/>
                      <w:color w:val="71BB52"/>
                      <w:sz w:val="16"/>
                      <w:szCs w:val="16"/>
                    </w:rPr>
                    <w:t>l</w:t>
                  </w:r>
                </w:p>
              </w:tc>
              <w:tc>
                <w:tcPr>
                  <w:tcW w:w="0" w:type="auto"/>
                  <w:vAlign w:val="center"/>
                </w:tcPr>
                <w:p w14:paraId="736CC7AF" w14:textId="77777777" w:rsidR="007720DF" w:rsidRDefault="007720DF" w:rsidP="00F94A32">
                  <w:pPr>
                    <w:spacing w:before="0" w:line="240" w:lineRule="auto"/>
                  </w:pPr>
                  <w:r>
                    <w:rPr>
                      <w:rFonts w:ascii="Poppins" w:eastAsia="Poppins" w:hAnsi="Poppins" w:cs="Poppins"/>
                      <w:sz w:val="16"/>
                      <w:szCs w:val="16"/>
                    </w:rPr>
                    <w:t>Private Equity</w:t>
                  </w:r>
                </w:p>
              </w:tc>
              <w:tc>
                <w:tcPr>
                  <w:tcW w:w="550" w:type="pct"/>
                  <w:vAlign w:val="center"/>
                </w:tcPr>
                <w:p w14:paraId="2F3567A1" w14:textId="77777777" w:rsidR="007720DF" w:rsidRDefault="007720DF" w:rsidP="00F94A32">
                  <w:pPr>
                    <w:spacing w:before="0" w:line="240" w:lineRule="auto"/>
                    <w:jc w:val="right"/>
                  </w:pPr>
                  <w:r>
                    <w:rPr>
                      <w:rFonts w:ascii="Poppins" w:eastAsia="Poppins" w:hAnsi="Poppins" w:cs="Poppins"/>
                      <w:sz w:val="16"/>
                      <w:szCs w:val="16"/>
                    </w:rPr>
                    <w:t>0.02</w:t>
                  </w:r>
                </w:p>
              </w:tc>
              <w:tc>
                <w:tcPr>
                  <w:tcW w:w="550" w:type="pct"/>
                  <w:vAlign w:val="center"/>
                </w:tcPr>
                <w:p w14:paraId="2ED56A6C" w14:textId="77777777" w:rsidR="007720DF" w:rsidRDefault="007720DF" w:rsidP="00F94A32">
                  <w:pPr>
                    <w:spacing w:before="0" w:line="240" w:lineRule="auto"/>
                    <w:jc w:val="right"/>
                  </w:pPr>
                  <w:r>
                    <w:rPr>
                      <w:rFonts w:ascii="Poppins" w:eastAsia="Poppins" w:hAnsi="Poppins" w:cs="Poppins"/>
                      <w:sz w:val="16"/>
                      <w:szCs w:val="16"/>
                    </w:rPr>
                    <w:t>0.00</w:t>
                  </w:r>
                </w:p>
              </w:tc>
              <w:tc>
                <w:tcPr>
                  <w:tcW w:w="550" w:type="pct"/>
                  <w:vAlign w:val="center"/>
                </w:tcPr>
                <w:p w14:paraId="4C609065" w14:textId="77777777" w:rsidR="007720DF" w:rsidRDefault="007720DF" w:rsidP="00F94A32">
                  <w:pPr>
                    <w:spacing w:before="0" w:line="240" w:lineRule="auto"/>
                    <w:jc w:val="right"/>
                  </w:pPr>
                  <w:r>
                    <w:rPr>
                      <w:rFonts w:ascii="Poppins" w:eastAsia="Poppins" w:hAnsi="Poppins" w:cs="Poppins"/>
                      <w:sz w:val="16"/>
                      <w:szCs w:val="16"/>
                    </w:rPr>
                    <w:t>0.02</w:t>
                  </w:r>
                </w:p>
              </w:tc>
            </w:tr>
            <w:tr w:rsidR="007720DF" w14:paraId="4E9F6881" w14:textId="77777777" w:rsidTr="00F94A32">
              <w:trPr>
                <w:tblCellSpacing w:w="15" w:type="dxa"/>
              </w:trPr>
              <w:tc>
                <w:tcPr>
                  <w:tcW w:w="0" w:type="auto"/>
                  <w:vAlign w:val="center"/>
                </w:tcPr>
                <w:p w14:paraId="4C032407" w14:textId="77777777" w:rsidR="007720DF" w:rsidRDefault="007720DF" w:rsidP="00F94A32">
                  <w:pPr>
                    <w:spacing w:before="0" w:line="240" w:lineRule="auto"/>
                  </w:pPr>
                  <w:r>
                    <w:rPr>
                      <w:rFonts w:ascii="Wingdings" w:eastAsia="Wingdings" w:hAnsi="Wingdings" w:cs="Wingdings"/>
                      <w:color w:val="A1D6B5"/>
                      <w:sz w:val="16"/>
                      <w:szCs w:val="16"/>
                    </w:rPr>
                    <w:t>l</w:t>
                  </w:r>
                </w:p>
              </w:tc>
              <w:tc>
                <w:tcPr>
                  <w:tcW w:w="0" w:type="auto"/>
                  <w:vAlign w:val="center"/>
                </w:tcPr>
                <w:p w14:paraId="2F8A095E" w14:textId="77777777" w:rsidR="007720DF" w:rsidRDefault="007720DF" w:rsidP="00F94A32">
                  <w:pPr>
                    <w:spacing w:before="0" w:line="240" w:lineRule="auto"/>
                  </w:pPr>
                  <w:r>
                    <w:rPr>
                      <w:rFonts w:ascii="Poppins" w:eastAsia="Poppins" w:hAnsi="Poppins" w:cs="Poppins"/>
                      <w:sz w:val="16"/>
                      <w:szCs w:val="16"/>
                    </w:rPr>
                    <w:t>Other</w:t>
                  </w:r>
                </w:p>
              </w:tc>
              <w:tc>
                <w:tcPr>
                  <w:tcW w:w="550" w:type="pct"/>
                  <w:vAlign w:val="center"/>
                </w:tcPr>
                <w:p w14:paraId="5D963968" w14:textId="77777777" w:rsidR="007720DF" w:rsidRDefault="007720DF" w:rsidP="00F94A32">
                  <w:pPr>
                    <w:spacing w:before="0" w:line="240" w:lineRule="auto"/>
                    <w:jc w:val="right"/>
                  </w:pPr>
                  <w:r>
                    <w:rPr>
                      <w:rFonts w:ascii="Poppins" w:eastAsia="Poppins" w:hAnsi="Poppins" w:cs="Poppins"/>
                      <w:sz w:val="16"/>
                      <w:szCs w:val="16"/>
                    </w:rPr>
                    <w:t>-7.75</w:t>
                  </w:r>
                </w:p>
              </w:tc>
              <w:tc>
                <w:tcPr>
                  <w:tcW w:w="550" w:type="pct"/>
                  <w:vAlign w:val="center"/>
                </w:tcPr>
                <w:p w14:paraId="672537F3" w14:textId="77777777" w:rsidR="007720DF" w:rsidRDefault="007720DF" w:rsidP="00F94A32">
                  <w:pPr>
                    <w:spacing w:before="0" w:line="240" w:lineRule="auto"/>
                    <w:jc w:val="right"/>
                  </w:pPr>
                  <w:r>
                    <w:rPr>
                      <w:rFonts w:ascii="Poppins" w:eastAsia="Poppins" w:hAnsi="Poppins" w:cs="Poppins"/>
                      <w:sz w:val="16"/>
                      <w:szCs w:val="16"/>
                    </w:rPr>
                    <w:t>-46.31</w:t>
                  </w:r>
                </w:p>
              </w:tc>
              <w:tc>
                <w:tcPr>
                  <w:tcW w:w="550" w:type="pct"/>
                  <w:vAlign w:val="center"/>
                </w:tcPr>
                <w:p w14:paraId="19E05812" w14:textId="77777777" w:rsidR="007720DF" w:rsidRDefault="007720DF" w:rsidP="00F94A32">
                  <w:pPr>
                    <w:spacing w:before="0" w:line="240" w:lineRule="auto"/>
                    <w:jc w:val="right"/>
                  </w:pPr>
                  <w:r>
                    <w:rPr>
                      <w:rFonts w:ascii="Poppins" w:eastAsia="Poppins" w:hAnsi="Poppins" w:cs="Poppins"/>
                      <w:sz w:val="16"/>
                      <w:szCs w:val="16"/>
                    </w:rPr>
                    <w:t>38.56</w:t>
                  </w:r>
                </w:p>
              </w:tc>
            </w:tr>
          </w:tbl>
          <w:p w14:paraId="5478FF05" w14:textId="77777777" w:rsidR="007720DF" w:rsidRDefault="007720DF" w:rsidP="00F94A32"/>
        </w:tc>
      </w:tr>
      <w:tr w:rsidR="007720DF" w14:paraId="31B973A0" w14:textId="77777777" w:rsidTr="00F94A32">
        <w:trPr>
          <w:tblCellSpacing w:w="15" w:type="dxa"/>
        </w:trPr>
        <w:tc>
          <w:tcPr>
            <w:tcW w:w="0" w:type="auto"/>
            <w:gridSpan w:val="2"/>
          </w:tcPr>
          <w:p w14:paraId="5BC50E10" w14:textId="77777777" w:rsidR="007720DF" w:rsidRDefault="007720DF" w:rsidP="00F94A32">
            <w:r>
              <w:rPr>
                <w:rFonts w:ascii="Poppins" w:eastAsia="Poppins" w:hAnsi="Poppins" w:cs="Poppins"/>
                <w:sz w:val="16"/>
                <w:szCs w:val="16"/>
              </w:rPr>
              <w:t>⁽¹⁾ Due to the negative asset allocation within the selected portfolio the investment allocation chart is unavailable.</w:t>
            </w:r>
            <w:r>
              <w:rPr>
                <w:rFonts w:ascii="Poppins" w:eastAsia="Poppins" w:hAnsi="Poppins" w:cs="Poppins"/>
                <w:sz w:val="16"/>
                <w:szCs w:val="16"/>
              </w:rPr>
              <w:br/>
              <w:t>⁽²⁾ Due to rounding there may be a discrepancy between the Long/Short % and the Net %.</w:t>
            </w:r>
          </w:p>
        </w:tc>
      </w:tr>
    </w:tbl>
    <w:p w14:paraId="3295859C" w14:textId="77777777" w:rsidR="007720DF" w:rsidRDefault="007720DF" w:rsidP="007720DF">
      <w:pPr>
        <w:spacing w:after="280" w:afterAutospacing="1"/>
      </w:pPr>
    </w:p>
    <w:p w14:paraId="2D338C43" w14:textId="77777777" w:rsidR="007720DF" w:rsidRDefault="007720DF" w:rsidP="007720DF">
      <w:pPr>
        <w:rPr>
          <w:color w:val="392388"/>
          <w:lang w:val="en-NZ"/>
        </w:rPr>
      </w:pPr>
      <w:r>
        <w:rPr>
          <w:color w:val="392388"/>
          <w:lang w:val="en-NZ"/>
        </w:rPr>
        <w:br w:type="page"/>
      </w:r>
    </w:p>
    <w:p w14:paraId="1F9F07AA" w14:textId="77777777" w:rsidR="007720DF" w:rsidRDefault="007720DF" w:rsidP="007720DF">
      <w:pPr>
        <w:pStyle w:val="DefaqtoHeading2-noTOC"/>
      </w:pPr>
      <w:r>
        <w:rPr>
          <w:lang w:val="en-NZ"/>
        </w:rPr>
        <w:lastRenderedPageBreak/>
        <w:t xml:space="preserve">Investment </w:t>
      </w:r>
      <w:r>
        <w:t>performance</w:t>
      </w:r>
    </w:p>
    <w:p w14:paraId="32F5BFCD" w14:textId="77777777" w:rsidR="007720DF" w:rsidRDefault="007720DF" w:rsidP="007720DF">
      <w:pPr>
        <w:pStyle w:val="DefaqtoHeading3-noTOC"/>
      </w:pPr>
      <w:r>
        <w:t>Individual cumulative investment performance graph</w:t>
      </w:r>
    </w:p>
    <w:p w14:paraId="18CBFA69" w14:textId="77777777" w:rsidR="007720DF" w:rsidRDefault="007720DF" w:rsidP="007720DF">
      <w:pPr>
        <w:pStyle w:val="DefaqtoBody"/>
        <w:rPr>
          <w:sz w:val="22"/>
          <w:szCs w:val="22"/>
        </w:rPr>
      </w:pPr>
      <w:r>
        <w:rPr>
          <w:sz w:val="22"/>
          <w:szCs w:val="22"/>
          <w:u w:color="000000"/>
        </w:rPr>
        <w:t>The chart shows an investment’s performance, calculated as NAV to NAV/Bid to Bid/Closing Price to Closing Price, with dividends/distributions reinvested, including the effect of ongoing costs and charges. These figures are calculated to the performance date 19 March 2026.</w:t>
      </w:r>
    </w:p>
    <w:p w14:paraId="645246F0" w14:textId="77777777" w:rsidR="007720DF" w:rsidRDefault="007720DF" w:rsidP="007720DF">
      <w:pPr>
        <w:rPr>
          <w:lang w:eastAsia="en-GB"/>
        </w:rPr>
      </w:pPr>
      <w:r>
        <w:rPr>
          <w:noProof/>
          <w:lang w:eastAsia="en-GB"/>
        </w:rPr>
        <w:drawing>
          <wp:inline distT="0" distB="0" distL="0" distR="0" wp14:anchorId="76EC9C09" wp14:editId="6E2B08B1">
            <wp:extent cx="6731000" cy="4533900"/>
            <wp:effectExtent l="0" t="0" r="0" b="0"/>
            <wp:docPr id="3" name="Picture 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stretch>
                      <a:fillRect/>
                    </a:stretch>
                  </pic:blipFill>
                  <pic:spPr>
                    <a:xfrm>
                      <a:off x="0" y="0"/>
                      <a:ext cx="6731000" cy="4533900"/>
                    </a:xfrm>
                    <a:prstGeom prst="rect">
                      <a:avLst/>
                    </a:prstGeom>
                  </pic:spPr>
                </pic:pic>
              </a:graphicData>
            </a:graphic>
          </wp:inline>
        </w:drawing>
      </w:r>
    </w:p>
    <w:tbl>
      <w:tblPr>
        <w:tblStyle w:val="DefaqtoTable"/>
        <w:tblW w:w="5000" w:type="pct"/>
        <w:tblLook w:val="01E0" w:firstRow="1" w:lastRow="1" w:firstColumn="1" w:lastColumn="1" w:noHBand="0" w:noVBand="0"/>
      </w:tblPr>
      <w:tblGrid>
        <w:gridCol w:w="578"/>
        <w:gridCol w:w="3930"/>
        <w:gridCol w:w="578"/>
        <w:gridCol w:w="3930"/>
      </w:tblGrid>
      <w:tr w:rsidR="007720DF" w14:paraId="3324E76F" w14:textId="77777777" w:rsidTr="00F94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 w:type="pct"/>
            <w:tcBorders>
              <w:bottom w:val="single" w:sz="4" w:space="0" w:color="B0A7CF"/>
            </w:tcBorders>
          </w:tcPr>
          <w:p w14:paraId="43785940" w14:textId="77777777" w:rsidR="007720DF" w:rsidRDefault="007720DF" w:rsidP="00F94A32">
            <w:pPr>
              <w:rPr>
                <w:sz w:val="22"/>
                <w:szCs w:val="22"/>
                <w:lang w:eastAsia="en-GB"/>
              </w:rPr>
            </w:pPr>
            <w:r>
              <w:rPr>
                <w:rFonts w:ascii="Poppins" w:eastAsia="Poppins" w:hAnsi="Poppins" w:cs="Poppins"/>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7B04D3F3" w14:textId="77777777" w:rsidR="007720DF" w:rsidRDefault="007720DF" w:rsidP="00F94A32">
            <w:pPr>
              <w:pStyle w:val="DefaqtoTableBody2"/>
              <w:cnfStyle w:val="100000000000" w:firstRow="1" w:lastRow="0" w:firstColumn="0" w:lastColumn="0" w:oddVBand="0" w:evenVBand="0" w:oddHBand="0" w:evenHBand="0" w:firstRowFirstColumn="0" w:firstRowLastColumn="0" w:lastRowFirstColumn="0" w:lastRowLastColumn="0"/>
            </w:pPr>
            <w:r>
              <w:t>True Potential Allianz Balanced Acc (GBP)</w:t>
            </w:r>
          </w:p>
        </w:tc>
        <w:tc>
          <w:tcPr>
            <w:tcW w:w="250" w:type="pct"/>
            <w:tcBorders>
              <w:bottom w:val="single" w:sz="4" w:space="0" w:color="B0A7CF"/>
            </w:tcBorders>
          </w:tcPr>
          <w:p w14:paraId="0343FA1B" w14:textId="77777777" w:rsidR="007720DF" w:rsidRDefault="007720DF" w:rsidP="00F94A32">
            <w:pPr>
              <w:cnfStyle w:val="100000000000" w:firstRow="1" w:lastRow="0" w:firstColumn="0" w:lastColumn="0" w:oddVBand="0" w:evenVBand="0" w:oddHBand="0" w:evenHBand="0" w:firstRowFirstColumn="0" w:firstRowLastColumn="0" w:lastRowFirstColumn="0" w:lastRowLastColumn="0"/>
              <w:rPr>
                <w:sz w:val="22"/>
                <w:szCs w:val="22"/>
                <w:lang w:eastAsia="en-GB"/>
              </w:rPr>
            </w:pPr>
            <w:r>
              <w:rPr>
                <w:rFonts w:ascii="Poppins" w:eastAsia="Poppins" w:hAnsi="Poppins" w:cs="Poppins"/>
                <w:color w:val="62BE7C"/>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61DE95C7" w14:textId="77777777" w:rsidR="007720DF" w:rsidRDefault="007720DF" w:rsidP="00F94A32">
            <w:pPr>
              <w:pStyle w:val="DefaqtoTableBody2"/>
              <w:cnfStyle w:val="100000000000" w:firstRow="1" w:lastRow="0" w:firstColumn="0" w:lastColumn="0" w:oddVBand="0" w:evenVBand="0" w:oddHBand="0" w:evenHBand="0" w:firstRowFirstColumn="0" w:firstRowLastColumn="0" w:lastRowFirstColumn="0" w:lastRowLastColumn="0"/>
            </w:pPr>
            <w:r>
              <w:t>True Potential Goldman Sachs Balanced Acc (GBP)</w:t>
            </w:r>
          </w:p>
        </w:tc>
      </w:tr>
      <w:tr w:rsidR="007720DF" w14:paraId="0346D7ED" w14:textId="77777777" w:rsidTr="00F94A32">
        <w:tc>
          <w:tcPr>
            <w:cnfStyle w:val="001000000000" w:firstRow="0" w:lastRow="0" w:firstColumn="1" w:lastColumn="0" w:oddVBand="0" w:evenVBand="0" w:oddHBand="0" w:evenHBand="0" w:firstRowFirstColumn="0" w:firstRowLastColumn="0" w:lastRowFirstColumn="0" w:lastRowLastColumn="0"/>
            <w:tcW w:w="0" w:type="auto"/>
          </w:tcPr>
          <w:p w14:paraId="29CF6CA2" w14:textId="77777777" w:rsidR="007720DF" w:rsidRDefault="007720DF" w:rsidP="00F94A32">
            <w:pPr>
              <w:rPr>
                <w:lang w:eastAsia="en-GB"/>
              </w:rPr>
            </w:pPr>
            <w:r>
              <w:rPr>
                <w:rFonts w:ascii="Poppins" w:eastAsia="Poppins" w:hAnsi="Poppins" w:cs="Poppins"/>
                <w:b/>
                <w:bCs/>
                <w:color w:val="6DA4E3"/>
                <w:sz w:val="18"/>
                <w:szCs w:val="18"/>
                <w:lang w:eastAsia="en-GB"/>
              </w:rPr>
              <w:t>━━</w:t>
            </w:r>
            <w:r>
              <w:rPr>
                <w:rFonts w:ascii="Poppins" w:eastAsia="Poppins" w:hAnsi="Poppins" w:cs="Poppins"/>
                <w:color w:val="000000"/>
                <w:sz w:val="16"/>
                <w:szCs w:val="16"/>
                <w:lang w:eastAsia="en-GB"/>
              </w:rPr>
              <w:t xml:space="preserve">   </w:t>
            </w:r>
          </w:p>
        </w:tc>
        <w:tc>
          <w:tcPr>
            <w:tcW w:w="0" w:type="auto"/>
          </w:tcPr>
          <w:p w14:paraId="15875E7E"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True Potential Growth-Aligned Aggressive Acc (GBP)</w:t>
            </w:r>
          </w:p>
        </w:tc>
        <w:tc>
          <w:tcPr>
            <w:tcW w:w="0" w:type="auto"/>
          </w:tcPr>
          <w:p w14:paraId="0540C0DF" w14:textId="77777777" w:rsidR="007720DF" w:rsidRDefault="007720DF" w:rsidP="00F94A32">
            <w:pPr>
              <w:cnfStyle w:val="000000000000" w:firstRow="0" w:lastRow="0" w:firstColumn="0" w:lastColumn="0" w:oddVBand="0" w:evenVBand="0" w:oddHBand="0" w:evenHBand="0" w:firstRowFirstColumn="0" w:firstRowLastColumn="0" w:lastRowFirstColumn="0" w:lastRowLastColumn="0"/>
              <w:rPr>
                <w:lang w:eastAsia="en-GB"/>
              </w:rPr>
            </w:pPr>
            <w:r>
              <w:rPr>
                <w:rFonts w:ascii="Poppins" w:eastAsia="Poppins" w:hAnsi="Poppins" w:cs="Poppins"/>
                <w:b/>
                <w:bCs/>
                <w:color w:val="F1E64C"/>
                <w:sz w:val="18"/>
                <w:szCs w:val="18"/>
                <w:lang w:eastAsia="en-GB"/>
              </w:rPr>
              <w:t>━━</w:t>
            </w:r>
            <w:r>
              <w:rPr>
                <w:rFonts w:ascii="Poppins" w:eastAsia="Poppins" w:hAnsi="Poppins" w:cs="Poppins"/>
                <w:color w:val="000000"/>
                <w:sz w:val="16"/>
                <w:szCs w:val="16"/>
                <w:lang w:eastAsia="en-GB"/>
              </w:rPr>
              <w:t xml:space="preserve">   </w:t>
            </w:r>
          </w:p>
        </w:tc>
        <w:tc>
          <w:tcPr>
            <w:tcW w:w="0" w:type="auto"/>
          </w:tcPr>
          <w:p w14:paraId="2033EE3A"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True Potential Schroders Balanced Acc (GBP)</w:t>
            </w:r>
          </w:p>
        </w:tc>
      </w:tr>
      <w:tr w:rsidR="007720DF" w14:paraId="5E10EF65" w14:textId="77777777" w:rsidTr="00F94A32">
        <w:tc>
          <w:tcPr>
            <w:cnfStyle w:val="001000000000" w:firstRow="0" w:lastRow="0" w:firstColumn="1" w:lastColumn="0" w:oddVBand="0" w:evenVBand="0" w:oddHBand="0" w:evenHBand="0" w:firstRowFirstColumn="0" w:firstRowLastColumn="0" w:lastRowFirstColumn="0" w:lastRowLastColumn="0"/>
            <w:tcW w:w="0" w:type="auto"/>
          </w:tcPr>
          <w:p w14:paraId="4FD6630F" w14:textId="77777777" w:rsidR="007720DF" w:rsidRDefault="007720DF" w:rsidP="00F94A32">
            <w:pPr>
              <w:rPr>
                <w:lang w:eastAsia="en-GB"/>
              </w:rPr>
            </w:pPr>
            <w:r>
              <w:rPr>
                <w:rFonts w:ascii="Poppins" w:eastAsia="Poppins" w:hAnsi="Poppins" w:cs="Poppins"/>
                <w:b/>
                <w:bCs/>
                <w:color w:val="F8A762"/>
                <w:sz w:val="18"/>
                <w:szCs w:val="18"/>
                <w:lang w:eastAsia="en-GB"/>
              </w:rPr>
              <w:t>━━</w:t>
            </w:r>
            <w:r>
              <w:rPr>
                <w:rFonts w:ascii="Poppins" w:eastAsia="Poppins" w:hAnsi="Poppins" w:cs="Poppins"/>
                <w:color w:val="000000"/>
                <w:sz w:val="16"/>
                <w:szCs w:val="16"/>
                <w:lang w:eastAsia="en-GB"/>
              </w:rPr>
              <w:t xml:space="preserve">   </w:t>
            </w:r>
          </w:p>
        </w:tc>
        <w:tc>
          <w:tcPr>
            <w:tcW w:w="0" w:type="auto"/>
          </w:tcPr>
          <w:p w14:paraId="6EA3069F"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True Potential SEI Aggressive Inc (GBP)</w:t>
            </w:r>
          </w:p>
        </w:tc>
        <w:tc>
          <w:tcPr>
            <w:tcW w:w="0" w:type="auto"/>
          </w:tcPr>
          <w:p w14:paraId="7F42003D" w14:textId="77777777" w:rsidR="007720DF" w:rsidRDefault="007720DF" w:rsidP="00F94A32">
            <w:pPr>
              <w:cnfStyle w:val="000000000000" w:firstRow="0" w:lastRow="0" w:firstColumn="0" w:lastColumn="0" w:oddVBand="0" w:evenVBand="0" w:oddHBand="0" w:evenHBand="0" w:firstRowFirstColumn="0" w:firstRowLastColumn="0" w:lastRowFirstColumn="0" w:lastRowLastColumn="0"/>
              <w:rPr>
                <w:lang w:eastAsia="en-GB"/>
              </w:rPr>
            </w:pPr>
            <w:r>
              <w:rPr>
                <w:rFonts w:ascii="Poppins" w:eastAsia="Poppins" w:hAnsi="Poppins" w:cs="Poppins"/>
                <w:b/>
                <w:bCs/>
                <w:color w:val="A669B1"/>
                <w:sz w:val="18"/>
                <w:szCs w:val="18"/>
                <w:lang w:eastAsia="en-GB"/>
              </w:rPr>
              <w:t>━━</w:t>
            </w:r>
            <w:r>
              <w:rPr>
                <w:rFonts w:ascii="Poppins" w:eastAsia="Poppins" w:hAnsi="Poppins" w:cs="Poppins"/>
                <w:color w:val="000000"/>
                <w:sz w:val="16"/>
                <w:szCs w:val="16"/>
                <w:lang w:eastAsia="en-GB"/>
              </w:rPr>
              <w:t xml:space="preserve">   </w:t>
            </w:r>
          </w:p>
        </w:tc>
        <w:tc>
          <w:tcPr>
            <w:tcW w:w="0" w:type="auto"/>
          </w:tcPr>
          <w:p w14:paraId="22101561"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 xml:space="preserve">True Potential </w:t>
            </w:r>
            <w:proofErr w:type="spellStart"/>
            <w:r>
              <w:t>TrinityBridge</w:t>
            </w:r>
            <w:proofErr w:type="spellEnd"/>
            <w:r>
              <w:t xml:space="preserve"> Balanced A Acc Shares (GBP)</w:t>
            </w:r>
          </w:p>
        </w:tc>
      </w:tr>
      <w:tr w:rsidR="007720DF" w14:paraId="3D734958" w14:textId="77777777" w:rsidTr="00F94A32">
        <w:tc>
          <w:tcPr>
            <w:cnfStyle w:val="001000000000" w:firstRow="0" w:lastRow="0" w:firstColumn="1" w:lastColumn="0" w:oddVBand="0" w:evenVBand="0" w:oddHBand="0" w:evenHBand="0" w:firstRowFirstColumn="0" w:firstRowLastColumn="0" w:lastRowFirstColumn="0" w:lastRowLastColumn="0"/>
            <w:tcW w:w="0" w:type="auto"/>
          </w:tcPr>
          <w:p w14:paraId="4ABCE8A2" w14:textId="77777777" w:rsidR="007720DF" w:rsidRDefault="007720DF" w:rsidP="00F94A32">
            <w:pPr>
              <w:rPr>
                <w:lang w:eastAsia="en-GB"/>
              </w:rPr>
            </w:pPr>
            <w:r>
              <w:rPr>
                <w:rFonts w:ascii="Poppins" w:eastAsia="Poppins" w:hAnsi="Poppins" w:cs="Poppins"/>
                <w:b/>
                <w:bCs/>
                <w:color w:val="DBDBDB"/>
                <w:sz w:val="18"/>
                <w:szCs w:val="18"/>
                <w:lang w:eastAsia="en-GB"/>
              </w:rPr>
              <w:t>━━</w:t>
            </w:r>
            <w:r>
              <w:rPr>
                <w:rFonts w:ascii="Poppins" w:eastAsia="Poppins" w:hAnsi="Poppins" w:cs="Poppins"/>
                <w:color w:val="000000"/>
                <w:sz w:val="16"/>
                <w:szCs w:val="16"/>
                <w:lang w:eastAsia="en-GB"/>
              </w:rPr>
              <w:t xml:space="preserve">   </w:t>
            </w:r>
          </w:p>
        </w:tc>
        <w:tc>
          <w:tcPr>
            <w:tcW w:w="0" w:type="auto"/>
          </w:tcPr>
          <w:p w14:paraId="4C355AC1"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True Potential UBS Aggressive Acc (GBP)</w:t>
            </w:r>
          </w:p>
        </w:tc>
        <w:tc>
          <w:tcPr>
            <w:tcW w:w="0" w:type="auto"/>
          </w:tcPr>
          <w:p w14:paraId="35E77807"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p>
        </w:tc>
        <w:tc>
          <w:tcPr>
            <w:tcW w:w="0" w:type="auto"/>
          </w:tcPr>
          <w:p w14:paraId="0BF47D30"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p>
        </w:tc>
      </w:tr>
    </w:tbl>
    <w:p w14:paraId="0AD18392" w14:textId="77777777" w:rsidR="007720DF" w:rsidRDefault="007720DF" w:rsidP="007720DF">
      <w:pPr>
        <w:pStyle w:val="DefaqtoBody"/>
        <w:rPr>
          <w:sz w:val="22"/>
          <w:szCs w:val="22"/>
        </w:rPr>
      </w:pPr>
      <w:r>
        <w:rPr>
          <w:sz w:val="22"/>
          <w:szCs w:val="22"/>
          <w:u w:color="000000"/>
        </w:rPr>
        <w:t xml:space="preserve"> </w:t>
      </w:r>
    </w:p>
    <w:p w14:paraId="22B14046" w14:textId="77777777" w:rsidR="007720DF" w:rsidRDefault="007720DF" w:rsidP="007720DF">
      <w:pPr>
        <w:pStyle w:val="DefaqtoHeading3-noTOC"/>
      </w:pPr>
      <w:r>
        <w:lastRenderedPageBreak/>
        <w:t>Individual cumulative investment performance table</w:t>
      </w:r>
    </w:p>
    <w:p w14:paraId="04FB74CE" w14:textId="77777777" w:rsidR="007720DF" w:rsidRDefault="007720DF" w:rsidP="007720DF">
      <w:pPr>
        <w:pStyle w:val="DefaqtoBody"/>
        <w:rPr>
          <w:sz w:val="22"/>
          <w:szCs w:val="22"/>
        </w:rPr>
      </w:pPr>
      <w:r>
        <w:rPr>
          <w:sz w:val="22"/>
          <w:szCs w:val="22"/>
          <w:u w:color="000000"/>
        </w:rPr>
        <w:t>The table shows an investment’s performance, calculated as NAV to NAV/Bid to Bid/Closing Price to Closing Price, with dividends/distributions reinvested, including the effect of ongoing costs and charges.</w:t>
      </w:r>
    </w:p>
    <w:tbl>
      <w:tblPr>
        <w:tblStyle w:val="DefaqtoTable"/>
        <w:tblW w:w="5000" w:type="pct"/>
        <w:tblLook w:val="01E0" w:firstRow="1" w:lastRow="1" w:firstColumn="1" w:lastColumn="1" w:noHBand="0" w:noVBand="0"/>
      </w:tblPr>
      <w:tblGrid>
        <w:gridCol w:w="4257"/>
        <w:gridCol w:w="1192"/>
        <w:gridCol w:w="581"/>
        <w:gridCol w:w="581"/>
        <w:gridCol w:w="581"/>
        <w:gridCol w:w="581"/>
        <w:gridCol w:w="581"/>
        <w:gridCol w:w="662"/>
      </w:tblGrid>
      <w:tr w:rsidR="007720DF" w14:paraId="43BC49B3" w14:textId="77777777" w:rsidTr="00F94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pct"/>
          </w:tcPr>
          <w:p w14:paraId="3DBCBF3B" w14:textId="77777777" w:rsidR="007720DF" w:rsidRDefault="007720DF" w:rsidP="00F94A32">
            <w:pPr>
              <w:pStyle w:val="DefaqtoTableBody2"/>
            </w:pPr>
            <w:r>
              <w:t>FUND</w:t>
            </w:r>
          </w:p>
        </w:tc>
        <w:tc>
          <w:tcPr>
            <w:tcW w:w="900" w:type="pct"/>
          </w:tcPr>
          <w:p w14:paraId="0D00FD59" w14:textId="77777777" w:rsidR="007720DF" w:rsidRDefault="007720DF" w:rsidP="00F94A32">
            <w:pPr>
              <w:pStyle w:val="DefaqtoTableBody2"/>
              <w:jc w:val="right"/>
              <w:cnfStyle w:val="100000000000" w:firstRow="1" w:lastRow="0" w:firstColumn="0" w:lastColumn="0" w:oddVBand="0" w:evenVBand="0" w:oddHBand="0" w:evenHBand="0" w:firstRowFirstColumn="0" w:firstRowLastColumn="0" w:lastRowFirstColumn="0" w:lastRowLastColumn="0"/>
            </w:pPr>
            <w:r>
              <w:t>Last Performance Update</w:t>
            </w:r>
          </w:p>
        </w:tc>
        <w:tc>
          <w:tcPr>
            <w:tcW w:w="400" w:type="pct"/>
          </w:tcPr>
          <w:p w14:paraId="7A03FAAC" w14:textId="77777777" w:rsidR="007720DF" w:rsidRDefault="007720DF" w:rsidP="00F94A32">
            <w:pPr>
              <w:pStyle w:val="DefaqtoTableBody2"/>
              <w:jc w:val="right"/>
              <w:cnfStyle w:val="100000000000" w:firstRow="1" w:lastRow="0" w:firstColumn="0" w:lastColumn="0" w:oddVBand="0" w:evenVBand="0" w:oddHBand="0" w:evenHBand="0" w:firstRowFirstColumn="0" w:firstRowLastColumn="0" w:lastRowFirstColumn="0" w:lastRowLastColumn="0"/>
            </w:pPr>
            <w:r>
              <w:t>3M</w:t>
            </w:r>
          </w:p>
        </w:tc>
        <w:tc>
          <w:tcPr>
            <w:tcW w:w="400" w:type="pct"/>
          </w:tcPr>
          <w:p w14:paraId="05B4934C" w14:textId="77777777" w:rsidR="007720DF" w:rsidRDefault="007720DF" w:rsidP="00F94A32">
            <w:pPr>
              <w:pStyle w:val="DefaqtoTableBody2"/>
              <w:jc w:val="right"/>
              <w:cnfStyle w:val="100000000000" w:firstRow="1" w:lastRow="0" w:firstColumn="0" w:lastColumn="0" w:oddVBand="0" w:evenVBand="0" w:oddHBand="0" w:evenHBand="0" w:firstRowFirstColumn="0" w:firstRowLastColumn="0" w:lastRowFirstColumn="0" w:lastRowLastColumn="0"/>
            </w:pPr>
            <w:r>
              <w:t>6M</w:t>
            </w:r>
          </w:p>
        </w:tc>
        <w:tc>
          <w:tcPr>
            <w:tcW w:w="400" w:type="pct"/>
          </w:tcPr>
          <w:p w14:paraId="7B8372FE" w14:textId="77777777" w:rsidR="007720DF" w:rsidRDefault="007720DF" w:rsidP="00F94A32">
            <w:pPr>
              <w:pStyle w:val="DefaqtoTableBody2"/>
              <w:jc w:val="right"/>
              <w:cnfStyle w:val="100000000000" w:firstRow="1" w:lastRow="0" w:firstColumn="0" w:lastColumn="0" w:oddVBand="0" w:evenVBand="0" w:oddHBand="0" w:evenHBand="0" w:firstRowFirstColumn="0" w:firstRowLastColumn="0" w:lastRowFirstColumn="0" w:lastRowLastColumn="0"/>
            </w:pPr>
            <w:r>
              <w:t>1YR</w:t>
            </w:r>
          </w:p>
        </w:tc>
        <w:tc>
          <w:tcPr>
            <w:tcW w:w="400" w:type="pct"/>
          </w:tcPr>
          <w:p w14:paraId="7CDF76CD" w14:textId="77777777" w:rsidR="007720DF" w:rsidRDefault="007720DF" w:rsidP="00F94A32">
            <w:pPr>
              <w:pStyle w:val="DefaqtoTableBody2"/>
              <w:jc w:val="right"/>
              <w:cnfStyle w:val="100000000000" w:firstRow="1" w:lastRow="0" w:firstColumn="0" w:lastColumn="0" w:oddVBand="0" w:evenVBand="0" w:oddHBand="0" w:evenHBand="0" w:firstRowFirstColumn="0" w:firstRowLastColumn="0" w:lastRowFirstColumn="0" w:lastRowLastColumn="0"/>
            </w:pPr>
            <w:r>
              <w:t>3YR</w:t>
            </w:r>
          </w:p>
        </w:tc>
        <w:tc>
          <w:tcPr>
            <w:tcW w:w="400" w:type="pct"/>
          </w:tcPr>
          <w:p w14:paraId="23DD927B" w14:textId="77777777" w:rsidR="007720DF" w:rsidRDefault="007720DF" w:rsidP="00F94A32">
            <w:pPr>
              <w:pStyle w:val="DefaqtoTableBody2"/>
              <w:jc w:val="right"/>
              <w:cnfStyle w:val="100000000000" w:firstRow="1" w:lastRow="0" w:firstColumn="0" w:lastColumn="0" w:oddVBand="0" w:evenVBand="0" w:oddHBand="0" w:evenHBand="0" w:firstRowFirstColumn="0" w:firstRowLastColumn="0" w:lastRowFirstColumn="0" w:lastRowLastColumn="0"/>
            </w:pPr>
            <w:r>
              <w:t>5YR</w:t>
            </w:r>
          </w:p>
        </w:tc>
        <w:tc>
          <w:tcPr>
            <w:tcW w:w="400" w:type="pct"/>
          </w:tcPr>
          <w:p w14:paraId="064943D7" w14:textId="77777777" w:rsidR="007720DF" w:rsidRDefault="007720DF" w:rsidP="00F94A32">
            <w:pPr>
              <w:pStyle w:val="DefaqtoTableBody2"/>
              <w:jc w:val="right"/>
              <w:cnfStyle w:val="100000000000" w:firstRow="1" w:lastRow="0" w:firstColumn="0" w:lastColumn="0" w:oddVBand="0" w:evenVBand="0" w:oddHBand="0" w:evenHBand="0" w:firstRowFirstColumn="0" w:firstRowLastColumn="0" w:lastRowFirstColumn="0" w:lastRowLastColumn="0"/>
            </w:pPr>
            <w:r>
              <w:t>10YR</w:t>
            </w:r>
          </w:p>
        </w:tc>
      </w:tr>
      <w:tr w:rsidR="007720DF" w14:paraId="504B3098" w14:textId="77777777" w:rsidTr="00F94A32">
        <w:tc>
          <w:tcPr>
            <w:cnfStyle w:val="001000000000" w:firstRow="0" w:lastRow="0" w:firstColumn="1" w:lastColumn="0" w:oddVBand="0" w:evenVBand="0" w:oddHBand="0" w:evenHBand="0" w:firstRowFirstColumn="0" w:firstRowLastColumn="0" w:lastRowFirstColumn="0" w:lastRowLastColumn="0"/>
            <w:tcW w:w="0" w:type="auto"/>
          </w:tcPr>
          <w:p w14:paraId="29643384" w14:textId="77777777" w:rsidR="007720DF" w:rsidRDefault="007720DF" w:rsidP="00F94A32">
            <w:pPr>
              <w:pStyle w:val="DefaqtoTableBody2"/>
            </w:pPr>
            <w:r>
              <w:t>True Potential Allianz Balanced Acc (GBP)</w:t>
            </w:r>
          </w:p>
        </w:tc>
        <w:tc>
          <w:tcPr>
            <w:tcW w:w="0" w:type="auto"/>
          </w:tcPr>
          <w:p w14:paraId="0419207B"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28/02/2026</w:t>
            </w:r>
          </w:p>
        </w:tc>
        <w:tc>
          <w:tcPr>
            <w:tcW w:w="0" w:type="auto"/>
          </w:tcPr>
          <w:p w14:paraId="52FFB3C6"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5.99</w:t>
            </w:r>
          </w:p>
        </w:tc>
        <w:tc>
          <w:tcPr>
            <w:tcW w:w="0" w:type="auto"/>
          </w:tcPr>
          <w:p w14:paraId="36A08966"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11.95</w:t>
            </w:r>
          </w:p>
        </w:tc>
        <w:tc>
          <w:tcPr>
            <w:tcW w:w="0" w:type="auto"/>
          </w:tcPr>
          <w:p w14:paraId="47C3D90F"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17.70</w:t>
            </w:r>
          </w:p>
        </w:tc>
        <w:tc>
          <w:tcPr>
            <w:tcW w:w="0" w:type="auto"/>
          </w:tcPr>
          <w:p w14:paraId="3F6AE778"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39.47</w:t>
            </w:r>
          </w:p>
        </w:tc>
        <w:tc>
          <w:tcPr>
            <w:tcW w:w="0" w:type="auto"/>
          </w:tcPr>
          <w:p w14:paraId="033ECA54"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38.77</w:t>
            </w:r>
          </w:p>
        </w:tc>
        <w:tc>
          <w:tcPr>
            <w:tcW w:w="0" w:type="auto"/>
          </w:tcPr>
          <w:p w14:paraId="1AE4A2ED"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p>
        </w:tc>
      </w:tr>
      <w:tr w:rsidR="007720DF" w14:paraId="31AE4B6E" w14:textId="77777777" w:rsidTr="00F94A32">
        <w:tc>
          <w:tcPr>
            <w:cnfStyle w:val="001000000000" w:firstRow="0" w:lastRow="0" w:firstColumn="1" w:lastColumn="0" w:oddVBand="0" w:evenVBand="0" w:oddHBand="0" w:evenHBand="0" w:firstRowFirstColumn="0" w:firstRowLastColumn="0" w:lastRowFirstColumn="0" w:lastRowLastColumn="0"/>
            <w:tcW w:w="0" w:type="auto"/>
          </w:tcPr>
          <w:p w14:paraId="6F942789" w14:textId="77777777" w:rsidR="007720DF" w:rsidRDefault="007720DF" w:rsidP="00F94A32">
            <w:pPr>
              <w:pStyle w:val="DefaqtoTableBody2"/>
            </w:pPr>
            <w:r>
              <w:t>True Potential Goldman Sachs Balanced Acc (GBP)</w:t>
            </w:r>
          </w:p>
        </w:tc>
        <w:tc>
          <w:tcPr>
            <w:tcW w:w="0" w:type="auto"/>
          </w:tcPr>
          <w:p w14:paraId="21BD9753"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28/02/2026</w:t>
            </w:r>
          </w:p>
        </w:tc>
        <w:tc>
          <w:tcPr>
            <w:tcW w:w="0" w:type="auto"/>
          </w:tcPr>
          <w:p w14:paraId="01631C01"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3.98</w:t>
            </w:r>
          </w:p>
        </w:tc>
        <w:tc>
          <w:tcPr>
            <w:tcW w:w="0" w:type="auto"/>
          </w:tcPr>
          <w:p w14:paraId="52360577"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8.86</w:t>
            </w:r>
          </w:p>
        </w:tc>
        <w:tc>
          <w:tcPr>
            <w:tcW w:w="0" w:type="auto"/>
          </w:tcPr>
          <w:p w14:paraId="7D7C7B6C"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12.73</w:t>
            </w:r>
          </w:p>
        </w:tc>
        <w:tc>
          <w:tcPr>
            <w:tcW w:w="0" w:type="auto"/>
          </w:tcPr>
          <w:p w14:paraId="2B97D7B2"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32.77</w:t>
            </w:r>
          </w:p>
        </w:tc>
        <w:tc>
          <w:tcPr>
            <w:tcW w:w="0" w:type="auto"/>
          </w:tcPr>
          <w:p w14:paraId="7B3A8C12"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29.67</w:t>
            </w:r>
          </w:p>
        </w:tc>
        <w:tc>
          <w:tcPr>
            <w:tcW w:w="0" w:type="auto"/>
          </w:tcPr>
          <w:p w14:paraId="101C8887"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p>
        </w:tc>
      </w:tr>
      <w:tr w:rsidR="007720DF" w14:paraId="71025541" w14:textId="77777777" w:rsidTr="00F94A32">
        <w:tc>
          <w:tcPr>
            <w:cnfStyle w:val="001000000000" w:firstRow="0" w:lastRow="0" w:firstColumn="1" w:lastColumn="0" w:oddVBand="0" w:evenVBand="0" w:oddHBand="0" w:evenHBand="0" w:firstRowFirstColumn="0" w:firstRowLastColumn="0" w:lastRowFirstColumn="0" w:lastRowLastColumn="0"/>
            <w:tcW w:w="0" w:type="auto"/>
          </w:tcPr>
          <w:p w14:paraId="06909122" w14:textId="77777777" w:rsidR="007720DF" w:rsidRDefault="007720DF" w:rsidP="00F94A32">
            <w:pPr>
              <w:pStyle w:val="DefaqtoTableBody2"/>
            </w:pPr>
            <w:r>
              <w:t>True Potential Growth-Aligned Aggressive Acc (GBP)</w:t>
            </w:r>
          </w:p>
        </w:tc>
        <w:tc>
          <w:tcPr>
            <w:tcW w:w="0" w:type="auto"/>
          </w:tcPr>
          <w:p w14:paraId="731C747B"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28/02/2026</w:t>
            </w:r>
          </w:p>
        </w:tc>
        <w:tc>
          <w:tcPr>
            <w:tcW w:w="0" w:type="auto"/>
          </w:tcPr>
          <w:p w14:paraId="25AD7631"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6.53</w:t>
            </w:r>
          </w:p>
        </w:tc>
        <w:tc>
          <w:tcPr>
            <w:tcW w:w="0" w:type="auto"/>
          </w:tcPr>
          <w:p w14:paraId="0A9BF1AC"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13.65</w:t>
            </w:r>
          </w:p>
        </w:tc>
        <w:tc>
          <w:tcPr>
            <w:tcW w:w="0" w:type="auto"/>
          </w:tcPr>
          <w:p w14:paraId="1B930BFC"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21.39</w:t>
            </w:r>
          </w:p>
        </w:tc>
        <w:tc>
          <w:tcPr>
            <w:tcW w:w="0" w:type="auto"/>
          </w:tcPr>
          <w:p w14:paraId="733F745F"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49.45</w:t>
            </w:r>
          </w:p>
        </w:tc>
        <w:tc>
          <w:tcPr>
            <w:tcW w:w="0" w:type="auto"/>
          </w:tcPr>
          <w:p w14:paraId="646058B2"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60.82</w:t>
            </w:r>
          </w:p>
        </w:tc>
        <w:tc>
          <w:tcPr>
            <w:tcW w:w="0" w:type="auto"/>
          </w:tcPr>
          <w:p w14:paraId="5F378BFD"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p>
        </w:tc>
      </w:tr>
      <w:tr w:rsidR="007720DF" w14:paraId="626C070F" w14:textId="77777777" w:rsidTr="00F94A32">
        <w:tc>
          <w:tcPr>
            <w:cnfStyle w:val="001000000000" w:firstRow="0" w:lastRow="0" w:firstColumn="1" w:lastColumn="0" w:oddVBand="0" w:evenVBand="0" w:oddHBand="0" w:evenHBand="0" w:firstRowFirstColumn="0" w:firstRowLastColumn="0" w:lastRowFirstColumn="0" w:lastRowLastColumn="0"/>
            <w:tcW w:w="0" w:type="auto"/>
          </w:tcPr>
          <w:p w14:paraId="018D917C" w14:textId="77777777" w:rsidR="007720DF" w:rsidRDefault="007720DF" w:rsidP="00F94A32">
            <w:pPr>
              <w:pStyle w:val="DefaqtoTableBody2"/>
            </w:pPr>
            <w:r>
              <w:t>True Potential Schroders Balanced Acc (GBP)</w:t>
            </w:r>
          </w:p>
        </w:tc>
        <w:tc>
          <w:tcPr>
            <w:tcW w:w="0" w:type="auto"/>
          </w:tcPr>
          <w:p w14:paraId="2F12E0B2"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28/02/2026</w:t>
            </w:r>
          </w:p>
        </w:tc>
        <w:tc>
          <w:tcPr>
            <w:tcW w:w="0" w:type="auto"/>
          </w:tcPr>
          <w:p w14:paraId="0242CB4F"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10.98</w:t>
            </w:r>
          </w:p>
        </w:tc>
        <w:tc>
          <w:tcPr>
            <w:tcW w:w="0" w:type="auto"/>
          </w:tcPr>
          <w:p w14:paraId="577E4EFB"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17.86</w:t>
            </w:r>
          </w:p>
        </w:tc>
        <w:tc>
          <w:tcPr>
            <w:tcW w:w="0" w:type="auto"/>
          </w:tcPr>
          <w:p w14:paraId="23A8DB00"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28.73</w:t>
            </w:r>
          </w:p>
        </w:tc>
        <w:tc>
          <w:tcPr>
            <w:tcW w:w="0" w:type="auto"/>
          </w:tcPr>
          <w:p w14:paraId="1FE65FB3"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50.15</w:t>
            </w:r>
          </w:p>
        </w:tc>
        <w:tc>
          <w:tcPr>
            <w:tcW w:w="0" w:type="auto"/>
          </w:tcPr>
          <w:p w14:paraId="63F2218E"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74.49</w:t>
            </w:r>
          </w:p>
        </w:tc>
        <w:tc>
          <w:tcPr>
            <w:tcW w:w="0" w:type="auto"/>
          </w:tcPr>
          <w:p w14:paraId="5AFE2205"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131.32</w:t>
            </w:r>
          </w:p>
        </w:tc>
      </w:tr>
      <w:tr w:rsidR="007720DF" w14:paraId="037E2FD3" w14:textId="77777777" w:rsidTr="00F94A32">
        <w:tc>
          <w:tcPr>
            <w:cnfStyle w:val="001000000000" w:firstRow="0" w:lastRow="0" w:firstColumn="1" w:lastColumn="0" w:oddVBand="0" w:evenVBand="0" w:oddHBand="0" w:evenHBand="0" w:firstRowFirstColumn="0" w:firstRowLastColumn="0" w:lastRowFirstColumn="0" w:lastRowLastColumn="0"/>
            <w:tcW w:w="0" w:type="auto"/>
          </w:tcPr>
          <w:p w14:paraId="6557C435" w14:textId="77777777" w:rsidR="007720DF" w:rsidRDefault="007720DF" w:rsidP="00F94A32">
            <w:pPr>
              <w:pStyle w:val="DefaqtoTableBody2"/>
            </w:pPr>
            <w:r>
              <w:t>True Potential SEI Aggressive Inc (GBP)</w:t>
            </w:r>
          </w:p>
        </w:tc>
        <w:tc>
          <w:tcPr>
            <w:tcW w:w="0" w:type="auto"/>
          </w:tcPr>
          <w:p w14:paraId="730F0576"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28/02/2026</w:t>
            </w:r>
          </w:p>
        </w:tc>
        <w:tc>
          <w:tcPr>
            <w:tcW w:w="0" w:type="auto"/>
          </w:tcPr>
          <w:p w14:paraId="22516266"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6.37</w:t>
            </w:r>
          </w:p>
        </w:tc>
        <w:tc>
          <w:tcPr>
            <w:tcW w:w="0" w:type="auto"/>
          </w:tcPr>
          <w:p w14:paraId="2738B780"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12.41</w:t>
            </w:r>
          </w:p>
        </w:tc>
        <w:tc>
          <w:tcPr>
            <w:tcW w:w="0" w:type="auto"/>
          </w:tcPr>
          <w:p w14:paraId="45E4782D"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21.42</w:t>
            </w:r>
          </w:p>
        </w:tc>
        <w:tc>
          <w:tcPr>
            <w:tcW w:w="0" w:type="auto"/>
          </w:tcPr>
          <w:p w14:paraId="68E3258B"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49.12</w:t>
            </w:r>
          </w:p>
        </w:tc>
        <w:tc>
          <w:tcPr>
            <w:tcW w:w="0" w:type="auto"/>
          </w:tcPr>
          <w:p w14:paraId="6D244579"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77.05</w:t>
            </w:r>
          </w:p>
        </w:tc>
        <w:tc>
          <w:tcPr>
            <w:tcW w:w="0" w:type="auto"/>
          </w:tcPr>
          <w:p w14:paraId="238A1617"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180.26</w:t>
            </w:r>
          </w:p>
        </w:tc>
      </w:tr>
      <w:tr w:rsidR="007720DF" w14:paraId="768981A2" w14:textId="77777777" w:rsidTr="00F94A32">
        <w:tc>
          <w:tcPr>
            <w:cnfStyle w:val="001000000000" w:firstRow="0" w:lastRow="0" w:firstColumn="1" w:lastColumn="0" w:oddVBand="0" w:evenVBand="0" w:oddHBand="0" w:evenHBand="0" w:firstRowFirstColumn="0" w:firstRowLastColumn="0" w:lastRowFirstColumn="0" w:lastRowLastColumn="0"/>
            <w:tcW w:w="0" w:type="auto"/>
          </w:tcPr>
          <w:p w14:paraId="1AFD5F5C" w14:textId="77777777" w:rsidR="007720DF" w:rsidRDefault="007720DF" w:rsidP="00F94A32">
            <w:pPr>
              <w:pStyle w:val="DefaqtoTableBody2"/>
            </w:pPr>
            <w:r>
              <w:t xml:space="preserve">True Potential </w:t>
            </w:r>
            <w:proofErr w:type="spellStart"/>
            <w:r>
              <w:t>TrinityBridge</w:t>
            </w:r>
            <w:proofErr w:type="spellEnd"/>
            <w:r>
              <w:t xml:space="preserve"> Balanced A Acc Shares (GBP)</w:t>
            </w:r>
          </w:p>
        </w:tc>
        <w:tc>
          <w:tcPr>
            <w:tcW w:w="0" w:type="auto"/>
          </w:tcPr>
          <w:p w14:paraId="05401E9F"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28/02/2026</w:t>
            </w:r>
          </w:p>
        </w:tc>
        <w:tc>
          <w:tcPr>
            <w:tcW w:w="0" w:type="auto"/>
          </w:tcPr>
          <w:p w14:paraId="07E37735"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4.39</w:t>
            </w:r>
          </w:p>
        </w:tc>
        <w:tc>
          <w:tcPr>
            <w:tcW w:w="0" w:type="auto"/>
          </w:tcPr>
          <w:p w14:paraId="3C60DDA2"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8.12</w:t>
            </w:r>
          </w:p>
        </w:tc>
        <w:tc>
          <w:tcPr>
            <w:tcW w:w="0" w:type="auto"/>
          </w:tcPr>
          <w:p w14:paraId="6B235E39"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9.24</w:t>
            </w:r>
          </w:p>
        </w:tc>
        <w:tc>
          <w:tcPr>
            <w:tcW w:w="0" w:type="auto"/>
          </w:tcPr>
          <w:p w14:paraId="46E2B0C2"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28.42</w:t>
            </w:r>
          </w:p>
        </w:tc>
        <w:tc>
          <w:tcPr>
            <w:tcW w:w="0" w:type="auto"/>
          </w:tcPr>
          <w:p w14:paraId="01A3ECA7"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26.71</w:t>
            </w:r>
          </w:p>
        </w:tc>
        <w:tc>
          <w:tcPr>
            <w:tcW w:w="0" w:type="auto"/>
          </w:tcPr>
          <w:p w14:paraId="08BA84E9"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77.28</w:t>
            </w:r>
          </w:p>
        </w:tc>
      </w:tr>
      <w:tr w:rsidR="007720DF" w14:paraId="33F9FDBA" w14:textId="77777777" w:rsidTr="00F94A32">
        <w:tc>
          <w:tcPr>
            <w:cnfStyle w:val="001000000000" w:firstRow="0" w:lastRow="0" w:firstColumn="1" w:lastColumn="0" w:oddVBand="0" w:evenVBand="0" w:oddHBand="0" w:evenHBand="0" w:firstRowFirstColumn="0" w:firstRowLastColumn="0" w:lastRowFirstColumn="0" w:lastRowLastColumn="0"/>
            <w:tcW w:w="0" w:type="auto"/>
          </w:tcPr>
          <w:p w14:paraId="143F28E4" w14:textId="77777777" w:rsidR="007720DF" w:rsidRDefault="007720DF" w:rsidP="00F94A32">
            <w:pPr>
              <w:pStyle w:val="DefaqtoTableBody2"/>
            </w:pPr>
            <w:r>
              <w:t>True Potential UBS Aggressive Acc (GBP)</w:t>
            </w:r>
          </w:p>
        </w:tc>
        <w:tc>
          <w:tcPr>
            <w:tcW w:w="0" w:type="auto"/>
          </w:tcPr>
          <w:p w14:paraId="56106674"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28/02/2026</w:t>
            </w:r>
          </w:p>
        </w:tc>
        <w:tc>
          <w:tcPr>
            <w:tcW w:w="0" w:type="auto"/>
          </w:tcPr>
          <w:p w14:paraId="4E374FC0"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6.73</w:t>
            </w:r>
          </w:p>
        </w:tc>
        <w:tc>
          <w:tcPr>
            <w:tcW w:w="0" w:type="auto"/>
          </w:tcPr>
          <w:p w14:paraId="3AFB49E6"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15.27</w:t>
            </w:r>
          </w:p>
        </w:tc>
        <w:tc>
          <w:tcPr>
            <w:tcW w:w="0" w:type="auto"/>
          </w:tcPr>
          <w:p w14:paraId="554ECB87"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17.52</w:t>
            </w:r>
          </w:p>
        </w:tc>
        <w:tc>
          <w:tcPr>
            <w:tcW w:w="0" w:type="auto"/>
          </w:tcPr>
          <w:p w14:paraId="4AE2E51D"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48.91</w:t>
            </w:r>
          </w:p>
        </w:tc>
        <w:tc>
          <w:tcPr>
            <w:tcW w:w="0" w:type="auto"/>
          </w:tcPr>
          <w:p w14:paraId="7D7C7906"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r>
              <w:t>52.80</w:t>
            </w:r>
          </w:p>
        </w:tc>
        <w:tc>
          <w:tcPr>
            <w:tcW w:w="0" w:type="auto"/>
          </w:tcPr>
          <w:p w14:paraId="2B3BE62C" w14:textId="77777777" w:rsidR="007720DF" w:rsidRDefault="007720DF" w:rsidP="00F94A32">
            <w:pPr>
              <w:pStyle w:val="DefaqtoTableBody2"/>
              <w:jc w:val="right"/>
              <w:cnfStyle w:val="000000000000" w:firstRow="0" w:lastRow="0" w:firstColumn="0" w:lastColumn="0" w:oddVBand="0" w:evenVBand="0" w:oddHBand="0" w:evenHBand="0" w:firstRowFirstColumn="0" w:firstRowLastColumn="0" w:lastRowFirstColumn="0" w:lastRowLastColumn="0"/>
            </w:pPr>
          </w:p>
        </w:tc>
      </w:tr>
    </w:tbl>
    <w:p w14:paraId="188796F3" w14:textId="77777777" w:rsidR="007720DF" w:rsidRDefault="007720DF" w:rsidP="007720DF">
      <w:pPr>
        <w:spacing w:line="240" w:lineRule="auto"/>
        <w:rPr>
          <w:color w:val="392388"/>
          <w:lang w:val="en-NZ"/>
        </w:rPr>
      </w:pPr>
    </w:p>
    <w:p w14:paraId="24B69B9B" w14:textId="77777777" w:rsidR="007720DF" w:rsidRDefault="007720DF" w:rsidP="007720DF">
      <w:pPr>
        <w:spacing w:line="240" w:lineRule="auto"/>
        <w:rPr>
          <w:color w:val="392388"/>
          <w:lang w:val="en-NZ"/>
        </w:rPr>
      </w:pPr>
    </w:p>
    <w:p w14:paraId="0C7C4D0C" w14:textId="77777777" w:rsidR="007720DF" w:rsidRDefault="007720DF" w:rsidP="007720DF">
      <w:pPr>
        <w:spacing w:line="240" w:lineRule="auto"/>
        <w:rPr>
          <w:color w:val="392388"/>
          <w:lang w:val="en-NZ"/>
        </w:rPr>
      </w:pPr>
    </w:p>
    <w:p w14:paraId="17A480A1" w14:textId="77777777" w:rsidR="007720DF" w:rsidRDefault="007720DF" w:rsidP="007720DF">
      <w:pPr>
        <w:pStyle w:val="DefaqtoHeading3-noTOC"/>
      </w:pPr>
      <w:r>
        <w:t>Individual discrete investment performance table</w:t>
      </w:r>
    </w:p>
    <w:p w14:paraId="1CE76DF7" w14:textId="77777777" w:rsidR="007720DF" w:rsidRDefault="007720DF" w:rsidP="007720DF">
      <w:pPr>
        <w:pStyle w:val="DefaqtoBody"/>
        <w:rPr>
          <w:sz w:val="22"/>
          <w:szCs w:val="22"/>
        </w:rPr>
      </w:pPr>
      <w:r>
        <w:rPr>
          <w:sz w:val="22"/>
          <w:szCs w:val="22"/>
          <w:u w:color="000000"/>
        </w:rPr>
        <w:t>The table shows an investments performance, calculated as NAV to NAV/Bid to Bid/Closing Price to Closing Price, with dividends / distributions reinvested, including the effect of ongoing costs and charges. These figures are calculated for calendar years and / or the period within the current year specified.</w:t>
      </w:r>
    </w:p>
    <w:p w14:paraId="75726F86" w14:textId="77777777" w:rsidR="007720DF" w:rsidRDefault="007720DF" w:rsidP="007720DF">
      <w:pPr>
        <w:pStyle w:val="DefaqtoHeading4"/>
      </w:pPr>
      <w:r>
        <w:t>Existing holdings individual discrete performance data</w:t>
      </w:r>
    </w:p>
    <w:tbl>
      <w:tblPr>
        <w:tblStyle w:val="DefaqtoTable"/>
        <w:tblW w:w="5000" w:type="pct"/>
        <w:tblLook w:val="01E0" w:firstRow="1" w:lastRow="1" w:firstColumn="1" w:lastColumn="1" w:noHBand="0" w:noVBand="0"/>
      </w:tblPr>
      <w:tblGrid>
        <w:gridCol w:w="4507"/>
        <w:gridCol w:w="901"/>
        <w:gridCol w:w="902"/>
        <w:gridCol w:w="902"/>
        <w:gridCol w:w="902"/>
        <w:gridCol w:w="902"/>
      </w:tblGrid>
      <w:tr w:rsidR="007720DF" w14:paraId="6A29769C" w14:textId="77777777" w:rsidTr="00F94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22D5CDE" w14:textId="77777777" w:rsidR="007720DF" w:rsidRDefault="007720DF" w:rsidP="00F94A32">
            <w:pPr>
              <w:pStyle w:val="DefaqtoTableBody2"/>
            </w:pPr>
            <w:r>
              <w:t>Fund</w:t>
            </w:r>
          </w:p>
        </w:tc>
        <w:tc>
          <w:tcPr>
            <w:tcW w:w="500" w:type="pct"/>
          </w:tcPr>
          <w:p w14:paraId="61508DC8" w14:textId="77777777" w:rsidR="007720DF" w:rsidRDefault="007720DF" w:rsidP="00F94A32">
            <w:pPr>
              <w:pStyle w:val="DefaqtoTableBody2"/>
              <w:cnfStyle w:val="100000000000" w:firstRow="1" w:lastRow="0" w:firstColumn="0" w:lastColumn="0" w:oddVBand="0" w:evenVBand="0" w:oddHBand="0" w:evenHBand="0" w:firstRowFirstColumn="0" w:firstRowLastColumn="0" w:lastRowFirstColumn="0" w:lastRowLastColumn="0"/>
            </w:pPr>
            <w:r>
              <w:t>2022</w:t>
            </w:r>
          </w:p>
        </w:tc>
        <w:tc>
          <w:tcPr>
            <w:tcW w:w="500" w:type="pct"/>
          </w:tcPr>
          <w:p w14:paraId="6A5C2964" w14:textId="77777777" w:rsidR="007720DF" w:rsidRDefault="007720DF" w:rsidP="00F94A32">
            <w:pPr>
              <w:pStyle w:val="DefaqtoTableBody2"/>
              <w:cnfStyle w:val="100000000000" w:firstRow="1" w:lastRow="0" w:firstColumn="0" w:lastColumn="0" w:oddVBand="0" w:evenVBand="0" w:oddHBand="0" w:evenHBand="0" w:firstRowFirstColumn="0" w:firstRowLastColumn="0" w:lastRowFirstColumn="0" w:lastRowLastColumn="0"/>
            </w:pPr>
            <w:r>
              <w:t>2023</w:t>
            </w:r>
          </w:p>
        </w:tc>
        <w:tc>
          <w:tcPr>
            <w:tcW w:w="500" w:type="pct"/>
          </w:tcPr>
          <w:p w14:paraId="6CACC535" w14:textId="77777777" w:rsidR="007720DF" w:rsidRDefault="007720DF" w:rsidP="00F94A32">
            <w:pPr>
              <w:pStyle w:val="DefaqtoTableBody2"/>
              <w:cnfStyle w:val="100000000000" w:firstRow="1" w:lastRow="0" w:firstColumn="0" w:lastColumn="0" w:oddVBand="0" w:evenVBand="0" w:oddHBand="0" w:evenHBand="0" w:firstRowFirstColumn="0" w:firstRowLastColumn="0" w:lastRowFirstColumn="0" w:lastRowLastColumn="0"/>
            </w:pPr>
            <w:r>
              <w:t>2024</w:t>
            </w:r>
          </w:p>
        </w:tc>
        <w:tc>
          <w:tcPr>
            <w:tcW w:w="500" w:type="pct"/>
          </w:tcPr>
          <w:p w14:paraId="3B1660F7" w14:textId="77777777" w:rsidR="007720DF" w:rsidRDefault="007720DF" w:rsidP="00F94A32">
            <w:pPr>
              <w:pStyle w:val="DefaqtoTableBody2"/>
              <w:cnfStyle w:val="100000000000" w:firstRow="1" w:lastRow="0" w:firstColumn="0" w:lastColumn="0" w:oddVBand="0" w:evenVBand="0" w:oddHBand="0" w:evenHBand="0" w:firstRowFirstColumn="0" w:firstRowLastColumn="0" w:lastRowFirstColumn="0" w:lastRowLastColumn="0"/>
            </w:pPr>
            <w:r>
              <w:t>2025</w:t>
            </w:r>
          </w:p>
        </w:tc>
        <w:tc>
          <w:tcPr>
            <w:tcW w:w="500" w:type="pct"/>
          </w:tcPr>
          <w:p w14:paraId="6492ADFC" w14:textId="77777777" w:rsidR="007720DF" w:rsidRDefault="007720DF" w:rsidP="00F94A32">
            <w:pPr>
              <w:pStyle w:val="DefaqtoTableBody2"/>
              <w:cnfStyle w:val="100000000000" w:firstRow="1" w:lastRow="0" w:firstColumn="0" w:lastColumn="0" w:oddVBand="0" w:evenVBand="0" w:oddHBand="0" w:evenHBand="0" w:firstRowFirstColumn="0" w:firstRowLastColumn="0" w:lastRowFirstColumn="0" w:lastRowLastColumn="0"/>
            </w:pPr>
            <w:r>
              <w:t>YTD</w:t>
            </w:r>
          </w:p>
        </w:tc>
      </w:tr>
      <w:tr w:rsidR="007720DF" w14:paraId="488E774C" w14:textId="77777777" w:rsidTr="00F94A32">
        <w:tc>
          <w:tcPr>
            <w:cnfStyle w:val="001000000000" w:firstRow="0" w:lastRow="0" w:firstColumn="1" w:lastColumn="0" w:oddVBand="0" w:evenVBand="0" w:oddHBand="0" w:evenHBand="0" w:firstRowFirstColumn="0" w:firstRowLastColumn="0" w:lastRowFirstColumn="0" w:lastRowLastColumn="0"/>
            <w:tcW w:w="0" w:type="auto"/>
          </w:tcPr>
          <w:p w14:paraId="53B8253F" w14:textId="77777777" w:rsidR="007720DF" w:rsidRDefault="007720DF" w:rsidP="00F94A32">
            <w:pPr>
              <w:pStyle w:val="DefaqtoTableBody2"/>
            </w:pPr>
            <w:r>
              <w:t>True Potential Allianz Balanced Acc</w:t>
            </w:r>
          </w:p>
        </w:tc>
        <w:tc>
          <w:tcPr>
            <w:tcW w:w="0" w:type="auto"/>
          </w:tcPr>
          <w:p w14:paraId="5A79D546"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-10.65</w:t>
            </w:r>
          </w:p>
        </w:tc>
        <w:tc>
          <w:tcPr>
            <w:tcW w:w="0" w:type="auto"/>
          </w:tcPr>
          <w:p w14:paraId="0EF7D425"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8.65</w:t>
            </w:r>
          </w:p>
        </w:tc>
        <w:tc>
          <w:tcPr>
            <w:tcW w:w="0" w:type="auto"/>
          </w:tcPr>
          <w:p w14:paraId="549250A1"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8.6</w:t>
            </w:r>
          </w:p>
        </w:tc>
        <w:tc>
          <w:tcPr>
            <w:tcW w:w="0" w:type="auto"/>
          </w:tcPr>
          <w:p w14:paraId="0C2C0B61"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14.71</w:t>
            </w:r>
          </w:p>
        </w:tc>
        <w:tc>
          <w:tcPr>
            <w:tcW w:w="0" w:type="auto"/>
          </w:tcPr>
          <w:p w14:paraId="10BD4861"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5.16</w:t>
            </w:r>
          </w:p>
        </w:tc>
      </w:tr>
      <w:tr w:rsidR="007720DF" w14:paraId="20626E59" w14:textId="77777777" w:rsidTr="00F94A32">
        <w:tc>
          <w:tcPr>
            <w:cnfStyle w:val="001000000000" w:firstRow="0" w:lastRow="0" w:firstColumn="1" w:lastColumn="0" w:oddVBand="0" w:evenVBand="0" w:oddHBand="0" w:evenHBand="0" w:firstRowFirstColumn="0" w:firstRowLastColumn="0" w:lastRowFirstColumn="0" w:lastRowLastColumn="0"/>
            <w:tcW w:w="0" w:type="auto"/>
          </w:tcPr>
          <w:p w14:paraId="1C837215" w14:textId="77777777" w:rsidR="007720DF" w:rsidRDefault="007720DF" w:rsidP="00F94A32">
            <w:pPr>
              <w:pStyle w:val="DefaqtoTableBody2"/>
            </w:pPr>
            <w:r>
              <w:t>True Potential Goldman Sachs Balanced Acc</w:t>
            </w:r>
          </w:p>
        </w:tc>
        <w:tc>
          <w:tcPr>
            <w:tcW w:w="0" w:type="auto"/>
          </w:tcPr>
          <w:p w14:paraId="79BC5070"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-13.87</w:t>
            </w:r>
          </w:p>
        </w:tc>
        <w:tc>
          <w:tcPr>
            <w:tcW w:w="0" w:type="auto"/>
          </w:tcPr>
          <w:p w14:paraId="4866DD76"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10.48</w:t>
            </w:r>
          </w:p>
        </w:tc>
        <w:tc>
          <w:tcPr>
            <w:tcW w:w="0" w:type="auto"/>
          </w:tcPr>
          <w:p w14:paraId="2D4ACC9D"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7.93</w:t>
            </w:r>
          </w:p>
        </w:tc>
        <w:tc>
          <w:tcPr>
            <w:tcW w:w="0" w:type="auto"/>
          </w:tcPr>
          <w:p w14:paraId="29986739"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11.01</w:t>
            </w:r>
          </w:p>
        </w:tc>
        <w:tc>
          <w:tcPr>
            <w:tcW w:w="0" w:type="auto"/>
          </w:tcPr>
          <w:p w14:paraId="56BCB46C"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3.34</w:t>
            </w:r>
          </w:p>
        </w:tc>
      </w:tr>
      <w:tr w:rsidR="007720DF" w14:paraId="678D70AA" w14:textId="77777777" w:rsidTr="00F94A32">
        <w:tc>
          <w:tcPr>
            <w:cnfStyle w:val="001000000000" w:firstRow="0" w:lastRow="0" w:firstColumn="1" w:lastColumn="0" w:oddVBand="0" w:evenVBand="0" w:oddHBand="0" w:evenHBand="0" w:firstRowFirstColumn="0" w:firstRowLastColumn="0" w:lastRowFirstColumn="0" w:lastRowLastColumn="0"/>
            <w:tcW w:w="0" w:type="auto"/>
          </w:tcPr>
          <w:p w14:paraId="7B30215F" w14:textId="77777777" w:rsidR="007720DF" w:rsidRDefault="007720DF" w:rsidP="00F94A32">
            <w:pPr>
              <w:pStyle w:val="DefaqtoTableBody2"/>
            </w:pPr>
            <w:r>
              <w:t>True Potential Growth-Aligned Aggressive Acc</w:t>
            </w:r>
          </w:p>
        </w:tc>
        <w:tc>
          <w:tcPr>
            <w:tcW w:w="0" w:type="auto"/>
          </w:tcPr>
          <w:p w14:paraId="007D3FF0"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-8.17</w:t>
            </w:r>
          </w:p>
        </w:tc>
        <w:tc>
          <w:tcPr>
            <w:tcW w:w="0" w:type="auto"/>
          </w:tcPr>
          <w:p w14:paraId="600A8891"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9.81</w:t>
            </w:r>
          </w:p>
        </w:tc>
        <w:tc>
          <w:tcPr>
            <w:tcW w:w="0" w:type="auto"/>
          </w:tcPr>
          <w:p w14:paraId="0F260D3A"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13.77</w:t>
            </w:r>
          </w:p>
        </w:tc>
        <w:tc>
          <w:tcPr>
            <w:tcW w:w="0" w:type="auto"/>
          </w:tcPr>
          <w:p w14:paraId="41D63440"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17.62</w:t>
            </w:r>
          </w:p>
        </w:tc>
        <w:tc>
          <w:tcPr>
            <w:tcW w:w="0" w:type="auto"/>
          </w:tcPr>
          <w:p w14:paraId="519F4E58"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5.48</w:t>
            </w:r>
          </w:p>
        </w:tc>
      </w:tr>
      <w:tr w:rsidR="007720DF" w14:paraId="03AD364B" w14:textId="77777777" w:rsidTr="00F94A32">
        <w:tc>
          <w:tcPr>
            <w:cnfStyle w:val="001000000000" w:firstRow="0" w:lastRow="0" w:firstColumn="1" w:lastColumn="0" w:oddVBand="0" w:evenVBand="0" w:oddHBand="0" w:evenHBand="0" w:firstRowFirstColumn="0" w:firstRowLastColumn="0" w:lastRowFirstColumn="0" w:lastRowLastColumn="0"/>
            <w:tcW w:w="0" w:type="auto"/>
          </w:tcPr>
          <w:p w14:paraId="38281CC6" w14:textId="77777777" w:rsidR="007720DF" w:rsidRDefault="007720DF" w:rsidP="00F94A32">
            <w:pPr>
              <w:pStyle w:val="DefaqtoTableBody2"/>
            </w:pPr>
            <w:r>
              <w:t>True Potential Schroders Balanced Acc</w:t>
            </w:r>
          </w:p>
        </w:tc>
        <w:tc>
          <w:tcPr>
            <w:tcW w:w="0" w:type="auto"/>
          </w:tcPr>
          <w:p w14:paraId="75E4AACC"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5.43</w:t>
            </w:r>
          </w:p>
        </w:tc>
        <w:tc>
          <w:tcPr>
            <w:tcW w:w="0" w:type="auto"/>
          </w:tcPr>
          <w:p w14:paraId="60795044"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8.47</w:t>
            </w:r>
          </w:p>
        </w:tc>
        <w:tc>
          <w:tcPr>
            <w:tcW w:w="0" w:type="auto"/>
          </w:tcPr>
          <w:p w14:paraId="290919CB"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7.2</w:t>
            </w:r>
          </w:p>
        </w:tc>
        <w:tc>
          <w:tcPr>
            <w:tcW w:w="0" w:type="auto"/>
          </w:tcPr>
          <w:p w14:paraId="5D2F5976"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22.76</w:t>
            </w:r>
          </w:p>
        </w:tc>
        <w:tc>
          <w:tcPr>
            <w:tcW w:w="0" w:type="auto"/>
          </w:tcPr>
          <w:p w14:paraId="7C87E01A"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9.06</w:t>
            </w:r>
          </w:p>
        </w:tc>
      </w:tr>
      <w:tr w:rsidR="007720DF" w14:paraId="63412518" w14:textId="77777777" w:rsidTr="00F94A32">
        <w:tc>
          <w:tcPr>
            <w:cnfStyle w:val="001000000000" w:firstRow="0" w:lastRow="0" w:firstColumn="1" w:lastColumn="0" w:oddVBand="0" w:evenVBand="0" w:oddHBand="0" w:evenHBand="0" w:firstRowFirstColumn="0" w:firstRowLastColumn="0" w:lastRowFirstColumn="0" w:lastRowLastColumn="0"/>
            <w:tcW w:w="0" w:type="auto"/>
          </w:tcPr>
          <w:p w14:paraId="27087DA4" w14:textId="77777777" w:rsidR="007720DF" w:rsidRDefault="007720DF" w:rsidP="00F94A32">
            <w:pPr>
              <w:pStyle w:val="DefaqtoTableBody2"/>
            </w:pPr>
            <w:r>
              <w:t>True Potential SEI Aggressive Inc</w:t>
            </w:r>
          </w:p>
        </w:tc>
        <w:tc>
          <w:tcPr>
            <w:tcW w:w="0" w:type="auto"/>
          </w:tcPr>
          <w:p w14:paraId="0BC8BE5E"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-4.27</w:t>
            </w:r>
          </w:p>
        </w:tc>
        <w:tc>
          <w:tcPr>
            <w:tcW w:w="0" w:type="auto"/>
          </w:tcPr>
          <w:p w14:paraId="2F3BE20F"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9.91</w:t>
            </w:r>
          </w:p>
        </w:tc>
        <w:tc>
          <w:tcPr>
            <w:tcW w:w="0" w:type="auto"/>
          </w:tcPr>
          <w:p w14:paraId="275C1EFC"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16.39</w:t>
            </w:r>
          </w:p>
        </w:tc>
        <w:tc>
          <w:tcPr>
            <w:tcW w:w="0" w:type="auto"/>
          </w:tcPr>
          <w:p w14:paraId="141D729B"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17.01</w:t>
            </w:r>
          </w:p>
        </w:tc>
        <w:tc>
          <w:tcPr>
            <w:tcW w:w="0" w:type="auto"/>
          </w:tcPr>
          <w:p w14:paraId="48C25B9B"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5.24</w:t>
            </w:r>
          </w:p>
        </w:tc>
      </w:tr>
      <w:tr w:rsidR="007720DF" w14:paraId="60B85999" w14:textId="77777777" w:rsidTr="00F94A32">
        <w:tc>
          <w:tcPr>
            <w:cnfStyle w:val="001000000000" w:firstRow="0" w:lastRow="0" w:firstColumn="1" w:lastColumn="0" w:oddVBand="0" w:evenVBand="0" w:oddHBand="0" w:evenHBand="0" w:firstRowFirstColumn="0" w:firstRowLastColumn="0" w:lastRowFirstColumn="0" w:lastRowLastColumn="0"/>
            <w:tcW w:w="0" w:type="auto"/>
          </w:tcPr>
          <w:p w14:paraId="5538F71D" w14:textId="77777777" w:rsidR="007720DF" w:rsidRDefault="007720DF" w:rsidP="00F94A32">
            <w:pPr>
              <w:pStyle w:val="DefaqtoTableBody2"/>
            </w:pPr>
            <w:r>
              <w:t xml:space="preserve">True Potential </w:t>
            </w:r>
            <w:proofErr w:type="spellStart"/>
            <w:r>
              <w:t>TrinityBridge</w:t>
            </w:r>
            <w:proofErr w:type="spellEnd"/>
            <w:r>
              <w:t xml:space="preserve"> Balanced A Acc Shares</w:t>
            </w:r>
          </w:p>
        </w:tc>
        <w:tc>
          <w:tcPr>
            <w:tcW w:w="0" w:type="auto"/>
          </w:tcPr>
          <w:p w14:paraId="056CF4DF"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-13.77</w:t>
            </w:r>
          </w:p>
        </w:tc>
        <w:tc>
          <w:tcPr>
            <w:tcW w:w="0" w:type="auto"/>
          </w:tcPr>
          <w:p w14:paraId="3FFAC09D"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7.02</w:t>
            </w:r>
          </w:p>
        </w:tc>
        <w:tc>
          <w:tcPr>
            <w:tcW w:w="0" w:type="auto"/>
          </w:tcPr>
          <w:p w14:paraId="11BC2A51"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9.12</w:t>
            </w:r>
          </w:p>
        </w:tc>
        <w:tc>
          <w:tcPr>
            <w:tcW w:w="0" w:type="auto"/>
          </w:tcPr>
          <w:p w14:paraId="7AB032C0"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7.64</w:t>
            </w:r>
          </w:p>
        </w:tc>
        <w:tc>
          <w:tcPr>
            <w:tcW w:w="0" w:type="auto"/>
          </w:tcPr>
          <w:p w14:paraId="5497DAF9"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4.52</w:t>
            </w:r>
          </w:p>
        </w:tc>
      </w:tr>
      <w:tr w:rsidR="007720DF" w14:paraId="5F9D4C4C" w14:textId="77777777" w:rsidTr="00F94A32">
        <w:tc>
          <w:tcPr>
            <w:cnfStyle w:val="001000000000" w:firstRow="0" w:lastRow="0" w:firstColumn="1" w:lastColumn="0" w:oddVBand="0" w:evenVBand="0" w:oddHBand="0" w:evenHBand="0" w:firstRowFirstColumn="0" w:firstRowLastColumn="0" w:lastRowFirstColumn="0" w:lastRowLastColumn="0"/>
            <w:tcW w:w="0" w:type="auto"/>
          </w:tcPr>
          <w:p w14:paraId="1B5225F1" w14:textId="77777777" w:rsidR="007720DF" w:rsidRDefault="007720DF" w:rsidP="00F94A32">
            <w:pPr>
              <w:pStyle w:val="DefaqtoTableBody2"/>
            </w:pPr>
            <w:r>
              <w:t>True Potential UBS Aggressive Acc</w:t>
            </w:r>
          </w:p>
        </w:tc>
        <w:tc>
          <w:tcPr>
            <w:tcW w:w="0" w:type="auto"/>
          </w:tcPr>
          <w:p w14:paraId="39863C7C"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-15.28</w:t>
            </w:r>
          </w:p>
        </w:tc>
        <w:tc>
          <w:tcPr>
            <w:tcW w:w="0" w:type="auto"/>
          </w:tcPr>
          <w:p w14:paraId="6DCB21C8"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12.22</w:t>
            </w:r>
          </w:p>
        </w:tc>
        <w:tc>
          <w:tcPr>
            <w:tcW w:w="0" w:type="auto"/>
          </w:tcPr>
          <w:p w14:paraId="24DBF376"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13.66</w:t>
            </w:r>
          </w:p>
        </w:tc>
        <w:tc>
          <w:tcPr>
            <w:tcW w:w="0" w:type="auto"/>
          </w:tcPr>
          <w:p w14:paraId="2517CECF"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13.95</w:t>
            </w:r>
          </w:p>
        </w:tc>
        <w:tc>
          <w:tcPr>
            <w:tcW w:w="0" w:type="auto"/>
          </w:tcPr>
          <w:p w14:paraId="1D65A5FB" w14:textId="77777777" w:rsidR="007720DF" w:rsidRDefault="007720DF" w:rsidP="00F94A32">
            <w:pPr>
              <w:pStyle w:val="DefaqtoTableBody2"/>
              <w:cnfStyle w:val="000000000000" w:firstRow="0" w:lastRow="0" w:firstColumn="0" w:lastColumn="0" w:oddVBand="0" w:evenVBand="0" w:oddHBand="0" w:evenHBand="0" w:firstRowFirstColumn="0" w:firstRowLastColumn="0" w:lastRowFirstColumn="0" w:lastRowLastColumn="0"/>
            </w:pPr>
            <w:r>
              <w:t>5.91</w:t>
            </w:r>
          </w:p>
        </w:tc>
      </w:tr>
    </w:tbl>
    <w:p w14:paraId="3084EFB4" w14:textId="77777777" w:rsidR="007720DF" w:rsidRDefault="007720DF" w:rsidP="007720DF">
      <w:pPr>
        <w:rPr>
          <w:noProof/>
          <w:color w:val="392388"/>
        </w:rPr>
      </w:pPr>
    </w:p>
    <w:p w14:paraId="3C221C81" w14:textId="77777777" w:rsidR="00C55C4B" w:rsidRDefault="00C55C4B"/>
    <w:sectPr w:rsidR="00C55C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A5C57" w14:textId="77777777" w:rsidR="00B86E12" w:rsidRDefault="00B86E12" w:rsidP="007720DF">
      <w:pPr>
        <w:spacing w:before="0" w:line="240" w:lineRule="auto"/>
      </w:pPr>
      <w:r>
        <w:separator/>
      </w:r>
    </w:p>
  </w:endnote>
  <w:endnote w:type="continuationSeparator" w:id="0">
    <w:p w14:paraId="5CD673A2" w14:textId="77777777" w:rsidR="00B86E12" w:rsidRDefault="00B86E12" w:rsidP="007720D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oppins">
    <w:charset w:val="00"/>
    <w:family w:val="auto"/>
    <w:pitch w:val="variable"/>
    <w:sig w:usb0="00008007" w:usb1="00000000" w:usb2="00000000" w:usb3="00000000" w:csb0="00000093" w:csb1="00000000"/>
  </w:font>
  <w:font w:name="Lucida Sans">
    <w:altName w:val="Lucida Sans"/>
    <w:panose1 w:val="020B06020305040202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7720DF" w14:paraId="25149996" w14:textId="77777777">
      <w:tc>
        <w:tcPr>
          <w:tcW w:w="5257" w:type="dxa"/>
        </w:tcPr>
        <w:p w14:paraId="00B35357" w14:textId="78477847" w:rsidR="007720DF" w:rsidRDefault="007720DF">
          <w:pPr>
            <w:pStyle w:val="Footer"/>
            <w:spacing w:before="120"/>
            <w:rPr>
              <w:rFonts w:ascii="Poppins" w:hAnsi="Poppins" w:cs="Poppins"/>
              <w:color w:val="392388"/>
              <w:sz w:val="16"/>
              <w:szCs w:val="16"/>
            </w:rPr>
          </w:pP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241930029"/>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eastAsia="Calibri" w:hAnsi="Poppins" w:cs="Poppins"/>
                  <w:color w:val="392388"/>
                  <w:sz w:val="16"/>
                  <w:szCs w:val="16"/>
                </w:rPr>
                <w:t>3</w:t>
              </w:r>
              <w:r>
                <w:rPr>
                  <w:rFonts w:ascii="Poppins" w:hAnsi="Poppins" w:cs="Poppins"/>
                  <w:color w:val="392388"/>
                  <w:sz w:val="16"/>
                  <w:szCs w:val="16"/>
                </w:rPr>
                <w:fldChar w:fldCharType="end"/>
              </w:r>
            </w:sdtContent>
          </w:sdt>
        </w:p>
      </w:tc>
      <w:tc>
        <w:tcPr>
          <w:tcW w:w="5257" w:type="dxa"/>
        </w:tcPr>
        <w:p w14:paraId="7A90EE58" w14:textId="77777777" w:rsidR="007720DF" w:rsidRDefault="007720DF">
          <w:pPr>
            <w:pStyle w:val="Header"/>
            <w:spacing w:before="120"/>
            <w:ind w:right="21"/>
            <w:jc w:val="right"/>
            <w:rPr>
              <w:rFonts w:ascii="Poppins" w:hAnsi="Poppins" w:cs="Poppins"/>
              <w:color w:val="392388"/>
            </w:rPr>
          </w:pPr>
        </w:p>
      </w:tc>
    </w:tr>
  </w:tbl>
  <w:p w14:paraId="2254D900" w14:textId="77777777" w:rsidR="007720DF" w:rsidRDefault="007720DF">
    <w:pPr>
      <w:rPr>
        <w:rFonts w:ascii="Poppins" w:hAnsi="Poppins" w:cs="Poppins"/>
        <w:color w:val="39238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F2C5F" w14:textId="77777777" w:rsidR="00B86E12" w:rsidRDefault="00B86E12" w:rsidP="007720DF">
      <w:pPr>
        <w:spacing w:before="0" w:line="240" w:lineRule="auto"/>
      </w:pPr>
      <w:r>
        <w:separator/>
      </w:r>
    </w:p>
  </w:footnote>
  <w:footnote w:type="continuationSeparator" w:id="0">
    <w:p w14:paraId="3090834F" w14:textId="77777777" w:rsidR="00B86E12" w:rsidRDefault="00B86E12" w:rsidP="007720D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F0A3" w14:textId="7E575AE8" w:rsidR="007720DF" w:rsidRDefault="007720DF">
    <w:pPr>
      <w:pStyle w:val="Header"/>
      <w:ind w:left="-284" w:right="-307"/>
      <w:jc w:val="right"/>
      <w:rPr>
        <w:rFonts w:ascii="Poppins" w:hAnsi="Poppins" w:cs="Poppins"/>
        <w:color w:val="39238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0DF"/>
    <w:rsid w:val="00224AC3"/>
    <w:rsid w:val="003D2F1A"/>
    <w:rsid w:val="007720DF"/>
    <w:rsid w:val="00B86E12"/>
    <w:rsid w:val="00C3584B"/>
    <w:rsid w:val="00C55C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B3C9D"/>
  <w15:chartTrackingRefBased/>
  <w15:docId w15:val="{A0B1E50E-B3C1-405A-BDB5-B53BC6518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0DF"/>
    <w:pPr>
      <w:suppressAutoHyphens/>
      <w:spacing w:before="100" w:after="0" w:line="276" w:lineRule="auto"/>
    </w:pPr>
    <w:rPr>
      <w:rFonts w:ascii="Open Sans" w:eastAsia="Cambria" w:hAnsi="Open Sans" w:cs="Times New Roman"/>
      <w:kern w:val="0"/>
      <w14:ligatures w14:val="none"/>
    </w:rPr>
  </w:style>
  <w:style w:type="paragraph" w:styleId="Heading1">
    <w:name w:val="heading 1"/>
    <w:basedOn w:val="Normal"/>
    <w:next w:val="Normal"/>
    <w:link w:val="Heading1Char"/>
    <w:uiPriority w:val="9"/>
    <w:qFormat/>
    <w:rsid w:val="007720DF"/>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720DF"/>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720DF"/>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720DF"/>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720DF"/>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720DF"/>
    <w:pPr>
      <w:keepNext/>
      <w:keepLines/>
      <w:suppressAutoHyphens w:val="0"/>
      <w:spacing w:before="4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720DF"/>
    <w:pPr>
      <w:keepNext/>
      <w:keepLines/>
      <w:suppressAutoHyphens w:val="0"/>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720DF"/>
    <w:pPr>
      <w:keepNext/>
      <w:keepLines/>
      <w:suppressAutoHyphens w:val="0"/>
      <w:spacing w:before="0"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720DF"/>
    <w:pPr>
      <w:keepNext/>
      <w:keepLines/>
      <w:suppressAutoHyphens w:val="0"/>
      <w:spacing w:before="0"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0DF"/>
    <w:rPr>
      <w:rFonts w:eastAsiaTheme="majorEastAsia" w:cstheme="majorBidi"/>
      <w:color w:val="272727" w:themeColor="text1" w:themeTint="D8"/>
    </w:rPr>
  </w:style>
  <w:style w:type="paragraph" w:styleId="Title">
    <w:name w:val="Title"/>
    <w:basedOn w:val="Normal"/>
    <w:next w:val="Normal"/>
    <w:link w:val="TitleChar"/>
    <w:uiPriority w:val="10"/>
    <w:qFormat/>
    <w:rsid w:val="007720DF"/>
    <w:pPr>
      <w:suppressAutoHyphens w:val="0"/>
      <w:spacing w:before="0"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72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0DF"/>
    <w:pPr>
      <w:numPr>
        <w:ilvl w:val="1"/>
      </w:numPr>
      <w:suppressAutoHyphens w:val="0"/>
      <w:spacing w:before="0"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72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0DF"/>
    <w:pPr>
      <w:suppressAutoHyphens w:val="0"/>
      <w:spacing w:before="160" w:after="160" w:line="259"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720DF"/>
    <w:rPr>
      <w:i/>
      <w:iCs/>
      <w:color w:val="404040" w:themeColor="text1" w:themeTint="BF"/>
    </w:rPr>
  </w:style>
  <w:style w:type="paragraph" w:styleId="ListParagraph">
    <w:name w:val="List Paragraph"/>
    <w:basedOn w:val="Normal"/>
    <w:uiPriority w:val="34"/>
    <w:qFormat/>
    <w:rsid w:val="007720DF"/>
    <w:pPr>
      <w:suppressAutoHyphens w:val="0"/>
      <w:spacing w:before="0" w:after="160" w:line="259"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7720DF"/>
    <w:rPr>
      <w:i/>
      <w:iCs/>
      <w:color w:val="0F4761" w:themeColor="accent1" w:themeShade="BF"/>
    </w:rPr>
  </w:style>
  <w:style w:type="paragraph" w:styleId="IntenseQuote">
    <w:name w:val="Intense Quote"/>
    <w:basedOn w:val="Normal"/>
    <w:next w:val="Normal"/>
    <w:link w:val="IntenseQuoteChar"/>
    <w:uiPriority w:val="30"/>
    <w:qFormat/>
    <w:rsid w:val="007720DF"/>
    <w:pPr>
      <w:pBdr>
        <w:top w:val="single" w:sz="4" w:space="10" w:color="0F4761" w:themeColor="accent1" w:themeShade="BF"/>
        <w:bottom w:val="single" w:sz="4" w:space="10" w:color="0F4761" w:themeColor="accent1" w:themeShade="BF"/>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720DF"/>
    <w:rPr>
      <w:i/>
      <w:iCs/>
      <w:color w:val="0F4761" w:themeColor="accent1" w:themeShade="BF"/>
    </w:rPr>
  </w:style>
  <w:style w:type="character" w:styleId="IntenseReference">
    <w:name w:val="Intense Reference"/>
    <w:basedOn w:val="DefaultParagraphFont"/>
    <w:uiPriority w:val="32"/>
    <w:qFormat/>
    <w:rsid w:val="007720DF"/>
    <w:rPr>
      <w:b/>
      <w:bCs/>
      <w:smallCaps/>
      <w:color w:val="0F4761" w:themeColor="accent1" w:themeShade="BF"/>
      <w:spacing w:val="5"/>
    </w:rPr>
  </w:style>
  <w:style w:type="paragraph" w:styleId="Footer">
    <w:name w:val="footer"/>
    <w:basedOn w:val="Normal"/>
    <w:link w:val="FooterChar"/>
    <w:uiPriority w:val="99"/>
    <w:unhideWhenUsed/>
    <w:rsid w:val="007720DF"/>
    <w:pPr>
      <w:tabs>
        <w:tab w:val="center" w:pos="4513"/>
        <w:tab w:val="right" w:pos="9026"/>
      </w:tabs>
      <w:spacing w:before="0" w:line="240" w:lineRule="auto"/>
    </w:pPr>
  </w:style>
  <w:style w:type="character" w:customStyle="1" w:styleId="FooterChar">
    <w:name w:val="Footer Char"/>
    <w:basedOn w:val="DefaultParagraphFont"/>
    <w:link w:val="Footer"/>
    <w:uiPriority w:val="99"/>
    <w:rsid w:val="007720DF"/>
    <w:rPr>
      <w:rFonts w:ascii="Open Sans" w:eastAsia="Cambria" w:hAnsi="Open Sans" w:cs="Times New Roman"/>
      <w:kern w:val="0"/>
      <w14:ligatures w14:val="none"/>
    </w:rPr>
  </w:style>
  <w:style w:type="paragraph" w:styleId="Header">
    <w:name w:val="header"/>
    <w:basedOn w:val="Normal"/>
    <w:link w:val="HeaderChar"/>
    <w:uiPriority w:val="99"/>
    <w:unhideWhenUsed/>
    <w:rsid w:val="007720DF"/>
    <w:pPr>
      <w:tabs>
        <w:tab w:val="center" w:pos="4513"/>
        <w:tab w:val="right" w:pos="9026"/>
      </w:tabs>
      <w:spacing w:before="0" w:line="240" w:lineRule="auto"/>
    </w:pPr>
  </w:style>
  <w:style w:type="character" w:customStyle="1" w:styleId="HeaderChar">
    <w:name w:val="Header Char"/>
    <w:basedOn w:val="DefaultParagraphFont"/>
    <w:link w:val="Header"/>
    <w:uiPriority w:val="99"/>
    <w:rsid w:val="007720DF"/>
    <w:rPr>
      <w:rFonts w:ascii="Open Sans" w:eastAsia="Cambria" w:hAnsi="Open Sans" w:cs="Times New Roman"/>
      <w:kern w:val="0"/>
      <w14:ligatures w14:val="none"/>
    </w:rPr>
  </w:style>
  <w:style w:type="paragraph" w:customStyle="1" w:styleId="DefaqtoBody">
    <w:name w:val="Defaqto Body"/>
    <w:basedOn w:val="Normal"/>
    <w:link w:val="DefaqtoBodyChar"/>
    <w:qFormat/>
    <w:rsid w:val="007720DF"/>
    <w:pPr>
      <w:spacing w:before="0" w:after="160" w:line="259" w:lineRule="auto"/>
    </w:pPr>
    <w:rPr>
      <w:rFonts w:eastAsia="Open Sans"/>
      <w:color w:val="797979"/>
      <w:sz w:val="24"/>
      <w:szCs w:val="24"/>
    </w:rPr>
  </w:style>
  <w:style w:type="character" w:customStyle="1" w:styleId="DefaqtoBodyChar">
    <w:name w:val="Defaqto Body Char"/>
    <w:basedOn w:val="DefaultParagraphFont"/>
    <w:link w:val="DefaqtoBody"/>
    <w:rsid w:val="007720DF"/>
    <w:rPr>
      <w:rFonts w:ascii="Open Sans" w:eastAsia="Open Sans" w:hAnsi="Open Sans" w:cs="Times New Roman"/>
      <w:color w:val="797979"/>
      <w:kern w:val="0"/>
      <w:sz w:val="24"/>
      <w:szCs w:val="24"/>
      <w14:ligatures w14:val="none"/>
    </w:rPr>
  </w:style>
  <w:style w:type="table" w:styleId="TableGrid">
    <w:name w:val="Table Grid"/>
    <w:basedOn w:val="TableNormal"/>
    <w:uiPriority w:val="39"/>
    <w:rsid w:val="007720DF"/>
    <w:rPr>
      <w:rFonts w:ascii="Open Sans" w:eastAsia="Open Sans" w:hAnsi="Open Sans" w:cs="Times New Roman"/>
      <w:kern w:val="0"/>
      <w14:ligatures w14:val="none"/>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qtoTableBody2">
    <w:name w:val="Defaqto Table Body 2"/>
    <w:basedOn w:val="Normal"/>
    <w:link w:val="DefaqtoTableBody2Char"/>
    <w:qFormat/>
    <w:rsid w:val="007720DF"/>
    <w:pPr>
      <w:suppressAutoHyphens w:val="0"/>
      <w:spacing w:before="60" w:after="60" w:line="259" w:lineRule="auto"/>
    </w:pPr>
    <w:rPr>
      <w:rFonts w:ascii="Calibri" w:eastAsia="Calibri" w:hAnsi="Calibri" w:cs="Arial"/>
      <w:sz w:val="16"/>
      <w:szCs w:val="16"/>
      <w:lang w:val="en-US"/>
    </w:rPr>
  </w:style>
  <w:style w:type="paragraph" w:customStyle="1" w:styleId="DefaqtoHeading2-noTOC">
    <w:name w:val="Defaqto Heading 2 - no TOC"/>
    <w:basedOn w:val="Normal"/>
    <w:link w:val="DefaqtoHeading2-noTOCChar"/>
    <w:qFormat/>
    <w:rsid w:val="007720DF"/>
    <w:pPr>
      <w:keepNext/>
      <w:keepLines/>
      <w:spacing w:before="240" w:after="300" w:line="240" w:lineRule="auto"/>
      <w:ind w:left="2"/>
    </w:pPr>
    <w:rPr>
      <w:rFonts w:ascii="Calibri Light" w:hAnsi="Calibri Light"/>
      <w:color w:val="402B56"/>
      <w:sz w:val="52"/>
      <w:szCs w:val="52"/>
    </w:rPr>
  </w:style>
  <w:style w:type="character" w:customStyle="1" w:styleId="DefaqtoHeading2-noTOCChar">
    <w:name w:val="Defaqto Heading 2 - no TOC Char"/>
    <w:link w:val="DefaqtoHeading2-noTOC"/>
    <w:rsid w:val="007720DF"/>
    <w:rPr>
      <w:rFonts w:ascii="Calibri Light" w:eastAsia="Cambria" w:hAnsi="Calibri Light" w:cs="Times New Roman"/>
      <w:color w:val="402B56"/>
      <w:kern w:val="0"/>
      <w:sz w:val="52"/>
      <w:szCs w:val="52"/>
      <w14:ligatures w14:val="none"/>
    </w:rPr>
  </w:style>
  <w:style w:type="paragraph" w:customStyle="1" w:styleId="Defaqtosmallprint">
    <w:name w:val="Defaqto smallprint"/>
    <w:basedOn w:val="Normal"/>
    <w:link w:val="DefaqtosmallprintChar"/>
    <w:qFormat/>
    <w:rsid w:val="007720DF"/>
    <w:pPr>
      <w:keepNext/>
      <w:keepLines/>
      <w:spacing w:before="240" w:after="240" w:line="259" w:lineRule="auto"/>
    </w:pPr>
    <w:rPr>
      <w:rFonts w:ascii="Calibri" w:eastAsia="MS Gothic" w:hAnsi="Calibri"/>
      <w:color w:val="808080"/>
      <w:sz w:val="16"/>
      <w:szCs w:val="16"/>
    </w:rPr>
  </w:style>
  <w:style w:type="character" w:customStyle="1" w:styleId="DefaqtosmallprintChar">
    <w:name w:val="Defaqto smallprint Char"/>
    <w:link w:val="Defaqtosmallprint"/>
    <w:rsid w:val="007720DF"/>
    <w:rPr>
      <w:rFonts w:ascii="Calibri" w:eastAsia="MS Gothic" w:hAnsi="Calibri" w:cs="Times New Roman"/>
      <w:color w:val="808080"/>
      <w:kern w:val="0"/>
      <w:sz w:val="16"/>
      <w:szCs w:val="16"/>
      <w14:ligatures w14:val="none"/>
    </w:rPr>
  </w:style>
  <w:style w:type="table" w:customStyle="1" w:styleId="DefaqtoTable">
    <w:name w:val="Defaqto Table"/>
    <w:basedOn w:val="TableNormal"/>
    <w:uiPriority w:val="99"/>
    <w:rsid w:val="007720DF"/>
    <w:rPr>
      <w:rFonts w:ascii="Calibri" w:eastAsia="Calibri" w:hAnsi="Calibri" w:cs="Times New Roman"/>
      <w:color w:val="595959"/>
      <w:kern w:val="0"/>
      <w14:ligatures w14:val="none"/>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bCs/>
        <w:color w:val="FFFFFF"/>
        <w:sz w:val="24"/>
        <w:szCs w:val="24"/>
      </w:rPr>
      <w:tblPr/>
      <w:tcPr>
        <w:shd w:val="clear" w:color="auto" w:fill="402B56"/>
      </w:tcPr>
    </w:tblStylePr>
    <w:tblStylePr w:type="firstCol">
      <w:pPr>
        <w:jc w:val="left"/>
      </w:pPr>
    </w:tblStylePr>
  </w:style>
  <w:style w:type="character" w:customStyle="1" w:styleId="DefaqtoTableBody2Char">
    <w:name w:val="Defaqto Table Body 2 Char"/>
    <w:link w:val="DefaqtoTableBody2"/>
    <w:rsid w:val="007720DF"/>
    <w:rPr>
      <w:rFonts w:ascii="Calibri" w:eastAsia="Calibri" w:hAnsi="Calibri" w:cs="Arial"/>
      <w:kern w:val="0"/>
      <w:sz w:val="16"/>
      <w:szCs w:val="16"/>
      <w:lang w:val="en-US"/>
      <w14:ligatures w14:val="none"/>
    </w:rPr>
  </w:style>
  <w:style w:type="paragraph" w:customStyle="1" w:styleId="Tag">
    <w:name w:val="Tag"/>
    <w:basedOn w:val="Normal"/>
    <w:qFormat/>
    <w:rsid w:val="007720DF"/>
    <w:pPr>
      <w:spacing w:before="0" w:after="200"/>
    </w:pPr>
    <w:rPr>
      <w:rFonts w:eastAsia="Open Sans"/>
      <w:b/>
      <w:bCs/>
      <w:color w:val="CB3B6D"/>
      <w:sz w:val="28"/>
      <w:szCs w:val="28"/>
    </w:rPr>
  </w:style>
  <w:style w:type="paragraph" w:customStyle="1" w:styleId="DefaqtoHeading3-noTOC">
    <w:name w:val="Defaqto Heading 3 - no TOC"/>
    <w:basedOn w:val="Normal"/>
    <w:link w:val="DefaqtoHeading3-noTOCChar"/>
    <w:qFormat/>
    <w:rsid w:val="007720DF"/>
    <w:pPr>
      <w:keepNext/>
      <w:keepLines/>
      <w:spacing w:before="0" w:after="161" w:line="259" w:lineRule="auto"/>
      <w:ind w:left="2"/>
    </w:pPr>
    <w:rPr>
      <w:rFonts w:eastAsia="Calibri" w:cs="Calibri"/>
      <w:color w:val="402B56"/>
      <w:sz w:val="36"/>
      <w:szCs w:val="36"/>
      <w:lang w:val="en-NZ" w:eastAsia="en-GB"/>
    </w:rPr>
  </w:style>
  <w:style w:type="character" w:customStyle="1" w:styleId="DefaqtoHeading3-noTOCChar">
    <w:name w:val="Defaqto Heading 3 - no TOC Char"/>
    <w:link w:val="DefaqtoHeading3-noTOC"/>
    <w:rsid w:val="007720DF"/>
    <w:rPr>
      <w:rFonts w:ascii="Open Sans" w:eastAsia="Calibri" w:hAnsi="Open Sans" w:cs="Calibri"/>
      <w:color w:val="402B56"/>
      <w:kern w:val="0"/>
      <w:sz w:val="36"/>
      <w:szCs w:val="36"/>
      <w:lang w:val="en-NZ" w:eastAsia="en-GB"/>
      <w14:ligatures w14:val="none"/>
    </w:rPr>
  </w:style>
  <w:style w:type="paragraph" w:customStyle="1" w:styleId="DefaqtoHeading4">
    <w:name w:val="Defaqto Heading 4"/>
    <w:basedOn w:val="Heading3"/>
    <w:qFormat/>
    <w:rsid w:val="007720DF"/>
    <w:pPr>
      <w:suppressAutoHyphens/>
      <w:spacing w:before="0" w:after="0"/>
      <w:ind w:left="17" w:hanging="10"/>
      <w:outlineLvl w:val="3"/>
    </w:pPr>
    <w:rPr>
      <w:rFonts w:ascii="Open Sans" w:eastAsia="Calibri" w:hAnsi="Open Sans" w:cs="Calibri"/>
      <w:color w:val="402B56"/>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776</Words>
  <Characters>4426</Characters>
  <Application>Microsoft Office Word</Application>
  <DocSecurity>0</DocSecurity>
  <Lines>36</Lines>
  <Paragraphs>10</Paragraphs>
  <ScaleCrop>false</ScaleCrop>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Harrison</dc:creator>
  <cp:keywords/>
  <dc:description/>
  <cp:lastModifiedBy>Jane Harrison</cp:lastModifiedBy>
  <cp:revision>1</cp:revision>
  <dcterms:created xsi:type="dcterms:W3CDTF">2026-03-20T15:29:00Z</dcterms:created>
  <dcterms:modified xsi:type="dcterms:W3CDTF">2026-03-20T15:30:00Z</dcterms:modified>
</cp:coreProperties>
</file>