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60"/>
      </w:pPr>
      <w:r>
        <w:rPr>
          <w:rFonts w:ascii="Calibri" w:cs="Calibri" w:eastAsia="Calibri" w:hAnsi="Calibri"/>
          <w:b/>
          <w:bCs/>
          <w:color w:val="1F3864"/>
          <w:sz w:val="40"/>
          <w:szCs w:val="40"/>
        </w:rPr>
        <w:t xml:space="preserve">Flowchart on NPD Procedures Manual</w:t>
      </w:r>
    </w:p>
    <w:p>
      <w:pPr>
        <w:spacing w:after="100"/>
      </w:pPr>
      <w:r>
        <w:rPr>
          <w:rFonts w:ascii="Calibri" w:cs="Calibri" w:eastAsia="Calibri" w:hAnsi="Calibri"/>
          <w:color w:val="595959"/>
          <w:sz w:val="24"/>
          <w:szCs w:val="24"/>
        </w:rPr>
        <w:t xml:space="preserve">Drishya — real-time transport visibility, through the IQMS New Product Development procedure set</w:t>
      </w:r>
    </w:p>
    <w:p>
      <w:pPr>
        <w:pBdr>
          <w:bottom w:val="single" w:color="2E75B6" w:sz="16" w:space="2"/>
        </w:pBdr>
        <w:spacing w:after="160"/>
      </w:pPr>
    </w:p>
    <w:p>
      <w:pPr>
        <w:spacing w:after="0"/>
      </w:pPr>
      <w:r>
        <w:rPr>
          <w:rFonts w:ascii="Calibri" w:cs="Calibri" w:eastAsia="Calibri" w:hAnsi="Calibri"/>
          <w:color w:val="595959"/>
          <w:sz w:val="18"/>
          <w:szCs w:val="18"/>
        </w:rPr>
        <w:t xml:space="preserve">&lt;Your Name / Emp ID&gt;  ·  15 September 2026  ·  Version 2.0</w:t>
      </w:r>
    </w:p>
    <w:p>
      <w:pPr>
        <w:spacing w:after="0" w:before="400"/>
      </w:pPr>
      <w:r>
        <w:rPr>
          <w:rFonts w:ascii="Calibri" w:cs="Calibri" w:eastAsia="Calibri" w:hAnsi="Calibri"/>
          <w:color w:val="595959"/>
          <w:sz w:val="18"/>
          <w:szCs w:val="18"/>
        </w:rPr>
        <w:t xml:space="preserve">IQMS Enablers · New Product Development Procedures Manual</w:t>
      </w:r>
    </w:p>
    <w:p>
      <w:pPr>
        <w:sectPr>
          <w:pgSz w:w="16838" w:h="11906" w:orient="landscape"/>
          <w:pgMar w:top="1440" w:right="1440" w:bottom="1440" w:left="1440" w:header="708" w:footer="708" w:gutter="0"/>
          <w:pgNumType/>
          <w:docGrid w:linePitch="360"/>
        </w:sectPr>
      </w:pPr>
    </w:p>
    <w:p>
      <w:pPr>
        <w:pStyle w:val="Heading1"/>
        <w:pBdr>
          <w:bottom w:val="single" w:color="2E75B6" w:sz="6" w:space="4"/>
        </w:pBdr>
        <w:spacing w:after="120" w:before="360"/>
      </w:pPr>
      <w:r>
        <w:rPr>
          <w:rFonts w:ascii="Calibri" w:cs="Calibri" w:eastAsia="Calibri" w:hAnsi="Calibri"/>
          <w:b/>
          <w:bCs/>
          <w:color w:val="1F3864"/>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  Purpose</w:t>
      </w:r>
    </w:p>
    <w:p>
      <w:pPr>
        <w:spacing w:after="160" w:line="276"/>
        <w:jc w:val="left"/>
      </w:pPr>
      <w:r>
        <w:rPr>
          <w:rFonts w:ascii="Calibri" w:cs="Calibri" w:eastAsia="Calibri" w:hAnsi="Calibri"/>
          <w:color w:val="000000"/>
          <w:sz w:val="22"/>
          <w:szCs w:val="22"/>
        </w:rPr>
        <w:t xml:space="preserve">This document takes Drishya — a real-time transport visibility platform for vendors delivering into marketplace fulfilment centres — through all thirty-six procedures of the NPD Procedures Manual. Each procedure card carries the activity chain that was actually followed and the output it produced, and each gate carries its three outcomes and the basis on which it was decided.</w:t>
      </w:r>
    </w:p>
    <w:p>
      <w:pPr>
        <w:spacing w:after="160" w:line="276"/>
        <w:jc w:val="left"/>
      </w:pPr>
      <w:r>
        <w:rPr>
          <w:rFonts w:ascii="Calibri" w:cs="Calibri" w:eastAsia="Calibri" w:hAnsi="Calibri"/>
          <w:b/>
          <w:bCs/>
          <w:color w:val="000000"/>
          <w:sz w:val="22"/>
          <w:szCs w:val="22"/>
        </w:rPr>
        <w:t xml:space="preserve">Nothing on these cards is written to fill a box. </w:t>
      </w:r>
      <w:r>
        <w:rPr>
          <w:rFonts w:ascii="Calibri" w:cs="Calibri" w:eastAsia="Calibri" w:hAnsi="Calibri"/>
          <w:color w:val="000000"/>
          <w:sz w:val="22"/>
          <w:szCs w:val="22"/>
        </w:rPr>
        <w:t xml:space="preserve">Every output names a file, a commit, a test suite with its count, or a fault that was found and fixed. The dashed returns and the findings quoted under Outputs are real: eight faults were caught at a review or a verification and sent work back to an earlier procedure.</w:t>
      </w:r>
    </w:p>
    <w:p>
      <w:pPr>
        <w:spacing w:after="60" w:before="120"/>
      </w:pPr>
      <w:r>
        <w:rPr>
          <w:rFonts w:ascii="Calibri" w:cs="Calibri" w:eastAsia="Calibri" w:hAnsi="Calibri"/>
          <w:i/>
          <w:iCs/>
          <w:color w:val="595959"/>
          <w:sz w:val="18"/>
          <w:szCs w:val="18"/>
        </w:rPr>
        <w:t xml:space="preserve">Table 1: The project these flowcharts describe.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792"/>
        <w:gridCol w:w="11166"/>
      </w:tblGrid>
      <w:tr>
        <w:trPr>
          <w:tblHeader/>
        </w:trPr>
        <w:tc>
          <w:tcPr>
            <w:tcW w:type="dxa" w:w="279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
            </w:r>
          </w:p>
        </w:tc>
        <w:tc>
          <w:tcPr>
            <w:tcW w:type="dxa" w:w="11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Product</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Drishya — real-time transport visibility (RTTV)</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Type</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Software platform. Hardware is out of scope by a Phase 1 screening decision</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Development window</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15 August 2026 to 15 September 2026</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Change records</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73 commits on the main branch</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Source</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170 Java files, 124 frontend files, 13 database migrations</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Verification</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4 independent suites — 82 API assertions, a tenancy write audit, 39 pages in a browser, 26 interaction journeys</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Deployment</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CloudFormation stack: EC2, RDS PostgreSQL 16 with PostGIS</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2.  How to read the cards</w:t>
      </w:r>
    </w:p>
    <w:p>
      <w:pPr>
        <w:spacing w:after="60" w:before="120"/>
      </w:pPr>
      <w:r>
        <w:rPr>
          <w:rFonts w:ascii="Calibri" w:cs="Calibri" w:eastAsia="Calibri" w:hAnsi="Calibri"/>
          <w:i/>
          <w:iCs/>
          <w:color w:val="595959"/>
          <w:sz w:val="18"/>
          <w:szCs w:val="18"/>
        </w:rPr>
        <w:t xml:space="preserve">Table 2: The drawing conventions used in every figure.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629"/>
        <w:gridCol w:w="10329"/>
      </w:tblGrid>
      <w:tr>
        <w:trPr>
          <w:tblHeader/>
        </w:trPr>
        <w:tc>
          <w:tcPr>
            <w:tcW w:type="dxa" w:w="362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Element</w:t>
            </w:r>
          </w:p>
        </w:tc>
        <w:tc>
          <w:tcPr>
            <w:tcW w:type="dxa" w:w="1032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Meaning</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coloured band</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procedure. The band carries its NPDP code and title; the body carries the activity chain that was followed</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Outputs line, in italic</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What the procedure produced — named so a reviewer can go and look at it</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dashed amber edge</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adapted procedure: written for a physical product, carried out in the form this product takes. See Section 10</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solid violet edge</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spine procedure — not a step passed through once, but a record every later procedure files into</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Amber diamond</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gate. The flow cannot continue through it without a decision</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Green / amber / red branch</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three gate outcomes: approved, action items, or reject and stop</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Solid grey arrow</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Normal forward flow, left to right then down</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Dashed red arrow</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Rework and action closure — work returning to an earlier procedure</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3.  NPD master flow</w:t>
      </w:r>
    </w:p>
    <w:p>
      <w:pPr>
        <w:spacing w:after="40" w:before="120"/>
        <w:jc w:val="center"/>
      </w:pPr>
      <w:r>
        <w:drawing>
          <wp:inline distT="0" distB="0" distL="0" distR="0">
            <wp:extent cx="88677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867775" cy="27146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 NPD master flow: the five phases with their procedure codes, the five gates beneath them, and the rework and action closure return.</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4.  Phase 1 | Pre-Assessment</w:t>
      </w:r>
    </w:p>
    <w:p>
      <w:pPr>
        <w:spacing w:after="40" w:before="120"/>
        <w:jc w:val="center"/>
      </w:pPr>
      <w:r>
        <w:drawing>
          <wp:inline distT="0" distB="0" distL="0" distR="0">
            <wp:extent cx="886777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67775" cy="380047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2: Phase 1 — Pre-Assessment, and the Gate-1 decision with its three outcomes.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5.  Phase 2 | Definition and Planning</w:t>
      </w:r>
    </w:p>
    <w:p>
      <w:pPr>
        <w:spacing w:after="40" w:before="120"/>
        <w:jc w:val="center"/>
      </w:pPr>
      <w:r>
        <w:drawing>
          <wp:inline distT="0" distB="0" distL="0" distR="0">
            <wp:extent cx="886777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867775" cy="31337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3: Phase 2 — Definition and Planning. The Design History File is opened here and maintained through every later phase.</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4: Gate-2 — Plan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6.  Phase 3 | Product and Process Design</w:t>
      </w:r>
    </w:p>
    <w:p>
      <w:pPr>
        <w:spacing w:after="40" w:before="120"/>
        <w:jc w:val="center"/>
      </w:pPr>
      <w:r>
        <w:drawing>
          <wp:inline distT="0" distB="0" distL="0" distR="0">
            <wp:extent cx="88677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67775" cy="26384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5: Phase 3A — concept, system and detail design, with the design review loop that spans all three.</w:t>
      </w:r>
    </w:p>
    <w:p>
      <w:r>
        <w:br w:type="page"/>
      </w:r>
    </w:p>
    <w:p>
      <w:pPr>
        <w:spacing w:after="40" w:before="120"/>
        <w:jc w:val="center"/>
      </w:pPr>
      <w:r>
        <w:drawing>
          <wp:inline distT="0" distB="0" distL="0" distR="0">
            <wp:extent cx="886777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867775" cy="480060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6: Phase 3B — process design through to the intermediate project review.</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7: Gate-3 — Design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7.  Phase 4 | Production Preparation and Design Validation</w:t>
      </w:r>
    </w:p>
    <w:p>
      <w:pPr>
        <w:spacing w:after="40" w:before="120"/>
        <w:jc w:val="center"/>
      </w:pPr>
      <w:r>
        <w:drawing>
          <wp:inline distT="0" distB="0" distL="0" distR="0">
            <wp:extent cx="8867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867775" cy="28384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8: Phase 4A — production preparation. Every rework loop in this phase returns through NPDP4010 ECO Release.</w:t>
      </w:r>
    </w:p>
    <w:p>
      <w:r>
        <w:br w:type="page"/>
      </w:r>
    </w:p>
    <w:p>
      <w:pPr>
        <w:spacing w:after="40" w:before="120"/>
        <w:jc w:val="center"/>
      </w:pPr>
      <w:r>
        <w:drawing>
          <wp:inline distT="0" distB="0" distL="0" distR="0">
            <wp:extent cx="886777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867775" cy="273367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9: Phase 4B — verification and validation. Both procedures found faults that were invisible in the local environment.</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10: Gate-4 — Production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8.  Phase 5 | Launch and Post-Production</w:t>
      </w:r>
    </w:p>
    <w:p>
      <w:pPr>
        <w:spacing w:after="40" w:before="120"/>
        <w:jc w:val="center"/>
      </w:pPr>
      <w:r>
        <w:drawing>
          <wp:inline distT="0" distB="0" distL="0" distR="0">
            <wp:extent cx="886777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867775" cy="45815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11: Phase 5 — Launch and Post-Production. Gate-5 approves readiness before NPDP5040 launch, not after it.</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9.  General guide to read the flow</w:t>
      </w:r>
    </w:p>
    <w:p>
      <w:pPr>
        <w:spacing w:after="40" w:before="120"/>
        <w:jc w:val="center"/>
      </w:pPr>
      <w:r>
        <w:drawing>
          <wp:inline distT="0" distB="0" distL="0" distR="0">
            <wp:extent cx="8867775"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867775" cy="29813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12: How to read any of the flows: applicability, the acceptance test, progress or rework, and what each gate decides.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10.  Adapted procedures</w:t>
      </w:r>
    </w:p>
    <w:p>
      <w:pPr>
        <w:spacing w:after="160" w:line="276"/>
        <w:jc w:val="left"/>
      </w:pPr>
      <w:r>
        <w:rPr>
          <w:rFonts w:ascii="Calibri" w:cs="Calibri" w:eastAsia="Calibri" w:hAnsi="Calibri"/>
          <w:color w:val="000000"/>
          <w:sz w:val="22"/>
          <w:szCs w:val="22"/>
        </w:rPr>
        <w:t xml:space="preserve">Two procedures are written for the development of a physical product. Neither was skipped. Both were carried out in the form this product takes, both are drawn with a dashed amber edge, and both are recorded here so the adaptation is visible rather than assumed.</w:t>
      </w:r>
    </w:p>
    <w:p>
      <w:pPr>
        <w:spacing w:after="60" w:before="120"/>
      </w:pPr>
      <w:r>
        <w:rPr>
          <w:rFonts w:ascii="Calibri" w:cs="Calibri" w:eastAsia="Calibri" w:hAnsi="Calibri"/>
          <w:i/>
          <w:iCs/>
          <w:color w:val="595959"/>
          <w:sz w:val="18"/>
          <w:szCs w:val="18"/>
        </w:rPr>
        <w:t xml:space="preserve">Table 3: Procedures adapted for a software product.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71"/>
        <w:gridCol w:w="3908"/>
        <w:gridCol w:w="6979"/>
      </w:tblGrid>
      <w:tr>
        <w:trPr>
          <w:tblHeader/>
        </w:trPr>
        <w:tc>
          <w:tcPr>
            <w:tcW w:type="dxa" w:w="30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Procedure</w:t>
            </w:r>
          </w:p>
        </w:tc>
        <w:tc>
          <w:tcPr>
            <w:tcW w:type="dxa" w:w="39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Why it does not apply literally</w:t>
            </w:r>
          </w:p>
        </w:tc>
        <w:tc>
          <w:tcPr>
            <w:tcW w:type="dxa" w:w="697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was done instead</w:t>
            </w:r>
          </w:p>
        </w:tc>
      </w:tr>
      <w:tr>
        <w:tc>
          <w:tcPr>
            <w:tcW w:type="dxa" w:w="30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NPDP3090
Tooling &amp; Equipment Planning</w:t>
            </w:r>
          </w:p>
        </w:tc>
        <w:tc>
          <w:tcPr>
            <w:tcW w:type="dxa" w:w="39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physical tooling to plan, no jigs, fixtures or moulds, and no equipment to install on a line.</w:t>
            </w:r>
          </w:p>
        </w:tc>
        <w:tc>
          <w:tcPr>
            <w:tcW w:type="dxa" w:w="69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build and deployment toolchain, planned to the same purpose: two Dockerfiles, docker-compose for the local environment, the CloudFormation template for the deployed one, and the Testcontainers and Playwright estates any build must pass before release.</w:t>
            </w:r>
          </w:p>
        </w:tc>
      </w:tr>
      <w:tr>
        <w:tc>
          <w:tcPr>
            <w:tcW w:type="dxa" w:w="30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NPDP4020
Production Sourcing Preparation</w:t>
            </w:r>
          </w:p>
        </w:tc>
        <w:tc>
          <w:tcPr>
            <w:tcW w:type="dxa" w:w="39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bill of materials to source and no supplier to qualify.</w:t>
            </w:r>
          </w:p>
        </w:tc>
        <w:tc>
          <w:tcPr>
            <w:tcW w:type="dxa" w:w="69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Cloud resources selected and sized with the same discipline: region ap-south-1, EC2 and RDS sized to the workload, and a load balancer, NAT gateway and multi-AZ database each ruled out on record because they bill hourly and none was needed.</w:t>
            </w:r>
          </w:p>
        </w:tc>
      </w:tr>
    </w:tbl>
    <w:p>
      <w:pPr>
        <w:pStyle w:val="Heading1"/>
        <w:pBdr>
          <w:bottom w:val="single" w:color="2E75B6" w:sz="6" w:space="4"/>
        </w:pBdr>
        <w:spacing w:after="120" w:before="360"/>
      </w:pPr>
      <w:r>
        <w:rPr>
          <w:rFonts w:ascii="Calibri" w:cs="Calibri" w:eastAsia="Calibri" w:hAnsi="Calibri"/>
          <w:b/>
          <w:bCs/>
          <w:color w:val="1F3864"/>
          <w:sz w:val="28"/>
          <w:szCs w:val="28"/>
        </w:rPr>
        <w:t xml:space="preserve">11.  Rework and action closure</w:t>
      </w:r>
    </w:p>
    <w:p>
      <w:pPr>
        <w:spacing w:after="160" w:line="276"/>
        <w:jc w:val="left"/>
      </w:pPr>
      <w:r>
        <w:rPr>
          <w:rFonts w:ascii="Calibri" w:cs="Calibri" w:eastAsia="Calibri" w:hAnsi="Calibri"/>
          <w:color w:val="000000"/>
          <w:sz w:val="22"/>
          <w:szCs w:val="22"/>
        </w:rPr>
        <w:t xml:space="preserve">Eight faults were caught at a review or a verification and sent work back. Taken together they are the strongest evidence that the gates did their job — each was found before a user met it.</w:t>
      </w:r>
    </w:p>
    <w:p>
      <w:pPr>
        <w:spacing w:after="60" w:before="120"/>
      </w:pPr>
      <w:r>
        <w:rPr>
          <w:rFonts w:ascii="Calibri" w:cs="Calibri" w:eastAsia="Calibri" w:hAnsi="Calibri"/>
          <w:i/>
          <w:iCs/>
          <w:color w:val="595959"/>
          <w:sz w:val="18"/>
          <w:szCs w:val="18"/>
        </w:rPr>
        <w:t xml:space="preserve">Table 4: Every rework loop, and what caused it.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954"/>
        <w:gridCol w:w="1954"/>
        <w:gridCol w:w="10050"/>
      </w:tblGrid>
      <w:tr>
        <w:trPr>
          <w:tblHeader/>
        </w:trPr>
        <w:tc>
          <w:tcPr>
            <w:tcW w:type="dxa" w:w="195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Found at</w:t>
            </w:r>
          </w:p>
        </w:tc>
        <w:tc>
          <w:tcPr>
            <w:tcW w:type="dxa" w:w="195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Returned to</w:t>
            </w:r>
          </w:p>
        </w:tc>
        <w:tc>
          <w:tcPr>
            <w:tcW w:type="dxa" w:w="1005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was wrong</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NPDP2050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NPDP2020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wire contract was not settled; enum values and timestamp format had to be fixed before the plan could be approved</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NPDP3040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inherited listing endpoint returned all tenants’ rows to any authenticated caller</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NPDP3070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receiving desk is cross-tenant by design, which hid that it is still bounded to one site</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NPDP3100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was authoring vehicle positions, so three signed-in users saw three different answers</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NPDP3110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NPDP3050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simulator and the prediction engine kept different clocks, so the vehicle arrived before the estimate moved</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NPDP4050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routing service mislabelled its reply encoding, so every booking silently drew a straight line</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NPDP4050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instance root volume filled, and a deploy died inside a build layer reporting a disk error as a build failure</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NPDP4060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API wedged under memory pressure with no limit and no watchdog, recoverable only by reboot</w:t>
            </w:r>
          </w:p>
        </w:tc>
      </w:tr>
    </w:tbl>
    <w:p>
      <w:pPr>
        <w:spacing w:after="160" w:line="276"/>
        <w:jc w:val="left"/>
      </w:pPr>
      <w:r>
        <w:rPr>
          <w:rFonts w:ascii="Calibri" w:cs="Calibri" w:eastAsia="Calibri" w:hAnsi="Calibri"/>
          <w:color w:val="000000"/>
          <w:sz w:val="22"/>
          <w:szCs w:val="22"/>
        </w:rPr>
        <w:t xml:space="preserve">The ninth is still running: NPDP5050 routes field feedback back to NPDP4010 as an engineering change. The most recent was a consignment booked through the form that never appeared on the receiving desk’s board, because the promised slot was a flat 36 hours from booking rather than costed from the pickup time.</w:t>
      </w:r>
    </w:p>
    <w:p>
      <w:pPr>
        <w:pStyle w:val="Heading1"/>
        <w:pBdr>
          <w:bottom w:val="single" w:color="2E75B6" w:sz="6" w:space="4"/>
        </w:pBdr>
        <w:spacing w:after="120" w:before="360"/>
      </w:pPr>
      <w:r>
        <w:rPr>
          <w:rFonts w:ascii="Calibri" w:cs="Calibri" w:eastAsia="Calibri" w:hAnsi="Calibri"/>
          <w:b/>
          <w:bCs/>
          <w:color w:val="1F3864"/>
          <w:sz w:val="28"/>
          <w:szCs w:val="28"/>
        </w:rPr>
        <w:t xml:space="preserve">12.  List of figures</w:t>
      </w:r>
    </w:p>
    <w:p>
      <w:pPr>
        <w:pStyle w:val="ListParagraph"/>
        <w:numPr>
          <w:ilvl w:val="0"/>
          <w:numId w:val="2"/>
        </w:numPr>
        <w:spacing w:after="80" w:line="276"/>
      </w:pPr>
      <w:r>
        <w:rPr>
          <w:rFonts w:ascii="Calibri" w:cs="Calibri" w:eastAsia="Calibri" w:hAnsi="Calibri"/>
          <w:color w:val="000000"/>
          <w:sz w:val="22"/>
          <w:szCs w:val="22"/>
        </w:rPr>
        <w:t xml:space="preserve">Figure 1: NPD master flow: the five phases with their procedure codes, the five gates beneath them, and the rework and action closure return.</w:t>
      </w:r>
    </w:p>
    <w:p>
      <w:pPr>
        <w:pStyle w:val="ListParagraph"/>
        <w:numPr>
          <w:ilvl w:val="0"/>
          <w:numId w:val="2"/>
        </w:numPr>
        <w:spacing w:after="80" w:line="276"/>
      </w:pPr>
      <w:r>
        <w:rPr>
          <w:rFonts w:ascii="Calibri" w:cs="Calibri" w:eastAsia="Calibri" w:hAnsi="Calibri"/>
          <w:color w:val="000000"/>
          <w:sz w:val="22"/>
          <w:szCs w:val="22"/>
        </w:rPr>
        <w:t xml:space="preserve">Figure 2: Phase 1 — Pre-Assessment, and the Gate-1 decision with its three outcomes.</w:t>
      </w:r>
    </w:p>
    <w:p>
      <w:pPr>
        <w:pStyle w:val="ListParagraph"/>
        <w:numPr>
          <w:ilvl w:val="0"/>
          <w:numId w:val="2"/>
        </w:numPr>
        <w:spacing w:after="80" w:line="276"/>
      </w:pPr>
      <w:r>
        <w:rPr>
          <w:rFonts w:ascii="Calibri" w:cs="Calibri" w:eastAsia="Calibri" w:hAnsi="Calibri"/>
          <w:color w:val="000000"/>
          <w:sz w:val="22"/>
          <w:szCs w:val="22"/>
        </w:rPr>
        <w:t xml:space="preserve">Figure 3: Phase 2 — Definition and Planning. The Design History File is opened here and maintained through every later phase.</w:t>
      </w:r>
    </w:p>
    <w:p>
      <w:pPr>
        <w:pStyle w:val="ListParagraph"/>
        <w:numPr>
          <w:ilvl w:val="0"/>
          <w:numId w:val="2"/>
        </w:numPr>
        <w:spacing w:after="80" w:line="276"/>
      </w:pPr>
      <w:r>
        <w:rPr>
          <w:rFonts w:ascii="Calibri" w:cs="Calibri" w:eastAsia="Calibri" w:hAnsi="Calibri"/>
          <w:color w:val="000000"/>
          <w:sz w:val="22"/>
          <w:szCs w:val="22"/>
        </w:rPr>
        <w:t xml:space="preserve">Figure 4: Gate-2 — Plan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5: Phase 3A — concept, system and detail design, with the design review loop that spans all three.</w:t>
      </w:r>
    </w:p>
    <w:p>
      <w:pPr>
        <w:pStyle w:val="ListParagraph"/>
        <w:numPr>
          <w:ilvl w:val="0"/>
          <w:numId w:val="2"/>
        </w:numPr>
        <w:spacing w:after="80" w:line="276"/>
      </w:pPr>
      <w:r>
        <w:rPr>
          <w:rFonts w:ascii="Calibri" w:cs="Calibri" w:eastAsia="Calibri" w:hAnsi="Calibri"/>
          <w:color w:val="000000"/>
          <w:sz w:val="22"/>
          <w:szCs w:val="22"/>
        </w:rPr>
        <w:t xml:space="preserve">Figure 6: Phase 3B — process design through to the intermediate project review.</w:t>
      </w:r>
    </w:p>
    <w:p>
      <w:pPr>
        <w:pStyle w:val="ListParagraph"/>
        <w:numPr>
          <w:ilvl w:val="0"/>
          <w:numId w:val="2"/>
        </w:numPr>
        <w:spacing w:after="80" w:line="276"/>
      </w:pPr>
      <w:r>
        <w:rPr>
          <w:rFonts w:ascii="Calibri" w:cs="Calibri" w:eastAsia="Calibri" w:hAnsi="Calibri"/>
          <w:color w:val="000000"/>
          <w:sz w:val="22"/>
          <w:szCs w:val="22"/>
        </w:rPr>
        <w:t xml:space="preserve">Figure 7: Gate-3 — Design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8: Phase 4A — production preparation. Every rework loop in this phase returns through NPDP4010 ECO Release.</w:t>
      </w:r>
    </w:p>
    <w:p>
      <w:pPr>
        <w:pStyle w:val="ListParagraph"/>
        <w:numPr>
          <w:ilvl w:val="0"/>
          <w:numId w:val="2"/>
        </w:numPr>
        <w:spacing w:after="80" w:line="276"/>
      </w:pPr>
      <w:r>
        <w:rPr>
          <w:rFonts w:ascii="Calibri" w:cs="Calibri" w:eastAsia="Calibri" w:hAnsi="Calibri"/>
          <w:color w:val="000000"/>
          <w:sz w:val="22"/>
          <w:szCs w:val="22"/>
        </w:rPr>
        <w:t xml:space="preserve">Figure 9: Phase 4B — verification and validation. Both procedures found faults that were invisible in the local environment.</w:t>
      </w:r>
    </w:p>
    <w:p>
      <w:pPr>
        <w:pStyle w:val="ListParagraph"/>
        <w:numPr>
          <w:ilvl w:val="0"/>
          <w:numId w:val="2"/>
        </w:numPr>
        <w:spacing w:after="80" w:line="276"/>
      </w:pPr>
      <w:r>
        <w:rPr>
          <w:rFonts w:ascii="Calibri" w:cs="Calibri" w:eastAsia="Calibri" w:hAnsi="Calibri"/>
          <w:color w:val="000000"/>
          <w:sz w:val="22"/>
          <w:szCs w:val="22"/>
        </w:rPr>
        <w:t xml:space="preserve">Figure 10: Gate-4 — Production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11: Phase 5 — Launch and Post-Production. Gate-5 approves readiness before NPDP5040 launch, not after it.</w:t>
      </w:r>
    </w:p>
    <w:p>
      <w:pPr>
        <w:pStyle w:val="ListParagraph"/>
        <w:numPr>
          <w:ilvl w:val="0"/>
          <w:numId w:val="2"/>
        </w:numPr>
        <w:spacing w:after="80" w:line="276"/>
      </w:pPr>
      <w:r>
        <w:rPr>
          <w:rFonts w:ascii="Calibri" w:cs="Calibri" w:eastAsia="Calibri" w:hAnsi="Calibri"/>
          <w:color w:val="000000"/>
          <w:sz w:val="22"/>
          <w:szCs w:val="22"/>
        </w:rPr>
        <w:t xml:space="preserve">Figure 12: How to read any of the flows: applicability, the acceptance test, progress or rework, and what each gate decides.</w:t>
      </w:r>
    </w:p>
    <w:sectPr>
      <w:headerReference w:type="default" r:id="rId7"/>
      <w:footerReference w:type="default" r:id="rId8"/>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Flowchart on NPD Procedures Manual — Drishya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60" w:line="276"/>
      </w:pPr>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pPr>
      <w:spacing w:after="100" w:before="240"/>
    </w:pPr>
    <w:rPr>
      <w:rFonts w:ascii="Calibri" w:cs="Calibri" w:eastAsia="Calibri" w:hAnsi="Calibri"/>
      <w:b/>
      <w:bCs/>
      <w:color w:val="1F3864"/>
      <w:sz w:val="28"/>
      <w:szCs w:val="28"/>
    </w:rPr>
  </w:style>
  <w:style w:type="paragraph" w:styleId="Heading2">
    <w:name w:val="Heading 2"/>
    <w:basedOn w:val="Normal"/>
    <w:next w:val="Normal"/>
    <w:qFormat/>
    <w:pPr>
      <w:spacing w:after="80" w:before="200"/>
    </w:pPr>
    <w:rPr>
      <w:rFonts w:ascii="Calibri" w:cs="Calibri" w:eastAsia="Calibri" w:hAnsi="Calibri"/>
      <w:b/>
      <w:bCs/>
      <w:color w:val="2E75B6"/>
      <w:sz w:val="24"/>
      <w:szCs w:val="24"/>
    </w:rPr>
  </w:style>
  <w:style w:type="paragraph" w:styleId="Heading3">
    <w:name w:val="Heading 3"/>
    <w:basedOn w:val="Normal"/>
    <w:next w:val="Normal"/>
    <w:qFormat/>
    <w:rPr>
      <w:rFonts w:ascii="Calibri" w:cs="Calibri" w:eastAsia="Calibri" w:hAnsi="Calibri"/>
      <w:b/>
      <w:bCs/>
      <w:i/>
      <w:iCs/>
      <w:color w:val="000000"/>
      <w:sz w:val="22"/>
      <w:szCs w:val="22"/>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rFonts w:ascii="Calibri" w:cs="Calibri" w:eastAsia="Calibri" w:hAnsi="Calibri"/>
      <w:b/>
      <w:bCs/>
    </w:rPr>
  </w:style>
  <w:style w:type="paragraph" w:styleId="ListParagraph">
    <w:name w:val="List Paragraph"/>
    <w:basedOn w:val="Normal"/>
    <w:qFormat/>
    <w:rPr>
      <w:rFonts w:ascii="Calibri" w:cs="Calibri" w:eastAsia="Calibri" w:hAnsi="Calibri"/>
      <w:color w:val="000000"/>
      <w:sz w:val="22"/>
      <w:szCs w:val="22"/>
    </w:rPr>
  </w:style>
  <w:style w:type="character" w:styleId="Hyperlink">
    <w:name w:val="Hyperlink"/>
    <w:basedOn w:val="DefaultParagraphFont"/>
    <w:uiPriority w:val="99"/>
    <w:unhideWhenUsed/>
    <w:rPr>
      <w:rFonts w:ascii="Calibri" w:cs="Calibri" w:eastAsia="Calibri" w:hAnsi="Calibri"/>
      <w:color w:val="000000"/>
      <w:sz w:val="22"/>
      <w:szCs w:val="22"/>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5458c38af535bf47f1263fa00055bce0f83a48.png"/><Relationship Id="rId10" Type="http://schemas.openxmlformats.org/officeDocument/2006/relationships/image" Target="media/373e803025143b58bc38863b9aa23115229ed861.png"/><Relationship Id="rId11" Type="http://schemas.openxmlformats.org/officeDocument/2006/relationships/image" Target="media/68a88840e552b3f488759b40da41a14a170421cc.png"/><Relationship Id="rId12" Type="http://schemas.openxmlformats.org/officeDocument/2006/relationships/image" Target="media/1b6075ce5b1bcd5b88f662a4327ee8f2e499f6ba.png"/><Relationship Id="rId13" Type="http://schemas.openxmlformats.org/officeDocument/2006/relationships/image" Target="media/02c7959b6ef8b118a566ef7fba8ff3e7647d5706.png"/><Relationship Id="rId14" Type="http://schemas.openxmlformats.org/officeDocument/2006/relationships/image" Target="media/863d6e0c79fb55b9177cbc79950af9c1567c1d66.png"/><Relationship Id="rId15" Type="http://schemas.openxmlformats.org/officeDocument/2006/relationships/image" Target="media/6b862018ed74275e293939d0d19dce1bc45cef50.png"/><Relationship Id="rId16" Type="http://schemas.openxmlformats.org/officeDocument/2006/relationships/image" Target="media/0cee248a1aa1f434ee9b316c9acf6562b035ad0d.png"/><Relationship Id="rId17" Type="http://schemas.openxmlformats.org/officeDocument/2006/relationships/image" Target="media/8ddb0e1859f13aa8b94a4292821ea6fcb0f622fd.png"/><Relationship Id="rId18" Type="http://schemas.openxmlformats.org/officeDocument/2006/relationships/image" Target="media/823e5b36f0bf093fe303ece7816bc4aa8fe6efb0.png"/><Relationship Id="rId19" Type="http://schemas.openxmlformats.org/officeDocument/2006/relationships/image" Target="media/0e81743e8bcfbd94463143f4b12d3d6231cf011a.png"/><Relationship Id="rId20" Type="http://schemas.openxmlformats.org/officeDocument/2006/relationships/image" Target="media/5397800ddae8db6a7d123328457fe617bb62060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Flowchart on NPD Procedures Manual</dc:title>
  <dc:creator>Drishya</dc:creator>
  <dc:description>Drishya — real-time transport visibility, through the IQMS New Product Development procedure set</dc:description>
  <cp:lastModifiedBy>Un-named</cp:lastModifiedBy>
  <cp:revision>1</cp:revision>
  <dcterms:created xsi:type="dcterms:W3CDTF">2026-09-15T13:54:36.799Z</dcterms:created>
  <dcterms:modified xsi:type="dcterms:W3CDTF">2026-09-15T13:54:36.799Z</dcterms:modified>
</cp:coreProperties>
</file>

<file path=docProps/custom.xml><?xml version="1.0" encoding="utf-8"?>
<Properties xmlns="http://schemas.openxmlformats.org/officeDocument/2006/custom-properties" xmlns:vt="http://schemas.openxmlformats.org/officeDocument/2006/docPropsVTypes"/>
</file>