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TBS, TCI</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ESTELAR BOGOTA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TBS, TCI</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8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2021-10-02</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ESTELAR BOGOTA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48,768</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1,926,336</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192,633</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7,705</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1,725,998</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6,096</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6,096</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6,096</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2021-09-20</w:t>
            </w:r>
          </w:p>
        </w:tc>
        <w:tc>
          <w:tcPr>
            <w:tcW w:w="926" w:type="pct"/>
            <w:tcBorders>
              <w:top w:val="nil"/>
              <w:left w:val="nil"/>
              <w:bottom w:val="single" w:sz="4" w:space="0" w:color="808080"/>
              <w:right w:val="single" w:sz="4" w:space="0" w:color="808080"/>
            </w:tcBorders>
            <w:shd w:val="clear" w:color="auto" w:fill="auto"/>
            <w:noWrap/>
            <w:vAlign w:val="center"/>
          </w:tcPr>
          <w:p>
            <w:r>
              <w:t>515,136</w:t>
            </w:r>
          </w:p>
        </w:tc>
        <w:tc>
          <w:tcPr>
            <w:tcW w:w="1068" w:type="pct"/>
            <w:tcBorders>
              <w:top w:val="nil"/>
              <w:left w:val="nil"/>
              <w:bottom w:val="single" w:sz="4" w:space="0" w:color="808080"/>
              <w:right w:val="single" w:sz="4" w:space="0" w:color="808080"/>
            </w:tcBorders>
            <w:shd w:val="clear" w:color="auto" w:fill="auto"/>
            <w:noWrap/>
            <w:vAlign w:val="center"/>
          </w:tcPr>
          <w:p>
            <w:r>
              <w:t>6,096</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6,096</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6,096</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6,096</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2021-10-02</w:t>
            </w:r>
          </w:p>
        </w:tc>
        <w:tc>
          <w:tcPr>
            <w:tcW w:w="926" w:type="pct"/>
            <w:tcBorders>
              <w:top w:val="nil"/>
              <w:left w:val="nil"/>
              <w:bottom w:val="single" w:sz="4" w:space="0" w:color="808080"/>
              <w:right w:val="single" w:sz="4" w:space="0" w:color="808080"/>
            </w:tcBorders>
            <w:shd w:val="clear" w:color="auto" w:fill="auto"/>
            <w:noWrap/>
            <w:vAlign w:val="center"/>
          </w:tcPr>
          <w:p>
            <w:r>
              <w:t>359,664</w:t>
            </w:r>
          </w:p>
        </w:tc>
        <w:tc>
          <w:tcPr>
            <w:tcW w:w="1068" w:type="pct"/>
            <w:tcBorders>
              <w:top w:val="nil"/>
              <w:left w:val="nil"/>
              <w:bottom w:val="single" w:sz="4" w:space="0" w:color="808080"/>
              <w:right w:val="single" w:sz="4" w:space="0" w:color="808080"/>
            </w:tcBorders>
            <w:shd w:val="clear" w:color="auto" w:fill="auto"/>
            <w:noWrap/>
            <w:vAlign w:val="center"/>
          </w:tcPr>
          <w:p>
            <w:r>
              <w:t>6,096</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8 días</w:t>
            </w:r>
          </w:p>
        </w:tc>
        <w:tc>
          <w:tcPr>
            <w:tcW w:w="926" w:type="pct"/>
            <w:tcBorders>
              <w:top w:val="nil"/>
              <w:left w:val="nil"/>
              <w:bottom w:val="single" w:sz="4" w:space="0" w:color="808080"/>
              <w:right w:val="single" w:sz="4" w:space="0" w:color="808080"/>
            </w:tcBorders>
            <w:shd w:val="clear" w:color="000000" w:fill="D9D9D9"/>
            <w:noWrap/>
            <w:vAlign w:val="center"/>
            <w:hideMark/>
          </w:tcPr>
          <w:p>
            <w:r>
              <w:t>12,801,144</w:t>
            </w:r>
          </w:p>
        </w:tc>
        <w:tc>
          <w:tcPr>
            <w:tcW w:w="1068" w:type="pct"/>
            <w:tcBorders>
              <w:top w:val="nil"/>
              <w:left w:val="nil"/>
              <w:bottom w:val="single" w:sz="4" w:space="0" w:color="808080"/>
              <w:right w:val="single" w:sz="4" w:space="0" w:color="808080"/>
            </w:tcBorders>
            <w:shd w:val="clear" w:color="000000" w:fill="D9D9D9"/>
            <w:noWrap/>
            <w:vAlign w:val="center"/>
            <w:hideMark/>
          </w:tcPr>
          <w:p>
            <w:r>
              <w:t>48,768</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ESTELAR BOGOTA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